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B0842" w14:textId="77777777" w:rsidR="009B61F1" w:rsidRDefault="00AF6E4F" w:rsidP="00012F6F">
      <w:pPr>
        <w:pStyle w:val="Title"/>
      </w:pPr>
      <w:r w:rsidRPr="00AF6E4F">
        <w:t>Victorian Government Risk Management Framework</w:t>
      </w:r>
    </w:p>
    <w:p w14:paraId="4FE8A79D" w14:textId="08F992C5" w:rsidR="00A3276A" w:rsidRDefault="00FC7D89" w:rsidP="00A3276A">
      <w:pPr>
        <w:pStyle w:val="Subtitle"/>
        <w:spacing w:after="240"/>
      </w:pPr>
      <w:r>
        <w:t>August</w:t>
      </w:r>
      <w:r w:rsidR="00FF7247" w:rsidRPr="00E55C9C">
        <w:t xml:space="preserve"> </w:t>
      </w:r>
      <w:r w:rsidR="00E55C9C" w:rsidRPr="00E55C9C">
        <w:t>20</w:t>
      </w:r>
      <w:r w:rsidR="00AB7C84">
        <w:t>20</w:t>
      </w:r>
    </w:p>
    <w:p w14:paraId="69803C12" w14:textId="2F3971DA" w:rsidR="00FC7D89" w:rsidRPr="00FC7D89" w:rsidRDefault="00FC7D89" w:rsidP="00FC7D89">
      <w:pPr>
        <w:pStyle w:val="TertiaryTitle"/>
        <w:rPr>
          <w:lang w:eastAsia="en-AU"/>
        </w:rPr>
      </w:pPr>
      <w:r>
        <w:rPr>
          <w:lang w:eastAsia="en-AU"/>
        </w:rPr>
        <w:t>(to take effect from 1 July 2021)</w:t>
      </w:r>
    </w:p>
    <w:p w14:paraId="6772A7CB" w14:textId="349C117B" w:rsidR="00991361" w:rsidRDefault="00991361" w:rsidP="00991361">
      <w:pPr>
        <w:pStyle w:val="TertiaryTitle"/>
        <w:rPr>
          <w:lang w:eastAsia="en-AU"/>
        </w:rPr>
      </w:pPr>
    </w:p>
    <w:p w14:paraId="7872F858" w14:textId="77777777" w:rsidR="003F1958" w:rsidRDefault="003F1958" w:rsidP="00AB6CC3">
      <w:pPr>
        <w:pStyle w:val="Insidecoverspacer"/>
        <w:spacing w:before="4800"/>
      </w:pPr>
    </w:p>
    <w:p w14:paraId="6DAE458C" w14:textId="77777777" w:rsidR="003F1958" w:rsidRPr="00C92338" w:rsidRDefault="003F1958" w:rsidP="004B45C9">
      <w:pPr>
        <w:pStyle w:val="Insidecoverspacer"/>
        <w:spacing w:before="4080"/>
      </w:pPr>
    </w:p>
    <w:p w14:paraId="3E226682" w14:textId="7EAB3551" w:rsidR="00EA1F8B" w:rsidRDefault="00EA1F8B" w:rsidP="00EA1F8B">
      <w:pPr>
        <w:pStyle w:val="NormalTight"/>
      </w:pPr>
    </w:p>
    <w:p w14:paraId="092963CF" w14:textId="18651679" w:rsidR="00AB7C84" w:rsidRDefault="00AB7C84" w:rsidP="00EA1F8B">
      <w:pPr>
        <w:pStyle w:val="NormalTight"/>
      </w:pPr>
    </w:p>
    <w:p w14:paraId="791BE93C" w14:textId="750412FF" w:rsidR="00AB7C84" w:rsidRDefault="00AB7C84" w:rsidP="00EA1F8B">
      <w:pPr>
        <w:pStyle w:val="NormalTight"/>
      </w:pPr>
    </w:p>
    <w:p w14:paraId="3859AD82" w14:textId="63622B37" w:rsidR="00AB7C84" w:rsidRDefault="00AB7C84" w:rsidP="00EA1F8B">
      <w:pPr>
        <w:pStyle w:val="NormalTight"/>
      </w:pPr>
    </w:p>
    <w:p w14:paraId="4820D8C3" w14:textId="2F288D61" w:rsidR="00AB7C84" w:rsidRDefault="00AB7C84" w:rsidP="00EA1F8B">
      <w:pPr>
        <w:pStyle w:val="NormalTight"/>
      </w:pPr>
    </w:p>
    <w:p w14:paraId="41C4823A" w14:textId="2AC4C98E" w:rsidR="00AB7C84" w:rsidRDefault="00AB7C84" w:rsidP="00EA1F8B">
      <w:pPr>
        <w:pStyle w:val="NormalTight"/>
      </w:pPr>
    </w:p>
    <w:p w14:paraId="5A75284C" w14:textId="77777777" w:rsidR="00AB7C84" w:rsidRDefault="00AB7C84" w:rsidP="00EA1F8B">
      <w:pPr>
        <w:pStyle w:val="NormalTight"/>
      </w:pPr>
    </w:p>
    <w:p w14:paraId="48C34B9D" w14:textId="77777777" w:rsidR="00EA1F8B" w:rsidRDefault="00EA1F8B" w:rsidP="008D0281">
      <w:pPr>
        <w:pStyle w:val="NormalTight"/>
      </w:pPr>
    </w:p>
    <w:p w14:paraId="07389D55" w14:textId="77777777" w:rsidR="00EA1F8B" w:rsidRDefault="00EA1F8B" w:rsidP="008D0281">
      <w:pPr>
        <w:pStyle w:val="NormalTight"/>
      </w:pPr>
    </w:p>
    <w:p w14:paraId="21F86A72" w14:textId="77777777" w:rsidR="00750CBE" w:rsidRPr="00C92338" w:rsidRDefault="00750CBE" w:rsidP="008D0281">
      <w:pPr>
        <w:pStyle w:val="NormalTight"/>
      </w:pPr>
      <w:r w:rsidRPr="00C92338">
        <w:t>The Secretary</w:t>
      </w:r>
    </w:p>
    <w:p w14:paraId="52186377" w14:textId="77777777" w:rsidR="00750CBE" w:rsidRPr="00C92338" w:rsidRDefault="00750CBE" w:rsidP="008D0281">
      <w:pPr>
        <w:pStyle w:val="NormalTight"/>
      </w:pPr>
      <w:r w:rsidRPr="00C92338">
        <w:t>Department of Treasury and Finance</w:t>
      </w:r>
    </w:p>
    <w:p w14:paraId="0CACB416" w14:textId="77777777" w:rsidR="00750CBE" w:rsidRPr="00C92338" w:rsidRDefault="00750CBE" w:rsidP="008D0281">
      <w:pPr>
        <w:pStyle w:val="NormalTight"/>
      </w:pPr>
      <w:r w:rsidRPr="00C92338">
        <w:t>1 Treasury Place</w:t>
      </w:r>
    </w:p>
    <w:p w14:paraId="58855A07" w14:textId="77777777" w:rsidR="00750CBE" w:rsidRPr="00C92338" w:rsidRDefault="00750CBE" w:rsidP="008D0281">
      <w:pPr>
        <w:pStyle w:val="NormalTight"/>
      </w:pPr>
      <w:r w:rsidRPr="00C92338">
        <w:t>Melbourne Victoria 3002</w:t>
      </w:r>
    </w:p>
    <w:p w14:paraId="0EDB9490" w14:textId="77777777" w:rsidR="00750CBE" w:rsidRPr="00C92338" w:rsidRDefault="00750CBE" w:rsidP="008D0281">
      <w:pPr>
        <w:pStyle w:val="NormalTight"/>
      </w:pPr>
      <w:r w:rsidRPr="00C92338">
        <w:t>Australia</w:t>
      </w:r>
    </w:p>
    <w:p w14:paraId="18DF1FDF" w14:textId="77777777" w:rsidR="00750CBE" w:rsidRPr="00C92338" w:rsidRDefault="00750CBE" w:rsidP="008D0281">
      <w:pPr>
        <w:pStyle w:val="NormalTight"/>
      </w:pPr>
      <w:r w:rsidRPr="00C92338">
        <w:t>Telephone: +61 3 9651 5111</w:t>
      </w:r>
    </w:p>
    <w:p w14:paraId="42D67365" w14:textId="0F4FE579" w:rsidR="00750CBE" w:rsidRPr="00C92338" w:rsidRDefault="00750CBE" w:rsidP="008D0281">
      <w:pPr>
        <w:pStyle w:val="NormalTight"/>
      </w:pPr>
      <w:r w:rsidRPr="00C92338">
        <w:t xml:space="preserve">Facsimile: +61 3 </w:t>
      </w:r>
      <w:r w:rsidR="009A7DCB">
        <w:t>7005 9165</w:t>
      </w:r>
    </w:p>
    <w:p w14:paraId="3815CB2D" w14:textId="77777777" w:rsidR="00750CBE" w:rsidRPr="00C92338" w:rsidRDefault="00750CBE" w:rsidP="008D0281">
      <w:pPr>
        <w:pStyle w:val="NormalTight"/>
      </w:pPr>
      <w:r w:rsidRPr="00C92338">
        <w:t>dtf.vic.gov.au</w:t>
      </w:r>
    </w:p>
    <w:p w14:paraId="37203CE3" w14:textId="77777777" w:rsidR="00750CBE" w:rsidRPr="00C92338" w:rsidRDefault="00750CBE" w:rsidP="008D0281">
      <w:pPr>
        <w:pStyle w:val="NormalTight"/>
      </w:pPr>
    </w:p>
    <w:p w14:paraId="6ACCAB80" w14:textId="77777777" w:rsidR="00750CBE" w:rsidRPr="00C92338" w:rsidRDefault="00750CBE" w:rsidP="008D0281">
      <w:pPr>
        <w:pStyle w:val="NormalTight"/>
      </w:pPr>
      <w:r w:rsidRPr="00C92338">
        <w:t>Authorised by the Victorian Government</w:t>
      </w:r>
    </w:p>
    <w:p w14:paraId="48DC41F0" w14:textId="77777777" w:rsidR="00750CBE" w:rsidRPr="00C92338" w:rsidRDefault="00750CBE" w:rsidP="008D0281">
      <w:pPr>
        <w:pStyle w:val="NormalTight"/>
      </w:pPr>
      <w:r w:rsidRPr="00C92338">
        <w:t>1 Treasury Place, Melbourne, 3002</w:t>
      </w:r>
    </w:p>
    <w:p w14:paraId="44DA7884" w14:textId="77777777" w:rsidR="00750CBE" w:rsidRPr="00C92338" w:rsidRDefault="00750CBE" w:rsidP="008D0281">
      <w:pPr>
        <w:pStyle w:val="NormalTight"/>
      </w:pPr>
    </w:p>
    <w:p w14:paraId="0C4E421D" w14:textId="117676CA" w:rsidR="00750CBE" w:rsidRPr="00C92338" w:rsidRDefault="003A541A" w:rsidP="006F6693">
      <w:pPr>
        <w:ind w:right="1826"/>
        <w:rPr>
          <w:rFonts w:cstheme="minorHAnsi"/>
          <w:spacing w:val="0"/>
          <w:sz w:val="19"/>
          <w:szCs w:val="19"/>
        </w:rPr>
      </w:pPr>
      <w:r w:rsidRPr="00C92338">
        <w:rPr>
          <w:rFonts w:cstheme="minorHAnsi"/>
          <w:spacing w:val="0"/>
          <w:sz w:val="19"/>
          <w:szCs w:val="19"/>
        </w:rPr>
        <w:t xml:space="preserve">© State of Victoria </w:t>
      </w:r>
      <w:r w:rsidR="00FF1F9A" w:rsidRPr="00C92338">
        <w:rPr>
          <w:rFonts w:cstheme="minorHAnsi"/>
          <w:spacing w:val="0"/>
          <w:sz w:val="19"/>
          <w:szCs w:val="19"/>
        </w:rPr>
        <w:t>20</w:t>
      </w:r>
      <w:r w:rsidR="0032334D">
        <w:rPr>
          <w:rFonts w:cstheme="minorHAnsi"/>
          <w:spacing w:val="0"/>
          <w:sz w:val="19"/>
          <w:szCs w:val="19"/>
        </w:rPr>
        <w:t>20</w:t>
      </w:r>
    </w:p>
    <w:p w14:paraId="314B0410" w14:textId="77777777" w:rsidR="00750CBE" w:rsidRPr="00C92338" w:rsidRDefault="00750CBE" w:rsidP="006F6693">
      <w:pPr>
        <w:ind w:right="1826"/>
        <w:rPr>
          <w:rFonts w:cstheme="minorHAnsi"/>
          <w:spacing w:val="0"/>
          <w:sz w:val="19"/>
          <w:szCs w:val="19"/>
        </w:rPr>
      </w:pPr>
      <w:r w:rsidRPr="00C92338">
        <w:rPr>
          <w:rFonts w:cstheme="minorHAnsi"/>
          <w:noProof/>
          <w:spacing w:val="0"/>
          <w:sz w:val="19"/>
          <w:szCs w:val="19"/>
          <w:lang w:val="en-US" w:eastAsia="en-US"/>
        </w:rPr>
        <w:drawing>
          <wp:inline distT="0" distB="0" distL="0" distR="0" wp14:anchorId="5902256D" wp14:editId="4262BD5C">
            <wp:extent cx="1117460" cy="393651"/>
            <wp:effectExtent l="0" t="0" r="6985" b="6985"/>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0">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C92338">
        <w:rPr>
          <w:rFonts w:cstheme="minorHAnsi"/>
          <w:spacing w:val="0"/>
          <w:sz w:val="19"/>
          <w:szCs w:val="19"/>
        </w:rPr>
        <w:t xml:space="preserve"> </w:t>
      </w:r>
    </w:p>
    <w:p w14:paraId="25E7B620" w14:textId="77777777" w:rsidR="00750CBE" w:rsidRPr="00C92338" w:rsidRDefault="00750CBE" w:rsidP="008D0281">
      <w:pPr>
        <w:pStyle w:val="NormalTight"/>
      </w:pPr>
      <w:r w:rsidRPr="00C92338">
        <w:t>You are free to re</w:t>
      </w:r>
      <w:r w:rsidR="007755D8">
        <w:noBreakHyphen/>
      </w:r>
      <w:r w:rsidRPr="00C92338">
        <w:t xml:space="preserve">use this work under a </w:t>
      </w:r>
      <w:hyperlink r:id="rId11" w:history="1">
        <w:r w:rsidRPr="00C92338">
          <w:rPr>
            <w:rStyle w:val="Hyperlink"/>
          </w:rPr>
          <w:t>Creative Commons Attribution 4.0 licence</w:t>
        </w:r>
      </w:hyperlink>
      <w:r w:rsidRPr="00C92338">
        <w:rPr>
          <w:rStyle w:val="Hyperlink"/>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14:paraId="4542BB12" w14:textId="77777777" w:rsidR="006F6693" w:rsidRPr="00C92338" w:rsidRDefault="006F6693" w:rsidP="008D0281">
      <w:pPr>
        <w:pStyle w:val="NormalTight"/>
      </w:pPr>
    </w:p>
    <w:p w14:paraId="2C0F8C63" w14:textId="77777777" w:rsidR="00750CBE" w:rsidRPr="00C92338" w:rsidRDefault="00750CBE" w:rsidP="008D0281">
      <w:pPr>
        <w:pStyle w:val="NormalTight"/>
      </w:pPr>
      <w:r w:rsidRPr="00C92338">
        <w:t xml:space="preserve">Copyright queries may be directed to </w:t>
      </w:r>
      <w:hyperlink r:id="rId12" w:history="1">
        <w:r w:rsidRPr="00C92338">
          <w:rPr>
            <w:rStyle w:val="Hyperlink"/>
            <w:rFonts w:cstheme="minorHAnsi"/>
          </w:rPr>
          <w:t>IPpolicy@dtf.vic.gov.au</w:t>
        </w:r>
      </w:hyperlink>
    </w:p>
    <w:p w14:paraId="6B898C8D" w14:textId="77777777" w:rsidR="00750CBE" w:rsidRPr="00C92338" w:rsidRDefault="00750CBE" w:rsidP="008D0281">
      <w:pPr>
        <w:pStyle w:val="NormalTight"/>
      </w:pPr>
    </w:p>
    <w:p w14:paraId="16E1EE38" w14:textId="07A4B5C5" w:rsidR="00750CBE" w:rsidRPr="005A13A3" w:rsidRDefault="005A13A3" w:rsidP="008D0281">
      <w:pPr>
        <w:pStyle w:val="NormalTight"/>
        <w:rPr>
          <w:highlight w:val="yellow"/>
        </w:rPr>
      </w:pPr>
      <w:r w:rsidRPr="005A13A3">
        <w:rPr>
          <w:rFonts w:ascii="Arial" w:hAnsi="Arial" w:cs="Arial"/>
          <w:color w:val="000000"/>
        </w:rPr>
        <w:t>ISBN</w:t>
      </w:r>
      <w:r>
        <w:rPr>
          <w:rFonts w:ascii="Arial" w:hAnsi="Arial" w:cs="Arial"/>
          <w:b/>
          <w:bCs/>
          <w:color w:val="000000"/>
        </w:rPr>
        <w:t xml:space="preserve"> </w:t>
      </w:r>
      <w:r>
        <w:rPr>
          <w:rFonts w:ascii="Arial" w:hAnsi="Arial" w:cs="Arial"/>
          <w:color w:val="000000"/>
        </w:rPr>
        <w:t>978-1-925551-62-4</w:t>
      </w:r>
      <w:r>
        <w:rPr>
          <w:rFonts w:ascii="Arial" w:hAnsi="Arial" w:cs="Arial"/>
          <w:b/>
          <w:bCs/>
          <w:color w:val="000000"/>
        </w:rPr>
        <w:t xml:space="preserve"> (</w:t>
      </w:r>
      <w:r w:rsidRPr="005A13A3">
        <w:rPr>
          <w:rFonts w:ascii="Arial" w:hAnsi="Arial" w:cs="Arial"/>
          <w:color w:val="000000"/>
        </w:rPr>
        <w:t>pdf/online/MS word)</w:t>
      </w:r>
    </w:p>
    <w:p w14:paraId="16660786" w14:textId="19251426" w:rsidR="00750CBE" w:rsidRPr="00C92338" w:rsidRDefault="00D65D77" w:rsidP="008D0281">
      <w:pPr>
        <w:pStyle w:val="NormalTight"/>
      </w:pPr>
      <w:r w:rsidRPr="00B43F0F">
        <w:t>Published</w:t>
      </w:r>
      <w:r w:rsidR="00FF7247" w:rsidRPr="00B43F0F">
        <w:t xml:space="preserve"> June 2020</w:t>
      </w:r>
      <w:r w:rsidRPr="00B43F0F">
        <w:t xml:space="preserve"> </w:t>
      </w:r>
      <w:r w:rsidR="00750CBE" w:rsidRPr="00C92338">
        <w:t>If you would like to receive this publication in an accessible format please</w:t>
      </w:r>
      <w:r w:rsidR="007755D8">
        <w:t xml:space="preserve"> </w:t>
      </w:r>
      <w:r w:rsidR="00750CBE" w:rsidRPr="00C92338">
        <w:t xml:space="preserve">email </w:t>
      </w:r>
      <w:hyperlink r:id="rId13" w:history="1">
        <w:r w:rsidR="00750CBE" w:rsidRPr="00C92338">
          <w:t>information@dtf.vic.gov.au</w:t>
        </w:r>
      </w:hyperlink>
      <w:r w:rsidR="00750CBE" w:rsidRPr="00C92338">
        <w:t xml:space="preserve"> </w:t>
      </w:r>
    </w:p>
    <w:p w14:paraId="633B64B0" w14:textId="77777777" w:rsidR="006F6693" w:rsidRPr="00C92338" w:rsidRDefault="006F6693" w:rsidP="008D0281">
      <w:pPr>
        <w:pStyle w:val="NormalTight"/>
      </w:pPr>
    </w:p>
    <w:p w14:paraId="789298F0" w14:textId="3E82C262" w:rsidR="00750CBE" w:rsidRPr="00C92338" w:rsidRDefault="00750CBE" w:rsidP="00AB6CC3">
      <w:pPr>
        <w:pStyle w:val="NormalTight"/>
        <w:rPr>
          <w:sz w:val="19"/>
        </w:rPr>
      </w:pPr>
      <w:r w:rsidRPr="00C92338">
        <w:t xml:space="preserve">This document is also available in PDF format at </w:t>
      </w:r>
      <w:hyperlink r:id="rId14" w:history="1">
        <w:r w:rsidRPr="00C92338">
          <w:rPr>
            <w:rStyle w:val="Hyperlink"/>
          </w:rPr>
          <w:t>dtf.vic.gov.au</w:t>
        </w:r>
      </w:hyperlink>
      <w:r w:rsidR="00AB6CC3">
        <w:rPr>
          <w:rStyle w:val="Hyperlink"/>
        </w:rPr>
        <w:t xml:space="preserve"> </w:t>
      </w:r>
    </w:p>
    <w:p w14:paraId="2B0229B2" w14:textId="77777777" w:rsidR="003F1958" w:rsidRDefault="003F1958" w:rsidP="00D2312F">
      <w:pPr>
        <w:sectPr w:rsidR="003F1958" w:rsidSect="00FF4E99">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6" w:footer="461" w:gutter="0"/>
          <w:pgNumType w:fmt="lowerRoman" w:start="1"/>
          <w:cols w:space="708"/>
          <w:docGrid w:linePitch="360"/>
        </w:sectPr>
      </w:pPr>
    </w:p>
    <w:p w14:paraId="0D066AE8" w14:textId="77777777" w:rsidR="00750CBE" w:rsidRDefault="00D44953" w:rsidP="00216B30">
      <w:pPr>
        <w:pStyle w:val="TOCHeading"/>
        <w:spacing w:after="360"/>
      </w:pPr>
      <w:r w:rsidRPr="00AE6D42">
        <w:lastRenderedPageBreak/>
        <w:t>Contents</w:t>
      </w:r>
    </w:p>
    <w:p w14:paraId="44A6350E" w14:textId="6756E6A1" w:rsidR="008E2290" w:rsidRPr="00B43F0F" w:rsidRDefault="00CD3D1B">
      <w:pPr>
        <w:pStyle w:val="TOC1"/>
        <w:rPr>
          <w:noProof/>
          <w:spacing w:val="0"/>
          <w:sz w:val="22"/>
          <w:szCs w:val="22"/>
          <w:lang w:val="en-US" w:eastAsia="en-US"/>
        </w:rPr>
      </w:pPr>
      <w:r w:rsidRPr="00B43F0F">
        <w:rPr>
          <w:noProof/>
          <w:color w:val="404040"/>
          <w:sz w:val="28"/>
          <w:szCs w:val="28"/>
          <w:lang w:eastAsia="en-US"/>
        </w:rPr>
        <w:fldChar w:fldCharType="begin"/>
      </w:r>
      <w:r w:rsidRPr="00B43F0F">
        <w:rPr>
          <w:noProof/>
          <w:color w:val="404040"/>
          <w:sz w:val="28"/>
          <w:szCs w:val="28"/>
          <w:lang w:eastAsia="en-US"/>
        </w:rPr>
        <w:instrText xml:space="preserve"> TOC \h \z \t "Heading 1,1,Heading 2,2,Heading 3,3,Heading 1 numbered,4,Heading 2 numbered,5,Heading 3 numbered,6" </w:instrText>
      </w:r>
      <w:r w:rsidRPr="00B43F0F">
        <w:rPr>
          <w:noProof/>
          <w:color w:val="404040"/>
          <w:sz w:val="28"/>
          <w:szCs w:val="28"/>
          <w:lang w:eastAsia="en-US"/>
        </w:rPr>
        <w:fldChar w:fldCharType="separate"/>
      </w:r>
      <w:hyperlink w:anchor="_Toc21704070" w:history="1">
        <w:r w:rsidR="008E2290" w:rsidRPr="00B43F0F">
          <w:rPr>
            <w:rStyle w:val="Hyperlink"/>
            <w:noProof/>
          </w:rPr>
          <w:t>Foreword</w:t>
        </w:r>
        <w:r w:rsidR="008E2290" w:rsidRPr="00B43F0F">
          <w:rPr>
            <w:noProof/>
            <w:webHidden/>
          </w:rPr>
          <w:tab/>
        </w:r>
        <w:r w:rsidR="008E2290" w:rsidRPr="00B43F0F">
          <w:rPr>
            <w:noProof/>
            <w:webHidden/>
          </w:rPr>
          <w:fldChar w:fldCharType="begin"/>
        </w:r>
        <w:r w:rsidR="008E2290" w:rsidRPr="00B43F0F">
          <w:rPr>
            <w:noProof/>
            <w:webHidden/>
          </w:rPr>
          <w:instrText xml:space="preserve"> PAGEREF _Toc21704070 \h </w:instrText>
        </w:r>
        <w:r w:rsidR="008E2290" w:rsidRPr="00B43F0F">
          <w:rPr>
            <w:noProof/>
            <w:webHidden/>
          </w:rPr>
        </w:r>
        <w:r w:rsidR="008E2290" w:rsidRPr="00B43F0F">
          <w:rPr>
            <w:noProof/>
            <w:webHidden/>
          </w:rPr>
          <w:fldChar w:fldCharType="separate"/>
        </w:r>
        <w:r w:rsidR="00EC16FD">
          <w:rPr>
            <w:noProof/>
            <w:webHidden/>
          </w:rPr>
          <w:t>1</w:t>
        </w:r>
        <w:r w:rsidR="008E2290" w:rsidRPr="00B43F0F">
          <w:rPr>
            <w:noProof/>
            <w:webHidden/>
          </w:rPr>
          <w:fldChar w:fldCharType="end"/>
        </w:r>
      </w:hyperlink>
    </w:p>
    <w:p w14:paraId="374E35A6" w14:textId="51599FF1" w:rsidR="008E2290" w:rsidRPr="00B43F0F" w:rsidRDefault="00FC7D89">
      <w:pPr>
        <w:pStyle w:val="TOC4"/>
        <w:rPr>
          <w:spacing w:val="0"/>
          <w:sz w:val="22"/>
          <w:szCs w:val="22"/>
          <w:lang w:val="en-US"/>
        </w:rPr>
      </w:pPr>
      <w:hyperlink w:anchor="_Toc21704071" w:history="1">
        <w:r w:rsidR="008E2290" w:rsidRPr="00B43F0F">
          <w:rPr>
            <w:rStyle w:val="Hyperlink"/>
          </w:rPr>
          <w:t>1.</w:t>
        </w:r>
        <w:r w:rsidR="008E2290" w:rsidRPr="00B43F0F">
          <w:rPr>
            <w:spacing w:val="0"/>
            <w:sz w:val="22"/>
            <w:szCs w:val="22"/>
            <w:lang w:val="en-US"/>
          </w:rPr>
          <w:tab/>
        </w:r>
        <w:r w:rsidR="008E2290" w:rsidRPr="00B43F0F">
          <w:rPr>
            <w:rStyle w:val="Hyperlink"/>
          </w:rPr>
          <w:t>Introduction</w:t>
        </w:r>
        <w:r w:rsidR="008E2290" w:rsidRPr="00B43F0F">
          <w:rPr>
            <w:webHidden/>
          </w:rPr>
          <w:tab/>
        </w:r>
        <w:r w:rsidR="008E2290" w:rsidRPr="00B43F0F">
          <w:rPr>
            <w:webHidden/>
          </w:rPr>
          <w:fldChar w:fldCharType="begin"/>
        </w:r>
        <w:r w:rsidR="008E2290" w:rsidRPr="00B43F0F">
          <w:rPr>
            <w:webHidden/>
          </w:rPr>
          <w:instrText xml:space="preserve"> PAGEREF _Toc21704071 \h </w:instrText>
        </w:r>
        <w:r w:rsidR="008E2290" w:rsidRPr="00B43F0F">
          <w:rPr>
            <w:webHidden/>
          </w:rPr>
        </w:r>
        <w:r w:rsidR="008E2290" w:rsidRPr="00B43F0F">
          <w:rPr>
            <w:webHidden/>
          </w:rPr>
          <w:fldChar w:fldCharType="separate"/>
        </w:r>
        <w:r w:rsidR="00EC16FD">
          <w:rPr>
            <w:webHidden/>
          </w:rPr>
          <w:t>3</w:t>
        </w:r>
        <w:r w:rsidR="008E2290" w:rsidRPr="00B43F0F">
          <w:rPr>
            <w:webHidden/>
          </w:rPr>
          <w:fldChar w:fldCharType="end"/>
        </w:r>
      </w:hyperlink>
    </w:p>
    <w:p w14:paraId="4E6CF9CB" w14:textId="6BE01988" w:rsidR="008E2290" w:rsidRPr="00B43F0F" w:rsidRDefault="00FC7D89">
      <w:pPr>
        <w:pStyle w:val="TOC5"/>
        <w:tabs>
          <w:tab w:val="left" w:pos="1080"/>
        </w:tabs>
        <w:rPr>
          <w:spacing w:val="0"/>
          <w:sz w:val="22"/>
          <w:szCs w:val="22"/>
          <w:lang w:val="en-US"/>
        </w:rPr>
      </w:pPr>
      <w:hyperlink w:anchor="_Toc21704072" w:history="1">
        <w:r w:rsidR="008E2290" w:rsidRPr="00B43F0F">
          <w:rPr>
            <w:rStyle w:val="Hyperlink"/>
          </w:rPr>
          <w:t xml:space="preserve">1.1 </w:t>
        </w:r>
        <w:r w:rsidR="008E2290" w:rsidRPr="00B43F0F">
          <w:rPr>
            <w:spacing w:val="0"/>
            <w:sz w:val="22"/>
            <w:szCs w:val="22"/>
            <w:lang w:val="en-US"/>
          </w:rPr>
          <w:tab/>
        </w:r>
        <w:r w:rsidR="008E2290" w:rsidRPr="00B43F0F">
          <w:rPr>
            <w:rStyle w:val="Hyperlink"/>
          </w:rPr>
          <w:t>Purpose</w:t>
        </w:r>
        <w:r w:rsidR="008E2290" w:rsidRPr="00B43F0F">
          <w:rPr>
            <w:webHidden/>
          </w:rPr>
          <w:tab/>
        </w:r>
        <w:r w:rsidR="008E2290" w:rsidRPr="00B43F0F">
          <w:rPr>
            <w:webHidden/>
          </w:rPr>
          <w:fldChar w:fldCharType="begin"/>
        </w:r>
        <w:r w:rsidR="008E2290" w:rsidRPr="00B43F0F">
          <w:rPr>
            <w:webHidden/>
          </w:rPr>
          <w:instrText xml:space="preserve"> PAGEREF _Toc21704072 \h </w:instrText>
        </w:r>
        <w:r w:rsidR="008E2290" w:rsidRPr="00B43F0F">
          <w:rPr>
            <w:webHidden/>
          </w:rPr>
        </w:r>
        <w:r w:rsidR="008E2290" w:rsidRPr="00B43F0F">
          <w:rPr>
            <w:webHidden/>
          </w:rPr>
          <w:fldChar w:fldCharType="separate"/>
        </w:r>
        <w:r w:rsidR="00EC16FD">
          <w:rPr>
            <w:webHidden/>
          </w:rPr>
          <w:t>3</w:t>
        </w:r>
        <w:r w:rsidR="008E2290" w:rsidRPr="00B43F0F">
          <w:rPr>
            <w:webHidden/>
          </w:rPr>
          <w:fldChar w:fldCharType="end"/>
        </w:r>
      </w:hyperlink>
    </w:p>
    <w:p w14:paraId="45B7CE71" w14:textId="34DFA9C4" w:rsidR="008E2290" w:rsidRPr="00B43F0F" w:rsidRDefault="00FC7D89">
      <w:pPr>
        <w:pStyle w:val="TOC5"/>
        <w:tabs>
          <w:tab w:val="left" w:pos="1080"/>
        </w:tabs>
        <w:rPr>
          <w:spacing w:val="0"/>
          <w:sz w:val="22"/>
          <w:szCs w:val="22"/>
          <w:lang w:val="en-US"/>
        </w:rPr>
      </w:pPr>
      <w:hyperlink w:anchor="_Toc21704073" w:history="1">
        <w:r w:rsidR="008E2290" w:rsidRPr="00B43F0F">
          <w:rPr>
            <w:rStyle w:val="Hyperlink"/>
          </w:rPr>
          <w:t>1.2</w:t>
        </w:r>
        <w:r w:rsidR="008E2290" w:rsidRPr="00B43F0F">
          <w:rPr>
            <w:spacing w:val="0"/>
            <w:sz w:val="22"/>
            <w:szCs w:val="22"/>
            <w:lang w:val="en-US"/>
          </w:rPr>
          <w:tab/>
        </w:r>
        <w:r w:rsidR="008E2290" w:rsidRPr="00B43F0F">
          <w:rPr>
            <w:rStyle w:val="Hyperlink"/>
          </w:rPr>
          <w:t>Coverage</w:t>
        </w:r>
        <w:r w:rsidR="008E2290" w:rsidRPr="00B43F0F">
          <w:rPr>
            <w:webHidden/>
          </w:rPr>
          <w:tab/>
        </w:r>
        <w:r w:rsidR="008E2290" w:rsidRPr="00B43F0F">
          <w:rPr>
            <w:webHidden/>
          </w:rPr>
          <w:fldChar w:fldCharType="begin"/>
        </w:r>
        <w:r w:rsidR="008E2290" w:rsidRPr="00B43F0F">
          <w:rPr>
            <w:webHidden/>
          </w:rPr>
          <w:instrText xml:space="preserve"> PAGEREF _Toc21704073 \h </w:instrText>
        </w:r>
        <w:r w:rsidR="008E2290" w:rsidRPr="00B43F0F">
          <w:rPr>
            <w:webHidden/>
          </w:rPr>
        </w:r>
        <w:r w:rsidR="008E2290" w:rsidRPr="00B43F0F">
          <w:rPr>
            <w:webHidden/>
          </w:rPr>
          <w:fldChar w:fldCharType="separate"/>
        </w:r>
        <w:r w:rsidR="00EC16FD">
          <w:rPr>
            <w:webHidden/>
          </w:rPr>
          <w:t>3</w:t>
        </w:r>
        <w:r w:rsidR="008E2290" w:rsidRPr="00B43F0F">
          <w:rPr>
            <w:webHidden/>
          </w:rPr>
          <w:fldChar w:fldCharType="end"/>
        </w:r>
      </w:hyperlink>
    </w:p>
    <w:p w14:paraId="37779BE5" w14:textId="79866ECB" w:rsidR="008E2290" w:rsidRPr="00B43F0F" w:rsidRDefault="00FC7D89">
      <w:pPr>
        <w:pStyle w:val="TOC4"/>
        <w:rPr>
          <w:spacing w:val="0"/>
          <w:sz w:val="22"/>
          <w:szCs w:val="22"/>
          <w:lang w:val="en-US"/>
        </w:rPr>
      </w:pPr>
      <w:hyperlink w:anchor="_Toc21704074" w:history="1">
        <w:r w:rsidR="008E2290" w:rsidRPr="00B43F0F">
          <w:rPr>
            <w:rStyle w:val="Hyperlink"/>
          </w:rPr>
          <w:t>2.</w:t>
        </w:r>
        <w:r w:rsidR="008E2290" w:rsidRPr="00B43F0F">
          <w:rPr>
            <w:spacing w:val="0"/>
            <w:sz w:val="22"/>
            <w:szCs w:val="22"/>
            <w:lang w:val="en-US"/>
          </w:rPr>
          <w:tab/>
        </w:r>
        <w:r w:rsidR="008E2290" w:rsidRPr="00B43F0F">
          <w:rPr>
            <w:rStyle w:val="Hyperlink"/>
          </w:rPr>
          <w:t>Roles and responsibilities</w:t>
        </w:r>
        <w:r w:rsidR="008E2290" w:rsidRPr="00B43F0F">
          <w:rPr>
            <w:webHidden/>
          </w:rPr>
          <w:tab/>
        </w:r>
        <w:r w:rsidR="008E2290" w:rsidRPr="00B43F0F">
          <w:rPr>
            <w:webHidden/>
          </w:rPr>
          <w:fldChar w:fldCharType="begin"/>
        </w:r>
        <w:r w:rsidR="008E2290" w:rsidRPr="00B43F0F">
          <w:rPr>
            <w:webHidden/>
          </w:rPr>
          <w:instrText xml:space="preserve"> PAGEREF _Toc21704074 \h </w:instrText>
        </w:r>
        <w:r w:rsidR="008E2290" w:rsidRPr="00B43F0F">
          <w:rPr>
            <w:webHidden/>
          </w:rPr>
        </w:r>
        <w:r w:rsidR="008E2290" w:rsidRPr="00B43F0F">
          <w:rPr>
            <w:webHidden/>
          </w:rPr>
          <w:fldChar w:fldCharType="separate"/>
        </w:r>
        <w:r w:rsidR="00EC16FD">
          <w:rPr>
            <w:webHidden/>
          </w:rPr>
          <w:t>4</w:t>
        </w:r>
        <w:r w:rsidR="008E2290" w:rsidRPr="00B43F0F">
          <w:rPr>
            <w:webHidden/>
          </w:rPr>
          <w:fldChar w:fldCharType="end"/>
        </w:r>
      </w:hyperlink>
    </w:p>
    <w:p w14:paraId="02A467AD" w14:textId="2581F123" w:rsidR="008E2290" w:rsidRPr="00B43F0F" w:rsidRDefault="00FC7D89">
      <w:pPr>
        <w:pStyle w:val="TOC5"/>
        <w:rPr>
          <w:spacing w:val="0"/>
          <w:sz w:val="22"/>
          <w:szCs w:val="22"/>
          <w:lang w:val="en-US"/>
        </w:rPr>
      </w:pPr>
      <w:hyperlink w:anchor="_Toc21704075" w:history="1">
        <w:r w:rsidR="008E2290" w:rsidRPr="00B43F0F">
          <w:rPr>
            <w:rStyle w:val="Hyperlink"/>
          </w:rPr>
          <w:t>2.1 Entities with specific roles and responsibilities under the VGRMF</w:t>
        </w:r>
        <w:r w:rsidR="008E2290" w:rsidRPr="00B43F0F">
          <w:rPr>
            <w:webHidden/>
          </w:rPr>
          <w:tab/>
        </w:r>
        <w:r w:rsidR="008E2290" w:rsidRPr="00B43F0F">
          <w:rPr>
            <w:webHidden/>
          </w:rPr>
          <w:fldChar w:fldCharType="begin"/>
        </w:r>
        <w:r w:rsidR="008E2290" w:rsidRPr="00B43F0F">
          <w:rPr>
            <w:webHidden/>
          </w:rPr>
          <w:instrText xml:space="preserve"> PAGEREF _Toc21704075 \h </w:instrText>
        </w:r>
        <w:r w:rsidR="008E2290" w:rsidRPr="00B43F0F">
          <w:rPr>
            <w:webHidden/>
          </w:rPr>
        </w:r>
        <w:r w:rsidR="008E2290" w:rsidRPr="00B43F0F">
          <w:rPr>
            <w:webHidden/>
          </w:rPr>
          <w:fldChar w:fldCharType="separate"/>
        </w:r>
        <w:r w:rsidR="00EC16FD">
          <w:rPr>
            <w:webHidden/>
          </w:rPr>
          <w:t>4</w:t>
        </w:r>
        <w:r w:rsidR="008E2290" w:rsidRPr="00B43F0F">
          <w:rPr>
            <w:webHidden/>
          </w:rPr>
          <w:fldChar w:fldCharType="end"/>
        </w:r>
      </w:hyperlink>
    </w:p>
    <w:p w14:paraId="782A1643" w14:textId="4BE8676E" w:rsidR="008E2290" w:rsidRPr="00B43F0F" w:rsidRDefault="00FC7D89">
      <w:pPr>
        <w:pStyle w:val="TOC6"/>
        <w:tabs>
          <w:tab w:val="left" w:pos="1800"/>
        </w:tabs>
        <w:rPr>
          <w:spacing w:val="0"/>
          <w:sz w:val="22"/>
          <w:szCs w:val="22"/>
          <w:lang w:val="en-US"/>
        </w:rPr>
      </w:pPr>
      <w:hyperlink w:anchor="_Toc21704076" w:history="1">
        <w:r w:rsidR="008E2290" w:rsidRPr="00B43F0F">
          <w:rPr>
            <w:rStyle w:val="Hyperlink"/>
          </w:rPr>
          <w:t xml:space="preserve">2.2.1 </w:t>
        </w:r>
        <w:r w:rsidR="008E2290" w:rsidRPr="00B43F0F">
          <w:rPr>
            <w:spacing w:val="0"/>
            <w:sz w:val="22"/>
            <w:szCs w:val="22"/>
            <w:lang w:val="en-US"/>
          </w:rPr>
          <w:tab/>
        </w:r>
        <w:r w:rsidR="008E2290" w:rsidRPr="00B43F0F">
          <w:rPr>
            <w:rStyle w:val="Hyperlink"/>
          </w:rPr>
          <w:t>All agencies</w:t>
        </w:r>
        <w:r w:rsidR="008E2290" w:rsidRPr="00B43F0F">
          <w:rPr>
            <w:webHidden/>
          </w:rPr>
          <w:tab/>
        </w:r>
        <w:r w:rsidR="008E2290" w:rsidRPr="00B43F0F">
          <w:rPr>
            <w:webHidden/>
          </w:rPr>
          <w:fldChar w:fldCharType="begin"/>
        </w:r>
        <w:r w:rsidR="008E2290" w:rsidRPr="00B43F0F">
          <w:rPr>
            <w:webHidden/>
          </w:rPr>
          <w:instrText xml:space="preserve"> PAGEREF _Toc21704076 \h </w:instrText>
        </w:r>
        <w:r w:rsidR="008E2290" w:rsidRPr="00B43F0F">
          <w:rPr>
            <w:webHidden/>
          </w:rPr>
        </w:r>
        <w:r w:rsidR="008E2290" w:rsidRPr="00B43F0F">
          <w:rPr>
            <w:webHidden/>
          </w:rPr>
          <w:fldChar w:fldCharType="separate"/>
        </w:r>
        <w:r w:rsidR="00EC16FD">
          <w:rPr>
            <w:webHidden/>
          </w:rPr>
          <w:t>4</w:t>
        </w:r>
        <w:r w:rsidR="008E2290" w:rsidRPr="00B43F0F">
          <w:rPr>
            <w:webHidden/>
          </w:rPr>
          <w:fldChar w:fldCharType="end"/>
        </w:r>
      </w:hyperlink>
    </w:p>
    <w:p w14:paraId="01A4EDF3" w14:textId="54CD3777" w:rsidR="008E2290" w:rsidRPr="00B43F0F" w:rsidRDefault="00FC7D89">
      <w:pPr>
        <w:pStyle w:val="TOC6"/>
        <w:tabs>
          <w:tab w:val="left" w:pos="1800"/>
        </w:tabs>
        <w:rPr>
          <w:spacing w:val="0"/>
          <w:sz w:val="22"/>
          <w:szCs w:val="22"/>
          <w:lang w:val="en-US"/>
        </w:rPr>
      </w:pPr>
      <w:hyperlink w:anchor="_Toc21704077" w:history="1">
        <w:r w:rsidR="008E2290" w:rsidRPr="00B43F0F">
          <w:rPr>
            <w:rStyle w:val="Hyperlink"/>
          </w:rPr>
          <w:t>2.2.2</w:t>
        </w:r>
        <w:r w:rsidR="008E2290" w:rsidRPr="00B43F0F">
          <w:rPr>
            <w:spacing w:val="0"/>
            <w:sz w:val="22"/>
            <w:szCs w:val="22"/>
            <w:lang w:val="en-US"/>
          </w:rPr>
          <w:tab/>
        </w:r>
        <w:r w:rsidR="008E2290" w:rsidRPr="00B43F0F">
          <w:rPr>
            <w:rStyle w:val="Hyperlink"/>
          </w:rPr>
          <w:t>Agency audit committee</w:t>
        </w:r>
        <w:r w:rsidR="008E2290" w:rsidRPr="00B43F0F">
          <w:rPr>
            <w:webHidden/>
          </w:rPr>
          <w:tab/>
        </w:r>
        <w:r w:rsidR="008E2290" w:rsidRPr="00B43F0F">
          <w:rPr>
            <w:webHidden/>
          </w:rPr>
          <w:fldChar w:fldCharType="begin"/>
        </w:r>
        <w:r w:rsidR="008E2290" w:rsidRPr="00B43F0F">
          <w:rPr>
            <w:webHidden/>
          </w:rPr>
          <w:instrText xml:space="preserve"> PAGEREF _Toc21704077 \h </w:instrText>
        </w:r>
        <w:r w:rsidR="008E2290" w:rsidRPr="00B43F0F">
          <w:rPr>
            <w:webHidden/>
          </w:rPr>
        </w:r>
        <w:r w:rsidR="008E2290" w:rsidRPr="00B43F0F">
          <w:rPr>
            <w:webHidden/>
          </w:rPr>
          <w:fldChar w:fldCharType="separate"/>
        </w:r>
        <w:r w:rsidR="00EC16FD">
          <w:rPr>
            <w:webHidden/>
          </w:rPr>
          <w:t>4</w:t>
        </w:r>
        <w:r w:rsidR="008E2290" w:rsidRPr="00B43F0F">
          <w:rPr>
            <w:webHidden/>
          </w:rPr>
          <w:fldChar w:fldCharType="end"/>
        </w:r>
      </w:hyperlink>
    </w:p>
    <w:p w14:paraId="2F493328" w14:textId="2337E2B9" w:rsidR="008E2290" w:rsidRPr="00B43F0F" w:rsidRDefault="00FC7D89">
      <w:pPr>
        <w:pStyle w:val="TOC6"/>
        <w:tabs>
          <w:tab w:val="left" w:pos="1800"/>
        </w:tabs>
        <w:rPr>
          <w:spacing w:val="0"/>
          <w:sz w:val="22"/>
          <w:szCs w:val="22"/>
          <w:lang w:val="en-US"/>
        </w:rPr>
      </w:pPr>
      <w:hyperlink w:anchor="_Toc21704078" w:history="1">
        <w:r w:rsidR="008E2290" w:rsidRPr="00B43F0F">
          <w:rPr>
            <w:rStyle w:val="Hyperlink"/>
          </w:rPr>
          <w:t xml:space="preserve">2.2.3 </w:t>
        </w:r>
        <w:r w:rsidR="008E2290" w:rsidRPr="00B43F0F">
          <w:rPr>
            <w:spacing w:val="0"/>
            <w:sz w:val="22"/>
            <w:szCs w:val="22"/>
            <w:lang w:val="en-US"/>
          </w:rPr>
          <w:tab/>
        </w:r>
        <w:r w:rsidR="008E2290" w:rsidRPr="00B43F0F">
          <w:rPr>
            <w:rStyle w:val="Hyperlink"/>
          </w:rPr>
          <w:t>Department of Treasury and Finance</w:t>
        </w:r>
        <w:r w:rsidR="008E2290" w:rsidRPr="00B43F0F">
          <w:rPr>
            <w:webHidden/>
          </w:rPr>
          <w:tab/>
        </w:r>
        <w:r w:rsidR="008E2290" w:rsidRPr="00B43F0F">
          <w:rPr>
            <w:webHidden/>
          </w:rPr>
          <w:fldChar w:fldCharType="begin"/>
        </w:r>
        <w:r w:rsidR="008E2290" w:rsidRPr="00B43F0F">
          <w:rPr>
            <w:webHidden/>
          </w:rPr>
          <w:instrText xml:space="preserve"> PAGEREF _Toc21704078 \h </w:instrText>
        </w:r>
        <w:r w:rsidR="008E2290" w:rsidRPr="00B43F0F">
          <w:rPr>
            <w:webHidden/>
          </w:rPr>
        </w:r>
        <w:r w:rsidR="008E2290" w:rsidRPr="00B43F0F">
          <w:rPr>
            <w:webHidden/>
          </w:rPr>
          <w:fldChar w:fldCharType="separate"/>
        </w:r>
        <w:r w:rsidR="00EC16FD">
          <w:rPr>
            <w:webHidden/>
          </w:rPr>
          <w:t>4</w:t>
        </w:r>
        <w:r w:rsidR="008E2290" w:rsidRPr="00B43F0F">
          <w:rPr>
            <w:webHidden/>
          </w:rPr>
          <w:fldChar w:fldCharType="end"/>
        </w:r>
      </w:hyperlink>
    </w:p>
    <w:p w14:paraId="263C61FF" w14:textId="001A136E" w:rsidR="008E2290" w:rsidRPr="00B43F0F" w:rsidRDefault="00FC7D89">
      <w:pPr>
        <w:pStyle w:val="TOC6"/>
        <w:tabs>
          <w:tab w:val="left" w:pos="1800"/>
        </w:tabs>
        <w:rPr>
          <w:spacing w:val="0"/>
          <w:sz w:val="22"/>
          <w:szCs w:val="22"/>
          <w:lang w:val="en-US"/>
        </w:rPr>
      </w:pPr>
      <w:hyperlink w:anchor="_Toc21704079" w:history="1">
        <w:r w:rsidR="008E2290" w:rsidRPr="00B43F0F">
          <w:rPr>
            <w:rStyle w:val="Hyperlink"/>
          </w:rPr>
          <w:t>2.2.4</w:t>
        </w:r>
        <w:r w:rsidR="008E2290" w:rsidRPr="00B43F0F">
          <w:rPr>
            <w:spacing w:val="0"/>
            <w:sz w:val="22"/>
            <w:szCs w:val="22"/>
            <w:lang w:val="en-US"/>
          </w:rPr>
          <w:tab/>
        </w:r>
        <w:r w:rsidR="008E2290" w:rsidRPr="00B43F0F">
          <w:rPr>
            <w:rStyle w:val="Hyperlink"/>
          </w:rPr>
          <w:t>Victorian Managed Insurance Authority</w:t>
        </w:r>
        <w:r w:rsidR="008E2290" w:rsidRPr="00B43F0F">
          <w:rPr>
            <w:webHidden/>
          </w:rPr>
          <w:tab/>
        </w:r>
        <w:r w:rsidR="008E2290" w:rsidRPr="00B43F0F">
          <w:rPr>
            <w:webHidden/>
          </w:rPr>
          <w:fldChar w:fldCharType="begin"/>
        </w:r>
        <w:r w:rsidR="008E2290" w:rsidRPr="00B43F0F">
          <w:rPr>
            <w:webHidden/>
          </w:rPr>
          <w:instrText xml:space="preserve"> PAGEREF _Toc21704079 \h </w:instrText>
        </w:r>
        <w:r w:rsidR="008E2290" w:rsidRPr="00B43F0F">
          <w:rPr>
            <w:webHidden/>
          </w:rPr>
        </w:r>
        <w:r w:rsidR="008E2290" w:rsidRPr="00B43F0F">
          <w:rPr>
            <w:webHidden/>
          </w:rPr>
          <w:fldChar w:fldCharType="separate"/>
        </w:r>
        <w:r w:rsidR="00EC16FD">
          <w:rPr>
            <w:webHidden/>
          </w:rPr>
          <w:t>5</w:t>
        </w:r>
        <w:r w:rsidR="008E2290" w:rsidRPr="00B43F0F">
          <w:rPr>
            <w:webHidden/>
          </w:rPr>
          <w:fldChar w:fldCharType="end"/>
        </w:r>
      </w:hyperlink>
    </w:p>
    <w:p w14:paraId="75883828" w14:textId="4C14AE25" w:rsidR="008E2290" w:rsidRPr="00B43F0F" w:rsidRDefault="00FC7D89">
      <w:pPr>
        <w:pStyle w:val="TOC5"/>
        <w:tabs>
          <w:tab w:val="left" w:pos="1080"/>
        </w:tabs>
        <w:rPr>
          <w:spacing w:val="0"/>
          <w:sz w:val="22"/>
          <w:szCs w:val="22"/>
          <w:lang w:val="en-US"/>
        </w:rPr>
      </w:pPr>
      <w:hyperlink w:anchor="_Toc21704080" w:history="1">
        <w:r w:rsidR="008E2290" w:rsidRPr="00B43F0F">
          <w:rPr>
            <w:rStyle w:val="Hyperlink"/>
          </w:rPr>
          <w:t xml:space="preserve">2.3 </w:t>
        </w:r>
        <w:r w:rsidR="008E2290" w:rsidRPr="00B43F0F">
          <w:rPr>
            <w:spacing w:val="0"/>
            <w:sz w:val="22"/>
            <w:szCs w:val="22"/>
            <w:lang w:val="en-US"/>
          </w:rPr>
          <w:tab/>
        </w:r>
        <w:r w:rsidR="008E2290" w:rsidRPr="00B43F0F">
          <w:rPr>
            <w:rStyle w:val="Hyperlink"/>
          </w:rPr>
          <w:t>Other entities with roles and responsibilities in public sector management</w:t>
        </w:r>
        <w:r w:rsidR="008E2290" w:rsidRPr="00B43F0F">
          <w:rPr>
            <w:webHidden/>
          </w:rPr>
          <w:tab/>
        </w:r>
        <w:r w:rsidR="008E2290" w:rsidRPr="00B43F0F">
          <w:rPr>
            <w:webHidden/>
          </w:rPr>
          <w:fldChar w:fldCharType="begin"/>
        </w:r>
        <w:r w:rsidR="008E2290" w:rsidRPr="00B43F0F">
          <w:rPr>
            <w:webHidden/>
          </w:rPr>
          <w:instrText xml:space="preserve"> PAGEREF _Toc21704080 \h </w:instrText>
        </w:r>
        <w:r w:rsidR="008E2290" w:rsidRPr="00B43F0F">
          <w:rPr>
            <w:webHidden/>
          </w:rPr>
        </w:r>
        <w:r w:rsidR="008E2290" w:rsidRPr="00B43F0F">
          <w:rPr>
            <w:webHidden/>
          </w:rPr>
          <w:fldChar w:fldCharType="separate"/>
        </w:r>
        <w:r w:rsidR="00EC16FD">
          <w:rPr>
            <w:webHidden/>
          </w:rPr>
          <w:t>5</w:t>
        </w:r>
        <w:r w:rsidR="008E2290" w:rsidRPr="00B43F0F">
          <w:rPr>
            <w:webHidden/>
          </w:rPr>
          <w:fldChar w:fldCharType="end"/>
        </w:r>
      </w:hyperlink>
    </w:p>
    <w:p w14:paraId="05DF47CA" w14:textId="7DC14907" w:rsidR="008E2290" w:rsidRPr="00B43F0F" w:rsidRDefault="00FC7D89">
      <w:pPr>
        <w:pStyle w:val="TOC6"/>
        <w:tabs>
          <w:tab w:val="left" w:pos="1800"/>
        </w:tabs>
        <w:rPr>
          <w:spacing w:val="0"/>
          <w:sz w:val="22"/>
          <w:szCs w:val="22"/>
          <w:lang w:val="en-US"/>
        </w:rPr>
      </w:pPr>
      <w:hyperlink w:anchor="_Toc21704081" w:history="1">
        <w:r w:rsidR="008E2290" w:rsidRPr="00B43F0F">
          <w:rPr>
            <w:rStyle w:val="Hyperlink"/>
          </w:rPr>
          <w:t>2.3.1</w:t>
        </w:r>
        <w:r w:rsidR="008E2290" w:rsidRPr="00B43F0F">
          <w:rPr>
            <w:spacing w:val="0"/>
            <w:sz w:val="22"/>
            <w:szCs w:val="22"/>
            <w:lang w:val="en-US"/>
          </w:rPr>
          <w:tab/>
        </w:r>
        <w:r w:rsidR="008E2290" w:rsidRPr="00B43F0F">
          <w:rPr>
            <w:rStyle w:val="Hyperlink"/>
          </w:rPr>
          <w:t>Victorian Secretaries Board</w:t>
        </w:r>
        <w:r w:rsidR="008E2290" w:rsidRPr="00B43F0F">
          <w:rPr>
            <w:webHidden/>
          </w:rPr>
          <w:tab/>
        </w:r>
        <w:r w:rsidR="008E2290" w:rsidRPr="00B43F0F">
          <w:rPr>
            <w:webHidden/>
          </w:rPr>
          <w:fldChar w:fldCharType="begin"/>
        </w:r>
        <w:r w:rsidR="008E2290" w:rsidRPr="00B43F0F">
          <w:rPr>
            <w:webHidden/>
          </w:rPr>
          <w:instrText xml:space="preserve"> PAGEREF _Toc21704081 \h </w:instrText>
        </w:r>
        <w:r w:rsidR="008E2290" w:rsidRPr="00B43F0F">
          <w:rPr>
            <w:webHidden/>
          </w:rPr>
        </w:r>
        <w:r w:rsidR="008E2290" w:rsidRPr="00B43F0F">
          <w:rPr>
            <w:webHidden/>
          </w:rPr>
          <w:fldChar w:fldCharType="separate"/>
        </w:r>
        <w:r w:rsidR="00EC16FD">
          <w:rPr>
            <w:webHidden/>
          </w:rPr>
          <w:t>5</w:t>
        </w:r>
        <w:r w:rsidR="008E2290" w:rsidRPr="00B43F0F">
          <w:rPr>
            <w:webHidden/>
          </w:rPr>
          <w:fldChar w:fldCharType="end"/>
        </w:r>
      </w:hyperlink>
    </w:p>
    <w:p w14:paraId="61D1C5CE" w14:textId="6DBE4698" w:rsidR="008E2290" w:rsidRPr="00B43F0F" w:rsidRDefault="00FC7D89">
      <w:pPr>
        <w:pStyle w:val="TOC6"/>
        <w:tabs>
          <w:tab w:val="left" w:pos="1800"/>
        </w:tabs>
        <w:rPr>
          <w:spacing w:val="0"/>
          <w:sz w:val="22"/>
          <w:szCs w:val="22"/>
          <w:lang w:val="en-US"/>
        </w:rPr>
      </w:pPr>
      <w:hyperlink w:anchor="_Toc21704082" w:history="1">
        <w:r w:rsidR="008E2290" w:rsidRPr="00B43F0F">
          <w:rPr>
            <w:rStyle w:val="Hyperlink"/>
          </w:rPr>
          <w:t>2.3.2</w:t>
        </w:r>
        <w:r w:rsidR="008E2290" w:rsidRPr="00B43F0F">
          <w:rPr>
            <w:spacing w:val="0"/>
            <w:sz w:val="22"/>
            <w:szCs w:val="22"/>
            <w:lang w:val="en-US"/>
          </w:rPr>
          <w:tab/>
        </w:r>
        <w:r w:rsidR="008E2290" w:rsidRPr="00B43F0F">
          <w:rPr>
            <w:rStyle w:val="Hyperlink"/>
          </w:rPr>
          <w:t>State Significant Risk Interdepartmental Committee</w:t>
        </w:r>
        <w:r w:rsidR="008E2290" w:rsidRPr="00B43F0F">
          <w:rPr>
            <w:webHidden/>
          </w:rPr>
          <w:tab/>
        </w:r>
        <w:r w:rsidR="008E2290" w:rsidRPr="00B43F0F">
          <w:rPr>
            <w:webHidden/>
          </w:rPr>
          <w:fldChar w:fldCharType="begin"/>
        </w:r>
        <w:r w:rsidR="008E2290" w:rsidRPr="00B43F0F">
          <w:rPr>
            <w:webHidden/>
          </w:rPr>
          <w:instrText xml:space="preserve"> PAGEREF _Toc21704082 \h </w:instrText>
        </w:r>
        <w:r w:rsidR="008E2290" w:rsidRPr="00B43F0F">
          <w:rPr>
            <w:webHidden/>
          </w:rPr>
        </w:r>
        <w:r w:rsidR="008E2290" w:rsidRPr="00B43F0F">
          <w:rPr>
            <w:webHidden/>
          </w:rPr>
          <w:fldChar w:fldCharType="separate"/>
        </w:r>
        <w:r w:rsidR="00EC16FD">
          <w:rPr>
            <w:webHidden/>
          </w:rPr>
          <w:t>5</w:t>
        </w:r>
        <w:r w:rsidR="008E2290" w:rsidRPr="00B43F0F">
          <w:rPr>
            <w:webHidden/>
          </w:rPr>
          <w:fldChar w:fldCharType="end"/>
        </w:r>
      </w:hyperlink>
    </w:p>
    <w:p w14:paraId="479E5D3B" w14:textId="228B9B13" w:rsidR="008E2290" w:rsidRPr="00B43F0F" w:rsidRDefault="00FC7D89">
      <w:pPr>
        <w:pStyle w:val="TOC6"/>
        <w:tabs>
          <w:tab w:val="left" w:pos="1800"/>
        </w:tabs>
        <w:rPr>
          <w:spacing w:val="0"/>
          <w:sz w:val="22"/>
          <w:szCs w:val="22"/>
          <w:lang w:val="en-US"/>
        </w:rPr>
      </w:pPr>
      <w:hyperlink w:anchor="_Toc21704083" w:history="1">
        <w:r w:rsidR="008E2290" w:rsidRPr="00B43F0F">
          <w:rPr>
            <w:rStyle w:val="Hyperlink"/>
          </w:rPr>
          <w:t>2.3.3</w:t>
        </w:r>
        <w:r w:rsidR="008E2290" w:rsidRPr="00B43F0F">
          <w:rPr>
            <w:spacing w:val="0"/>
            <w:sz w:val="22"/>
            <w:szCs w:val="22"/>
            <w:lang w:val="en-US"/>
          </w:rPr>
          <w:tab/>
        </w:r>
        <w:r w:rsidR="008E2290" w:rsidRPr="00B43F0F">
          <w:rPr>
            <w:rStyle w:val="Hyperlink"/>
          </w:rPr>
          <w:t>Department of Premier and Cabinet</w:t>
        </w:r>
        <w:r w:rsidR="008E2290" w:rsidRPr="00B43F0F">
          <w:rPr>
            <w:webHidden/>
          </w:rPr>
          <w:tab/>
        </w:r>
        <w:r w:rsidR="008E2290" w:rsidRPr="00B43F0F">
          <w:rPr>
            <w:webHidden/>
          </w:rPr>
          <w:fldChar w:fldCharType="begin"/>
        </w:r>
        <w:r w:rsidR="008E2290" w:rsidRPr="00B43F0F">
          <w:rPr>
            <w:webHidden/>
          </w:rPr>
          <w:instrText xml:space="preserve"> PAGEREF _Toc21704083 \h </w:instrText>
        </w:r>
        <w:r w:rsidR="008E2290" w:rsidRPr="00B43F0F">
          <w:rPr>
            <w:webHidden/>
          </w:rPr>
        </w:r>
        <w:r w:rsidR="008E2290" w:rsidRPr="00B43F0F">
          <w:rPr>
            <w:webHidden/>
          </w:rPr>
          <w:fldChar w:fldCharType="separate"/>
        </w:r>
        <w:r w:rsidR="00EC16FD">
          <w:rPr>
            <w:webHidden/>
          </w:rPr>
          <w:t>5</w:t>
        </w:r>
        <w:r w:rsidR="008E2290" w:rsidRPr="00B43F0F">
          <w:rPr>
            <w:webHidden/>
          </w:rPr>
          <w:fldChar w:fldCharType="end"/>
        </w:r>
      </w:hyperlink>
    </w:p>
    <w:p w14:paraId="216B81C5" w14:textId="14A34944" w:rsidR="008E2290" w:rsidRPr="00B43F0F" w:rsidRDefault="00FC7D89">
      <w:pPr>
        <w:pStyle w:val="TOC6"/>
        <w:tabs>
          <w:tab w:val="left" w:pos="1800"/>
        </w:tabs>
        <w:rPr>
          <w:spacing w:val="0"/>
          <w:sz w:val="22"/>
          <w:szCs w:val="22"/>
          <w:lang w:val="en-US"/>
        </w:rPr>
      </w:pPr>
      <w:hyperlink w:anchor="_Toc21704084" w:history="1">
        <w:r w:rsidR="008E2290" w:rsidRPr="00B43F0F">
          <w:rPr>
            <w:rStyle w:val="Hyperlink"/>
          </w:rPr>
          <w:t>2.3.4</w:t>
        </w:r>
        <w:r w:rsidR="008E2290" w:rsidRPr="00B43F0F">
          <w:rPr>
            <w:spacing w:val="0"/>
            <w:sz w:val="22"/>
            <w:szCs w:val="22"/>
            <w:lang w:val="en-US"/>
          </w:rPr>
          <w:tab/>
        </w:r>
        <w:r w:rsidR="008E2290" w:rsidRPr="00B43F0F">
          <w:rPr>
            <w:rStyle w:val="Hyperlink"/>
          </w:rPr>
          <w:t>Victorian Public Sector Commission</w:t>
        </w:r>
        <w:r w:rsidR="008E2290" w:rsidRPr="00B43F0F">
          <w:rPr>
            <w:webHidden/>
          </w:rPr>
          <w:tab/>
        </w:r>
        <w:r w:rsidR="008E2290" w:rsidRPr="00B43F0F">
          <w:rPr>
            <w:webHidden/>
          </w:rPr>
          <w:fldChar w:fldCharType="begin"/>
        </w:r>
        <w:r w:rsidR="008E2290" w:rsidRPr="00B43F0F">
          <w:rPr>
            <w:webHidden/>
          </w:rPr>
          <w:instrText xml:space="preserve"> PAGEREF _Toc21704084 \h </w:instrText>
        </w:r>
        <w:r w:rsidR="008E2290" w:rsidRPr="00B43F0F">
          <w:rPr>
            <w:webHidden/>
          </w:rPr>
        </w:r>
        <w:r w:rsidR="008E2290" w:rsidRPr="00B43F0F">
          <w:rPr>
            <w:webHidden/>
          </w:rPr>
          <w:fldChar w:fldCharType="separate"/>
        </w:r>
        <w:r w:rsidR="00EC16FD">
          <w:rPr>
            <w:webHidden/>
          </w:rPr>
          <w:t>5</w:t>
        </w:r>
        <w:r w:rsidR="008E2290" w:rsidRPr="00B43F0F">
          <w:rPr>
            <w:webHidden/>
          </w:rPr>
          <w:fldChar w:fldCharType="end"/>
        </w:r>
      </w:hyperlink>
    </w:p>
    <w:p w14:paraId="345E142C" w14:textId="12EDDD83" w:rsidR="008E2290" w:rsidRPr="00B43F0F" w:rsidRDefault="00FC7D89">
      <w:pPr>
        <w:pStyle w:val="TOC4"/>
        <w:rPr>
          <w:spacing w:val="0"/>
          <w:sz w:val="22"/>
          <w:szCs w:val="22"/>
          <w:lang w:val="en-US"/>
        </w:rPr>
      </w:pPr>
      <w:hyperlink w:anchor="_Toc21704085" w:history="1">
        <w:r w:rsidR="008E2290" w:rsidRPr="00B43F0F">
          <w:rPr>
            <w:rStyle w:val="Hyperlink"/>
          </w:rPr>
          <w:t>3.</w:t>
        </w:r>
        <w:r w:rsidR="008E2290" w:rsidRPr="00B43F0F">
          <w:rPr>
            <w:spacing w:val="0"/>
            <w:sz w:val="22"/>
            <w:szCs w:val="22"/>
            <w:lang w:val="en-US"/>
          </w:rPr>
          <w:tab/>
        </w:r>
        <w:r w:rsidR="008E2290" w:rsidRPr="00B43F0F">
          <w:rPr>
            <w:rStyle w:val="Hyperlink"/>
          </w:rPr>
          <w:t>Mandatory requirements</w:t>
        </w:r>
        <w:r w:rsidR="008E2290" w:rsidRPr="00B43F0F">
          <w:rPr>
            <w:webHidden/>
          </w:rPr>
          <w:tab/>
        </w:r>
        <w:r w:rsidR="008E2290" w:rsidRPr="00B43F0F">
          <w:rPr>
            <w:webHidden/>
          </w:rPr>
          <w:fldChar w:fldCharType="begin"/>
        </w:r>
        <w:r w:rsidR="008E2290" w:rsidRPr="00B43F0F">
          <w:rPr>
            <w:webHidden/>
          </w:rPr>
          <w:instrText xml:space="preserve"> PAGEREF _Toc21704085 \h </w:instrText>
        </w:r>
        <w:r w:rsidR="008E2290" w:rsidRPr="00B43F0F">
          <w:rPr>
            <w:webHidden/>
          </w:rPr>
        </w:r>
        <w:r w:rsidR="008E2290" w:rsidRPr="00B43F0F">
          <w:rPr>
            <w:webHidden/>
          </w:rPr>
          <w:fldChar w:fldCharType="separate"/>
        </w:r>
        <w:r w:rsidR="00EC16FD">
          <w:rPr>
            <w:webHidden/>
          </w:rPr>
          <w:t>6</w:t>
        </w:r>
        <w:r w:rsidR="008E2290" w:rsidRPr="00B43F0F">
          <w:rPr>
            <w:webHidden/>
          </w:rPr>
          <w:fldChar w:fldCharType="end"/>
        </w:r>
      </w:hyperlink>
    </w:p>
    <w:p w14:paraId="183898E7" w14:textId="1F579857" w:rsidR="008E2290" w:rsidRPr="00B43F0F" w:rsidRDefault="00FC7D89">
      <w:pPr>
        <w:pStyle w:val="TOC5"/>
        <w:tabs>
          <w:tab w:val="left" w:pos="1080"/>
        </w:tabs>
        <w:rPr>
          <w:spacing w:val="0"/>
          <w:sz w:val="22"/>
          <w:szCs w:val="22"/>
          <w:lang w:val="en-US"/>
        </w:rPr>
      </w:pPr>
      <w:hyperlink w:anchor="_Toc21704086" w:history="1">
        <w:r w:rsidR="008E2290" w:rsidRPr="00B43F0F">
          <w:rPr>
            <w:rStyle w:val="Hyperlink"/>
          </w:rPr>
          <w:t>3.1</w:t>
        </w:r>
        <w:r w:rsidR="008E2290" w:rsidRPr="00B43F0F">
          <w:rPr>
            <w:spacing w:val="0"/>
            <w:sz w:val="22"/>
            <w:szCs w:val="22"/>
            <w:lang w:val="en-US"/>
          </w:rPr>
          <w:tab/>
        </w:r>
        <w:r w:rsidR="008E2290" w:rsidRPr="00B43F0F">
          <w:rPr>
            <w:rStyle w:val="Hyperlink"/>
          </w:rPr>
          <w:t>Mandatory requirements</w:t>
        </w:r>
        <w:r w:rsidR="008E2290" w:rsidRPr="00B43F0F">
          <w:rPr>
            <w:webHidden/>
          </w:rPr>
          <w:tab/>
        </w:r>
        <w:r w:rsidR="008E2290" w:rsidRPr="00B43F0F">
          <w:rPr>
            <w:webHidden/>
          </w:rPr>
          <w:fldChar w:fldCharType="begin"/>
        </w:r>
        <w:r w:rsidR="008E2290" w:rsidRPr="00B43F0F">
          <w:rPr>
            <w:webHidden/>
          </w:rPr>
          <w:instrText xml:space="preserve"> PAGEREF _Toc21704086 \h </w:instrText>
        </w:r>
        <w:r w:rsidR="008E2290" w:rsidRPr="00B43F0F">
          <w:rPr>
            <w:webHidden/>
          </w:rPr>
        </w:r>
        <w:r w:rsidR="008E2290" w:rsidRPr="00B43F0F">
          <w:rPr>
            <w:webHidden/>
          </w:rPr>
          <w:fldChar w:fldCharType="separate"/>
        </w:r>
        <w:r w:rsidR="00EC16FD">
          <w:rPr>
            <w:webHidden/>
          </w:rPr>
          <w:t>6</w:t>
        </w:r>
        <w:r w:rsidR="008E2290" w:rsidRPr="00B43F0F">
          <w:rPr>
            <w:webHidden/>
          </w:rPr>
          <w:fldChar w:fldCharType="end"/>
        </w:r>
      </w:hyperlink>
    </w:p>
    <w:p w14:paraId="4F7E625A" w14:textId="76EB7BFA" w:rsidR="00AD3A58" w:rsidRPr="00B43F0F" w:rsidRDefault="00AD3A58" w:rsidP="00AD3A58">
      <w:pPr>
        <w:pStyle w:val="TOC6"/>
        <w:rPr>
          <w:spacing w:val="0"/>
          <w:sz w:val="22"/>
          <w:szCs w:val="22"/>
          <w:lang w:val="en-US"/>
        </w:rPr>
      </w:pPr>
      <w:r w:rsidRPr="00B43F0F">
        <w:t>3.</w:t>
      </w:r>
      <w:hyperlink w:anchor="_Toc21704087" w:history="1">
        <w:r w:rsidRPr="00B43F0F">
          <w:rPr>
            <w:rStyle w:val="Hyperlink"/>
          </w:rPr>
          <w:t xml:space="preserve">1.1  </w:t>
        </w:r>
        <w:r w:rsidRPr="00B43F0F">
          <w:rPr>
            <w:rStyle w:val="Hyperlink"/>
          </w:rPr>
          <w:tab/>
          <w:t>Risk management requirements</w:t>
        </w:r>
        <w:r w:rsidRPr="00B43F0F">
          <w:rPr>
            <w:webHidden/>
          </w:rPr>
          <w:tab/>
        </w:r>
        <w:r w:rsidRPr="00B43F0F">
          <w:rPr>
            <w:webHidden/>
          </w:rPr>
          <w:fldChar w:fldCharType="begin"/>
        </w:r>
        <w:r w:rsidRPr="00B43F0F">
          <w:rPr>
            <w:webHidden/>
          </w:rPr>
          <w:instrText xml:space="preserve"> PAGEREF _Toc21704087 \h </w:instrText>
        </w:r>
        <w:r w:rsidRPr="00B43F0F">
          <w:rPr>
            <w:webHidden/>
          </w:rPr>
        </w:r>
        <w:r w:rsidRPr="00B43F0F">
          <w:rPr>
            <w:webHidden/>
          </w:rPr>
          <w:fldChar w:fldCharType="separate"/>
        </w:r>
        <w:r w:rsidR="00EC16FD">
          <w:rPr>
            <w:webHidden/>
          </w:rPr>
          <w:t>6</w:t>
        </w:r>
        <w:r w:rsidRPr="00B43F0F">
          <w:rPr>
            <w:webHidden/>
          </w:rPr>
          <w:fldChar w:fldCharType="end"/>
        </w:r>
      </w:hyperlink>
    </w:p>
    <w:p w14:paraId="4E4EA33E" w14:textId="74ABE95C" w:rsidR="008E2290" w:rsidRPr="00B43F0F" w:rsidRDefault="00A375C8">
      <w:pPr>
        <w:pStyle w:val="TOC6"/>
        <w:rPr>
          <w:spacing w:val="0"/>
          <w:sz w:val="22"/>
          <w:szCs w:val="22"/>
          <w:lang w:val="en-US"/>
        </w:rPr>
      </w:pPr>
      <w:r w:rsidRPr="00B43F0F">
        <w:t>3.</w:t>
      </w:r>
      <w:hyperlink w:anchor="_Toc21704087" w:history="1">
        <w:r w:rsidR="008E2290" w:rsidRPr="00B43F0F">
          <w:rPr>
            <w:rStyle w:val="Hyperlink"/>
          </w:rPr>
          <w:t>1.</w:t>
        </w:r>
        <w:r w:rsidR="00AD3A58" w:rsidRPr="00B43F0F">
          <w:rPr>
            <w:rStyle w:val="Hyperlink"/>
          </w:rPr>
          <w:t>2</w:t>
        </w:r>
        <w:r w:rsidR="008E2290" w:rsidRPr="00B43F0F">
          <w:rPr>
            <w:rStyle w:val="Hyperlink"/>
          </w:rPr>
          <w:t xml:space="preserve">  </w:t>
        </w:r>
        <w:r w:rsidR="00AD3A58" w:rsidRPr="00B43F0F">
          <w:rPr>
            <w:rStyle w:val="Hyperlink"/>
          </w:rPr>
          <w:tab/>
          <w:t>Insurance</w:t>
        </w:r>
        <w:r w:rsidR="008E2290" w:rsidRPr="00B43F0F">
          <w:rPr>
            <w:rStyle w:val="Hyperlink"/>
          </w:rPr>
          <w:t xml:space="preserve"> requirements</w:t>
        </w:r>
        <w:r w:rsidR="008E2290" w:rsidRPr="00B43F0F">
          <w:rPr>
            <w:webHidden/>
          </w:rPr>
          <w:tab/>
        </w:r>
        <w:r w:rsidR="008E2290" w:rsidRPr="00B43F0F">
          <w:rPr>
            <w:webHidden/>
          </w:rPr>
          <w:fldChar w:fldCharType="begin"/>
        </w:r>
        <w:r w:rsidR="008E2290" w:rsidRPr="00B43F0F">
          <w:rPr>
            <w:webHidden/>
          </w:rPr>
          <w:instrText xml:space="preserve"> PAGEREF _Toc21704087 \h </w:instrText>
        </w:r>
        <w:r w:rsidR="008E2290" w:rsidRPr="00B43F0F">
          <w:rPr>
            <w:webHidden/>
          </w:rPr>
        </w:r>
        <w:r w:rsidR="008E2290" w:rsidRPr="00B43F0F">
          <w:rPr>
            <w:webHidden/>
          </w:rPr>
          <w:fldChar w:fldCharType="separate"/>
        </w:r>
        <w:r w:rsidR="00EC16FD">
          <w:rPr>
            <w:webHidden/>
          </w:rPr>
          <w:t>6</w:t>
        </w:r>
        <w:r w:rsidR="008E2290" w:rsidRPr="00B43F0F">
          <w:rPr>
            <w:webHidden/>
          </w:rPr>
          <w:fldChar w:fldCharType="end"/>
        </w:r>
      </w:hyperlink>
    </w:p>
    <w:p w14:paraId="39D96CBF" w14:textId="486D3C0D" w:rsidR="008E2290" w:rsidRPr="00B43F0F" w:rsidRDefault="00FC7D89">
      <w:pPr>
        <w:pStyle w:val="TOC5"/>
        <w:rPr>
          <w:spacing w:val="0"/>
          <w:sz w:val="22"/>
          <w:szCs w:val="22"/>
          <w:lang w:val="en-US"/>
        </w:rPr>
      </w:pPr>
      <w:hyperlink w:anchor="_Toc21704088" w:history="1">
        <w:r w:rsidR="008E2290" w:rsidRPr="00B43F0F">
          <w:rPr>
            <w:rStyle w:val="Hyperlink"/>
          </w:rPr>
          <w:t>3.2</w:t>
        </w:r>
        <w:r w:rsidR="00A375C8" w:rsidRPr="00B43F0F">
          <w:rPr>
            <w:rStyle w:val="Hyperlink"/>
          </w:rPr>
          <w:tab/>
        </w:r>
        <w:r w:rsidR="008E2290" w:rsidRPr="00B43F0F">
          <w:rPr>
            <w:rStyle w:val="Hyperlink"/>
          </w:rPr>
          <w:t>Attestation requirements</w:t>
        </w:r>
        <w:r w:rsidR="008E2290" w:rsidRPr="00B43F0F">
          <w:rPr>
            <w:webHidden/>
          </w:rPr>
          <w:tab/>
        </w:r>
        <w:r w:rsidR="008E2290" w:rsidRPr="00B43F0F">
          <w:rPr>
            <w:webHidden/>
          </w:rPr>
          <w:fldChar w:fldCharType="begin"/>
        </w:r>
        <w:r w:rsidR="008E2290" w:rsidRPr="00B43F0F">
          <w:rPr>
            <w:webHidden/>
          </w:rPr>
          <w:instrText xml:space="preserve"> PAGEREF _Toc21704088 \h </w:instrText>
        </w:r>
        <w:r w:rsidR="008E2290" w:rsidRPr="00B43F0F">
          <w:rPr>
            <w:webHidden/>
          </w:rPr>
        </w:r>
        <w:r w:rsidR="008E2290" w:rsidRPr="00B43F0F">
          <w:rPr>
            <w:webHidden/>
          </w:rPr>
          <w:fldChar w:fldCharType="separate"/>
        </w:r>
        <w:r w:rsidR="00EC16FD">
          <w:rPr>
            <w:webHidden/>
          </w:rPr>
          <w:t>6</w:t>
        </w:r>
        <w:r w:rsidR="008E2290" w:rsidRPr="00B43F0F">
          <w:rPr>
            <w:webHidden/>
          </w:rPr>
          <w:fldChar w:fldCharType="end"/>
        </w:r>
      </w:hyperlink>
    </w:p>
    <w:p w14:paraId="652DB274" w14:textId="67ACE290" w:rsidR="008E2290" w:rsidRPr="00B43F0F" w:rsidRDefault="00FC7D89">
      <w:pPr>
        <w:pStyle w:val="TOC5"/>
        <w:tabs>
          <w:tab w:val="left" w:pos="1080"/>
        </w:tabs>
        <w:rPr>
          <w:spacing w:val="0"/>
          <w:sz w:val="22"/>
          <w:szCs w:val="22"/>
          <w:lang w:val="en-US"/>
        </w:rPr>
      </w:pPr>
      <w:hyperlink w:anchor="_Toc21704089" w:history="1">
        <w:r w:rsidR="008E2290" w:rsidRPr="00B43F0F">
          <w:rPr>
            <w:rStyle w:val="Hyperlink"/>
          </w:rPr>
          <w:t>3.3</w:t>
        </w:r>
        <w:r w:rsidR="008E2290" w:rsidRPr="00B43F0F">
          <w:rPr>
            <w:spacing w:val="0"/>
            <w:sz w:val="22"/>
            <w:szCs w:val="22"/>
            <w:lang w:val="en-US"/>
          </w:rPr>
          <w:tab/>
        </w:r>
        <w:r w:rsidR="008E2290" w:rsidRPr="00B43F0F">
          <w:rPr>
            <w:rStyle w:val="Hyperlink"/>
          </w:rPr>
          <w:t>Guidance to support mandatory risk management and insurance requirements</w:t>
        </w:r>
        <w:r w:rsidR="008E2290" w:rsidRPr="00B43F0F">
          <w:rPr>
            <w:webHidden/>
          </w:rPr>
          <w:tab/>
        </w:r>
        <w:r w:rsidR="008E2290" w:rsidRPr="00B43F0F">
          <w:rPr>
            <w:webHidden/>
          </w:rPr>
          <w:fldChar w:fldCharType="begin"/>
        </w:r>
        <w:r w:rsidR="008E2290" w:rsidRPr="00B43F0F">
          <w:rPr>
            <w:webHidden/>
          </w:rPr>
          <w:instrText xml:space="preserve"> PAGEREF _Toc21704089 \h </w:instrText>
        </w:r>
        <w:r w:rsidR="008E2290" w:rsidRPr="00B43F0F">
          <w:rPr>
            <w:webHidden/>
          </w:rPr>
        </w:r>
        <w:r w:rsidR="008E2290" w:rsidRPr="00B43F0F">
          <w:rPr>
            <w:webHidden/>
          </w:rPr>
          <w:fldChar w:fldCharType="separate"/>
        </w:r>
        <w:r w:rsidR="00EC16FD">
          <w:rPr>
            <w:webHidden/>
          </w:rPr>
          <w:t>7</w:t>
        </w:r>
        <w:r w:rsidR="008E2290" w:rsidRPr="00B43F0F">
          <w:rPr>
            <w:webHidden/>
          </w:rPr>
          <w:fldChar w:fldCharType="end"/>
        </w:r>
      </w:hyperlink>
    </w:p>
    <w:p w14:paraId="2523E887" w14:textId="406DCD8E" w:rsidR="008E2290" w:rsidRPr="00B43F0F" w:rsidRDefault="00FC7D89">
      <w:pPr>
        <w:pStyle w:val="TOC6"/>
        <w:tabs>
          <w:tab w:val="left" w:pos="1800"/>
        </w:tabs>
        <w:rPr>
          <w:spacing w:val="0"/>
          <w:sz w:val="22"/>
          <w:szCs w:val="22"/>
          <w:lang w:val="en-US"/>
        </w:rPr>
      </w:pPr>
      <w:hyperlink w:anchor="_Toc21704090" w:history="1">
        <w:r w:rsidR="008E2290" w:rsidRPr="00B43F0F">
          <w:rPr>
            <w:rStyle w:val="Hyperlink"/>
          </w:rPr>
          <w:t>3.3.1</w:t>
        </w:r>
        <w:r w:rsidR="008E2290" w:rsidRPr="00B43F0F">
          <w:rPr>
            <w:spacing w:val="0"/>
            <w:sz w:val="22"/>
            <w:szCs w:val="22"/>
            <w:lang w:val="en-US"/>
          </w:rPr>
          <w:tab/>
        </w:r>
        <w:r w:rsidR="008E2290" w:rsidRPr="00B43F0F">
          <w:rPr>
            <w:rStyle w:val="Hyperlink"/>
          </w:rPr>
          <w:t xml:space="preserve">Shared and </w:t>
        </w:r>
        <w:r w:rsidR="00DE74E2" w:rsidRPr="00B43F0F">
          <w:rPr>
            <w:rStyle w:val="Hyperlink"/>
          </w:rPr>
          <w:t>S</w:t>
        </w:r>
        <w:r w:rsidR="008E2290" w:rsidRPr="00B43F0F">
          <w:rPr>
            <w:rStyle w:val="Hyperlink"/>
          </w:rPr>
          <w:t>tate significant risks</w:t>
        </w:r>
        <w:r w:rsidR="008E2290" w:rsidRPr="00B43F0F">
          <w:rPr>
            <w:webHidden/>
          </w:rPr>
          <w:tab/>
        </w:r>
        <w:r w:rsidR="008E2290" w:rsidRPr="00B43F0F">
          <w:rPr>
            <w:webHidden/>
          </w:rPr>
          <w:fldChar w:fldCharType="begin"/>
        </w:r>
        <w:r w:rsidR="008E2290" w:rsidRPr="00B43F0F">
          <w:rPr>
            <w:webHidden/>
          </w:rPr>
          <w:instrText xml:space="preserve"> PAGEREF _Toc21704090 \h </w:instrText>
        </w:r>
        <w:r w:rsidR="008E2290" w:rsidRPr="00B43F0F">
          <w:rPr>
            <w:webHidden/>
          </w:rPr>
        </w:r>
        <w:r w:rsidR="008E2290" w:rsidRPr="00B43F0F">
          <w:rPr>
            <w:webHidden/>
          </w:rPr>
          <w:fldChar w:fldCharType="separate"/>
        </w:r>
        <w:r w:rsidR="00EC16FD">
          <w:rPr>
            <w:webHidden/>
          </w:rPr>
          <w:t>7</w:t>
        </w:r>
        <w:r w:rsidR="008E2290" w:rsidRPr="00B43F0F">
          <w:rPr>
            <w:webHidden/>
          </w:rPr>
          <w:fldChar w:fldCharType="end"/>
        </w:r>
      </w:hyperlink>
    </w:p>
    <w:p w14:paraId="6D9C5B75" w14:textId="228A872A" w:rsidR="008E2290" w:rsidRPr="00B43F0F" w:rsidRDefault="00FC7D89">
      <w:pPr>
        <w:pStyle w:val="TOC6"/>
        <w:tabs>
          <w:tab w:val="left" w:pos="1800"/>
        </w:tabs>
        <w:rPr>
          <w:spacing w:val="0"/>
          <w:sz w:val="22"/>
          <w:szCs w:val="22"/>
          <w:lang w:val="en-US"/>
        </w:rPr>
      </w:pPr>
      <w:hyperlink w:anchor="_Toc21704091" w:history="1">
        <w:r w:rsidR="008E2290" w:rsidRPr="00B43F0F">
          <w:rPr>
            <w:rStyle w:val="Hyperlink"/>
          </w:rPr>
          <w:t xml:space="preserve">3.3.2 </w:t>
        </w:r>
        <w:r w:rsidR="008E2290" w:rsidRPr="00B43F0F">
          <w:rPr>
            <w:spacing w:val="0"/>
            <w:sz w:val="22"/>
            <w:szCs w:val="22"/>
            <w:lang w:val="en-US"/>
          </w:rPr>
          <w:tab/>
        </w:r>
        <w:r w:rsidR="008E2290" w:rsidRPr="00B43F0F">
          <w:rPr>
            <w:rStyle w:val="Hyperlink"/>
          </w:rPr>
          <w:t>Insurance as a risk management tool</w:t>
        </w:r>
        <w:r w:rsidR="008E2290" w:rsidRPr="00B43F0F">
          <w:rPr>
            <w:webHidden/>
          </w:rPr>
          <w:tab/>
        </w:r>
        <w:r w:rsidR="008E2290" w:rsidRPr="00B43F0F">
          <w:rPr>
            <w:webHidden/>
          </w:rPr>
          <w:fldChar w:fldCharType="begin"/>
        </w:r>
        <w:r w:rsidR="008E2290" w:rsidRPr="00B43F0F">
          <w:rPr>
            <w:webHidden/>
          </w:rPr>
          <w:instrText xml:space="preserve"> PAGEREF _Toc21704091 \h </w:instrText>
        </w:r>
        <w:r w:rsidR="008E2290" w:rsidRPr="00B43F0F">
          <w:rPr>
            <w:webHidden/>
          </w:rPr>
        </w:r>
        <w:r w:rsidR="008E2290" w:rsidRPr="00B43F0F">
          <w:rPr>
            <w:webHidden/>
          </w:rPr>
          <w:fldChar w:fldCharType="separate"/>
        </w:r>
        <w:r w:rsidR="00EC16FD">
          <w:rPr>
            <w:webHidden/>
          </w:rPr>
          <w:t>8</w:t>
        </w:r>
        <w:r w:rsidR="008E2290" w:rsidRPr="00B43F0F">
          <w:rPr>
            <w:webHidden/>
          </w:rPr>
          <w:fldChar w:fldCharType="end"/>
        </w:r>
      </w:hyperlink>
    </w:p>
    <w:p w14:paraId="226D7E3C" w14:textId="65A7441D" w:rsidR="008E2290" w:rsidRPr="00B43F0F" w:rsidRDefault="00FC7D89">
      <w:pPr>
        <w:pStyle w:val="TOC6"/>
        <w:tabs>
          <w:tab w:val="left" w:pos="1800"/>
        </w:tabs>
        <w:rPr>
          <w:spacing w:val="0"/>
          <w:sz w:val="22"/>
          <w:szCs w:val="22"/>
          <w:lang w:val="en-US"/>
        </w:rPr>
      </w:pPr>
      <w:hyperlink w:anchor="_Toc21704092" w:history="1">
        <w:r w:rsidR="008E2290" w:rsidRPr="00B43F0F">
          <w:rPr>
            <w:rStyle w:val="Hyperlink"/>
          </w:rPr>
          <w:t>3.3.3</w:t>
        </w:r>
        <w:r w:rsidR="008E2290" w:rsidRPr="00B43F0F">
          <w:rPr>
            <w:spacing w:val="0"/>
            <w:sz w:val="22"/>
            <w:szCs w:val="22"/>
            <w:lang w:val="en-US"/>
          </w:rPr>
          <w:tab/>
        </w:r>
        <w:r w:rsidR="008E2290" w:rsidRPr="00B43F0F">
          <w:rPr>
            <w:rStyle w:val="Hyperlink"/>
          </w:rPr>
          <w:t>Risk Culture</w:t>
        </w:r>
        <w:r w:rsidR="008E2290" w:rsidRPr="00B43F0F">
          <w:rPr>
            <w:webHidden/>
          </w:rPr>
          <w:tab/>
        </w:r>
        <w:r w:rsidR="008E2290" w:rsidRPr="00B43F0F">
          <w:rPr>
            <w:webHidden/>
          </w:rPr>
          <w:fldChar w:fldCharType="begin"/>
        </w:r>
        <w:r w:rsidR="008E2290" w:rsidRPr="00B43F0F">
          <w:rPr>
            <w:webHidden/>
          </w:rPr>
          <w:instrText xml:space="preserve"> PAGEREF _Toc21704092 \h </w:instrText>
        </w:r>
        <w:r w:rsidR="008E2290" w:rsidRPr="00B43F0F">
          <w:rPr>
            <w:webHidden/>
          </w:rPr>
        </w:r>
        <w:r w:rsidR="008E2290" w:rsidRPr="00B43F0F">
          <w:rPr>
            <w:webHidden/>
          </w:rPr>
          <w:fldChar w:fldCharType="separate"/>
        </w:r>
        <w:r w:rsidR="00EC16FD">
          <w:rPr>
            <w:webHidden/>
          </w:rPr>
          <w:t>9</w:t>
        </w:r>
        <w:r w:rsidR="008E2290" w:rsidRPr="00B43F0F">
          <w:rPr>
            <w:webHidden/>
          </w:rPr>
          <w:fldChar w:fldCharType="end"/>
        </w:r>
      </w:hyperlink>
    </w:p>
    <w:p w14:paraId="5D907878" w14:textId="0BCC8ED2" w:rsidR="008E2290" w:rsidRPr="00B43F0F" w:rsidRDefault="00FC7D89">
      <w:pPr>
        <w:pStyle w:val="TOC6"/>
        <w:tabs>
          <w:tab w:val="left" w:pos="1800"/>
        </w:tabs>
        <w:rPr>
          <w:spacing w:val="0"/>
          <w:sz w:val="22"/>
          <w:szCs w:val="22"/>
          <w:lang w:val="en-US"/>
        </w:rPr>
      </w:pPr>
      <w:hyperlink w:anchor="_Toc21704093" w:history="1">
        <w:r w:rsidR="008E2290" w:rsidRPr="00B43F0F">
          <w:rPr>
            <w:rStyle w:val="Hyperlink"/>
          </w:rPr>
          <w:t>3.3.4</w:t>
        </w:r>
        <w:r w:rsidR="008E2290" w:rsidRPr="00B43F0F">
          <w:rPr>
            <w:spacing w:val="0"/>
            <w:sz w:val="22"/>
            <w:szCs w:val="22"/>
            <w:lang w:val="en-US"/>
          </w:rPr>
          <w:tab/>
        </w:r>
        <w:r w:rsidR="008E2290" w:rsidRPr="00B43F0F">
          <w:rPr>
            <w:rStyle w:val="Hyperlink"/>
          </w:rPr>
          <w:t>Risk Appetite</w:t>
        </w:r>
        <w:r w:rsidR="008E2290" w:rsidRPr="00B43F0F">
          <w:rPr>
            <w:webHidden/>
          </w:rPr>
          <w:tab/>
        </w:r>
        <w:r w:rsidR="008E2290" w:rsidRPr="00B43F0F">
          <w:rPr>
            <w:webHidden/>
          </w:rPr>
          <w:fldChar w:fldCharType="begin"/>
        </w:r>
        <w:r w:rsidR="008E2290" w:rsidRPr="00B43F0F">
          <w:rPr>
            <w:webHidden/>
          </w:rPr>
          <w:instrText xml:space="preserve"> PAGEREF _Toc21704093 \h </w:instrText>
        </w:r>
        <w:r w:rsidR="008E2290" w:rsidRPr="00B43F0F">
          <w:rPr>
            <w:webHidden/>
          </w:rPr>
        </w:r>
        <w:r w:rsidR="008E2290" w:rsidRPr="00B43F0F">
          <w:rPr>
            <w:webHidden/>
          </w:rPr>
          <w:fldChar w:fldCharType="separate"/>
        </w:r>
        <w:r w:rsidR="00EC16FD">
          <w:rPr>
            <w:webHidden/>
          </w:rPr>
          <w:t>9</w:t>
        </w:r>
        <w:r w:rsidR="008E2290" w:rsidRPr="00B43F0F">
          <w:rPr>
            <w:webHidden/>
          </w:rPr>
          <w:fldChar w:fldCharType="end"/>
        </w:r>
      </w:hyperlink>
    </w:p>
    <w:p w14:paraId="0A6A8809" w14:textId="43260C95" w:rsidR="008E2290" w:rsidRPr="00B43F0F" w:rsidRDefault="00FC7D89">
      <w:pPr>
        <w:pStyle w:val="TOC5"/>
        <w:tabs>
          <w:tab w:val="left" w:pos="1080"/>
        </w:tabs>
        <w:rPr>
          <w:spacing w:val="0"/>
          <w:sz w:val="22"/>
          <w:szCs w:val="22"/>
          <w:lang w:val="en-US"/>
        </w:rPr>
      </w:pPr>
      <w:hyperlink w:anchor="_Toc21704094" w:history="1">
        <w:r w:rsidR="008E2290" w:rsidRPr="00B43F0F">
          <w:rPr>
            <w:rStyle w:val="Hyperlink"/>
          </w:rPr>
          <w:t>3.4</w:t>
        </w:r>
        <w:r w:rsidR="008E2290" w:rsidRPr="00B43F0F">
          <w:rPr>
            <w:spacing w:val="0"/>
            <w:sz w:val="22"/>
            <w:szCs w:val="22"/>
            <w:lang w:val="en-US"/>
          </w:rPr>
          <w:tab/>
        </w:r>
        <w:r w:rsidR="008E2290" w:rsidRPr="00B43F0F">
          <w:rPr>
            <w:rStyle w:val="Hyperlink"/>
          </w:rPr>
          <w:t>Guidance to support better practice risk management</w:t>
        </w:r>
        <w:r w:rsidR="008E2290" w:rsidRPr="00B43F0F">
          <w:rPr>
            <w:webHidden/>
          </w:rPr>
          <w:tab/>
        </w:r>
        <w:r w:rsidR="008E2290" w:rsidRPr="00B43F0F">
          <w:rPr>
            <w:webHidden/>
          </w:rPr>
          <w:fldChar w:fldCharType="begin"/>
        </w:r>
        <w:r w:rsidR="008E2290" w:rsidRPr="00B43F0F">
          <w:rPr>
            <w:webHidden/>
          </w:rPr>
          <w:instrText xml:space="preserve"> PAGEREF _Toc21704094 \h </w:instrText>
        </w:r>
        <w:r w:rsidR="008E2290" w:rsidRPr="00B43F0F">
          <w:rPr>
            <w:webHidden/>
          </w:rPr>
        </w:r>
        <w:r w:rsidR="008E2290" w:rsidRPr="00B43F0F">
          <w:rPr>
            <w:webHidden/>
          </w:rPr>
          <w:fldChar w:fldCharType="separate"/>
        </w:r>
        <w:r w:rsidR="00EC16FD">
          <w:rPr>
            <w:webHidden/>
          </w:rPr>
          <w:t>10</w:t>
        </w:r>
        <w:r w:rsidR="008E2290" w:rsidRPr="00B43F0F">
          <w:rPr>
            <w:webHidden/>
          </w:rPr>
          <w:fldChar w:fldCharType="end"/>
        </w:r>
      </w:hyperlink>
    </w:p>
    <w:p w14:paraId="33F17F16" w14:textId="72E44674" w:rsidR="008E2290" w:rsidRPr="00B43F0F" w:rsidRDefault="00FC7D89">
      <w:pPr>
        <w:pStyle w:val="TOC6"/>
        <w:tabs>
          <w:tab w:val="left" w:pos="1800"/>
        </w:tabs>
        <w:rPr>
          <w:spacing w:val="0"/>
          <w:sz w:val="22"/>
          <w:szCs w:val="22"/>
          <w:lang w:val="en-US"/>
        </w:rPr>
      </w:pPr>
      <w:hyperlink w:anchor="_Toc21704095" w:history="1">
        <w:r w:rsidR="008E2290" w:rsidRPr="00B43F0F">
          <w:rPr>
            <w:rStyle w:val="Hyperlink"/>
          </w:rPr>
          <w:t>3.4.1</w:t>
        </w:r>
        <w:r w:rsidR="008E2290" w:rsidRPr="00B43F0F">
          <w:rPr>
            <w:spacing w:val="0"/>
            <w:sz w:val="22"/>
            <w:szCs w:val="22"/>
            <w:lang w:val="en-US"/>
          </w:rPr>
          <w:tab/>
        </w:r>
        <w:r w:rsidR="008E2290" w:rsidRPr="00B43F0F">
          <w:rPr>
            <w:rStyle w:val="Hyperlink"/>
          </w:rPr>
          <w:t>Risk Evaluation</w:t>
        </w:r>
        <w:r w:rsidR="008E2290" w:rsidRPr="00B43F0F">
          <w:rPr>
            <w:webHidden/>
          </w:rPr>
          <w:tab/>
        </w:r>
        <w:r w:rsidR="008E2290" w:rsidRPr="00B43F0F">
          <w:rPr>
            <w:webHidden/>
          </w:rPr>
          <w:fldChar w:fldCharType="begin"/>
        </w:r>
        <w:r w:rsidR="008E2290" w:rsidRPr="00B43F0F">
          <w:rPr>
            <w:webHidden/>
          </w:rPr>
          <w:instrText xml:space="preserve"> PAGEREF _Toc21704095 \h </w:instrText>
        </w:r>
        <w:r w:rsidR="008E2290" w:rsidRPr="00B43F0F">
          <w:rPr>
            <w:webHidden/>
          </w:rPr>
        </w:r>
        <w:r w:rsidR="008E2290" w:rsidRPr="00B43F0F">
          <w:rPr>
            <w:webHidden/>
          </w:rPr>
          <w:fldChar w:fldCharType="separate"/>
        </w:r>
        <w:r w:rsidR="00EC16FD">
          <w:rPr>
            <w:webHidden/>
          </w:rPr>
          <w:t>10</w:t>
        </w:r>
        <w:r w:rsidR="008E2290" w:rsidRPr="00B43F0F">
          <w:rPr>
            <w:webHidden/>
          </w:rPr>
          <w:fldChar w:fldCharType="end"/>
        </w:r>
      </w:hyperlink>
    </w:p>
    <w:p w14:paraId="52A54336" w14:textId="6CF4E498" w:rsidR="008E2290" w:rsidRPr="00B43F0F" w:rsidRDefault="00FC7D89">
      <w:pPr>
        <w:pStyle w:val="TOC6"/>
        <w:tabs>
          <w:tab w:val="left" w:pos="1800"/>
        </w:tabs>
        <w:rPr>
          <w:spacing w:val="0"/>
          <w:sz w:val="22"/>
          <w:szCs w:val="22"/>
          <w:lang w:val="en-US"/>
        </w:rPr>
      </w:pPr>
      <w:hyperlink w:anchor="_Toc21704096" w:history="1">
        <w:r w:rsidR="008E2290" w:rsidRPr="00B43F0F">
          <w:rPr>
            <w:rStyle w:val="Hyperlink"/>
          </w:rPr>
          <w:t>3.4.2</w:t>
        </w:r>
        <w:r w:rsidR="008E2290" w:rsidRPr="00B43F0F">
          <w:rPr>
            <w:spacing w:val="0"/>
            <w:sz w:val="22"/>
            <w:szCs w:val="22"/>
            <w:lang w:val="en-US"/>
          </w:rPr>
          <w:tab/>
        </w:r>
        <w:r w:rsidR="008E2290" w:rsidRPr="00B43F0F">
          <w:rPr>
            <w:rStyle w:val="Hyperlink"/>
          </w:rPr>
          <w:t>Key Risk Indicators</w:t>
        </w:r>
        <w:r w:rsidR="008E2290" w:rsidRPr="00B43F0F">
          <w:rPr>
            <w:webHidden/>
          </w:rPr>
          <w:tab/>
        </w:r>
        <w:r w:rsidR="008E2290" w:rsidRPr="00B43F0F">
          <w:rPr>
            <w:webHidden/>
          </w:rPr>
          <w:fldChar w:fldCharType="begin"/>
        </w:r>
        <w:r w:rsidR="008E2290" w:rsidRPr="00B43F0F">
          <w:rPr>
            <w:webHidden/>
          </w:rPr>
          <w:instrText xml:space="preserve"> PAGEREF _Toc21704096 \h </w:instrText>
        </w:r>
        <w:r w:rsidR="008E2290" w:rsidRPr="00B43F0F">
          <w:rPr>
            <w:webHidden/>
          </w:rPr>
        </w:r>
        <w:r w:rsidR="008E2290" w:rsidRPr="00B43F0F">
          <w:rPr>
            <w:webHidden/>
          </w:rPr>
          <w:fldChar w:fldCharType="separate"/>
        </w:r>
        <w:r w:rsidR="00EC16FD">
          <w:rPr>
            <w:webHidden/>
          </w:rPr>
          <w:t>10</w:t>
        </w:r>
        <w:r w:rsidR="008E2290" w:rsidRPr="00B43F0F">
          <w:rPr>
            <w:webHidden/>
          </w:rPr>
          <w:fldChar w:fldCharType="end"/>
        </w:r>
      </w:hyperlink>
    </w:p>
    <w:p w14:paraId="29104EC0" w14:textId="3A69B99B" w:rsidR="008E2290" w:rsidRPr="00B43F0F" w:rsidRDefault="00FC7D89">
      <w:pPr>
        <w:pStyle w:val="TOC6"/>
        <w:tabs>
          <w:tab w:val="left" w:pos="1800"/>
        </w:tabs>
        <w:rPr>
          <w:spacing w:val="0"/>
          <w:sz w:val="22"/>
          <w:szCs w:val="22"/>
          <w:lang w:val="en-US"/>
        </w:rPr>
      </w:pPr>
      <w:hyperlink w:anchor="_Toc21704097" w:history="1">
        <w:r w:rsidR="008E2290" w:rsidRPr="00B43F0F">
          <w:rPr>
            <w:rStyle w:val="Hyperlink"/>
          </w:rPr>
          <w:t>3.4.</w:t>
        </w:r>
        <w:r w:rsidR="00A375C8" w:rsidRPr="00B43F0F">
          <w:rPr>
            <w:rStyle w:val="Hyperlink"/>
          </w:rPr>
          <w:t>3</w:t>
        </w:r>
        <w:r w:rsidR="008E2290" w:rsidRPr="00B43F0F">
          <w:rPr>
            <w:spacing w:val="0"/>
            <w:sz w:val="22"/>
            <w:szCs w:val="22"/>
            <w:lang w:val="en-US"/>
          </w:rPr>
          <w:tab/>
        </w:r>
        <w:r w:rsidR="008E2290" w:rsidRPr="00B43F0F">
          <w:rPr>
            <w:rStyle w:val="Hyperlink"/>
          </w:rPr>
          <w:t>Risk Maturity</w:t>
        </w:r>
        <w:r w:rsidR="008E2290" w:rsidRPr="00B43F0F">
          <w:rPr>
            <w:webHidden/>
          </w:rPr>
          <w:tab/>
        </w:r>
        <w:r w:rsidR="008E2290" w:rsidRPr="00B43F0F">
          <w:rPr>
            <w:webHidden/>
          </w:rPr>
          <w:fldChar w:fldCharType="begin"/>
        </w:r>
        <w:r w:rsidR="008E2290" w:rsidRPr="00B43F0F">
          <w:rPr>
            <w:webHidden/>
          </w:rPr>
          <w:instrText xml:space="preserve"> PAGEREF _Toc21704097 \h </w:instrText>
        </w:r>
        <w:r w:rsidR="008E2290" w:rsidRPr="00B43F0F">
          <w:rPr>
            <w:webHidden/>
          </w:rPr>
        </w:r>
        <w:r w:rsidR="008E2290" w:rsidRPr="00B43F0F">
          <w:rPr>
            <w:webHidden/>
          </w:rPr>
          <w:fldChar w:fldCharType="separate"/>
        </w:r>
        <w:r w:rsidR="00EC16FD">
          <w:rPr>
            <w:webHidden/>
          </w:rPr>
          <w:t>11</w:t>
        </w:r>
        <w:r w:rsidR="008E2290" w:rsidRPr="00B43F0F">
          <w:rPr>
            <w:webHidden/>
          </w:rPr>
          <w:fldChar w:fldCharType="end"/>
        </w:r>
      </w:hyperlink>
    </w:p>
    <w:p w14:paraId="71A9F74F" w14:textId="43FF2581" w:rsidR="008E2290" w:rsidRPr="00B43F0F" w:rsidRDefault="00FC7D89">
      <w:pPr>
        <w:pStyle w:val="TOC6"/>
        <w:rPr>
          <w:spacing w:val="0"/>
          <w:sz w:val="22"/>
          <w:szCs w:val="22"/>
          <w:lang w:val="en-US"/>
        </w:rPr>
      </w:pPr>
      <w:hyperlink w:anchor="_Toc21704098" w:history="1">
        <w:r w:rsidR="008E2290" w:rsidRPr="00B43F0F">
          <w:rPr>
            <w:rStyle w:val="Hyperlink"/>
          </w:rPr>
          <w:t>3.4.</w:t>
        </w:r>
        <w:r w:rsidR="00A375C8" w:rsidRPr="00B43F0F">
          <w:rPr>
            <w:rStyle w:val="Hyperlink"/>
          </w:rPr>
          <w:t>4</w:t>
        </w:r>
        <w:r w:rsidR="008E2290" w:rsidRPr="00B43F0F">
          <w:rPr>
            <w:rStyle w:val="Hyperlink"/>
          </w:rPr>
          <w:t xml:space="preserve"> </w:t>
        </w:r>
        <w:r w:rsidR="00AD3A58" w:rsidRPr="00B43F0F">
          <w:rPr>
            <w:rStyle w:val="Hyperlink"/>
          </w:rPr>
          <w:tab/>
        </w:r>
        <w:r w:rsidR="008E2290" w:rsidRPr="00B43F0F">
          <w:rPr>
            <w:rStyle w:val="Hyperlink"/>
          </w:rPr>
          <w:t>Control Effectiveness Testing</w:t>
        </w:r>
        <w:r w:rsidR="008E2290" w:rsidRPr="00B43F0F">
          <w:rPr>
            <w:webHidden/>
          </w:rPr>
          <w:tab/>
        </w:r>
        <w:r w:rsidR="008E2290" w:rsidRPr="00B43F0F">
          <w:rPr>
            <w:webHidden/>
          </w:rPr>
          <w:fldChar w:fldCharType="begin"/>
        </w:r>
        <w:r w:rsidR="008E2290" w:rsidRPr="00B43F0F">
          <w:rPr>
            <w:webHidden/>
          </w:rPr>
          <w:instrText xml:space="preserve"> PAGEREF _Toc21704098 \h </w:instrText>
        </w:r>
        <w:r w:rsidR="008E2290" w:rsidRPr="00B43F0F">
          <w:rPr>
            <w:webHidden/>
          </w:rPr>
        </w:r>
        <w:r w:rsidR="008E2290" w:rsidRPr="00B43F0F">
          <w:rPr>
            <w:webHidden/>
          </w:rPr>
          <w:fldChar w:fldCharType="separate"/>
        </w:r>
        <w:r w:rsidR="00EC16FD">
          <w:rPr>
            <w:webHidden/>
          </w:rPr>
          <w:t>11</w:t>
        </w:r>
        <w:r w:rsidR="008E2290" w:rsidRPr="00B43F0F">
          <w:rPr>
            <w:webHidden/>
          </w:rPr>
          <w:fldChar w:fldCharType="end"/>
        </w:r>
      </w:hyperlink>
    </w:p>
    <w:p w14:paraId="2081908E" w14:textId="168B8E02" w:rsidR="008E2290" w:rsidRPr="00B43F0F" w:rsidRDefault="00FC7D89">
      <w:pPr>
        <w:pStyle w:val="TOC6"/>
        <w:tabs>
          <w:tab w:val="left" w:pos="1800"/>
        </w:tabs>
        <w:rPr>
          <w:spacing w:val="0"/>
          <w:sz w:val="22"/>
          <w:szCs w:val="22"/>
          <w:lang w:val="en-US"/>
        </w:rPr>
      </w:pPr>
      <w:hyperlink w:anchor="_Toc21704099" w:history="1">
        <w:r w:rsidR="008E2290" w:rsidRPr="00B43F0F">
          <w:rPr>
            <w:rStyle w:val="Hyperlink"/>
          </w:rPr>
          <w:t>3.4.</w:t>
        </w:r>
        <w:r w:rsidR="00A375C8" w:rsidRPr="00B43F0F">
          <w:rPr>
            <w:rStyle w:val="Hyperlink"/>
          </w:rPr>
          <w:t>5</w:t>
        </w:r>
        <w:r w:rsidR="008E2290" w:rsidRPr="00B43F0F">
          <w:rPr>
            <w:spacing w:val="0"/>
            <w:sz w:val="22"/>
            <w:szCs w:val="22"/>
            <w:lang w:val="en-US"/>
          </w:rPr>
          <w:tab/>
        </w:r>
        <w:r w:rsidR="008E2290" w:rsidRPr="00B43F0F">
          <w:rPr>
            <w:rStyle w:val="Hyperlink"/>
          </w:rPr>
          <w:t>Additional guidance and risk management support</w:t>
        </w:r>
        <w:r w:rsidR="008E2290" w:rsidRPr="00B43F0F">
          <w:rPr>
            <w:webHidden/>
          </w:rPr>
          <w:tab/>
        </w:r>
        <w:r w:rsidR="008E2290" w:rsidRPr="00B43F0F">
          <w:rPr>
            <w:webHidden/>
          </w:rPr>
          <w:fldChar w:fldCharType="begin"/>
        </w:r>
        <w:r w:rsidR="008E2290" w:rsidRPr="00B43F0F">
          <w:rPr>
            <w:webHidden/>
          </w:rPr>
          <w:instrText xml:space="preserve"> PAGEREF _Toc21704099 \h </w:instrText>
        </w:r>
        <w:r w:rsidR="008E2290" w:rsidRPr="00B43F0F">
          <w:rPr>
            <w:webHidden/>
          </w:rPr>
        </w:r>
        <w:r w:rsidR="008E2290" w:rsidRPr="00B43F0F">
          <w:rPr>
            <w:webHidden/>
          </w:rPr>
          <w:fldChar w:fldCharType="separate"/>
        </w:r>
        <w:r w:rsidR="00EC16FD">
          <w:rPr>
            <w:webHidden/>
          </w:rPr>
          <w:t>12</w:t>
        </w:r>
        <w:r w:rsidR="008E2290" w:rsidRPr="00B43F0F">
          <w:rPr>
            <w:webHidden/>
          </w:rPr>
          <w:fldChar w:fldCharType="end"/>
        </w:r>
      </w:hyperlink>
    </w:p>
    <w:p w14:paraId="25935EFF" w14:textId="0D359809" w:rsidR="008E2290" w:rsidRPr="00B43F0F" w:rsidRDefault="00FC7D89">
      <w:pPr>
        <w:pStyle w:val="TOC4"/>
        <w:rPr>
          <w:spacing w:val="0"/>
          <w:sz w:val="22"/>
          <w:szCs w:val="22"/>
          <w:lang w:val="en-US"/>
        </w:rPr>
      </w:pPr>
      <w:hyperlink w:anchor="_Toc21704100" w:history="1">
        <w:r w:rsidR="008E2290" w:rsidRPr="00B43F0F">
          <w:rPr>
            <w:rStyle w:val="Hyperlink"/>
          </w:rPr>
          <w:t>4.</w:t>
        </w:r>
        <w:r w:rsidR="008E2290" w:rsidRPr="00B43F0F">
          <w:rPr>
            <w:spacing w:val="0"/>
            <w:sz w:val="22"/>
            <w:szCs w:val="22"/>
            <w:lang w:val="en-US"/>
          </w:rPr>
          <w:tab/>
        </w:r>
        <w:r w:rsidR="00F41C64" w:rsidRPr="00B43F0F">
          <w:rPr>
            <w:spacing w:val="0"/>
            <w:lang w:val="en-US"/>
          </w:rPr>
          <w:t>AS</w:t>
        </w:r>
        <w:r w:rsidR="00F41C64" w:rsidRPr="00B43F0F">
          <w:rPr>
            <w:spacing w:val="0"/>
            <w:sz w:val="22"/>
            <w:szCs w:val="22"/>
            <w:lang w:val="en-US"/>
          </w:rPr>
          <w:t xml:space="preserve"> </w:t>
        </w:r>
        <w:r w:rsidR="008E2290" w:rsidRPr="00B43F0F">
          <w:rPr>
            <w:rStyle w:val="Hyperlink"/>
          </w:rPr>
          <w:t>ISO 31000:2018 Risk Management – Guidelines</w:t>
        </w:r>
        <w:r w:rsidR="008E2290" w:rsidRPr="00B43F0F">
          <w:rPr>
            <w:webHidden/>
          </w:rPr>
          <w:tab/>
        </w:r>
        <w:r w:rsidR="008E2290" w:rsidRPr="00B43F0F">
          <w:rPr>
            <w:webHidden/>
          </w:rPr>
          <w:fldChar w:fldCharType="begin"/>
        </w:r>
        <w:r w:rsidR="008E2290" w:rsidRPr="00B43F0F">
          <w:rPr>
            <w:webHidden/>
          </w:rPr>
          <w:instrText xml:space="preserve"> PAGEREF _Toc21704100 \h </w:instrText>
        </w:r>
        <w:r w:rsidR="008E2290" w:rsidRPr="00B43F0F">
          <w:rPr>
            <w:webHidden/>
          </w:rPr>
        </w:r>
        <w:r w:rsidR="008E2290" w:rsidRPr="00B43F0F">
          <w:rPr>
            <w:webHidden/>
          </w:rPr>
          <w:fldChar w:fldCharType="separate"/>
        </w:r>
        <w:r w:rsidR="00EC16FD">
          <w:rPr>
            <w:webHidden/>
          </w:rPr>
          <w:t>12</w:t>
        </w:r>
        <w:r w:rsidR="008E2290" w:rsidRPr="00B43F0F">
          <w:rPr>
            <w:webHidden/>
          </w:rPr>
          <w:fldChar w:fldCharType="end"/>
        </w:r>
      </w:hyperlink>
    </w:p>
    <w:p w14:paraId="5DE7CF10" w14:textId="5F1B87BF" w:rsidR="008E2290" w:rsidRPr="00B43F0F" w:rsidRDefault="00FC7D89">
      <w:pPr>
        <w:pStyle w:val="TOC1"/>
        <w:rPr>
          <w:noProof/>
          <w:spacing w:val="0"/>
          <w:sz w:val="22"/>
          <w:szCs w:val="22"/>
          <w:lang w:val="en-US" w:eastAsia="en-US"/>
        </w:rPr>
      </w:pPr>
      <w:hyperlink w:anchor="_Toc21704104" w:history="1">
        <w:r w:rsidR="008E2290" w:rsidRPr="00B43F0F">
          <w:rPr>
            <w:rStyle w:val="Hyperlink"/>
            <w:noProof/>
          </w:rPr>
          <w:t>Appendix 1 – Introduction to risk management</w:t>
        </w:r>
        <w:r w:rsidR="008E2290" w:rsidRPr="00B43F0F">
          <w:rPr>
            <w:noProof/>
            <w:webHidden/>
          </w:rPr>
          <w:tab/>
        </w:r>
        <w:r w:rsidR="008E2290" w:rsidRPr="00B43F0F">
          <w:rPr>
            <w:noProof/>
            <w:webHidden/>
          </w:rPr>
          <w:fldChar w:fldCharType="begin"/>
        </w:r>
        <w:r w:rsidR="008E2290" w:rsidRPr="00B43F0F">
          <w:rPr>
            <w:noProof/>
            <w:webHidden/>
          </w:rPr>
          <w:instrText xml:space="preserve"> PAGEREF _Toc21704104 \h </w:instrText>
        </w:r>
        <w:r w:rsidR="008E2290" w:rsidRPr="00B43F0F">
          <w:rPr>
            <w:noProof/>
            <w:webHidden/>
          </w:rPr>
        </w:r>
        <w:r w:rsidR="008E2290" w:rsidRPr="00B43F0F">
          <w:rPr>
            <w:noProof/>
            <w:webHidden/>
          </w:rPr>
          <w:fldChar w:fldCharType="separate"/>
        </w:r>
        <w:r w:rsidR="00EC16FD">
          <w:rPr>
            <w:noProof/>
            <w:webHidden/>
          </w:rPr>
          <w:t>13</w:t>
        </w:r>
        <w:r w:rsidR="008E2290" w:rsidRPr="00B43F0F">
          <w:rPr>
            <w:noProof/>
            <w:webHidden/>
          </w:rPr>
          <w:fldChar w:fldCharType="end"/>
        </w:r>
      </w:hyperlink>
    </w:p>
    <w:p w14:paraId="20FF77AD" w14:textId="5C331669" w:rsidR="008E2290" w:rsidRPr="00B43F0F" w:rsidRDefault="00AD3A58">
      <w:pPr>
        <w:pStyle w:val="TOC2"/>
        <w:rPr>
          <w:spacing w:val="0"/>
          <w:sz w:val="22"/>
          <w:szCs w:val="22"/>
          <w:lang w:val="en-US" w:eastAsia="en-US"/>
        </w:rPr>
      </w:pPr>
      <w:r w:rsidRPr="00B43F0F">
        <w:t xml:space="preserve">           </w:t>
      </w:r>
      <w:hyperlink w:anchor="_Toc21704105" w:history="1">
        <w:r w:rsidR="008E2290" w:rsidRPr="00B43F0F">
          <w:rPr>
            <w:rStyle w:val="Hyperlink"/>
          </w:rPr>
          <w:t>Risk management concepts</w:t>
        </w:r>
        <w:r w:rsidR="008E2290" w:rsidRPr="00B43F0F">
          <w:rPr>
            <w:webHidden/>
          </w:rPr>
          <w:tab/>
        </w:r>
        <w:r w:rsidR="008E2290" w:rsidRPr="00B43F0F">
          <w:rPr>
            <w:webHidden/>
          </w:rPr>
          <w:fldChar w:fldCharType="begin"/>
        </w:r>
        <w:r w:rsidR="008E2290" w:rsidRPr="00B43F0F">
          <w:rPr>
            <w:webHidden/>
          </w:rPr>
          <w:instrText xml:space="preserve"> PAGEREF _Toc21704105 \h </w:instrText>
        </w:r>
        <w:r w:rsidR="008E2290" w:rsidRPr="00B43F0F">
          <w:rPr>
            <w:webHidden/>
          </w:rPr>
        </w:r>
        <w:r w:rsidR="008E2290" w:rsidRPr="00B43F0F">
          <w:rPr>
            <w:webHidden/>
          </w:rPr>
          <w:fldChar w:fldCharType="separate"/>
        </w:r>
        <w:r w:rsidR="00EC16FD">
          <w:rPr>
            <w:webHidden/>
          </w:rPr>
          <w:t>13</w:t>
        </w:r>
        <w:r w:rsidR="008E2290" w:rsidRPr="00B43F0F">
          <w:rPr>
            <w:webHidden/>
          </w:rPr>
          <w:fldChar w:fldCharType="end"/>
        </w:r>
      </w:hyperlink>
    </w:p>
    <w:p w14:paraId="039ED9AE" w14:textId="38D0736D" w:rsidR="008E2290" w:rsidRPr="00B43F0F" w:rsidRDefault="00AD3A58">
      <w:pPr>
        <w:pStyle w:val="TOC2"/>
        <w:rPr>
          <w:spacing w:val="0"/>
          <w:sz w:val="22"/>
          <w:szCs w:val="22"/>
          <w:lang w:val="en-US" w:eastAsia="en-US"/>
        </w:rPr>
      </w:pPr>
      <w:r w:rsidRPr="00B43F0F">
        <w:t xml:space="preserve">           </w:t>
      </w:r>
      <w:hyperlink w:anchor="_Toc21704106" w:history="1">
        <w:r w:rsidR="008E2290" w:rsidRPr="00B43F0F">
          <w:rPr>
            <w:rStyle w:val="Hyperlink"/>
          </w:rPr>
          <w:t>Other risk terms</w:t>
        </w:r>
        <w:r w:rsidR="008E2290" w:rsidRPr="00B43F0F">
          <w:rPr>
            <w:webHidden/>
          </w:rPr>
          <w:tab/>
        </w:r>
        <w:r w:rsidR="008E2290" w:rsidRPr="00B43F0F">
          <w:rPr>
            <w:webHidden/>
          </w:rPr>
          <w:fldChar w:fldCharType="begin"/>
        </w:r>
        <w:r w:rsidR="008E2290" w:rsidRPr="00B43F0F">
          <w:rPr>
            <w:webHidden/>
          </w:rPr>
          <w:instrText xml:space="preserve"> PAGEREF _Toc21704106 \h </w:instrText>
        </w:r>
        <w:r w:rsidR="008E2290" w:rsidRPr="00B43F0F">
          <w:rPr>
            <w:webHidden/>
          </w:rPr>
        </w:r>
        <w:r w:rsidR="008E2290" w:rsidRPr="00B43F0F">
          <w:rPr>
            <w:webHidden/>
          </w:rPr>
          <w:fldChar w:fldCharType="separate"/>
        </w:r>
        <w:r w:rsidR="00EC16FD">
          <w:rPr>
            <w:webHidden/>
          </w:rPr>
          <w:t>14</w:t>
        </w:r>
        <w:r w:rsidR="008E2290" w:rsidRPr="00B43F0F">
          <w:rPr>
            <w:webHidden/>
          </w:rPr>
          <w:fldChar w:fldCharType="end"/>
        </w:r>
      </w:hyperlink>
    </w:p>
    <w:p w14:paraId="001193AC" w14:textId="15714D50" w:rsidR="008E2290" w:rsidRPr="00B43F0F" w:rsidRDefault="00FC7D89">
      <w:pPr>
        <w:pStyle w:val="TOC1"/>
        <w:rPr>
          <w:noProof/>
          <w:spacing w:val="0"/>
          <w:sz w:val="22"/>
          <w:szCs w:val="22"/>
          <w:lang w:val="en-US" w:eastAsia="en-US"/>
        </w:rPr>
      </w:pPr>
      <w:hyperlink w:anchor="_Toc21704107" w:history="1">
        <w:r w:rsidR="008E2290" w:rsidRPr="00B43F0F">
          <w:rPr>
            <w:rStyle w:val="Hyperlink"/>
            <w:noProof/>
          </w:rPr>
          <w:t>Appendix 2 – Emergency management</w:t>
        </w:r>
        <w:r w:rsidR="008E2290" w:rsidRPr="00B43F0F">
          <w:rPr>
            <w:noProof/>
            <w:webHidden/>
          </w:rPr>
          <w:tab/>
        </w:r>
        <w:r w:rsidR="008E2290" w:rsidRPr="00B43F0F">
          <w:rPr>
            <w:noProof/>
            <w:webHidden/>
          </w:rPr>
          <w:fldChar w:fldCharType="begin"/>
        </w:r>
        <w:r w:rsidR="008E2290" w:rsidRPr="00B43F0F">
          <w:rPr>
            <w:noProof/>
            <w:webHidden/>
          </w:rPr>
          <w:instrText xml:space="preserve"> PAGEREF _Toc21704107 \h </w:instrText>
        </w:r>
        <w:r w:rsidR="008E2290" w:rsidRPr="00B43F0F">
          <w:rPr>
            <w:noProof/>
            <w:webHidden/>
          </w:rPr>
        </w:r>
        <w:r w:rsidR="008E2290" w:rsidRPr="00B43F0F">
          <w:rPr>
            <w:noProof/>
            <w:webHidden/>
          </w:rPr>
          <w:fldChar w:fldCharType="separate"/>
        </w:r>
        <w:r w:rsidR="00EC16FD">
          <w:rPr>
            <w:noProof/>
            <w:webHidden/>
          </w:rPr>
          <w:t>16</w:t>
        </w:r>
        <w:r w:rsidR="008E2290" w:rsidRPr="00B43F0F">
          <w:rPr>
            <w:noProof/>
            <w:webHidden/>
          </w:rPr>
          <w:fldChar w:fldCharType="end"/>
        </w:r>
      </w:hyperlink>
    </w:p>
    <w:p w14:paraId="7560CF30" w14:textId="3E28E3F4" w:rsidR="00FF4E99" w:rsidRDefault="00CD3D1B" w:rsidP="00391B0A">
      <w:pPr>
        <w:spacing w:before="80" w:after="80" w:line="240" w:lineRule="auto"/>
        <w:sectPr w:rsidR="00FF4E99" w:rsidSect="00EC1DD0">
          <w:headerReference w:type="even" r:id="rId21"/>
          <w:headerReference w:type="default" r:id="rId22"/>
          <w:footerReference w:type="even" r:id="rId23"/>
          <w:footerReference w:type="default" r:id="rId24"/>
          <w:type w:val="oddPage"/>
          <w:pgSz w:w="11906" w:h="16838" w:code="9"/>
          <w:pgMar w:top="2160" w:right="1440" w:bottom="990" w:left="1440" w:header="706" w:footer="461" w:gutter="0"/>
          <w:pgNumType w:fmt="lowerRoman" w:start="1"/>
          <w:cols w:space="708"/>
          <w:docGrid w:linePitch="360"/>
        </w:sectPr>
      </w:pPr>
      <w:r w:rsidRPr="00B43F0F">
        <w:rPr>
          <w:noProof/>
          <w:color w:val="404040"/>
          <w:sz w:val="28"/>
          <w:szCs w:val="28"/>
          <w:lang w:eastAsia="en-US"/>
        </w:rPr>
        <w:fldChar w:fldCharType="end"/>
      </w:r>
    </w:p>
    <w:p w14:paraId="1DF957C1" w14:textId="77777777" w:rsidR="00B36573" w:rsidRPr="00B43F0F" w:rsidRDefault="00B36573" w:rsidP="00B36573">
      <w:pPr>
        <w:pStyle w:val="Heading1"/>
      </w:pPr>
      <w:bookmarkStart w:id="0" w:name="_Toc21704070"/>
      <w:r w:rsidRPr="00B43F0F">
        <w:lastRenderedPageBreak/>
        <w:t>Foreword</w:t>
      </w:r>
      <w:bookmarkEnd w:id="0"/>
    </w:p>
    <w:p w14:paraId="5928AF8C" w14:textId="77777777" w:rsidR="00FC7D89" w:rsidRPr="00C60DE4" w:rsidRDefault="00FC7D89" w:rsidP="00FC7D89">
      <w:pPr>
        <w:rPr>
          <w:rFonts w:eastAsia="Times New Roman" w:cstheme="minorHAnsi"/>
        </w:rPr>
      </w:pPr>
      <w:r w:rsidRPr="00C60DE4">
        <w:rPr>
          <w:rFonts w:eastAsia="Times New Roman" w:cstheme="minorHAnsi"/>
        </w:rPr>
        <w:t xml:space="preserve">I am delighted to present to you the 2020 update to the Victorian Government Risk Management Framework. </w:t>
      </w:r>
    </w:p>
    <w:p w14:paraId="1A21AC44" w14:textId="77777777" w:rsidR="00FC7D89" w:rsidRPr="00C60DE4" w:rsidRDefault="00FC7D89" w:rsidP="00FC7D89">
      <w:pPr>
        <w:rPr>
          <w:rFonts w:eastAsia="Times New Roman" w:cstheme="minorHAnsi"/>
        </w:rPr>
      </w:pPr>
      <w:r w:rsidRPr="00C60DE4">
        <w:rPr>
          <w:rFonts w:cstheme="minorHAnsi"/>
        </w:rPr>
        <w:t>In order to achieve its strategic objectives, the Victorian Government must be prepared for risk. We need our public sector to be productive, innovative and efficient. Planning for and engaging with risk is essential to a well-functioning public sector.</w:t>
      </w:r>
    </w:p>
    <w:p w14:paraId="0FD8F1A8" w14:textId="77777777" w:rsidR="00FC7D89" w:rsidRPr="00C60DE4" w:rsidRDefault="00FC7D89" w:rsidP="00FC7D89">
      <w:pPr>
        <w:rPr>
          <w:rFonts w:eastAsia="Times New Roman" w:cstheme="minorHAnsi"/>
        </w:rPr>
      </w:pPr>
      <w:r w:rsidRPr="00C60DE4">
        <w:rPr>
          <w:rFonts w:eastAsia="Times New Roman" w:cstheme="minorHAnsi"/>
        </w:rPr>
        <w:t>When I was Chair of the Public Accounts and Estimates Committee, , we examined the Government’s risk management framework against the Victorian Auditor General’s October 2013 report. The Committee made a number of recommendations, and I am pleased to see the updated Framework is consistent with the recommendations in both reports.</w:t>
      </w:r>
    </w:p>
    <w:p w14:paraId="04280617" w14:textId="77777777" w:rsidR="00FC7D89" w:rsidRPr="00C60DE4" w:rsidRDefault="00FC7D89" w:rsidP="00FC7D89">
      <w:pPr>
        <w:rPr>
          <w:rFonts w:eastAsia="Times New Roman" w:cstheme="minorHAnsi"/>
        </w:rPr>
      </w:pPr>
      <w:r w:rsidRPr="00C60DE4">
        <w:rPr>
          <w:rFonts w:eastAsia="Times New Roman" w:cstheme="minorHAnsi"/>
        </w:rPr>
        <w:t>The 2020 edition of the Victorian Risk Management Framework provides greater clarity as to the roles of managers and audit committees when it comes to risk management functions. Departments and agencies are now asked to consider and define their risk appetite within their risk management frameworks, and to demonstrate a positive risk culture based on the guidelines.</w:t>
      </w:r>
    </w:p>
    <w:p w14:paraId="1CDF0106" w14:textId="77777777" w:rsidR="00FC7D89" w:rsidRPr="00C60DE4" w:rsidRDefault="00FC7D89" w:rsidP="00FC7D89">
      <w:pPr>
        <w:rPr>
          <w:rFonts w:eastAsia="Times New Roman" w:cstheme="minorHAnsi"/>
        </w:rPr>
      </w:pPr>
      <w:r w:rsidRPr="00C60DE4">
        <w:rPr>
          <w:rFonts w:eastAsia="Times New Roman" w:cstheme="minorHAnsi"/>
        </w:rPr>
        <w:t>The Framework now includes clear directions on the management and responsibility of shared risks, including the requirement for greater inter-departmental collaboration and coordination, and sets out roles within Government for coordinating risk responses to shared and state significant risk, including the role of the SSR IDC and the Victorian Secretaries Board.</w:t>
      </w:r>
    </w:p>
    <w:p w14:paraId="01EC1958" w14:textId="77777777" w:rsidR="00FC7D89" w:rsidRPr="00C60DE4" w:rsidRDefault="00FC7D89" w:rsidP="00FC7D89">
      <w:pPr>
        <w:rPr>
          <w:rFonts w:eastAsia="Times New Roman" w:cstheme="minorHAnsi"/>
        </w:rPr>
      </w:pPr>
      <w:r w:rsidRPr="00C60DE4">
        <w:rPr>
          <w:rFonts w:eastAsia="Times New Roman" w:cstheme="minorHAnsi"/>
        </w:rPr>
        <w:t>Finally, the Framework includes new guidance on the use of data and analytics to encourage the greater use of data, including the use of key risk indicators to support improved decision making.</w:t>
      </w:r>
    </w:p>
    <w:p w14:paraId="442B7228" w14:textId="77777777" w:rsidR="00FC7D89" w:rsidRPr="00C60DE4" w:rsidRDefault="00FC7D89" w:rsidP="00FC7D89">
      <w:pPr>
        <w:pStyle w:val="Default"/>
        <w:rPr>
          <w:rFonts w:asciiTheme="minorHAnsi" w:hAnsiTheme="minorHAnsi" w:cstheme="minorHAnsi"/>
          <w:sz w:val="20"/>
          <w:szCs w:val="20"/>
        </w:rPr>
      </w:pPr>
      <w:r w:rsidRPr="00C60DE4">
        <w:rPr>
          <w:rFonts w:asciiTheme="minorHAnsi" w:hAnsiTheme="minorHAnsi" w:cstheme="minorHAnsi"/>
          <w:sz w:val="20"/>
          <w:szCs w:val="20"/>
        </w:rPr>
        <w:t xml:space="preserve">It is the responsibility of agency leaders and all staff to think about and manage risk as part of their roles. Working together, they will better understand their risk profile and ensure the measures they take reflect sound planning and are supported by robust policies, systems and processes. This will build capability and reinforce an organisational culture that is focused on improving outcomes for Victorian communities. </w:t>
      </w:r>
    </w:p>
    <w:p w14:paraId="51C73C73" w14:textId="77777777" w:rsidR="00FC7D89" w:rsidRPr="00C60DE4" w:rsidRDefault="00FC7D89" w:rsidP="00FC7D89">
      <w:pPr>
        <w:pStyle w:val="Default"/>
        <w:rPr>
          <w:rFonts w:asciiTheme="minorHAnsi" w:hAnsiTheme="minorHAnsi" w:cstheme="minorHAnsi"/>
          <w:sz w:val="20"/>
          <w:szCs w:val="20"/>
        </w:rPr>
      </w:pPr>
    </w:p>
    <w:p w14:paraId="6366F266" w14:textId="77777777" w:rsidR="00FC7D89" w:rsidRPr="00C60DE4" w:rsidRDefault="00FC7D89" w:rsidP="00FC7D89">
      <w:pPr>
        <w:pStyle w:val="Default"/>
        <w:rPr>
          <w:rFonts w:asciiTheme="minorHAnsi" w:hAnsiTheme="minorHAnsi" w:cstheme="minorHAnsi"/>
          <w:sz w:val="20"/>
          <w:szCs w:val="20"/>
        </w:rPr>
      </w:pPr>
      <w:r w:rsidRPr="00C60DE4">
        <w:rPr>
          <w:rFonts w:asciiTheme="minorHAnsi" w:hAnsiTheme="minorHAnsi" w:cstheme="minorHAnsi"/>
          <w:sz w:val="20"/>
          <w:szCs w:val="20"/>
        </w:rPr>
        <w:t xml:space="preserve">As our public sector continues to move towards a more sophisticated, whole of government approach to service delivery, it is essential for agencies to be willing and confident to work with each other to tackle not only their own risks, but shared and state significant risks as well. This needs to be the hallmark of joined-up service delivery. </w:t>
      </w:r>
    </w:p>
    <w:p w14:paraId="7F6E1F19" w14:textId="77777777" w:rsidR="00FC7D89" w:rsidRPr="00C60DE4" w:rsidRDefault="00FC7D89" w:rsidP="00FC7D89">
      <w:pPr>
        <w:pStyle w:val="Default"/>
        <w:rPr>
          <w:rFonts w:asciiTheme="minorHAnsi" w:hAnsiTheme="minorHAnsi" w:cstheme="minorHAnsi"/>
          <w:sz w:val="20"/>
          <w:szCs w:val="20"/>
        </w:rPr>
      </w:pPr>
    </w:p>
    <w:p w14:paraId="3EABFF70" w14:textId="77777777" w:rsidR="00FC7D89" w:rsidRPr="00C60DE4" w:rsidRDefault="00FC7D89" w:rsidP="00FC7D89">
      <w:pPr>
        <w:pStyle w:val="Default"/>
        <w:rPr>
          <w:rFonts w:asciiTheme="minorHAnsi" w:hAnsiTheme="minorHAnsi" w:cstheme="minorHAnsi"/>
          <w:sz w:val="20"/>
          <w:szCs w:val="20"/>
        </w:rPr>
      </w:pPr>
      <w:r w:rsidRPr="00C60DE4">
        <w:rPr>
          <w:rFonts w:asciiTheme="minorHAnsi" w:hAnsiTheme="minorHAnsi" w:cstheme="minorHAnsi"/>
          <w:sz w:val="20"/>
          <w:szCs w:val="20"/>
        </w:rPr>
        <w:t xml:space="preserve">The updated framework acknowledges that individual agencies have different levels of risk maturity that will evolve and improve over time. The Victorian Managed Insurance Authority will work with public sector agencies and provide the education, insight, advice and support needed to help agencies effectively manage risk. </w:t>
      </w:r>
    </w:p>
    <w:p w14:paraId="6773412E" w14:textId="77777777" w:rsidR="00FC7D89" w:rsidRPr="00C60DE4" w:rsidRDefault="00FC7D89" w:rsidP="00FC7D89">
      <w:pPr>
        <w:pStyle w:val="Default"/>
        <w:rPr>
          <w:rFonts w:asciiTheme="minorHAnsi" w:hAnsiTheme="minorHAnsi" w:cstheme="minorHAnsi"/>
          <w:sz w:val="20"/>
          <w:szCs w:val="20"/>
        </w:rPr>
      </w:pPr>
    </w:p>
    <w:p w14:paraId="4B986537" w14:textId="77777777" w:rsidR="00FC7D89" w:rsidRPr="00C60DE4" w:rsidRDefault="00FC7D89" w:rsidP="00FC7D89">
      <w:pPr>
        <w:pStyle w:val="Default"/>
        <w:rPr>
          <w:rFonts w:asciiTheme="minorHAnsi" w:hAnsiTheme="minorHAnsi" w:cstheme="minorHAnsi"/>
          <w:sz w:val="20"/>
          <w:szCs w:val="20"/>
        </w:rPr>
      </w:pPr>
      <w:r w:rsidRPr="00C60DE4">
        <w:rPr>
          <w:rFonts w:asciiTheme="minorHAnsi" w:hAnsiTheme="minorHAnsi" w:cstheme="minorHAnsi"/>
          <w:sz w:val="20"/>
          <w:szCs w:val="20"/>
        </w:rPr>
        <w:t xml:space="preserve">I congratulate Victorian public sector agencies on building their risk management capabilities since the last revision of the Victorian Government Risk Framework and encourage them to continue their risk management journey. </w:t>
      </w:r>
    </w:p>
    <w:p w14:paraId="08FE0341" w14:textId="77777777" w:rsidR="00EC16FD" w:rsidRDefault="00EC16FD" w:rsidP="00EC16FD">
      <w:pPr>
        <w:pStyle w:val="Default"/>
        <w:rPr>
          <w:sz w:val="20"/>
          <w:szCs w:val="20"/>
        </w:rPr>
      </w:pPr>
    </w:p>
    <w:p w14:paraId="230A5473" w14:textId="605FDEC5" w:rsidR="002479B9" w:rsidRDefault="00EC16FD" w:rsidP="00EC16FD">
      <w:r>
        <w:t>The Hon. Danny Pearson MP Assistant Treasurer</w:t>
      </w:r>
    </w:p>
    <w:p w14:paraId="7D72E0E9" w14:textId="77777777" w:rsidR="00A95464" w:rsidRDefault="00A95464" w:rsidP="0041350C">
      <w:pPr>
        <w:spacing w:before="0" w:after="200"/>
      </w:pPr>
    </w:p>
    <w:p w14:paraId="3B2B52A4" w14:textId="77777777" w:rsidR="00A95464" w:rsidRDefault="00A95464">
      <w:pPr>
        <w:spacing w:before="0" w:after="200"/>
        <w:sectPr w:rsidR="00A95464" w:rsidSect="00614076">
          <w:headerReference w:type="even" r:id="rId25"/>
          <w:headerReference w:type="default" r:id="rId26"/>
          <w:footerReference w:type="even" r:id="rId27"/>
          <w:footerReference w:type="default" r:id="rId28"/>
          <w:type w:val="oddPage"/>
          <w:pgSz w:w="11906" w:h="16838" w:code="9"/>
          <w:pgMar w:top="2160" w:right="1440" w:bottom="1987" w:left="1440" w:header="706" w:footer="461" w:gutter="0"/>
          <w:pgNumType w:start="1"/>
          <w:cols w:space="708"/>
          <w:docGrid w:linePitch="360"/>
        </w:sectPr>
      </w:pPr>
    </w:p>
    <w:p w14:paraId="080E2B22" w14:textId="0E59BA46" w:rsidR="00301F6A" w:rsidRDefault="00301F6A" w:rsidP="00594945">
      <w:pPr>
        <w:pStyle w:val="Heading1numbered"/>
        <w:numPr>
          <w:ilvl w:val="0"/>
          <w:numId w:val="5"/>
        </w:numPr>
        <w:spacing w:before="120" w:after="120"/>
        <w:ind w:hanging="720"/>
      </w:pPr>
      <w:bookmarkStart w:id="3" w:name="_Toc21704071"/>
      <w:r>
        <w:lastRenderedPageBreak/>
        <w:t>Introduction</w:t>
      </w:r>
      <w:bookmarkEnd w:id="3"/>
    </w:p>
    <w:p w14:paraId="22996AC1" w14:textId="386D44AD" w:rsidR="00301F6A" w:rsidRDefault="00950606" w:rsidP="00963D6E">
      <w:pPr>
        <w:pStyle w:val="NormalIndent"/>
        <w:spacing w:before="120" w:after="120"/>
      </w:pPr>
      <w:r>
        <w:t>Effective risk management protects and creates value for the Victorian Public Service by enabling informed decision making, setting and achieving objec</w:t>
      </w:r>
      <w:r w:rsidR="006050F1">
        <w:t>tives and improving performance</w:t>
      </w:r>
      <w:r>
        <w:t xml:space="preserve">.  </w:t>
      </w:r>
      <w:r w:rsidR="00301F6A">
        <w:t>Management of risk must be an integral part of an agency</w:t>
      </w:r>
      <w:r w:rsidR="007755D8">
        <w:t>’</w:t>
      </w:r>
      <w:r w:rsidR="00301F6A">
        <w:t>s culture, reflected in policies, systems and processes. This includes strategic business planning, performance management and overall governance to ensure sound financial management and efficient service delivery.</w:t>
      </w:r>
    </w:p>
    <w:p w14:paraId="72A138D0" w14:textId="77777777" w:rsidR="00301F6A" w:rsidRDefault="00301F6A" w:rsidP="00963D6E">
      <w:pPr>
        <w:pStyle w:val="NormalIndent"/>
        <w:spacing w:before="120" w:after="120"/>
      </w:pPr>
      <w:r>
        <w:t>Risks may affect only one agency or multiple agencies. Agencies must consider and implement appropriate risk management strategies</w:t>
      </w:r>
      <w:r w:rsidR="004B7FAB">
        <w:t xml:space="preserve">, including working with other </w:t>
      </w:r>
      <w:r>
        <w:t>agencies to manage risk.</w:t>
      </w:r>
    </w:p>
    <w:p w14:paraId="2E0D8770" w14:textId="21022888" w:rsidR="00301F6A" w:rsidRDefault="00301F6A" w:rsidP="00963D6E">
      <w:pPr>
        <w:pStyle w:val="NormalIndent"/>
        <w:spacing w:before="120" w:after="120"/>
      </w:pPr>
      <w:r>
        <w:t xml:space="preserve">A systematic approach to </w:t>
      </w:r>
      <w:r w:rsidR="00DD178B">
        <w:t xml:space="preserve">the </w:t>
      </w:r>
      <w:r>
        <w:t>management</w:t>
      </w:r>
      <w:r w:rsidR="00DD178B">
        <w:t xml:space="preserve"> of both financial and non-financial risks</w:t>
      </w:r>
      <w:r>
        <w:t xml:space="preserve"> is critical as the public sector moves to a more sophisticated approach to the development and delivery of services. </w:t>
      </w:r>
    </w:p>
    <w:p w14:paraId="5811A189" w14:textId="77777777" w:rsidR="00301F6A" w:rsidRDefault="00301F6A" w:rsidP="00963D6E">
      <w:pPr>
        <w:pStyle w:val="NormalIndent"/>
        <w:spacing w:before="120" w:after="120"/>
      </w:pPr>
      <w:r>
        <w:t xml:space="preserve">The Minister for Finance has issued risk management and insurance standing directions under the </w:t>
      </w:r>
      <w:r w:rsidRPr="00166CDB">
        <w:rPr>
          <w:i/>
        </w:rPr>
        <w:t>Financial Management Act 1994</w:t>
      </w:r>
      <w:r>
        <w:t>. Legislative requirements and Government policies and procedures related to risk management include:</w:t>
      </w:r>
    </w:p>
    <w:p w14:paraId="376EFA68" w14:textId="77777777" w:rsidR="00301F6A" w:rsidRDefault="00166CDB" w:rsidP="00963D6E">
      <w:pPr>
        <w:pStyle w:val="Bulletindent"/>
        <w:spacing w:before="120" w:after="120"/>
        <w:contextualSpacing w:val="0"/>
      </w:pPr>
      <w:r w:rsidRPr="00166CDB">
        <w:rPr>
          <w:i/>
        </w:rPr>
        <w:t>Financial Management Act 1994</w:t>
      </w:r>
      <w:r w:rsidR="00301F6A">
        <w:t>;</w:t>
      </w:r>
    </w:p>
    <w:p w14:paraId="3789485D" w14:textId="77777777" w:rsidR="00301F6A" w:rsidRPr="004B7FAB" w:rsidRDefault="00301F6A" w:rsidP="00963D6E">
      <w:pPr>
        <w:pStyle w:val="Bulletindent"/>
        <w:spacing w:before="120" w:after="120"/>
        <w:contextualSpacing w:val="0"/>
        <w:rPr>
          <w:i/>
        </w:rPr>
      </w:pPr>
      <w:r w:rsidRPr="00166CDB">
        <w:rPr>
          <w:i/>
        </w:rPr>
        <w:t>Standing Direction of the Minister for Finance 3.7.1 – Risk Management Framework</w:t>
      </w:r>
      <w:r w:rsidR="004B7FAB">
        <w:rPr>
          <w:i/>
        </w:rPr>
        <w:t xml:space="preserve"> </w:t>
      </w:r>
      <w:r w:rsidRPr="004B7FAB">
        <w:rPr>
          <w:i/>
        </w:rPr>
        <w:t>and Processes</w:t>
      </w:r>
      <w:r>
        <w:t>;</w:t>
      </w:r>
    </w:p>
    <w:p w14:paraId="28A9F6CC" w14:textId="77777777" w:rsidR="00301F6A" w:rsidRDefault="00301F6A" w:rsidP="00963D6E">
      <w:pPr>
        <w:pStyle w:val="Bulletindent"/>
        <w:spacing w:before="120" w:after="120"/>
        <w:contextualSpacing w:val="0"/>
      </w:pPr>
      <w:r>
        <w:t xml:space="preserve">Insurance requirements under the </w:t>
      </w:r>
      <w:r w:rsidRPr="00166CDB">
        <w:rPr>
          <w:i/>
        </w:rPr>
        <w:t>Victorian Managed Insurance Authority Act 1996</w:t>
      </w:r>
      <w:r>
        <w:t xml:space="preserve">; </w:t>
      </w:r>
    </w:p>
    <w:p w14:paraId="1B6DAFE0" w14:textId="77777777" w:rsidR="00301F6A" w:rsidRDefault="00301F6A" w:rsidP="00963D6E">
      <w:pPr>
        <w:pStyle w:val="Bulletindent"/>
        <w:spacing w:before="120" w:after="120"/>
        <w:contextualSpacing w:val="0"/>
      </w:pPr>
      <w:r w:rsidRPr="00166CDB">
        <w:rPr>
          <w:i/>
        </w:rPr>
        <w:t>Insurance Management Policy and Guidelines for General Government Sector – September 2007</w:t>
      </w:r>
      <w:r>
        <w:t>; and</w:t>
      </w:r>
    </w:p>
    <w:p w14:paraId="5A00EDF4" w14:textId="77777777" w:rsidR="00301F6A" w:rsidRDefault="00301F6A" w:rsidP="00963D6E">
      <w:pPr>
        <w:pStyle w:val="Bulletindent"/>
        <w:spacing w:before="120" w:after="120"/>
        <w:contextualSpacing w:val="0"/>
      </w:pPr>
      <w:r w:rsidRPr="00166CDB">
        <w:rPr>
          <w:i/>
        </w:rPr>
        <w:t>Government Policy and Guidelines: Indemnities and Immunities – June 2008</w:t>
      </w:r>
      <w:r>
        <w:t>.</w:t>
      </w:r>
    </w:p>
    <w:p w14:paraId="70B591B7" w14:textId="2BADE76D" w:rsidR="00301F6A" w:rsidRDefault="00963D6E" w:rsidP="00963D6E">
      <w:pPr>
        <w:pStyle w:val="Heading2numbered"/>
        <w:spacing w:before="120" w:after="120"/>
        <w:ind w:left="709" w:hanging="567"/>
      </w:pPr>
      <w:bookmarkStart w:id="4" w:name="_Toc21704072"/>
      <w:r>
        <w:t xml:space="preserve">1.1 </w:t>
      </w:r>
      <w:r>
        <w:tab/>
      </w:r>
      <w:r w:rsidR="00301F6A">
        <w:t>Purpose</w:t>
      </w:r>
      <w:bookmarkEnd w:id="4"/>
    </w:p>
    <w:p w14:paraId="00A3FECA" w14:textId="5F6D92F5" w:rsidR="00301F6A" w:rsidRDefault="00301F6A" w:rsidP="00963D6E">
      <w:pPr>
        <w:pStyle w:val="NormalIndent"/>
        <w:spacing w:before="120" w:after="120"/>
      </w:pPr>
      <w:r>
        <w:t xml:space="preserve">The Victorian Government Risk Management Framework (VGRMF) describes the minimum risk management requirements agencies are required to meet to demonstrate that they are managing risk effectively, including </w:t>
      </w:r>
      <w:r w:rsidR="0070609F">
        <w:t>shared</w:t>
      </w:r>
      <w:r>
        <w:t xml:space="preserve"> and state significant risk. It outlines the role and responsibilities of an agency</w:t>
      </w:r>
      <w:r w:rsidR="007755D8">
        <w:t>’</w:t>
      </w:r>
      <w:r>
        <w:t>s responsible body. The VGRMF adopts the ISO 31000:20</w:t>
      </w:r>
      <w:r w:rsidR="0070609F">
        <w:t>18</w:t>
      </w:r>
      <w:r>
        <w:t xml:space="preserve"> Risk Management – Guidelines which provides </w:t>
      </w:r>
      <w:r w:rsidR="00E42ECE">
        <w:t>an</w:t>
      </w:r>
      <w:r>
        <w:t xml:space="preserve"> internationally accepted basis for best practice risk management. </w:t>
      </w:r>
    </w:p>
    <w:p w14:paraId="2E722EAD" w14:textId="5F96B10E" w:rsidR="00301F6A" w:rsidRDefault="00301F6A" w:rsidP="00963D6E">
      <w:pPr>
        <w:pStyle w:val="NormalIndent"/>
        <w:spacing w:before="120" w:after="120"/>
      </w:pPr>
      <w:r>
        <w:t xml:space="preserve">The VGRMF is mandated by the Standing Direction of </w:t>
      </w:r>
      <w:r w:rsidRPr="00FB1197">
        <w:t xml:space="preserve">the </w:t>
      </w:r>
      <w:r w:rsidRPr="00061797">
        <w:t>Minister for Finance</w:t>
      </w:r>
      <w:r w:rsidR="00AC2C68" w:rsidRPr="00061797">
        <w:t>’s</w:t>
      </w:r>
      <w:r>
        <w:t xml:space="preserve"> (</w:t>
      </w:r>
      <w:r w:rsidRPr="008A6DD9">
        <w:rPr>
          <w:i/>
        </w:rPr>
        <w:t>Ministerial Standing Direction) 3.7.1 – Risk Management Framework and Processes</w:t>
      </w:r>
      <w:r>
        <w:t xml:space="preserve"> and provides high level information for agencies and the responsible body.</w:t>
      </w:r>
    </w:p>
    <w:p w14:paraId="6D756B87" w14:textId="1338F349" w:rsidR="00301F6A" w:rsidRDefault="00301F6A" w:rsidP="00963D6E">
      <w:pPr>
        <w:pStyle w:val="NormalIndent"/>
        <w:spacing w:before="120" w:after="120"/>
      </w:pPr>
      <w:r>
        <w:t>Detailed guidance, information and risk management</w:t>
      </w:r>
      <w:r w:rsidR="004B7FAB">
        <w:t xml:space="preserve"> support is available from the </w:t>
      </w:r>
      <w:r>
        <w:t>Victorian Managed Insurance Authority (VMIA). The VMIA has an important role in supporting agencies in the implementation of the VGRM</w:t>
      </w:r>
      <w:r w:rsidR="00D33905">
        <w:t>F</w:t>
      </w:r>
      <w:r>
        <w:t xml:space="preserve">. </w:t>
      </w:r>
    </w:p>
    <w:p w14:paraId="4CAB06BA" w14:textId="6A80C927" w:rsidR="00301F6A" w:rsidRDefault="00301F6A" w:rsidP="00594945">
      <w:pPr>
        <w:pStyle w:val="Heading2numbered"/>
        <w:numPr>
          <w:ilvl w:val="1"/>
          <w:numId w:val="5"/>
        </w:numPr>
        <w:spacing w:before="120" w:after="120"/>
        <w:ind w:left="709" w:hanging="567"/>
      </w:pPr>
      <w:bookmarkStart w:id="5" w:name="_Toc21704073"/>
      <w:r>
        <w:t>Coverage</w:t>
      </w:r>
      <w:bookmarkEnd w:id="5"/>
    </w:p>
    <w:p w14:paraId="582DE65C" w14:textId="5BA73FFA" w:rsidR="00A95464" w:rsidRDefault="00301F6A" w:rsidP="00963D6E">
      <w:pPr>
        <w:pStyle w:val="NormalIndent"/>
        <w:spacing w:before="120" w:after="120"/>
      </w:pPr>
      <w:r>
        <w:t xml:space="preserve">Under </w:t>
      </w:r>
      <w:r w:rsidRPr="00166CDB">
        <w:rPr>
          <w:i/>
        </w:rPr>
        <w:t>Ministerial Standing Direction 3.7.1 – Risk Management Framework and Processes</w:t>
      </w:r>
      <w:r>
        <w:t xml:space="preserve">, the VGRMF applies to departments and public bodies covered by the </w:t>
      </w:r>
      <w:r w:rsidR="00166CDB" w:rsidRPr="00166CDB">
        <w:rPr>
          <w:i/>
        </w:rPr>
        <w:t>Financial Management Act 1994</w:t>
      </w:r>
      <w:r>
        <w:t>. All other agencies are encouraged to adopt the VGRMF to enhance their risk management practices.</w:t>
      </w:r>
    </w:p>
    <w:p w14:paraId="73EB3AA0" w14:textId="6380A850" w:rsidR="00166CDB" w:rsidRDefault="00166CDB" w:rsidP="00594945">
      <w:pPr>
        <w:pStyle w:val="Heading1numbered"/>
        <w:numPr>
          <w:ilvl w:val="0"/>
          <w:numId w:val="5"/>
        </w:numPr>
        <w:spacing w:before="120" w:after="120" w:line="240" w:lineRule="auto"/>
        <w:ind w:left="567" w:hanging="567"/>
      </w:pPr>
      <w:bookmarkStart w:id="6" w:name="_Toc21704074"/>
      <w:r>
        <w:lastRenderedPageBreak/>
        <w:t>Roles and responsibilities</w:t>
      </w:r>
      <w:bookmarkEnd w:id="6"/>
    </w:p>
    <w:p w14:paraId="1647F127" w14:textId="695F096F" w:rsidR="00963D6E" w:rsidRDefault="00963D6E" w:rsidP="00963D6E">
      <w:pPr>
        <w:pStyle w:val="Heading2numbered"/>
        <w:spacing w:before="120" w:after="120" w:line="240" w:lineRule="auto"/>
      </w:pPr>
      <w:bookmarkStart w:id="7" w:name="_Toc21704075"/>
      <w:r>
        <w:t xml:space="preserve">2.1 </w:t>
      </w:r>
      <w:r w:rsidR="00166CDB">
        <w:t>Entities with specific roles and responsibilities un</w:t>
      </w:r>
      <w:r w:rsidR="004B7FAB">
        <w:t>der the</w:t>
      </w:r>
      <w:r>
        <w:t xml:space="preserve"> VGRMF</w:t>
      </w:r>
      <w:bookmarkEnd w:id="7"/>
    </w:p>
    <w:p w14:paraId="32C09320" w14:textId="08C90F50" w:rsidR="00166CDB" w:rsidRDefault="00963D6E" w:rsidP="00963D6E">
      <w:pPr>
        <w:pStyle w:val="Heading3numbered"/>
        <w:spacing w:before="120" w:line="240" w:lineRule="auto"/>
        <w:ind w:left="851" w:hanging="851"/>
        <w:jc w:val="both"/>
      </w:pPr>
      <w:bookmarkStart w:id="8" w:name="_Toc21704076"/>
      <w:r>
        <w:t xml:space="preserve">2.2.1 </w:t>
      </w:r>
      <w:r>
        <w:tab/>
      </w:r>
      <w:r w:rsidR="00166CDB">
        <w:t>All agencies</w:t>
      </w:r>
      <w:bookmarkEnd w:id="8"/>
    </w:p>
    <w:p w14:paraId="613FE838" w14:textId="2B470908" w:rsidR="00E53C05" w:rsidRDefault="00166CDB" w:rsidP="00963D6E">
      <w:pPr>
        <w:pStyle w:val="NormalIndent"/>
        <w:spacing w:before="120" w:after="120" w:line="240" w:lineRule="auto"/>
      </w:pPr>
      <w:r>
        <w:t xml:space="preserve">All agencies must fully comply with the requirements of </w:t>
      </w:r>
      <w:r w:rsidRPr="00166CDB">
        <w:rPr>
          <w:i/>
        </w:rPr>
        <w:t>Ministerial Standing Direction 3.7.1</w:t>
      </w:r>
      <w:r>
        <w:t xml:space="preserve"> and are responsible for appropriately identifying, assessing and managing all risks to which they are exposed. Agencies should establish and maintain effective </w:t>
      </w:r>
      <w:r w:rsidR="000B088C">
        <w:t xml:space="preserve">corporate </w:t>
      </w:r>
      <w:r>
        <w:t>governance that includes an appropriate internal management structure and oversight arrangements for managing risk. The responsible bodies are directly accountable for their organisations</w:t>
      </w:r>
      <w:r w:rsidR="007755D8">
        <w:t>’</w:t>
      </w:r>
      <w:r>
        <w:t xml:space="preserve"> risk management obligations. </w:t>
      </w:r>
      <w:r w:rsidR="00737AC8">
        <w:t xml:space="preserve">Senior management at each agency own and lead engagement with their risk management framework. </w:t>
      </w:r>
    </w:p>
    <w:p w14:paraId="0455CBB8" w14:textId="5F325437" w:rsidR="001567AA" w:rsidRDefault="00737AC8" w:rsidP="00963D6E">
      <w:pPr>
        <w:pStyle w:val="NormalIndent"/>
        <w:spacing w:before="120" w:after="120" w:line="240" w:lineRule="auto"/>
      </w:pPr>
      <w:r>
        <w:t>Agencies should define their risk appetite</w:t>
      </w:r>
      <w:r w:rsidR="00DD178B">
        <w:t xml:space="preserve"> considering their </w:t>
      </w:r>
      <w:r w:rsidR="00E53C05">
        <w:t xml:space="preserve">strategic objectives, </w:t>
      </w:r>
      <w:r w:rsidR="00DD178B">
        <w:t>risk profile, risk / reward trade off</w:t>
      </w:r>
      <w:r>
        <w:t xml:space="preserve"> and risk management budget allocation. Agencies </w:t>
      </w:r>
      <w:r w:rsidR="00DD178B">
        <w:t>are to</w:t>
      </w:r>
      <w:r w:rsidRPr="00737AC8">
        <w:t xml:space="preserve"> </w:t>
      </w:r>
      <w:r w:rsidR="00921EB8">
        <w:t>identify</w:t>
      </w:r>
      <w:r w:rsidRPr="00737AC8">
        <w:t xml:space="preserve"> the specific behaviours expected within the agency which are required to</w:t>
      </w:r>
      <w:r>
        <w:t xml:space="preserve"> reinforce a </w:t>
      </w:r>
      <w:r w:rsidR="00F72DDF">
        <w:t xml:space="preserve">positive </w:t>
      </w:r>
      <w:r>
        <w:t>risk culture.</w:t>
      </w:r>
    </w:p>
    <w:p w14:paraId="43613F97" w14:textId="5D122686" w:rsidR="00F94C26" w:rsidDel="00DD2512" w:rsidRDefault="00166CDB" w:rsidP="00963D6E">
      <w:pPr>
        <w:pStyle w:val="NormalIndent"/>
        <w:spacing w:before="120" w:after="120" w:line="240" w:lineRule="auto"/>
      </w:pPr>
      <w:r>
        <w:t>Under section 13 A of the</w:t>
      </w:r>
      <w:r w:rsidRPr="00166CDB">
        <w:rPr>
          <w:i/>
        </w:rPr>
        <w:t xml:space="preserve"> Public Administration Act 200</w:t>
      </w:r>
      <w:r>
        <w:t xml:space="preserve">4, the department head (Secretary) has responsibilities for advising the portfolio Minister on matters relating to relevant public entities (as defined in the </w:t>
      </w:r>
      <w:r w:rsidRPr="00166CDB">
        <w:rPr>
          <w:i/>
        </w:rPr>
        <w:t>Public Administration Act 2004</w:t>
      </w:r>
      <w:r>
        <w:t xml:space="preserve">) and for working with and providing guidance to these public entities. Consistent with this role, department heads are expected to advise the portfolio Minister on any significant risks relating to the relevant public entities. </w:t>
      </w:r>
    </w:p>
    <w:p w14:paraId="3162F277" w14:textId="2F58E2FC" w:rsidR="00166CDB" w:rsidRDefault="00963D6E" w:rsidP="00963D6E">
      <w:pPr>
        <w:pStyle w:val="Heading3numbered"/>
        <w:spacing w:before="120" w:line="240" w:lineRule="auto"/>
        <w:ind w:left="851" w:hanging="851"/>
        <w:jc w:val="both"/>
      </w:pPr>
      <w:bookmarkStart w:id="9" w:name="_Toc21704077"/>
      <w:r>
        <w:t>2.2.2</w:t>
      </w:r>
      <w:r>
        <w:tab/>
      </w:r>
      <w:r w:rsidR="00166CDB">
        <w:t>Agency audit committee</w:t>
      </w:r>
      <w:bookmarkEnd w:id="9"/>
    </w:p>
    <w:p w14:paraId="3BFC9732" w14:textId="77777777" w:rsidR="00166CDB" w:rsidRDefault="00166CDB" w:rsidP="00963D6E">
      <w:pPr>
        <w:pStyle w:val="NormalIndent"/>
        <w:spacing w:before="120" w:after="120" w:line="240" w:lineRule="auto"/>
      </w:pPr>
      <w:r>
        <w:t xml:space="preserve">Under </w:t>
      </w:r>
      <w:r w:rsidRPr="00166CDB">
        <w:rPr>
          <w:i/>
        </w:rPr>
        <w:t xml:space="preserve">Ministerial Standing Direction </w:t>
      </w:r>
      <w:r w:rsidR="00B470F4">
        <w:rPr>
          <w:i/>
        </w:rPr>
        <w:t>3.2 – Oversight and assurance</w:t>
      </w:r>
      <w:r>
        <w:t xml:space="preserve">, agencies must, unless an exemption has been obtained, appoint an audit committee to oversee and advise the public sector agency on matters of accountability and internal control affecting the operations of the agencies. </w:t>
      </w:r>
    </w:p>
    <w:p w14:paraId="64413C71" w14:textId="053A17E0" w:rsidR="00166CDB" w:rsidRDefault="00166CDB" w:rsidP="00963D6E">
      <w:pPr>
        <w:pStyle w:val="NormalIndent"/>
        <w:spacing w:before="120" w:after="120" w:line="240" w:lineRule="auto"/>
      </w:pPr>
      <w:r>
        <w:t>In relation to risk management</w:t>
      </w:r>
      <w:r w:rsidR="007B54B3">
        <w:t>,</w:t>
      </w:r>
      <w:r>
        <w:t xml:space="preserve"> the responsibilities of a department or agency</w:t>
      </w:r>
      <w:r w:rsidR="007755D8">
        <w:t>’</w:t>
      </w:r>
      <w:r>
        <w:t xml:space="preserve">s audit </w:t>
      </w:r>
      <w:r w:rsidRPr="00FB1197">
        <w:t xml:space="preserve">committee </w:t>
      </w:r>
      <w:r w:rsidR="00FB504A" w:rsidRPr="00061797">
        <w:t>include</w:t>
      </w:r>
      <w:r w:rsidRPr="00061797">
        <w:t>:</w:t>
      </w:r>
    </w:p>
    <w:p w14:paraId="091473E3" w14:textId="043531C0" w:rsidR="00166CDB" w:rsidRDefault="00166CDB" w:rsidP="00963D6E">
      <w:pPr>
        <w:pStyle w:val="Bulletindent"/>
        <w:spacing w:before="120" w:after="120"/>
        <w:contextualSpacing w:val="0"/>
      </w:pPr>
      <w:r>
        <w:t>consider</w:t>
      </w:r>
      <w:r w:rsidR="00FB504A">
        <w:t>ing</w:t>
      </w:r>
      <w:r>
        <w:t xml:space="preserve"> the agency</w:t>
      </w:r>
      <w:r w:rsidR="007755D8">
        <w:t>’</w:t>
      </w:r>
      <w:r>
        <w:t xml:space="preserve">s risk profile and insurance arrangements; </w:t>
      </w:r>
    </w:p>
    <w:p w14:paraId="70AE7C2A" w14:textId="523FE289" w:rsidR="00166CDB" w:rsidRDefault="00166CDB" w:rsidP="00963D6E">
      <w:pPr>
        <w:pStyle w:val="Bulletindent"/>
        <w:spacing w:before="120" w:after="120"/>
        <w:contextualSpacing w:val="0"/>
      </w:pPr>
      <w:r>
        <w:t>review</w:t>
      </w:r>
      <w:r w:rsidR="00FB504A">
        <w:t>ing</w:t>
      </w:r>
      <w:r>
        <w:t xml:space="preserve"> and assess</w:t>
      </w:r>
      <w:r w:rsidR="00FB504A">
        <w:t>ing</w:t>
      </w:r>
      <w:r>
        <w:t xml:space="preserve"> the effectiveness of the agency</w:t>
      </w:r>
      <w:r w:rsidR="007755D8">
        <w:t>’</w:t>
      </w:r>
      <w:r>
        <w:t>s risk management framework;</w:t>
      </w:r>
    </w:p>
    <w:p w14:paraId="70DE5A01" w14:textId="7142F4CA" w:rsidR="00166CDB" w:rsidRDefault="00166CDB" w:rsidP="00963D6E">
      <w:pPr>
        <w:pStyle w:val="Bulletindent"/>
        <w:spacing w:before="120" w:after="120"/>
        <w:contextualSpacing w:val="0"/>
      </w:pPr>
      <w:r>
        <w:t>review</w:t>
      </w:r>
      <w:r w:rsidR="00FB504A">
        <w:t>ing</w:t>
      </w:r>
      <w:r>
        <w:t>, monitor</w:t>
      </w:r>
      <w:r w:rsidR="00FB504A">
        <w:t xml:space="preserve">ing and verifying </w:t>
      </w:r>
      <w:r>
        <w:t xml:space="preserve">compliance with </w:t>
      </w:r>
      <w:r w:rsidRPr="00216B30">
        <w:rPr>
          <w:i/>
        </w:rPr>
        <w:t>Ministerial Standing Direction 3.7.1</w:t>
      </w:r>
      <w:r>
        <w:t xml:space="preserve">; </w:t>
      </w:r>
    </w:p>
    <w:p w14:paraId="5FACDDF4" w14:textId="2BD7F5E7" w:rsidR="00737AC8" w:rsidRDefault="00FB504A" w:rsidP="00963D6E">
      <w:pPr>
        <w:pStyle w:val="Bulletindent"/>
        <w:spacing w:before="120" w:after="120"/>
        <w:contextualSpacing w:val="0"/>
      </w:pPr>
      <w:r>
        <w:t xml:space="preserve">reporting </w:t>
      </w:r>
      <w:r w:rsidR="00166CDB">
        <w:t>to the responsible body on the level of compliance attained</w:t>
      </w:r>
      <w:r w:rsidR="00737AC8">
        <w:t>; and</w:t>
      </w:r>
    </w:p>
    <w:p w14:paraId="1D2FD738" w14:textId="4E9E6C0C" w:rsidR="00166CDB" w:rsidRDefault="001705D1" w:rsidP="00963D6E">
      <w:pPr>
        <w:pStyle w:val="Bulletindent"/>
        <w:spacing w:before="120" w:after="120"/>
        <w:contextualSpacing w:val="0"/>
      </w:pPr>
      <w:r>
        <w:t>review</w:t>
      </w:r>
      <w:r w:rsidR="00FB504A">
        <w:t>ing and providing</w:t>
      </w:r>
      <w:r>
        <w:t xml:space="preserve"> oversight of the agency’s risk appetite and risk culture to ensure it is consistent with the expectations of the agency’s responsible body.</w:t>
      </w:r>
    </w:p>
    <w:p w14:paraId="407EAF68" w14:textId="77777777" w:rsidR="007B54B3" w:rsidRDefault="007B54B3" w:rsidP="00061797">
      <w:pPr>
        <w:pStyle w:val="Bullet1"/>
        <w:numPr>
          <w:ilvl w:val="0"/>
          <w:numId w:val="0"/>
        </w:numPr>
      </w:pPr>
    </w:p>
    <w:p w14:paraId="4F6046C0" w14:textId="5F4BAD4F" w:rsidR="00166CDB" w:rsidRDefault="00963D6E" w:rsidP="00963D6E">
      <w:pPr>
        <w:pStyle w:val="Heading3numbered"/>
        <w:spacing w:before="120" w:line="240" w:lineRule="auto"/>
        <w:ind w:left="851" w:hanging="851"/>
        <w:jc w:val="both"/>
      </w:pPr>
      <w:bookmarkStart w:id="10" w:name="_Toc21704078"/>
      <w:r>
        <w:t xml:space="preserve">2.2.3 </w:t>
      </w:r>
      <w:r>
        <w:tab/>
      </w:r>
      <w:r w:rsidR="00166CDB">
        <w:t>Department of Treasury and Finance</w:t>
      </w:r>
      <w:bookmarkEnd w:id="10"/>
      <w:r w:rsidR="00166CDB">
        <w:t xml:space="preserve"> </w:t>
      </w:r>
    </w:p>
    <w:p w14:paraId="3B871190" w14:textId="77777777" w:rsidR="00166CDB" w:rsidRDefault="00166CDB" w:rsidP="00963D6E">
      <w:pPr>
        <w:pStyle w:val="NormalIndent"/>
        <w:spacing w:before="120" w:after="120" w:line="240" w:lineRule="auto"/>
      </w:pPr>
      <w:r>
        <w:t>The Department of Treasury and Finance (DTF) advi</w:t>
      </w:r>
      <w:r w:rsidR="004B7FAB">
        <w:t xml:space="preserve">ses the Government on policies </w:t>
      </w:r>
      <w:r>
        <w:t>relating to risk management and insurance. DTF is r</w:t>
      </w:r>
      <w:r w:rsidR="004B7FAB">
        <w:t xml:space="preserve">esponsible for maintaining and </w:t>
      </w:r>
      <w:r>
        <w:t xml:space="preserve">updating the VGRMF to ensure that it continues to be aligned with best practice. </w:t>
      </w:r>
    </w:p>
    <w:p w14:paraId="33239FA4" w14:textId="3E658215" w:rsidR="00901200" w:rsidRDefault="00166CDB" w:rsidP="00963D6E">
      <w:pPr>
        <w:pStyle w:val="NormalIndent"/>
        <w:spacing w:before="120" w:after="120" w:line="240" w:lineRule="auto"/>
        <w:rPr>
          <w:rFonts w:asciiTheme="majorHAnsi" w:eastAsiaTheme="majorEastAsia" w:hAnsiTheme="majorHAnsi" w:cstheme="majorBidi"/>
          <w:b/>
          <w:bCs/>
          <w:color w:val="0063A6" w:themeColor="accent1"/>
          <w:sz w:val="22"/>
          <w:szCs w:val="22"/>
        </w:rPr>
      </w:pPr>
      <w:r>
        <w:t xml:space="preserve">DTF monitors compliance with </w:t>
      </w:r>
      <w:r w:rsidRPr="00650E7C">
        <w:rPr>
          <w:i/>
        </w:rPr>
        <w:t>Ministerial Standing Direction 3.7.1</w:t>
      </w:r>
      <w:r>
        <w:t xml:space="preserve"> through the annual attestation process and provides additional guidance on the DTF website at </w:t>
      </w:r>
      <w:hyperlink r:id="rId29" w:history="1">
        <w:r w:rsidRPr="00166CDB">
          <w:rPr>
            <w:rStyle w:val="Hyperlink"/>
          </w:rPr>
          <w:t>www.dtf.vic.gov.au</w:t>
        </w:r>
      </w:hyperlink>
      <w:r>
        <w:t xml:space="preserve">. </w:t>
      </w:r>
    </w:p>
    <w:p w14:paraId="78B0124B" w14:textId="1BC41405" w:rsidR="00166CDB" w:rsidRDefault="00963D6E" w:rsidP="00963D6E">
      <w:pPr>
        <w:pStyle w:val="Heading3numbered"/>
        <w:spacing w:before="120" w:line="240" w:lineRule="auto"/>
        <w:ind w:left="851" w:hanging="851"/>
        <w:jc w:val="both"/>
      </w:pPr>
      <w:bookmarkStart w:id="11" w:name="_Toc21704079"/>
      <w:r>
        <w:lastRenderedPageBreak/>
        <w:t>2.2.4</w:t>
      </w:r>
      <w:r>
        <w:tab/>
      </w:r>
      <w:r w:rsidR="00166CDB">
        <w:t>Victorian Managed Insurance Authority</w:t>
      </w:r>
      <w:bookmarkEnd w:id="11"/>
    </w:p>
    <w:p w14:paraId="15BABE89" w14:textId="77777777" w:rsidR="00301F6A" w:rsidRDefault="00166CDB" w:rsidP="00963D6E">
      <w:pPr>
        <w:pStyle w:val="NormalIndent"/>
        <w:spacing w:before="120" w:after="120" w:line="240" w:lineRule="auto"/>
      </w:pPr>
      <w:r>
        <w:t xml:space="preserve">Under the </w:t>
      </w:r>
      <w:r w:rsidRPr="00650E7C">
        <w:rPr>
          <w:i/>
        </w:rPr>
        <w:t>Victorian Managed Insurance Authority Act 1996</w:t>
      </w:r>
      <w:r>
        <w:t>, VMIA</w:t>
      </w:r>
      <w:r w:rsidR="007755D8">
        <w:t>’</w:t>
      </w:r>
      <w:r>
        <w:t>s functions include assisting agencies in establishing programs for the identification, quantification and management of risks and monitoring risk.</w:t>
      </w:r>
    </w:p>
    <w:p w14:paraId="382C47D7" w14:textId="77777777" w:rsidR="00650E7C" w:rsidRDefault="00650E7C" w:rsidP="00963D6E">
      <w:pPr>
        <w:pStyle w:val="NormalIndent"/>
        <w:spacing w:before="120" w:after="120" w:line="240" w:lineRule="auto"/>
      </w:pPr>
      <w:r>
        <w:t>VMIA has a support role to play in the implementation of the VGRMF through assisting agencies with technical expertise and advice on risk management best practice and standards. VMIA has legislative responsibilities in rela</w:t>
      </w:r>
      <w:r w:rsidR="004B7FAB">
        <w:t xml:space="preserve">tion to public sector agencies </w:t>
      </w:r>
      <w:r>
        <w:t>under the Act, including:</w:t>
      </w:r>
    </w:p>
    <w:p w14:paraId="15CCD42E" w14:textId="77777777" w:rsidR="00650E7C" w:rsidRDefault="00650E7C" w:rsidP="00963D6E">
      <w:pPr>
        <w:pStyle w:val="Bulletindent"/>
        <w:spacing w:before="120" w:after="120"/>
        <w:contextualSpacing w:val="0"/>
      </w:pPr>
      <w:r>
        <w:t>assisting to establish programs to identify, quantify and manage risks;</w:t>
      </w:r>
    </w:p>
    <w:p w14:paraId="6DF4B0B7" w14:textId="77777777" w:rsidR="00650E7C" w:rsidRDefault="00650E7C" w:rsidP="00963D6E">
      <w:pPr>
        <w:pStyle w:val="Bulletindent"/>
        <w:spacing w:before="120" w:after="120"/>
        <w:contextualSpacing w:val="0"/>
      </w:pPr>
      <w:r>
        <w:t>monitoring risk management maturity and capability;</w:t>
      </w:r>
    </w:p>
    <w:p w14:paraId="5F2C4BAC" w14:textId="77777777" w:rsidR="00650E7C" w:rsidRDefault="00650E7C" w:rsidP="00963D6E">
      <w:pPr>
        <w:pStyle w:val="Bulletindent"/>
        <w:spacing w:before="120" w:after="120"/>
        <w:contextualSpacing w:val="0"/>
      </w:pPr>
      <w:r>
        <w:t>providing risk management advice and training;</w:t>
      </w:r>
    </w:p>
    <w:p w14:paraId="415FF49A" w14:textId="705121E3" w:rsidR="00650E7C" w:rsidRDefault="00650E7C" w:rsidP="00963D6E">
      <w:pPr>
        <w:pStyle w:val="Bulletindent"/>
        <w:spacing w:before="120" w:after="120"/>
        <w:contextualSpacing w:val="0"/>
      </w:pPr>
      <w:r>
        <w:t>advising the government on risk management; and</w:t>
      </w:r>
      <w:r w:rsidR="00C83015">
        <w:tab/>
      </w:r>
    </w:p>
    <w:p w14:paraId="1937A019" w14:textId="77777777" w:rsidR="00650E7C" w:rsidRDefault="00650E7C" w:rsidP="00963D6E">
      <w:pPr>
        <w:pStyle w:val="Bulletindent"/>
        <w:spacing w:before="120" w:after="120"/>
        <w:contextualSpacing w:val="0"/>
      </w:pPr>
      <w:r>
        <w:t>acting as an insurer.</w:t>
      </w:r>
    </w:p>
    <w:p w14:paraId="0605A4FE" w14:textId="0B4E7B2E" w:rsidR="00650E7C" w:rsidRDefault="00650E7C" w:rsidP="00963D6E">
      <w:pPr>
        <w:pStyle w:val="NormalIndent"/>
        <w:spacing w:before="120" w:after="120" w:line="240" w:lineRule="auto"/>
      </w:pPr>
      <w:r>
        <w:t>VMIA guides and supports agencies to apply the VGRMF by providing risk guidelines, training and support</w:t>
      </w:r>
      <w:r w:rsidR="00B92B45">
        <w:t xml:space="preserve"> and</w:t>
      </w:r>
      <w:r>
        <w:t xml:space="preserve"> risk maturity assessments</w:t>
      </w:r>
      <w:r w:rsidR="00B92B45">
        <w:t>.</w:t>
      </w:r>
    </w:p>
    <w:p w14:paraId="219769CF" w14:textId="63F3510F" w:rsidR="00650E7C" w:rsidRDefault="00963D6E" w:rsidP="00963D6E">
      <w:pPr>
        <w:pStyle w:val="Heading2numbered"/>
        <w:spacing w:before="120" w:after="120" w:line="240" w:lineRule="auto"/>
        <w:ind w:left="709" w:hanging="709"/>
      </w:pPr>
      <w:bookmarkStart w:id="12" w:name="_Toc21704080"/>
      <w:r>
        <w:t xml:space="preserve">2.3 </w:t>
      </w:r>
      <w:r>
        <w:tab/>
      </w:r>
      <w:r w:rsidR="00650E7C">
        <w:t>Other entities with roles and responsibilities in public sector management</w:t>
      </w:r>
      <w:bookmarkEnd w:id="12"/>
    </w:p>
    <w:p w14:paraId="48C2F341" w14:textId="5CEDF5DB" w:rsidR="00650E7C" w:rsidRDefault="00346D6E" w:rsidP="00346D6E">
      <w:pPr>
        <w:pStyle w:val="Heading3numbered"/>
        <w:spacing w:before="120" w:line="240" w:lineRule="auto"/>
        <w:ind w:left="709" w:hanging="709"/>
        <w:jc w:val="both"/>
      </w:pPr>
      <w:bookmarkStart w:id="13" w:name="_Toc21704081"/>
      <w:r>
        <w:t>2.3.1</w:t>
      </w:r>
      <w:r>
        <w:tab/>
      </w:r>
      <w:r w:rsidR="00650E7C">
        <w:t>Victorian Secretaries Board</w:t>
      </w:r>
      <w:bookmarkEnd w:id="13"/>
    </w:p>
    <w:p w14:paraId="53B6E6FB" w14:textId="0A8317C8" w:rsidR="001705D1" w:rsidRDefault="00650E7C" w:rsidP="00963D6E">
      <w:pPr>
        <w:pStyle w:val="NormalIndent"/>
        <w:spacing w:before="120" w:after="120" w:line="240" w:lineRule="auto"/>
      </w:pPr>
      <w:r>
        <w:t>The Victorian Secretaries Board</w:t>
      </w:r>
      <w:r w:rsidR="001705D1">
        <w:t xml:space="preserve"> (VSB)</w:t>
      </w:r>
      <w:r>
        <w:t xml:space="preserve"> has strategic oversight of public administration in Victoria including opportunities and risks faced by Victorian departments and public agencies. It also supports effective coordination, collaboration and communication between departments and public agencies.</w:t>
      </w:r>
      <w:r w:rsidR="001705D1">
        <w:t xml:space="preserve"> The VSB receives periodical reporting on state significant risks.</w:t>
      </w:r>
    </w:p>
    <w:p w14:paraId="28C77338" w14:textId="3F60258F" w:rsidR="00650E7C" w:rsidDel="00021A14" w:rsidRDefault="00346D6E" w:rsidP="00963D6E">
      <w:pPr>
        <w:pStyle w:val="Heading3numbered"/>
        <w:spacing w:before="120" w:line="240" w:lineRule="auto"/>
        <w:ind w:left="851" w:hanging="851"/>
        <w:jc w:val="both"/>
      </w:pPr>
      <w:bookmarkStart w:id="14" w:name="_Toc21704082"/>
      <w:r>
        <w:t>2.3.2</w:t>
      </w:r>
      <w:r>
        <w:tab/>
      </w:r>
      <w:r w:rsidR="00E53C05">
        <w:t xml:space="preserve">State Significant </w:t>
      </w:r>
      <w:r w:rsidR="001705D1">
        <w:t>Risk Interdepartmental Committee</w:t>
      </w:r>
      <w:bookmarkEnd w:id="14"/>
    </w:p>
    <w:p w14:paraId="427E4D85" w14:textId="0D7D1F2B" w:rsidR="001705D1" w:rsidRDefault="001705D1" w:rsidP="00963D6E">
      <w:pPr>
        <w:pStyle w:val="NormalIndent"/>
        <w:spacing w:before="120" w:after="120" w:line="240" w:lineRule="auto"/>
      </w:pPr>
      <w:r>
        <w:t xml:space="preserve">The purpose of the </w:t>
      </w:r>
      <w:r w:rsidR="00E53C05">
        <w:t xml:space="preserve">State Significant </w:t>
      </w:r>
      <w:r>
        <w:t>Risk Interdepartmental Committee (‘Risk IDC’) is to support the identification of key shared and state significant risks and the development, operation and effectiveness of the whole-of-government risk management frameworks related to those risks.</w:t>
      </w:r>
    </w:p>
    <w:p w14:paraId="5A6DA0D5" w14:textId="2CD4C4D1" w:rsidR="001705D1" w:rsidRDefault="001705D1" w:rsidP="00963D6E">
      <w:pPr>
        <w:pStyle w:val="NormalIndent"/>
        <w:spacing w:before="120" w:after="120" w:line="240" w:lineRule="auto"/>
      </w:pPr>
      <w:r>
        <w:t xml:space="preserve">The Risk IDC plays a vital role in the management of state significant </w:t>
      </w:r>
      <w:r w:rsidR="00885CE3">
        <w:t xml:space="preserve">risks and receives </w:t>
      </w:r>
      <w:r w:rsidR="004A7163">
        <w:t xml:space="preserve">periodic </w:t>
      </w:r>
      <w:r w:rsidR="00885CE3">
        <w:t>reporting from all agencies to support the monitoring and reporting of state significant risks.</w:t>
      </w:r>
      <w:r w:rsidR="00FB1197">
        <w:t xml:space="preserve">  DTF serves as the Risk IDC’s Secretariat.</w:t>
      </w:r>
    </w:p>
    <w:p w14:paraId="1A0015C6" w14:textId="364A62C3" w:rsidR="00650E7C" w:rsidRDefault="00346D6E" w:rsidP="00963D6E">
      <w:pPr>
        <w:pStyle w:val="Heading3numbered"/>
        <w:spacing w:before="120" w:line="240" w:lineRule="auto"/>
        <w:ind w:left="851" w:hanging="851"/>
        <w:jc w:val="both"/>
      </w:pPr>
      <w:bookmarkStart w:id="15" w:name="_Toc21704083"/>
      <w:r>
        <w:t>2.3.3</w:t>
      </w:r>
      <w:r>
        <w:tab/>
      </w:r>
      <w:r w:rsidR="00650E7C">
        <w:t>Department of Premier and Cabinet</w:t>
      </w:r>
      <w:bookmarkEnd w:id="15"/>
    </w:p>
    <w:p w14:paraId="10501C95" w14:textId="77777777" w:rsidR="00301F6A" w:rsidRDefault="00650E7C" w:rsidP="00963D6E">
      <w:pPr>
        <w:pStyle w:val="NormalIndent"/>
        <w:spacing w:before="120" w:after="120" w:line="240" w:lineRule="auto"/>
      </w:pPr>
      <w:r>
        <w:t>The Department of Premier and Cabinet (DPC) plays a pivotal role in management of state significant risk through coordination of the Cabinet process and support of the Premier on government wide issues, as well as in the Premier</w:t>
      </w:r>
      <w:r w:rsidR="007755D8">
        <w:t>’</w:t>
      </w:r>
      <w:r>
        <w:t>s portfolio of ministerial responsibilities.</w:t>
      </w:r>
    </w:p>
    <w:p w14:paraId="6C6536D3" w14:textId="5791B1C3" w:rsidR="00FA57D2" w:rsidRDefault="00346D6E" w:rsidP="00963D6E">
      <w:pPr>
        <w:pStyle w:val="Heading3numbered"/>
        <w:spacing w:before="120" w:line="240" w:lineRule="auto"/>
        <w:ind w:left="851" w:hanging="851"/>
        <w:jc w:val="both"/>
      </w:pPr>
      <w:bookmarkStart w:id="16" w:name="_Toc21704084"/>
      <w:r>
        <w:t>2.3.4</w:t>
      </w:r>
      <w:r>
        <w:tab/>
      </w:r>
      <w:r w:rsidR="00FA57D2">
        <w:t>Victorian Public Sector Commission</w:t>
      </w:r>
      <w:bookmarkEnd w:id="16"/>
    </w:p>
    <w:p w14:paraId="01F52D6C" w14:textId="257CCF9F" w:rsidR="00301F6A" w:rsidRDefault="00FA57D2" w:rsidP="00963D6E">
      <w:pPr>
        <w:pStyle w:val="NormalIndent"/>
        <w:spacing w:before="120" w:after="120" w:line="240" w:lineRule="auto"/>
      </w:pPr>
      <w:r>
        <w:t>The Victorian Public Sector Commission promotes high standards of governance, accountability and performance in the Victorian public sector. The Commission produces guidance materials to support effective public sector gove</w:t>
      </w:r>
      <w:r w:rsidR="004B7FAB">
        <w:t xml:space="preserve">rnance. This includes guidance </w:t>
      </w:r>
      <w:r>
        <w:t>on the role of public entity boards in ensuring appropriate risk management policies and practices.</w:t>
      </w:r>
    </w:p>
    <w:p w14:paraId="4035D330" w14:textId="068C6DD1" w:rsidR="00FB1197" w:rsidRDefault="00FB1197" w:rsidP="00963D6E">
      <w:pPr>
        <w:pStyle w:val="NormalIndent"/>
        <w:spacing w:before="120" w:after="120" w:line="240" w:lineRule="auto"/>
      </w:pPr>
      <w:r>
        <w:t xml:space="preserve">A separate State Crisis and Resilience Council (see </w:t>
      </w:r>
      <w:r w:rsidR="00886961">
        <w:t>A</w:t>
      </w:r>
      <w:r>
        <w:t>ppendix 2) has also been established to support the state prepare and respond to emergency management risks.</w:t>
      </w:r>
    </w:p>
    <w:p w14:paraId="35DC49F3" w14:textId="249C50FE" w:rsidR="00FA57D2" w:rsidRDefault="00FA57D2" w:rsidP="00594945">
      <w:pPr>
        <w:pStyle w:val="Heading1numbered"/>
        <w:numPr>
          <w:ilvl w:val="0"/>
          <w:numId w:val="5"/>
        </w:numPr>
        <w:spacing w:before="120" w:after="120" w:line="240" w:lineRule="auto"/>
        <w:ind w:hanging="720"/>
      </w:pPr>
      <w:bookmarkStart w:id="17" w:name="_Toc21704085"/>
      <w:r>
        <w:lastRenderedPageBreak/>
        <w:t>Mandatory requirements</w:t>
      </w:r>
      <w:bookmarkEnd w:id="17"/>
    </w:p>
    <w:p w14:paraId="5F0DAE38" w14:textId="04989A90" w:rsidR="00FA57D2" w:rsidRDefault="00346D6E" w:rsidP="00963D6E">
      <w:pPr>
        <w:pStyle w:val="Heading2numbered"/>
        <w:spacing w:before="120" w:after="120" w:line="240" w:lineRule="auto"/>
      </w:pPr>
      <w:bookmarkStart w:id="18" w:name="_Toc21704086"/>
      <w:r>
        <w:t>3.1</w:t>
      </w:r>
      <w:r>
        <w:tab/>
      </w:r>
      <w:r w:rsidR="00FA57D2">
        <w:t>Mandatory requirements</w:t>
      </w:r>
      <w:bookmarkEnd w:id="18"/>
    </w:p>
    <w:p w14:paraId="2AE17B01" w14:textId="77777777" w:rsidR="00FA57D2" w:rsidRDefault="00FA57D2" w:rsidP="00963D6E">
      <w:pPr>
        <w:pStyle w:val="NormalIndent"/>
        <w:spacing w:before="120" w:after="120" w:line="240" w:lineRule="auto"/>
      </w:pPr>
      <w:r w:rsidRPr="00FA57D2">
        <w:rPr>
          <w:i/>
        </w:rPr>
        <w:t>Ministerial Standing Direction 3.7.1 – Risk Management Framework and Processes</w:t>
      </w:r>
      <w:r>
        <w:t xml:space="preserve"> directs that the responsible body must ensure the agency complies with the mandatory requirements set out in the VGRMF.</w:t>
      </w:r>
    </w:p>
    <w:p w14:paraId="273894FB" w14:textId="77777777" w:rsidR="00301F6A" w:rsidRDefault="00FA57D2" w:rsidP="00963D6E">
      <w:pPr>
        <w:pStyle w:val="NormalIndent"/>
        <w:spacing w:before="120" w:after="120" w:line="240" w:lineRule="auto"/>
      </w:pPr>
      <w:r>
        <w:t xml:space="preserve">To comply with </w:t>
      </w:r>
      <w:r w:rsidRPr="00FA57D2">
        <w:rPr>
          <w:i/>
        </w:rPr>
        <w:t>Ministerial Standing Direction 3.7.1</w:t>
      </w:r>
      <w:r>
        <w:t xml:space="preserve"> agencies need to meet the following mandatory requirements. The responsibility for the agency</w:t>
      </w:r>
      <w:r w:rsidR="007755D8">
        <w:t>’</w:t>
      </w:r>
      <w:r>
        <w:t>s risk management performance rests primarily with the responsible body.</w:t>
      </w:r>
      <w:r w:rsidR="00901200">
        <w:t xml:space="preserve"> </w:t>
      </w:r>
    </w:p>
    <w:tbl>
      <w:tblPr>
        <w:tblStyle w:val="DTFtexttableindent"/>
        <w:tblW w:w="8505" w:type="dxa"/>
        <w:tblLayout w:type="fixed"/>
        <w:tblLook w:val="04A0" w:firstRow="1" w:lastRow="0" w:firstColumn="1" w:lastColumn="0" w:noHBand="0" w:noVBand="1"/>
      </w:tblPr>
      <w:tblGrid>
        <w:gridCol w:w="8505"/>
      </w:tblGrid>
      <w:tr w:rsidR="00297399" w:rsidRPr="00733818" w14:paraId="7236BAF8" w14:textId="77777777" w:rsidTr="009012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05" w:type="dxa"/>
          </w:tcPr>
          <w:p w14:paraId="40B81CD4" w14:textId="77777777" w:rsidR="00297399" w:rsidRPr="0027130D" w:rsidRDefault="00297399" w:rsidP="00901200">
            <w:pPr>
              <w:pStyle w:val="Tableheader"/>
              <w:keepNext w:val="0"/>
              <w:keepLines w:val="0"/>
            </w:pPr>
            <w:r w:rsidRPr="0027130D">
              <w:t xml:space="preserve">Mandatory </w:t>
            </w:r>
            <w:r>
              <w:t>r</w:t>
            </w:r>
            <w:r w:rsidRPr="0027130D">
              <w:t>equirements of the Victorian Government Risk Management Framework</w:t>
            </w:r>
          </w:p>
        </w:tc>
      </w:tr>
      <w:tr w:rsidR="00297399" w:rsidRPr="00733818" w14:paraId="560053D5" w14:textId="77777777" w:rsidTr="00901200">
        <w:trPr>
          <w:cantSplit w:val="0"/>
        </w:trPr>
        <w:tc>
          <w:tcPr>
            <w:cnfStyle w:val="001000000000" w:firstRow="0" w:lastRow="0" w:firstColumn="1" w:lastColumn="0" w:oddVBand="0" w:evenVBand="0" w:oddHBand="0" w:evenHBand="0" w:firstRowFirstColumn="0" w:firstRowLastColumn="0" w:lastRowFirstColumn="0" w:lastRowLastColumn="0"/>
            <w:tcW w:w="8505" w:type="dxa"/>
          </w:tcPr>
          <w:p w14:paraId="38AFA0A6" w14:textId="7145B1E7" w:rsidR="00297399" w:rsidRPr="00733818" w:rsidRDefault="0036322B" w:rsidP="00346D6E">
            <w:pPr>
              <w:pStyle w:val="Heading3numbered"/>
              <w:keepNext w:val="0"/>
              <w:keepLines w:val="0"/>
            </w:pPr>
            <w:bookmarkStart w:id="19" w:name="_Toc415751177"/>
            <w:bookmarkStart w:id="20" w:name="_Toc21704087"/>
            <w:r>
              <w:t>1.</w:t>
            </w:r>
            <w:r w:rsidR="00346D6E">
              <w:t xml:space="preserve">  </w:t>
            </w:r>
            <w:r w:rsidR="00297399" w:rsidRPr="00733818">
              <w:t xml:space="preserve">Risk </w:t>
            </w:r>
            <w:r w:rsidR="00297399" w:rsidRPr="00B553F9">
              <w:t>management</w:t>
            </w:r>
            <w:r w:rsidR="00297399" w:rsidRPr="00733818">
              <w:t xml:space="preserve"> requirements</w:t>
            </w:r>
            <w:bookmarkEnd w:id="19"/>
            <w:bookmarkEnd w:id="20"/>
          </w:p>
          <w:p w14:paraId="44B2D127" w14:textId="77777777" w:rsidR="00297399" w:rsidRPr="00733818" w:rsidRDefault="00297399" w:rsidP="00901200">
            <w:pPr>
              <w:pStyle w:val="Tabletext"/>
            </w:pPr>
            <w:r w:rsidRPr="00733818">
              <w:t xml:space="preserve">The </w:t>
            </w:r>
            <w:r>
              <w:rPr>
                <w:b/>
              </w:rPr>
              <w:t>r</w:t>
            </w:r>
            <w:r w:rsidRPr="00733818">
              <w:rPr>
                <w:b/>
              </w:rPr>
              <w:t xml:space="preserve">esponsible </w:t>
            </w:r>
            <w:r>
              <w:rPr>
                <w:b/>
              </w:rPr>
              <w:t>b</w:t>
            </w:r>
            <w:r w:rsidRPr="00733818">
              <w:rPr>
                <w:b/>
              </w:rPr>
              <w:t>ody</w:t>
            </w:r>
            <w:r w:rsidRPr="00733818">
              <w:t xml:space="preserve"> must be satisfied that:</w:t>
            </w:r>
          </w:p>
          <w:p w14:paraId="1B0E9EA3" w14:textId="5138AD08" w:rsidR="00297399" w:rsidRPr="00733818" w:rsidRDefault="00297399" w:rsidP="00901200">
            <w:pPr>
              <w:pStyle w:val="Tablebullet"/>
            </w:pPr>
            <w:r w:rsidRPr="00733818">
              <w:t xml:space="preserve">the agency has a risk management framework in place consistent with </w:t>
            </w:r>
            <w:r w:rsidR="00F41C64">
              <w:t xml:space="preserve">AS </w:t>
            </w:r>
            <w:r w:rsidRPr="0079013E">
              <w:rPr>
                <w:i/>
              </w:rPr>
              <w:t>ISO 31000:</w:t>
            </w:r>
            <w:r w:rsidR="00885CE3">
              <w:rPr>
                <w:i/>
              </w:rPr>
              <w:t>2018</w:t>
            </w:r>
            <w:r w:rsidR="00885CE3" w:rsidRPr="0079013E">
              <w:rPr>
                <w:i/>
              </w:rPr>
              <w:t xml:space="preserve"> </w:t>
            </w:r>
            <w:r w:rsidRPr="0079013E">
              <w:rPr>
                <w:i/>
              </w:rPr>
              <w:t>Risk Management –</w:t>
            </w:r>
            <w:r w:rsidR="00885CE3">
              <w:rPr>
                <w:i/>
              </w:rPr>
              <w:t xml:space="preserve"> </w:t>
            </w:r>
            <w:r w:rsidRPr="0079013E">
              <w:rPr>
                <w:i/>
              </w:rPr>
              <w:t>Guidelines</w:t>
            </w:r>
            <w:r w:rsidRPr="00733818">
              <w:t>;</w:t>
            </w:r>
          </w:p>
          <w:p w14:paraId="74058F18" w14:textId="6A6463CB" w:rsidR="0022784D" w:rsidRPr="00061797" w:rsidRDefault="0022784D" w:rsidP="0022784D">
            <w:pPr>
              <w:pStyle w:val="Tablebullet"/>
            </w:pPr>
            <w:r w:rsidRPr="00061797">
              <w:t xml:space="preserve">the risk management framework </w:t>
            </w:r>
            <w:r w:rsidR="00297399" w:rsidRPr="00061797">
              <w:t>is reviewed annually to ensure it remains current and is enhanced, as required;</w:t>
            </w:r>
            <w:r w:rsidRPr="00061797">
              <w:t xml:space="preserve"> </w:t>
            </w:r>
          </w:p>
          <w:p w14:paraId="5FD855A0" w14:textId="07E42C58" w:rsidR="00297399" w:rsidRPr="00061797" w:rsidRDefault="00885CE3" w:rsidP="0022784D">
            <w:pPr>
              <w:pStyle w:val="Tablebullet"/>
            </w:pPr>
            <w:r w:rsidRPr="00061797">
              <w:t>a positive risk culture in the agency is able to be demonstrated</w:t>
            </w:r>
            <w:r w:rsidR="00893F89">
              <w:t>;</w:t>
            </w:r>
          </w:p>
          <w:p w14:paraId="0959B87D" w14:textId="46C33647" w:rsidR="00297399" w:rsidRPr="00733818" w:rsidRDefault="00297399" w:rsidP="00901200">
            <w:pPr>
              <w:pStyle w:val="Tablebullet"/>
            </w:pPr>
            <w:r w:rsidRPr="00733818">
              <w:t xml:space="preserve">the </w:t>
            </w:r>
            <w:r w:rsidR="00A31ACB">
              <w:t>agency</w:t>
            </w:r>
            <w:r w:rsidR="0022784D">
              <w:t xml:space="preserve"> defines its</w:t>
            </w:r>
            <w:r w:rsidR="00885CE3">
              <w:t xml:space="preserve"> risk appetite</w:t>
            </w:r>
            <w:r w:rsidRPr="00733818">
              <w:t>;</w:t>
            </w:r>
          </w:p>
          <w:p w14:paraId="52075353" w14:textId="77777777" w:rsidR="00297399" w:rsidRPr="00733818" w:rsidRDefault="00297399" w:rsidP="00901200">
            <w:pPr>
              <w:pStyle w:val="Tablebullet"/>
            </w:pPr>
            <w:r w:rsidRPr="00733818">
              <w:t>it is clear who is responsible for managing each risk;</w:t>
            </w:r>
          </w:p>
          <w:p w14:paraId="7E146EAA" w14:textId="0A79DF56" w:rsidR="0016401B" w:rsidRPr="00733818" w:rsidRDefault="00885CE3" w:rsidP="00885CE3">
            <w:pPr>
              <w:pStyle w:val="Tablebullet"/>
            </w:pPr>
            <w:r w:rsidRPr="00885CE3">
              <w:t>'shared risks are identified and managed through communication, collaboration and</w:t>
            </w:r>
            <w:r w:rsidR="00816DAC">
              <w:t>/or</w:t>
            </w:r>
            <w:r w:rsidRPr="00885CE3">
              <w:t xml:space="preserve"> coordination by the impacted </w:t>
            </w:r>
            <w:r w:rsidR="000D4AB8">
              <w:t>agencies</w:t>
            </w:r>
            <w:r w:rsidR="00297399" w:rsidRPr="00733818">
              <w:t>;</w:t>
            </w:r>
          </w:p>
          <w:p w14:paraId="70E675F4" w14:textId="09F24266" w:rsidR="00297399" w:rsidRPr="00294D1E" w:rsidRDefault="00297399" w:rsidP="00901200">
            <w:pPr>
              <w:pStyle w:val="Tablebullet"/>
            </w:pPr>
            <w:r w:rsidRPr="00294D1E">
              <w:t>the agency contributes to the</w:t>
            </w:r>
            <w:r w:rsidR="000D4AB8">
              <w:t xml:space="preserve"> identification and </w:t>
            </w:r>
            <w:r w:rsidRPr="00294D1E">
              <w:t>management of state significant risks, as appropriate;</w:t>
            </w:r>
          </w:p>
          <w:p w14:paraId="67F90A38" w14:textId="702D0293" w:rsidR="00297399" w:rsidRPr="00294D1E" w:rsidRDefault="000D4AB8" w:rsidP="00901200">
            <w:pPr>
              <w:pStyle w:val="Tablebullet"/>
            </w:pPr>
            <w:r w:rsidRPr="00061797">
              <w:rPr>
                <w:rFonts w:asciiTheme="majorHAnsi" w:hAnsiTheme="majorHAnsi" w:cstheme="majorHAnsi"/>
                <w:color w:val="222222"/>
              </w:rPr>
              <w:t xml:space="preserve">strategic </w:t>
            </w:r>
            <w:r w:rsidR="00FB1197" w:rsidRPr="00061797">
              <w:rPr>
                <w:rFonts w:asciiTheme="majorHAnsi" w:hAnsiTheme="majorHAnsi" w:cstheme="majorHAnsi"/>
                <w:color w:val="222222"/>
              </w:rPr>
              <w:t xml:space="preserve">and business </w:t>
            </w:r>
            <w:r w:rsidRPr="00061797">
              <w:rPr>
                <w:rFonts w:asciiTheme="majorHAnsi" w:hAnsiTheme="majorHAnsi" w:cstheme="majorHAnsi"/>
                <w:color w:val="222222"/>
              </w:rPr>
              <w:t>planning and decision-making processes embed risk management and demonstrate consideration of the agency’s material risks</w:t>
            </w:r>
            <w:r w:rsidR="00297399" w:rsidRPr="00294D1E">
              <w:t>;</w:t>
            </w:r>
          </w:p>
          <w:p w14:paraId="5809F563" w14:textId="77777777" w:rsidR="00297399" w:rsidRPr="00294D1E" w:rsidRDefault="00297399" w:rsidP="00901200">
            <w:pPr>
              <w:pStyle w:val="Tablebullet"/>
            </w:pPr>
            <w:r w:rsidRPr="00294D1E">
              <w:t>adequate resources are assigned to risk management; and</w:t>
            </w:r>
          </w:p>
          <w:p w14:paraId="1117B826" w14:textId="649AD6CC" w:rsidR="00297399" w:rsidRPr="00901200" w:rsidRDefault="00297399" w:rsidP="00901200">
            <w:pPr>
              <w:pStyle w:val="Tablebullet"/>
            </w:pPr>
            <w:r w:rsidRPr="00294D1E">
              <w:t xml:space="preserve">the agency risk profile </w:t>
            </w:r>
            <w:r w:rsidR="00885CE3" w:rsidRPr="00294D1E">
              <w:rPr>
                <w:lang w:val="en-GB"/>
              </w:rPr>
              <w:t>and risk appetite must be reviewed at least annually</w:t>
            </w:r>
            <w:r w:rsidR="00901200" w:rsidRPr="00294D1E">
              <w:t>.</w:t>
            </w:r>
            <w:r w:rsidR="00901200">
              <w:t xml:space="preserve"> </w:t>
            </w:r>
          </w:p>
        </w:tc>
      </w:tr>
      <w:tr w:rsidR="00901200" w:rsidRPr="00733818" w14:paraId="6ACF6341" w14:textId="77777777" w:rsidTr="00901200">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8505" w:type="dxa"/>
          </w:tcPr>
          <w:p w14:paraId="659CFDE6" w14:textId="66EC887B" w:rsidR="00901200" w:rsidRPr="0036322B" w:rsidRDefault="0036322B" w:rsidP="0036322B">
            <w:pPr>
              <w:pStyle w:val="Tablenum1"/>
              <w:numPr>
                <w:ilvl w:val="0"/>
                <w:numId w:val="0"/>
              </w:numPr>
              <w:rPr>
                <w:rFonts w:asciiTheme="majorHAnsi" w:eastAsiaTheme="majorEastAsia" w:hAnsiTheme="majorHAnsi" w:cstheme="majorBidi"/>
                <w:b/>
                <w:bCs/>
                <w:color w:val="0063A6" w:themeColor="accent1"/>
                <w:sz w:val="22"/>
                <w:szCs w:val="22"/>
              </w:rPr>
            </w:pPr>
            <w:r>
              <w:rPr>
                <w:rFonts w:asciiTheme="majorHAnsi" w:eastAsiaTheme="majorEastAsia" w:hAnsiTheme="majorHAnsi" w:cstheme="majorBidi"/>
                <w:b/>
                <w:bCs/>
                <w:color w:val="0063A6" w:themeColor="accent1"/>
                <w:sz w:val="22"/>
                <w:szCs w:val="22"/>
              </w:rPr>
              <w:t xml:space="preserve">2.  </w:t>
            </w:r>
            <w:r w:rsidR="00901200" w:rsidRPr="0036322B">
              <w:rPr>
                <w:rFonts w:asciiTheme="majorHAnsi" w:eastAsiaTheme="majorEastAsia" w:hAnsiTheme="majorHAnsi" w:cstheme="majorBidi"/>
                <w:b/>
                <w:bCs/>
                <w:color w:val="0063A6" w:themeColor="accent1"/>
                <w:sz w:val="22"/>
                <w:szCs w:val="22"/>
              </w:rPr>
              <w:t>Insurance requirements</w:t>
            </w:r>
          </w:p>
          <w:p w14:paraId="3943999A" w14:textId="0E48928D" w:rsidR="0036322B" w:rsidRDefault="0036322B" w:rsidP="0036322B">
            <w:pPr>
              <w:pStyle w:val="Tablebullet"/>
              <w:numPr>
                <w:ilvl w:val="0"/>
                <w:numId w:val="0"/>
              </w:numPr>
              <w:ind w:left="288" w:hanging="288"/>
              <w:rPr>
                <w:lang w:val="en-US"/>
              </w:rPr>
            </w:pPr>
            <w:r w:rsidRPr="0036322B">
              <w:rPr>
                <w:rFonts w:asciiTheme="majorHAnsi" w:eastAsia="Times New Roman" w:hAnsiTheme="majorHAnsi" w:cstheme="majorHAnsi"/>
                <w:color w:val="222222"/>
                <w:spacing w:val="0"/>
                <w:szCs w:val="17"/>
                <w:lang w:val="en-US"/>
              </w:rPr>
              <w:t>The Responsible Body of an agency required to insure with VMIA (as defined by the VMIA Act) must:</w:t>
            </w:r>
          </w:p>
          <w:p w14:paraId="1C68A4FA" w14:textId="3E11D57B" w:rsidR="0036322B" w:rsidRPr="0036322B" w:rsidRDefault="0036322B" w:rsidP="0036322B">
            <w:pPr>
              <w:pStyle w:val="Tablebullet"/>
              <w:rPr>
                <w:lang w:val="en-US"/>
              </w:rPr>
            </w:pPr>
            <w:r w:rsidRPr="0036322B">
              <w:rPr>
                <w:lang w:val="en-US"/>
              </w:rPr>
              <w:t>Determine the most appropriate insurance products and levels of cover for the organisation</w:t>
            </w:r>
            <w:r w:rsidR="00921EB8">
              <w:rPr>
                <w:lang w:val="en-US"/>
              </w:rPr>
              <w:t>’</w:t>
            </w:r>
            <w:r w:rsidRPr="0036322B">
              <w:rPr>
                <w:lang w:val="en-US"/>
              </w:rPr>
              <w:t>s present and future risk exposures, in consultation with VMIA.</w:t>
            </w:r>
          </w:p>
          <w:p w14:paraId="758DC6E9" w14:textId="77777777" w:rsidR="0036322B" w:rsidRPr="0036322B" w:rsidRDefault="0036322B" w:rsidP="0036322B">
            <w:pPr>
              <w:pStyle w:val="Tablebullet"/>
              <w:rPr>
                <w:lang w:val="en-US"/>
              </w:rPr>
            </w:pPr>
            <w:r w:rsidRPr="0036322B">
              <w:rPr>
                <w:lang w:val="en-US"/>
              </w:rPr>
              <w:t>Arrange all its insurance with VMIA, unless exempted by the responsible Minister or where VMIA cannot offer insurance for a specific risk.</w:t>
            </w:r>
          </w:p>
          <w:p w14:paraId="5B14CC68" w14:textId="09C8C2CF" w:rsidR="0036322B" w:rsidRPr="0036322B" w:rsidRDefault="0036322B" w:rsidP="0036322B">
            <w:pPr>
              <w:pStyle w:val="Tablebullet"/>
              <w:rPr>
                <w:lang w:val="en-US"/>
              </w:rPr>
            </w:pPr>
            <w:r w:rsidRPr="0036322B">
              <w:rPr>
                <w:lang w:val="en-US"/>
              </w:rPr>
              <w:t xml:space="preserve">Maintain </w:t>
            </w:r>
            <w:r w:rsidR="0022784D">
              <w:rPr>
                <w:lang w:val="en-US"/>
              </w:rPr>
              <w:t xml:space="preserve">appropriate </w:t>
            </w:r>
            <w:r w:rsidRPr="0036322B">
              <w:rPr>
                <w:lang w:val="en-US"/>
              </w:rPr>
              <w:t>deductibles for each insurance product that reflects the organisation</w:t>
            </w:r>
            <w:r w:rsidR="00921EB8">
              <w:rPr>
                <w:lang w:val="en-US"/>
              </w:rPr>
              <w:t>’</w:t>
            </w:r>
            <w:r w:rsidRPr="0036322B">
              <w:rPr>
                <w:lang w:val="en-US"/>
              </w:rPr>
              <w:t>s risk appetite and capability for retaining financial risk;</w:t>
            </w:r>
          </w:p>
          <w:p w14:paraId="47F2A40C" w14:textId="77777777" w:rsidR="0036322B" w:rsidRPr="0036322B" w:rsidRDefault="0036322B" w:rsidP="0036322B">
            <w:pPr>
              <w:pStyle w:val="Tablebullet"/>
              <w:rPr>
                <w:lang w:val="en-US"/>
              </w:rPr>
            </w:pPr>
            <w:r w:rsidRPr="0036322B">
              <w:rPr>
                <w:lang w:val="en-US"/>
              </w:rPr>
              <w:t>Provide adequate claims management capability, resources, structures and processes for the management for retained financial risks;</w:t>
            </w:r>
          </w:p>
          <w:p w14:paraId="428C3A46" w14:textId="77777777" w:rsidR="0036322B" w:rsidRPr="0036322B" w:rsidRDefault="0036322B" w:rsidP="0036322B">
            <w:pPr>
              <w:pStyle w:val="Tablebullet"/>
              <w:rPr>
                <w:lang w:val="en-US"/>
              </w:rPr>
            </w:pPr>
            <w:r w:rsidRPr="0036322B">
              <w:rPr>
                <w:lang w:val="en-US"/>
              </w:rPr>
              <w:t>Ensure claims management practices for retained financial risks are in place and that the agency maintains relevant claims data, and have this information available to VMIA on request;</w:t>
            </w:r>
          </w:p>
          <w:p w14:paraId="4F076C37" w14:textId="75E626FC" w:rsidR="00901200" w:rsidRPr="0036322B" w:rsidRDefault="00237AE9" w:rsidP="00FB1197">
            <w:pPr>
              <w:pStyle w:val="Tablebullet"/>
              <w:rPr>
                <w:lang w:val="en-US"/>
              </w:rPr>
            </w:pPr>
            <w:r>
              <w:rPr>
                <w:lang w:val="en-US"/>
              </w:rPr>
              <w:t>Work towards m</w:t>
            </w:r>
            <w:r w:rsidR="0036322B" w:rsidRPr="0036322B">
              <w:rPr>
                <w:lang w:val="en-US"/>
              </w:rPr>
              <w:t>inimis</w:t>
            </w:r>
            <w:r>
              <w:rPr>
                <w:lang w:val="en-US"/>
              </w:rPr>
              <w:t>ing</w:t>
            </w:r>
            <w:r w:rsidR="0036322B" w:rsidRPr="0036322B">
              <w:rPr>
                <w:lang w:val="en-US"/>
              </w:rPr>
              <w:t xml:space="preserve"> exposure to insurable risk</w:t>
            </w:r>
            <w:r w:rsidR="00FB1197">
              <w:rPr>
                <w:lang w:val="en-US"/>
              </w:rPr>
              <w:t>.</w:t>
            </w:r>
          </w:p>
        </w:tc>
      </w:tr>
    </w:tbl>
    <w:p w14:paraId="23D69C3C" w14:textId="7C331860" w:rsidR="0079013E" w:rsidRDefault="00391B0A" w:rsidP="00391B0A">
      <w:pPr>
        <w:pStyle w:val="Heading2numbered"/>
        <w:spacing w:before="120" w:after="120" w:line="240" w:lineRule="auto"/>
      </w:pPr>
      <w:bookmarkStart w:id="21" w:name="_Toc21704088"/>
      <w:r>
        <w:t xml:space="preserve">3.2 </w:t>
      </w:r>
      <w:r w:rsidR="0079013E">
        <w:t>Attestation requirements</w:t>
      </w:r>
      <w:bookmarkEnd w:id="21"/>
    </w:p>
    <w:p w14:paraId="7B347878" w14:textId="00FECDB5" w:rsidR="0079013E" w:rsidRDefault="0079013E" w:rsidP="00391B0A">
      <w:pPr>
        <w:pStyle w:val="NormalIndent"/>
        <w:spacing w:before="120" w:after="120" w:line="240" w:lineRule="auto"/>
      </w:pPr>
      <w:r>
        <w:t xml:space="preserve">Under </w:t>
      </w:r>
      <w:r w:rsidRPr="0079013E">
        <w:rPr>
          <w:i/>
        </w:rPr>
        <w:t>Ministerial Standing Direction</w:t>
      </w:r>
      <w:r w:rsidR="00E21BBB">
        <w:rPr>
          <w:i/>
        </w:rPr>
        <w:t xml:space="preserve"> </w:t>
      </w:r>
      <w:r w:rsidR="00B470F4">
        <w:rPr>
          <w:i/>
        </w:rPr>
        <w:t>5.1.4 – Fina</w:t>
      </w:r>
      <w:r w:rsidR="00F11314">
        <w:rPr>
          <w:i/>
        </w:rPr>
        <w:t>n</w:t>
      </w:r>
      <w:r w:rsidR="00B470F4">
        <w:rPr>
          <w:i/>
        </w:rPr>
        <w:t>cial management compliance attestation</w:t>
      </w:r>
      <w:r w:rsidR="00391B0A">
        <w:rPr>
          <w:i/>
        </w:rPr>
        <w:t xml:space="preserve">, </w:t>
      </w:r>
      <w:r w:rsidR="00391B0A">
        <w:t>departments</w:t>
      </w:r>
      <w:r>
        <w:t xml:space="preserve"> and agencies must provide an annual attestation of compliance</w:t>
      </w:r>
      <w:r w:rsidR="00F11314">
        <w:t xml:space="preserve"> with </w:t>
      </w:r>
      <w:r w:rsidR="00F11314" w:rsidRPr="00F11314">
        <w:t xml:space="preserve">applicable requirements </w:t>
      </w:r>
      <w:r w:rsidR="00E21BBB">
        <w:t>of</w:t>
      </w:r>
      <w:r w:rsidR="00F11314" w:rsidRPr="00F11314">
        <w:t xml:space="preserve"> the </w:t>
      </w:r>
      <w:r w:rsidR="00E21BBB" w:rsidRPr="00E21BBB">
        <w:rPr>
          <w:i/>
        </w:rPr>
        <w:t>Financial Management Act 1994</w:t>
      </w:r>
      <w:r w:rsidR="00F11314" w:rsidRPr="00F11314">
        <w:t>, the</w:t>
      </w:r>
      <w:r w:rsidR="00F11314">
        <w:t xml:space="preserve"> </w:t>
      </w:r>
      <w:r w:rsidR="00E21BBB">
        <w:t>Standing D</w:t>
      </w:r>
      <w:r w:rsidR="00E21BBB" w:rsidRPr="00F11314">
        <w:t xml:space="preserve">irections </w:t>
      </w:r>
      <w:r w:rsidR="00F11314">
        <w:t xml:space="preserve">(incorporating this framework) </w:t>
      </w:r>
      <w:r w:rsidR="00F11314" w:rsidRPr="00F11314">
        <w:t xml:space="preserve">and the </w:t>
      </w:r>
      <w:r w:rsidR="00E21BBB">
        <w:t>I</w:t>
      </w:r>
      <w:r w:rsidR="00F11314" w:rsidRPr="00F11314">
        <w:t>nstructions and disclose all material compliance deficiencies</w:t>
      </w:r>
      <w:r>
        <w:t xml:space="preserve">. </w:t>
      </w:r>
    </w:p>
    <w:p w14:paraId="26FE8928" w14:textId="2F6EF4E1" w:rsidR="00FA57D2" w:rsidRDefault="0079013E" w:rsidP="00391B0A">
      <w:pPr>
        <w:pStyle w:val="NormalIndent"/>
        <w:spacing w:before="120" w:after="120" w:line="240" w:lineRule="auto"/>
      </w:pPr>
      <w:r>
        <w:lastRenderedPageBreak/>
        <w:t>The Responsible Body is responsible for the accuracy and completeness of attestation and should utilise audit committees or other internal governance bodies, where available, to support the view expressed.</w:t>
      </w:r>
    </w:p>
    <w:p w14:paraId="7CFC5770" w14:textId="5756FCDC" w:rsidR="0079013E" w:rsidRDefault="00346D6E" w:rsidP="005D28A2">
      <w:pPr>
        <w:pStyle w:val="Heading2numbered"/>
        <w:spacing w:before="120" w:after="120" w:line="240" w:lineRule="auto"/>
        <w:ind w:left="851" w:hanging="851"/>
      </w:pPr>
      <w:bookmarkStart w:id="22" w:name="_Toc21704089"/>
      <w:r>
        <w:t>3.</w:t>
      </w:r>
      <w:r w:rsidR="00391B0A">
        <w:t>3</w:t>
      </w:r>
      <w:r>
        <w:tab/>
      </w:r>
      <w:r w:rsidR="0079013E">
        <w:t xml:space="preserve">Guidance </w:t>
      </w:r>
      <w:r w:rsidR="00564290">
        <w:t xml:space="preserve">to </w:t>
      </w:r>
      <w:r w:rsidR="0079013E">
        <w:t xml:space="preserve">support </w:t>
      </w:r>
      <w:r w:rsidR="00B92B45">
        <w:t xml:space="preserve">mandatory </w:t>
      </w:r>
      <w:r w:rsidR="0079013E">
        <w:t>risk management and insurance requirements</w:t>
      </w:r>
      <w:bookmarkEnd w:id="22"/>
    </w:p>
    <w:p w14:paraId="77B36BAE" w14:textId="43424DB4" w:rsidR="0079013E" w:rsidRDefault="0079013E" w:rsidP="005D28A2">
      <w:pPr>
        <w:pStyle w:val="NormalIndent"/>
        <w:spacing w:before="120" w:after="120" w:line="240" w:lineRule="auto"/>
      </w:pPr>
      <w:r>
        <w:t xml:space="preserve">The guidance materials below are not mandatory requirements. They serve to provide examples or guidance to the Responsible Bodies on </w:t>
      </w:r>
      <w:r w:rsidR="00B92B45">
        <w:t>concepts to support agencies address</w:t>
      </w:r>
      <w:r>
        <w:t xml:space="preserve"> the mandatory requirements. </w:t>
      </w:r>
      <w:r w:rsidR="008C75DA">
        <w:t xml:space="preserve"> </w:t>
      </w:r>
      <w:r w:rsidR="00AC2C68" w:rsidRPr="00061797">
        <w:t xml:space="preserve">Each agency’s evaluation of the suitability and implementation of </w:t>
      </w:r>
      <w:r w:rsidR="008C75DA" w:rsidRPr="00061797">
        <w:t>these guidelines will vary, depending of their size, resourcing and risk exposures.</w:t>
      </w:r>
    </w:p>
    <w:p w14:paraId="3936E620" w14:textId="56F8DE81" w:rsidR="0079013E" w:rsidRDefault="00346D6E" w:rsidP="005D28A2">
      <w:pPr>
        <w:pStyle w:val="Heading3numbered"/>
        <w:spacing w:before="120" w:line="240" w:lineRule="auto"/>
        <w:jc w:val="both"/>
      </w:pPr>
      <w:bookmarkStart w:id="23" w:name="_Toc21704090"/>
      <w:r>
        <w:t>3.</w:t>
      </w:r>
      <w:r w:rsidR="00391B0A">
        <w:t>3</w:t>
      </w:r>
      <w:r>
        <w:t>.1</w:t>
      </w:r>
      <w:r>
        <w:tab/>
      </w:r>
      <w:r w:rsidR="00BE35CA">
        <w:t>Shared</w:t>
      </w:r>
      <w:r w:rsidR="0079013E">
        <w:t xml:space="preserve"> and </w:t>
      </w:r>
      <w:r w:rsidR="00D33905">
        <w:t>S</w:t>
      </w:r>
      <w:r w:rsidR="0079013E">
        <w:t>tate significant risks</w:t>
      </w:r>
      <w:bookmarkEnd w:id="23"/>
    </w:p>
    <w:p w14:paraId="206E1EDA" w14:textId="77777777" w:rsidR="00D33905" w:rsidRDefault="00E53C05" w:rsidP="00D33905">
      <w:pPr>
        <w:pStyle w:val="NormalIndent"/>
        <w:spacing w:before="120" w:after="120" w:line="240" w:lineRule="auto"/>
      </w:pPr>
      <w:r>
        <w:t>To achieve the best outcomes for Victoria</w:t>
      </w:r>
      <w:r w:rsidR="009A1FCE">
        <w:t>,</w:t>
      </w:r>
      <w:r>
        <w:t xml:space="preserve"> agencies need to work collaboratively </w:t>
      </w:r>
      <w:r w:rsidR="00885CE3">
        <w:t>to identify and contribute to the management of both shared and state significant risks. Identifying and managing these risks is important to provide confidence to Government and the community that these risks are being managed and there is a clear line of sight over them.</w:t>
      </w:r>
      <w:r w:rsidR="00391B0A">
        <w:t xml:space="preserve"> Both concepts are defined in Appendix 1.</w:t>
      </w:r>
    </w:p>
    <w:p w14:paraId="1E8C8BF9" w14:textId="751E2275" w:rsidR="001449C0" w:rsidRPr="00D33905" w:rsidRDefault="001449C0" w:rsidP="00D33905">
      <w:pPr>
        <w:pStyle w:val="NormalIndent"/>
        <w:spacing w:before="120" w:after="120" w:line="240" w:lineRule="auto"/>
        <w:rPr>
          <w:b/>
          <w:color w:val="0063A6" w:themeColor="accent1"/>
        </w:rPr>
      </w:pPr>
      <w:r w:rsidRPr="00D33905">
        <w:rPr>
          <w:b/>
          <w:color w:val="0063A6" w:themeColor="accent1"/>
          <w:sz w:val="22"/>
          <w:szCs w:val="22"/>
        </w:rPr>
        <w:t>Shared</w:t>
      </w:r>
      <w:r w:rsidRPr="00D33905">
        <w:rPr>
          <w:b/>
          <w:color w:val="0063A6" w:themeColor="accent1"/>
        </w:rPr>
        <w:t xml:space="preserve"> </w:t>
      </w:r>
      <w:r w:rsidR="00D33905" w:rsidRPr="00D33905">
        <w:rPr>
          <w:b/>
          <w:color w:val="0063A6" w:themeColor="accent1"/>
        </w:rPr>
        <w:t>r</w:t>
      </w:r>
      <w:r w:rsidRPr="00D33905">
        <w:rPr>
          <w:b/>
          <w:color w:val="0063A6" w:themeColor="accent1"/>
        </w:rPr>
        <w:t>isks</w:t>
      </w:r>
    </w:p>
    <w:p w14:paraId="46FD0C19" w14:textId="69DEA88C" w:rsidR="00885CE3" w:rsidRDefault="00885CE3" w:rsidP="005D28A2">
      <w:pPr>
        <w:pStyle w:val="NormalIndent"/>
        <w:spacing w:before="120" w:after="120" w:line="240" w:lineRule="auto"/>
      </w:pPr>
      <w:r>
        <w:t>Agencies must contribute to the management of shared risks. To clearly demonstrate this requirement, an agency will need to:</w:t>
      </w:r>
    </w:p>
    <w:p w14:paraId="74C5EE8D" w14:textId="502E5870" w:rsidR="00885CE3" w:rsidRDefault="00885CE3" w:rsidP="005D28A2">
      <w:pPr>
        <w:pStyle w:val="Bulletindent"/>
        <w:spacing w:before="120" w:after="120"/>
        <w:contextualSpacing w:val="0"/>
      </w:pPr>
      <w:r w:rsidRPr="001449C0">
        <w:rPr>
          <w:b/>
        </w:rPr>
        <w:t>collaborate</w:t>
      </w:r>
      <w:r>
        <w:t xml:space="preserve"> to identify and assess risks</w:t>
      </w:r>
    </w:p>
    <w:p w14:paraId="685D7E66" w14:textId="1F63C6C4" w:rsidR="00885CE3" w:rsidRDefault="00E12CDB" w:rsidP="005D28A2">
      <w:pPr>
        <w:pStyle w:val="Bulletindent"/>
        <w:spacing w:before="120" w:after="120"/>
        <w:contextualSpacing w:val="0"/>
      </w:pPr>
      <w:r w:rsidRPr="001449C0">
        <w:rPr>
          <w:b/>
        </w:rPr>
        <w:t>coordinate</w:t>
      </w:r>
      <w:r>
        <w:t xml:space="preserve"> in</w:t>
      </w:r>
      <w:r w:rsidR="00885CE3">
        <w:t xml:space="preserve"> the management of risks</w:t>
      </w:r>
    </w:p>
    <w:p w14:paraId="725D7164" w14:textId="3E241775" w:rsidR="001449C0" w:rsidRPr="001449C0" w:rsidRDefault="00E12CDB" w:rsidP="005D28A2">
      <w:pPr>
        <w:pStyle w:val="Bulletindent"/>
        <w:spacing w:before="120" w:after="120"/>
        <w:contextualSpacing w:val="0"/>
        <w:rPr>
          <w:b/>
        </w:rPr>
      </w:pPr>
      <w:r w:rsidRPr="001449C0">
        <w:rPr>
          <w:b/>
        </w:rPr>
        <w:t>communicate</w:t>
      </w:r>
      <w:r w:rsidR="001449C0">
        <w:rPr>
          <w:b/>
        </w:rPr>
        <w:t xml:space="preserve"> </w:t>
      </w:r>
      <w:r w:rsidR="001449C0">
        <w:t>to support in early identification and effective management of these risks</w:t>
      </w:r>
    </w:p>
    <w:p w14:paraId="5E74487F" w14:textId="33DAFC68" w:rsidR="001449C0" w:rsidRDefault="001449C0" w:rsidP="005D28A2">
      <w:pPr>
        <w:pStyle w:val="Bulletindent"/>
        <w:numPr>
          <w:ilvl w:val="0"/>
          <w:numId w:val="0"/>
        </w:numPr>
        <w:spacing w:before="120" w:after="120"/>
        <w:ind w:left="792"/>
        <w:contextualSpacing w:val="0"/>
      </w:pPr>
      <w:r>
        <w:t>A key</w:t>
      </w:r>
      <w:r w:rsidR="00391B0A">
        <w:t xml:space="preserve"> component of effective shared risk management is cross-agency communication</w:t>
      </w:r>
      <w:r>
        <w:t xml:space="preserve">. </w:t>
      </w:r>
      <w:r w:rsidR="00391B0A">
        <w:t xml:space="preserve">Communication </w:t>
      </w:r>
      <w:r>
        <w:t xml:space="preserve">channels </w:t>
      </w:r>
      <w:r w:rsidR="00391B0A">
        <w:t xml:space="preserve">between </w:t>
      </w:r>
      <w:r>
        <w:t xml:space="preserve">agencies will promote information sharing and in respect to shared risk management, will assist in the identification of risks and controls </w:t>
      </w:r>
      <w:r w:rsidR="00921EB8">
        <w:t>over which</w:t>
      </w:r>
      <w:r>
        <w:t xml:space="preserve"> an agency does not have line of sight</w:t>
      </w:r>
      <w:r w:rsidR="00391B0A">
        <w:t xml:space="preserve">. </w:t>
      </w:r>
      <w:r w:rsidR="001D7AD4">
        <w:t>Example c</w:t>
      </w:r>
      <w:r>
        <w:t xml:space="preserve">ommunication channels could include </w:t>
      </w:r>
      <w:r w:rsidRPr="001449C0">
        <w:t xml:space="preserve">periodic interagency meetings, shared systems or </w:t>
      </w:r>
      <w:r w:rsidR="001D7AD4">
        <w:t xml:space="preserve">emails and </w:t>
      </w:r>
      <w:r>
        <w:t>formal agreements</w:t>
      </w:r>
      <w:r w:rsidR="001D7AD4">
        <w:t xml:space="preserve">.  </w:t>
      </w:r>
      <w:r w:rsidR="00391B0A">
        <w:t xml:space="preserve">Regular </w:t>
      </w:r>
      <w:r>
        <w:t xml:space="preserve">communication with other agencies </w:t>
      </w:r>
      <w:r w:rsidR="00391B0A">
        <w:t>will</w:t>
      </w:r>
      <w:r>
        <w:t xml:space="preserve"> promote more effective shared risk management. </w:t>
      </w:r>
    </w:p>
    <w:p w14:paraId="11D657D9" w14:textId="2128059E" w:rsidR="008A3DFA" w:rsidRDefault="008A3DFA" w:rsidP="005D28A2">
      <w:pPr>
        <w:pStyle w:val="Bulletindent"/>
        <w:numPr>
          <w:ilvl w:val="0"/>
          <w:numId w:val="0"/>
        </w:numPr>
        <w:spacing w:before="120" w:after="120"/>
        <w:ind w:left="792"/>
        <w:contextualSpacing w:val="0"/>
      </w:pPr>
      <w:r>
        <w:t xml:space="preserve">Assigning accountability / ownership for a shared risk will require agencies to assess, communicate and collaborate to determine the appropriate lead agency. Agencies need to assign lead agencies as follows: </w:t>
      </w:r>
    </w:p>
    <w:p w14:paraId="1227C81D" w14:textId="08B4D376" w:rsidR="008A3DFA" w:rsidRDefault="008A3DFA" w:rsidP="005D28A2">
      <w:pPr>
        <w:pStyle w:val="Bulletindent"/>
        <w:tabs>
          <w:tab w:val="clear" w:pos="1152"/>
          <w:tab w:val="num" w:pos="1560"/>
        </w:tabs>
        <w:spacing w:before="120" w:after="120"/>
        <w:ind w:left="1276" w:hanging="283"/>
        <w:contextualSpacing w:val="0"/>
      </w:pPr>
      <w:r>
        <w:t xml:space="preserve">Impacted agencies collaborating </w:t>
      </w:r>
      <w:r w:rsidR="00391B0A">
        <w:t xml:space="preserve">to agree </w:t>
      </w:r>
      <w:r>
        <w:t xml:space="preserve">on the lead agency responsible for the </w:t>
      </w:r>
      <w:r w:rsidR="00391B0A">
        <w:t xml:space="preserve">shared </w:t>
      </w:r>
      <w:r>
        <w:t>risk</w:t>
      </w:r>
      <w:r w:rsidR="002B4239">
        <w:t>.</w:t>
      </w:r>
    </w:p>
    <w:p w14:paraId="78EEBA41" w14:textId="3650DF28" w:rsidR="008A3DFA" w:rsidRDefault="00FB1197" w:rsidP="005D28A2">
      <w:pPr>
        <w:pStyle w:val="Bulletindent"/>
        <w:tabs>
          <w:tab w:val="clear" w:pos="1152"/>
          <w:tab w:val="num" w:pos="1560"/>
        </w:tabs>
        <w:spacing w:before="120" w:after="120"/>
        <w:ind w:left="1276" w:hanging="283"/>
        <w:contextualSpacing w:val="0"/>
      </w:pPr>
      <w:r>
        <w:t xml:space="preserve">In the very rare instance, </w:t>
      </w:r>
      <w:r w:rsidR="008A3DFA" w:rsidRPr="008A3DFA">
        <w:t xml:space="preserve">where the agencies are unable to come to an agreement on the lead agency </w:t>
      </w:r>
      <w:r w:rsidR="004731E9">
        <w:t>for a state significant risk</w:t>
      </w:r>
      <w:r w:rsidR="008A3DFA">
        <w:t xml:space="preserve">, </w:t>
      </w:r>
      <w:r w:rsidR="004731E9">
        <w:t xml:space="preserve">the Risk IDC will determine the lead agency.  </w:t>
      </w:r>
    </w:p>
    <w:p w14:paraId="1424F6AD" w14:textId="203228A0" w:rsidR="001449C0" w:rsidRPr="001449C0" w:rsidRDefault="001449C0" w:rsidP="005D28A2">
      <w:pPr>
        <w:pStyle w:val="Bulletindent"/>
        <w:numPr>
          <w:ilvl w:val="0"/>
          <w:numId w:val="0"/>
        </w:numPr>
        <w:spacing w:before="120" w:after="120"/>
        <w:ind w:left="851"/>
        <w:contextualSpacing w:val="0"/>
      </w:pPr>
      <w:r w:rsidRPr="001449C0">
        <w:t>Under the mandatory requirements</w:t>
      </w:r>
      <w:r w:rsidR="00AA3EFC">
        <w:t xml:space="preserve"> (see bullet points 6 and 7 under 3.1.1)</w:t>
      </w:r>
      <w:r w:rsidRPr="001449C0">
        <w:t xml:space="preserve"> the </w:t>
      </w:r>
      <w:r w:rsidR="00391B0A">
        <w:t xml:space="preserve">agency’s </w:t>
      </w:r>
      <w:r w:rsidRPr="001449C0">
        <w:t>responsible body must be satisfied that shared</w:t>
      </w:r>
      <w:r>
        <w:t xml:space="preserve"> </w:t>
      </w:r>
      <w:r w:rsidRPr="001449C0">
        <w:t>risks are addressed and the agency contributes to the management of shared risks across government, as appropriate. For</w:t>
      </w:r>
      <w:r>
        <w:t xml:space="preserve"> shared risks</w:t>
      </w:r>
      <w:r w:rsidRPr="001449C0">
        <w:t>, an agency’s approach include</w:t>
      </w:r>
      <w:r w:rsidR="00391B0A">
        <w:t>s</w:t>
      </w:r>
      <w:r w:rsidRPr="001449C0">
        <w:t>:</w:t>
      </w:r>
    </w:p>
    <w:p w14:paraId="69181241" w14:textId="594EEED8" w:rsidR="001449C0" w:rsidRPr="001449C0" w:rsidRDefault="001449C0" w:rsidP="005D28A2">
      <w:pPr>
        <w:pStyle w:val="Bulletindent"/>
        <w:tabs>
          <w:tab w:val="clear" w:pos="1152"/>
          <w:tab w:val="num" w:pos="1560"/>
        </w:tabs>
        <w:spacing w:before="120" w:after="120"/>
        <w:ind w:left="1276" w:hanging="283"/>
        <w:contextualSpacing w:val="0"/>
      </w:pPr>
      <w:r w:rsidRPr="001449C0">
        <w:t>identifying current and emerging risks and other agencies likely to be affected by those risks;</w:t>
      </w:r>
    </w:p>
    <w:p w14:paraId="5B81256C" w14:textId="442DC742" w:rsidR="001449C0" w:rsidRPr="001449C0" w:rsidRDefault="001449C0" w:rsidP="005D28A2">
      <w:pPr>
        <w:pStyle w:val="Bulletindent"/>
        <w:tabs>
          <w:tab w:val="clear" w:pos="1152"/>
          <w:tab w:val="num" w:pos="1560"/>
        </w:tabs>
        <w:spacing w:before="120" w:after="120"/>
        <w:ind w:left="1276" w:hanging="283"/>
        <w:contextualSpacing w:val="0"/>
      </w:pPr>
      <w:r w:rsidRPr="001449C0">
        <w:t>analysing and evaluating identified risks in consultation with other affected agencies;</w:t>
      </w:r>
    </w:p>
    <w:p w14:paraId="048589F6" w14:textId="2B42134F" w:rsidR="001449C0" w:rsidRPr="001449C0" w:rsidRDefault="001449C0" w:rsidP="005D28A2">
      <w:pPr>
        <w:pStyle w:val="Bulletindent"/>
        <w:tabs>
          <w:tab w:val="clear" w:pos="1152"/>
          <w:tab w:val="num" w:pos="1560"/>
        </w:tabs>
        <w:spacing w:before="120" w:after="120"/>
        <w:ind w:left="1276" w:hanging="283"/>
        <w:contextualSpacing w:val="0"/>
      </w:pPr>
      <w:r w:rsidRPr="001449C0">
        <w:lastRenderedPageBreak/>
        <w:t>agreeing on a lead agency and relative responsibilities of affected agencies or escalation to the Risk IDC;</w:t>
      </w:r>
    </w:p>
    <w:p w14:paraId="120A6129" w14:textId="652E7F86" w:rsidR="001449C0" w:rsidRPr="001449C0" w:rsidRDefault="001449C0" w:rsidP="005D28A2">
      <w:pPr>
        <w:pStyle w:val="Bulletindent"/>
        <w:tabs>
          <w:tab w:val="clear" w:pos="1152"/>
          <w:tab w:val="num" w:pos="1560"/>
        </w:tabs>
        <w:spacing w:before="120" w:after="120"/>
        <w:ind w:left="1276" w:hanging="283"/>
        <w:contextualSpacing w:val="0"/>
      </w:pPr>
      <w:r w:rsidRPr="001449C0">
        <w:t xml:space="preserve">implementing appropriate measures to manage the risks; </w:t>
      </w:r>
    </w:p>
    <w:p w14:paraId="5270AD62" w14:textId="20EB797F" w:rsidR="00391B0A" w:rsidRDefault="001449C0" w:rsidP="005D28A2">
      <w:pPr>
        <w:pStyle w:val="Bulletindent"/>
        <w:tabs>
          <w:tab w:val="clear" w:pos="1152"/>
          <w:tab w:val="num" w:pos="1560"/>
        </w:tabs>
        <w:spacing w:before="120" w:after="120"/>
        <w:ind w:left="1276" w:hanging="283"/>
        <w:contextualSpacing w:val="0"/>
      </w:pPr>
      <w:r w:rsidRPr="001449C0">
        <w:t>appropriate monitoring and reporting</w:t>
      </w:r>
      <w:r w:rsidR="00391B0A">
        <w:t>; and</w:t>
      </w:r>
    </w:p>
    <w:p w14:paraId="5A3F6E2D" w14:textId="74F821C8" w:rsidR="001449C0" w:rsidRPr="001449C0" w:rsidRDefault="00391B0A" w:rsidP="005D28A2">
      <w:pPr>
        <w:pStyle w:val="Bulletindent"/>
        <w:tabs>
          <w:tab w:val="clear" w:pos="1152"/>
          <w:tab w:val="num" w:pos="1560"/>
        </w:tabs>
        <w:spacing w:before="120" w:after="120"/>
        <w:ind w:left="1276" w:hanging="283"/>
        <w:contextualSpacing w:val="0"/>
      </w:pPr>
      <w:r>
        <w:t xml:space="preserve">performing annual reviews </w:t>
      </w:r>
      <w:r w:rsidR="00AA3EFC">
        <w:t>or if there is a significant change in risk</w:t>
      </w:r>
      <w:r w:rsidR="001449C0" w:rsidRPr="001449C0">
        <w:t>.</w:t>
      </w:r>
    </w:p>
    <w:p w14:paraId="74B01111" w14:textId="34F29318" w:rsidR="001449C0" w:rsidRPr="00D33905" w:rsidRDefault="001449C0" w:rsidP="00D33905">
      <w:pPr>
        <w:pStyle w:val="NormalIndent"/>
        <w:spacing w:before="120" w:after="120" w:line="240" w:lineRule="auto"/>
        <w:rPr>
          <w:b/>
          <w:color w:val="0063A6" w:themeColor="accent1"/>
        </w:rPr>
      </w:pPr>
      <w:r w:rsidRPr="00D33905">
        <w:rPr>
          <w:b/>
          <w:color w:val="0063A6" w:themeColor="accent1"/>
        </w:rPr>
        <w:t xml:space="preserve">State </w:t>
      </w:r>
      <w:r w:rsidR="00D33905" w:rsidRPr="00D33905">
        <w:rPr>
          <w:b/>
          <w:color w:val="0063A6" w:themeColor="accent1"/>
        </w:rPr>
        <w:t>s</w:t>
      </w:r>
      <w:r w:rsidRPr="00D33905">
        <w:rPr>
          <w:b/>
          <w:color w:val="0063A6" w:themeColor="accent1"/>
        </w:rPr>
        <w:t xml:space="preserve">ignificant </w:t>
      </w:r>
      <w:r w:rsidR="00D33905" w:rsidRPr="00D33905">
        <w:rPr>
          <w:b/>
          <w:color w:val="0063A6" w:themeColor="accent1"/>
        </w:rPr>
        <w:t>r</w:t>
      </w:r>
      <w:r w:rsidRPr="00D33905">
        <w:rPr>
          <w:b/>
          <w:color w:val="0063A6" w:themeColor="accent1"/>
        </w:rPr>
        <w:t>isks</w:t>
      </w:r>
    </w:p>
    <w:p w14:paraId="2575DB12" w14:textId="0A6BFD0C" w:rsidR="008A3DFA" w:rsidRDefault="008A3DFA" w:rsidP="005D28A2">
      <w:pPr>
        <w:pStyle w:val="Bulletindent"/>
        <w:numPr>
          <w:ilvl w:val="0"/>
          <w:numId w:val="0"/>
        </w:numPr>
        <w:spacing w:before="120" w:after="120"/>
        <w:ind w:left="851"/>
        <w:contextualSpacing w:val="0"/>
      </w:pPr>
      <w:r>
        <w:t>State significant risks are risks where the potential consequences or impacts of the risk on the community, the Government and the private sector are</w:t>
      </w:r>
      <w:r w:rsidR="00B35790">
        <w:t xml:space="preserve"> material at the State-wide level</w:t>
      </w:r>
      <w:r>
        <w:t>. A State significant risk can be the extension of an existing agency risk which, beyond a certain threshold, becomes severe enough to have state-wide implications or it could be the aggregation of many agency specific risks.</w:t>
      </w:r>
      <w:r w:rsidR="00B92B45">
        <w:t xml:space="preserve">  Each state significant risk has a risk lead appointed by the Risk IDC.</w:t>
      </w:r>
    </w:p>
    <w:p w14:paraId="35AF2946" w14:textId="651C5499" w:rsidR="00FE259D" w:rsidRDefault="008A3DFA" w:rsidP="005D28A2">
      <w:pPr>
        <w:pStyle w:val="Bulletindent"/>
        <w:numPr>
          <w:ilvl w:val="0"/>
          <w:numId w:val="0"/>
        </w:numPr>
        <w:spacing w:before="120" w:after="120"/>
        <w:ind w:left="851"/>
        <w:contextualSpacing w:val="0"/>
      </w:pPr>
      <w:r>
        <w:t>The agency’s risk management framework should clearly demonstrate how the agency addresses state significant risks</w:t>
      </w:r>
      <w:r w:rsidR="00B35790">
        <w:t xml:space="preserve"> relevant to its operations</w:t>
      </w:r>
      <w:r>
        <w:t xml:space="preserve">. </w:t>
      </w:r>
    </w:p>
    <w:p w14:paraId="5EC96141" w14:textId="3CC51D60" w:rsidR="008A3DFA" w:rsidRDefault="008A3DFA" w:rsidP="005D28A2">
      <w:pPr>
        <w:pStyle w:val="Bulletindent"/>
        <w:numPr>
          <w:ilvl w:val="0"/>
          <w:numId w:val="0"/>
        </w:numPr>
        <w:spacing w:before="120" w:after="120"/>
        <w:ind w:left="851"/>
        <w:contextualSpacing w:val="0"/>
      </w:pPr>
      <w:r>
        <w:t xml:space="preserve">If </w:t>
      </w:r>
      <w:r w:rsidR="00FE259D">
        <w:t>a</w:t>
      </w:r>
      <w:r>
        <w:t xml:space="preserve"> state significant risk is brought to the attention of an agency, the agency is expected to work collaboratively with the identifying agency in analysing and evaluating the risk and to contribute, as appropriate, to the management of the risk</w:t>
      </w:r>
      <w:r w:rsidR="00FE259D">
        <w:t>.</w:t>
      </w:r>
    </w:p>
    <w:p w14:paraId="3BD576E5" w14:textId="11ED16AE" w:rsidR="00FE259D" w:rsidRDefault="00FE259D" w:rsidP="005D28A2">
      <w:pPr>
        <w:pStyle w:val="Bulletindent"/>
        <w:numPr>
          <w:ilvl w:val="0"/>
          <w:numId w:val="0"/>
        </w:numPr>
        <w:spacing w:before="120" w:after="120"/>
        <w:ind w:left="792"/>
        <w:contextualSpacing w:val="0"/>
      </w:pPr>
      <w:r>
        <w:t xml:space="preserve">Under the mandatory requirements the </w:t>
      </w:r>
      <w:r w:rsidR="00B35790">
        <w:t xml:space="preserve">agency’s </w:t>
      </w:r>
      <w:r>
        <w:t>responsible body must be satisfied that the agency contributes to the identification and management of state significant risks, as appropriate. For state significant risk, an agency’s approach should include:</w:t>
      </w:r>
    </w:p>
    <w:p w14:paraId="073EFB66" w14:textId="2D9102EB" w:rsidR="00FE259D" w:rsidRDefault="00FE259D" w:rsidP="005D28A2">
      <w:pPr>
        <w:pStyle w:val="Bulletindent"/>
        <w:tabs>
          <w:tab w:val="clear" w:pos="1152"/>
          <w:tab w:val="num" w:pos="1560"/>
        </w:tabs>
        <w:spacing w:before="120" w:after="120"/>
        <w:ind w:left="1276" w:hanging="283"/>
        <w:contextualSpacing w:val="0"/>
      </w:pPr>
      <w:r>
        <w:t>identifying current and emerging risks that are of state significance, including those that require a coordinated whole of state response;</w:t>
      </w:r>
    </w:p>
    <w:p w14:paraId="163F211E" w14:textId="5B5C2BED" w:rsidR="00FE259D" w:rsidRDefault="00FE259D" w:rsidP="005D28A2">
      <w:pPr>
        <w:pStyle w:val="Bulletindent"/>
        <w:tabs>
          <w:tab w:val="clear" w:pos="1152"/>
          <w:tab w:val="num" w:pos="1560"/>
        </w:tabs>
        <w:spacing w:before="120" w:after="120"/>
        <w:ind w:left="1276" w:hanging="283"/>
        <w:contextualSpacing w:val="0"/>
      </w:pPr>
      <w:r>
        <w:t xml:space="preserve">bringing identified state significant risks to the attention of decision makers in a position to assess, prioritise and oversight the management of the identified risk; </w:t>
      </w:r>
    </w:p>
    <w:p w14:paraId="0EE6440F" w14:textId="2EEDFD7C" w:rsidR="00FE259D" w:rsidRDefault="00FE259D" w:rsidP="005D28A2">
      <w:pPr>
        <w:pStyle w:val="Bulletindent"/>
        <w:tabs>
          <w:tab w:val="clear" w:pos="1152"/>
          <w:tab w:val="num" w:pos="1560"/>
        </w:tabs>
        <w:spacing w:before="120" w:after="120"/>
        <w:ind w:left="1276" w:hanging="283"/>
        <w:contextualSpacing w:val="0"/>
      </w:pPr>
      <w:r>
        <w:t>contributing to the management of the risk, as appropriate; and</w:t>
      </w:r>
    </w:p>
    <w:p w14:paraId="7104BD9E" w14:textId="35CFDBF3" w:rsidR="00FE259D" w:rsidRPr="008A3DFA" w:rsidRDefault="00FE259D" w:rsidP="005D28A2">
      <w:pPr>
        <w:pStyle w:val="Bulletindent"/>
        <w:tabs>
          <w:tab w:val="clear" w:pos="1152"/>
          <w:tab w:val="num" w:pos="1560"/>
        </w:tabs>
        <w:spacing w:before="120" w:after="120"/>
        <w:ind w:left="1276" w:hanging="283"/>
        <w:contextualSpacing w:val="0"/>
      </w:pPr>
      <w:r>
        <w:t xml:space="preserve">appropriate monitoring and reporting to the Risk </w:t>
      </w:r>
      <w:r w:rsidR="00B35790">
        <w:t>IDC</w:t>
      </w:r>
      <w:r>
        <w:t xml:space="preserve"> and VSB.</w:t>
      </w:r>
    </w:p>
    <w:p w14:paraId="7B7EDDE8" w14:textId="058CF132" w:rsidR="0079013E" w:rsidRDefault="005D28A2" w:rsidP="005D28A2">
      <w:pPr>
        <w:pStyle w:val="Heading3numbered"/>
        <w:spacing w:before="120" w:line="240" w:lineRule="auto"/>
        <w:jc w:val="both"/>
      </w:pPr>
      <w:bookmarkStart w:id="24" w:name="_Toc21704091"/>
      <w:r>
        <w:t>3.</w:t>
      </w:r>
      <w:r w:rsidR="00391B0A">
        <w:t>3</w:t>
      </w:r>
      <w:r>
        <w:t xml:space="preserve">.2 </w:t>
      </w:r>
      <w:r>
        <w:tab/>
        <w:t>I</w:t>
      </w:r>
      <w:r w:rsidR="0079013E">
        <w:t>nsurance as a risk management tool</w:t>
      </w:r>
      <w:bookmarkEnd w:id="24"/>
    </w:p>
    <w:p w14:paraId="1A0C783A" w14:textId="544B3C0B" w:rsidR="00CC3EB2" w:rsidRPr="00816DAC" w:rsidRDefault="00CC3EB2" w:rsidP="00816DAC">
      <w:pPr>
        <w:pStyle w:val="NormalIndent"/>
        <w:spacing w:before="120" w:after="120" w:line="240" w:lineRule="auto"/>
      </w:pPr>
      <w:r w:rsidRPr="00816DAC">
        <w:t>Agencies should make best use of their available resources and assets to manage risk and minimise loss. Insurance may be used to transfer or manage the risk of financial loss.  The use of insurance needs to be considered in the context of:</w:t>
      </w:r>
    </w:p>
    <w:p w14:paraId="6B6D072F" w14:textId="0AF2DD8E" w:rsidR="00CC3EB2" w:rsidRPr="00921EB8" w:rsidRDefault="00CC3EB2" w:rsidP="00921EB8">
      <w:pPr>
        <w:pStyle w:val="Bulletindent"/>
        <w:tabs>
          <w:tab w:val="clear" w:pos="1152"/>
          <w:tab w:val="num" w:pos="1560"/>
        </w:tabs>
        <w:spacing w:before="120" w:after="120"/>
        <w:ind w:left="1276" w:hanging="283"/>
        <w:contextualSpacing w:val="0"/>
      </w:pPr>
      <w:r w:rsidRPr="00921EB8">
        <w:t>the nature of the risk;</w:t>
      </w:r>
    </w:p>
    <w:p w14:paraId="50B9862B" w14:textId="00DBC081" w:rsidR="00CC3EB2" w:rsidRPr="00921EB8" w:rsidRDefault="00CC3EB2" w:rsidP="00921EB8">
      <w:pPr>
        <w:pStyle w:val="Bulletindent"/>
        <w:tabs>
          <w:tab w:val="clear" w:pos="1152"/>
          <w:tab w:val="num" w:pos="1560"/>
        </w:tabs>
        <w:spacing w:before="120" w:after="120"/>
        <w:ind w:left="1276" w:hanging="283"/>
        <w:contextualSpacing w:val="0"/>
      </w:pPr>
      <w:r w:rsidRPr="00921EB8">
        <w:t>the availability of alternative risk management and risk mitigation strategies;</w:t>
      </w:r>
    </w:p>
    <w:p w14:paraId="785CEF44" w14:textId="61BEB014" w:rsidR="00CC3EB2" w:rsidRPr="00921EB8" w:rsidRDefault="00CC3EB2" w:rsidP="00921EB8">
      <w:pPr>
        <w:pStyle w:val="Bulletindent"/>
        <w:tabs>
          <w:tab w:val="clear" w:pos="1152"/>
          <w:tab w:val="num" w:pos="1560"/>
        </w:tabs>
        <w:spacing w:before="120" w:after="120"/>
        <w:ind w:left="1276" w:hanging="283"/>
        <w:contextualSpacing w:val="0"/>
      </w:pPr>
      <w:r w:rsidRPr="00921EB8">
        <w:t>the financial consequences of choosing not to insure; and</w:t>
      </w:r>
    </w:p>
    <w:p w14:paraId="52A2478B" w14:textId="0340D8B8" w:rsidR="00CC3EB2" w:rsidRPr="00921EB8" w:rsidRDefault="00CC3EB2" w:rsidP="00921EB8">
      <w:pPr>
        <w:pStyle w:val="Bulletindent"/>
        <w:tabs>
          <w:tab w:val="clear" w:pos="1152"/>
          <w:tab w:val="num" w:pos="1560"/>
        </w:tabs>
        <w:spacing w:before="120" w:after="120"/>
        <w:ind w:left="1276" w:hanging="283"/>
        <w:contextualSpacing w:val="0"/>
      </w:pPr>
      <w:r w:rsidRPr="00921EB8">
        <w:t>the level of loss the agency can bear</w:t>
      </w:r>
    </w:p>
    <w:p w14:paraId="1D74DBA2" w14:textId="3C817324" w:rsidR="00CC3EB2" w:rsidRPr="00816DAC" w:rsidRDefault="00CC3EB2" w:rsidP="00816DAC">
      <w:pPr>
        <w:pStyle w:val="NormalIndent"/>
        <w:spacing w:before="120" w:after="120" w:line="240" w:lineRule="auto"/>
      </w:pPr>
      <w:r w:rsidRPr="00816DAC">
        <w:t>VMIA can provide advice to Agencies on insurable risk transfer opportunities.</w:t>
      </w:r>
    </w:p>
    <w:p w14:paraId="4420DE80" w14:textId="77777777" w:rsidR="00CC3EB2" w:rsidRPr="00816DAC" w:rsidRDefault="00CC3EB2" w:rsidP="00816DAC">
      <w:pPr>
        <w:pStyle w:val="NormalIndent"/>
        <w:spacing w:before="120" w:after="120" w:line="240" w:lineRule="auto"/>
      </w:pPr>
      <w:r w:rsidRPr="00816DAC">
        <w:t>The level of insurance required should be based on:</w:t>
      </w:r>
    </w:p>
    <w:p w14:paraId="3C04B65B" w14:textId="6E34DE67" w:rsidR="00CC3EB2" w:rsidRPr="00921EB8" w:rsidRDefault="00CC3EB2" w:rsidP="00921EB8">
      <w:pPr>
        <w:pStyle w:val="Bulletindent"/>
        <w:tabs>
          <w:tab w:val="clear" w:pos="1152"/>
          <w:tab w:val="num" w:pos="1560"/>
        </w:tabs>
        <w:spacing w:before="120" w:after="120"/>
        <w:ind w:left="1276" w:hanging="283"/>
        <w:contextualSpacing w:val="0"/>
      </w:pPr>
      <w:r w:rsidRPr="00921EB8">
        <w:t xml:space="preserve">the agency’s risk profile and </w:t>
      </w:r>
      <w:r w:rsidR="004B76EB">
        <w:t>risk appetite</w:t>
      </w:r>
      <w:r w:rsidRPr="00921EB8">
        <w:t xml:space="preserve">, </w:t>
      </w:r>
    </w:p>
    <w:p w14:paraId="1BD4A371" w14:textId="4C2998A3" w:rsidR="00CC3EB2" w:rsidRPr="00921EB8" w:rsidRDefault="00CC3EB2" w:rsidP="00921EB8">
      <w:pPr>
        <w:pStyle w:val="Bulletindent"/>
        <w:tabs>
          <w:tab w:val="clear" w:pos="1152"/>
          <w:tab w:val="num" w:pos="1560"/>
        </w:tabs>
        <w:spacing w:before="120" w:after="120"/>
        <w:ind w:left="1276" w:hanging="283"/>
        <w:contextualSpacing w:val="0"/>
      </w:pPr>
      <w:r w:rsidRPr="00921EB8">
        <w:t xml:space="preserve">past claims experience, </w:t>
      </w:r>
    </w:p>
    <w:p w14:paraId="511320FF" w14:textId="39D809FD" w:rsidR="00CC3EB2" w:rsidRPr="00921EB8" w:rsidRDefault="00CC3EB2" w:rsidP="00921EB8">
      <w:pPr>
        <w:pStyle w:val="Bulletindent"/>
        <w:tabs>
          <w:tab w:val="clear" w:pos="1152"/>
          <w:tab w:val="num" w:pos="1560"/>
        </w:tabs>
        <w:spacing w:before="120" w:after="120"/>
        <w:ind w:left="1276" w:hanging="283"/>
        <w:contextualSpacing w:val="0"/>
      </w:pPr>
      <w:r w:rsidRPr="00921EB8">
        <w:t xml:space="preserve">the availability and cost of insurance. </w:t>
      </w:r>
    </w:p>
    <w:p w14:paraId="3699368A" w14:textId="50676683" w:rsidR="00CC3EB2" w:rsidRPr="00816DAC" w:rsidRDefault="00CC3EB2" w:rsidP="00816DAC">
      <w:pPr>
        <w:pStyle w:val="NormalIndent"/>
        <w:spacing w:before="120" w:after="120" w:line="240" w:lineRule="auto"/>
      </w:pPr>
      <w:r w:rsidRPr="00816DAC">
        <w:t>Insured risk needs preventative and mitigating treatments where appropriate to reduce the probability of occurrence or severity of the outcome of an adverse event, and to provide a cost benefit analysis of potential actions.</w:t>
      </w:r>
    </w:p>
    <w:p w14:paraId="322C9A51" w14:textId="2E39F156" w:rsidR="00CC3EB2" w:rsidRPr="00816DAC" w:rsidRDefault="00CC3EB2" w:rsidP="00816DAC">
      <w:pPr>
        <w:pStyle w:val="NormalIndent"/>
        <w:spacing w:before="120" w:after="120" w:line="240" w:lineRule="auto"/>
      </w:pPr>
      <w:r w:rsidRPr="00816DAC">
        <w:lastRenderedPageBreak/>
        <w:t>If the risk is not insurable, the agency’s risk management framework should set out an alternative response to address the risk.</w:t>
      </w:r>
    </w:p>
    <w:p w14:paraId="5EC69406" w14:textId="14F6A6CE" w:rsidR="00CC3EB2" w:rsidRPr="00816DAC" w:rsidRDefault="00CC3EB2" w:rsidP="00816DAC">
      <w:pPr>
        <w:pStyle w:val="NormalIndent"/>
        <w:spacing w:before="120" w:after="120" w:line="240" w:lineRule="auto"/>
      </w:pPr>
      <w:r w:rsidRPr="00816DAC">
        <w:t>An agency electing to self-manage claims should ensure it is appropriately resourced to manage claims effectively.  Agencies are required to provide below deductible claims data to VMIA for self-managed claims greater than $10 000, related to third party liability and employment liability claims (excluding WorkCover claims).</w:t>
      </w:r>
    </w:p>
    <w:p w14:paraId="03299542" w14:textId="77777777" w:rsidR="00CC3EB2" w:rsidRPr="00816DAC" w:rsidRDefault="00CC3EB2" w:rsidP="00816DAC">
      <w:pPr>
        <w:pStyle w:val="NormalIndent"/>
        <w:spacing w:before="120" w:after="120" w:line="240" w:lineRule="auto"/>
      </w:pPr>
      <w:r w:rsidRPr="00816DAC">
        <w:t>Claims information must be provided to VMIA on request, in a VMIA prescribed format to ensure reliability and accuracy of data.</w:t>
      </w:r>
    </w:p>
    <w:p w14:paraId="160C27FB" w14:textId="01982A74" w:rsidR="00BE35CA" w:rsidRPr="00635CBE" w:rsidRDefault="00346D6E" w:rsidP="00E25B66">
      <w:pPr>
        <w:pStyle w:val="Heading3numbered"/>
        <w:spacing w:before="120" w:line="240" w:lineRule="auto"/>
        <w:ind w:left="851" w:hanging="851"/>
        <w:jc w:val="both"/>
      </w:pPr>
      <w:bookmarkStart w:id="25" w:name="_Toc21704092"/>
      <w:r>
        <w:t>3.</w:t>
      </w:r>
      <w:r w:rsidR="00391B0A">
        <w:t>3</w:t>
      </w:r>
      <w:r>
        <w:t>.3</w:t>
      </w:r>
      <w:r>
        <w:tab/>
      </w:r>
      <w:r w:rsidR="00B25E27" w:rsidRPr="00635CBE">
        <w:t>Risk Culture</w:t>
      </w:r>
      <w:bookmarkEnd w:id="25"/>
    </w:p>
    <w:p w14:paraId="7DE3CC52" w14:textId="6C0BE54F" w:rsidR="003D3A92" w:rsidRPr="006936E2" w:rsidRDefault="003D3A92" w:rsidP="00E25B66">
      <w:pPr>
        <w:spacing w:before="120" w:after="120" w:line="240" w:lineRule="auto"/>
        <w:ind w:left="851"/>
      </w:pPr>
      <w:r>
        <w:rPr>
          <w:lang w:val="en-GB"/>
        </w:rPr>
        <w:t xml:space="preserve">Risk culture refers to the </w:t>
      </w:r>
      <w:r w:rsidRPr="006936E2">
        <w:rPr>
          <w:lang w:val="en-GB"/>
        </w:rPr>
        <w:t>system of beliefs, values and behaviours throughout an organisation that shapes the collective approach to managing risk and making decisions</w:t>
      </w:r>
      <w:r>
        <w:rPr>
          <w:lang w:val="en-GB"/>
        </w:rPr>
        <w:t xml:space="preserve">. </w:t>
      </w:r>
      <w:r w:rsidRPr="006936E2">
        <w:t>A positive risk c</w:t>
      </w:r>
      <w:r w:rsidR="00AC2C68">
        <w:t xml:space="preserve">ulture is one where </w:t>
      </w:r>
      <w:r w:rsidR="004731E9">
        <w:t xml:space="preserve">staff at every level appropriately manage risk as </w:t>
      </w:r>
      <w:r w:rsidR="00893F89">
        <w:t>a</w:t>
      </w:r>
      <w:r w:rsidR="004731E9">
        <w:t>n intrinsic part of their day-to-day work</w:t>
      </w:r>
      <w:r>
        <w:t>.</w:t>
      </w:r>
    </w:p>
    <w:p w14:paraId="27225C54" w14:textId="1DE41522" w:rsidR="003D3A92" w:rsidRPr="006936E2" w:rsidRDefault="003D3A92" w:rsidP="00E25B66">
      <w:pPr>
        <w:spacing w:before="120" w:after="120" w:line="240" w:lineRule="auto"/>
        <w:ind w:left="851"/>
      </w:pPr>
      <w:r>
        <w:rPr>
          <w:lang w:val="en-GB"/>
        </w:rPr>
        <w:t xml:space="preserve">To encourage a positive risk culture, agencies should </w:t>
      </w:r>
      <w:r w:rsidR="004731E9">
        <w:rPr>
          <w:lang w:val="en-GB"/>
        </w:rPr>
        <w:t>c</w:t>
      </w:r>
      <w:r w:rsidR="00A31ACB">
        <w:rPr>
          <w:lang w:val="en-GB"/>
        </w:rPr>
        <w:t xml:space="preserve">onsider </w:t>
      </w:r>
      <w:r>
        <w:rPr>
          <w:lang w:val="en-GB"/>
        </w:rPr>
        <w:t>how the following key principles of effective risk culture work in practice:</w:t>
      </w:r>
      <w:r w:rsidRPr="006936E2">
        <w:rPr>
          <w:lang w:val="en-GB"/>
        </w:rPr>
        <w:t xml:space="preserve"> </w:t>
      </w:r>
    </w:p>
    <w:p w14:paraId="510EECB3" w14:textId="77777777" w:rsidR="00B92B45" w:rsidRPr="006936E2" w:rsidRDefault="00B92B45" w:rsidP="00B92B45">
      <w:pPr>
        <w:pStyle w:val="Bulletindent"/>
        <w:spacing w:before="120" w:after="120"/>
        <w:ind w:left="1560" w:hanging="425"/>
        <w:contextualSpacing w:val="0"/>
      </w:pPr>
      <w:r w:rsidRPr="00F61707">
        <w:t>Tone from the top;</w:t>
      </w:r>
    </w:p>
    <w:p w14:paraId="65B79301" w14:textId="77777777" w:rsidR="00B92B45" w:rsidRDefault="00B92B45" w:rsidP="00E25B66">
      <w:pPr>
        <w:pStyle w:val="Bulletindent"/>
        <w:spacing w:before="120" w:after="120"/>
        <w:ind w:left="1560" w:hanging="425"/>
        <w:contextualSpacing w:val="0"/>
      </w:pPr>
      <w:r w:rsidRPr="00F61707">
        <w:t>Accountability;</w:t>
      </w:r>
    </w:p>
    <w:p w14:paraId="651962B4" w14:textId="4819EC69" w:rsidR="00B92B45" w:rsidRPr="006936E2" w:rsidRDefault="00B92B45" w:rsidP="00B92B45">
      <w:pPr>
        <w:pStyle w:val="Bulletindent"/>
        <w:spacing w:before="120" w:after="120"/>
        <w:ind w:left="1560" w:hanging="425"/>
        <w:contextualSpacing w:val="0"/>
      </w:pPr>
      <w:r w:rsidRPr="00F61707">
        <w:t>Strategy</w:t>
      </w:r>
      <w:r w:rsidR="00B549C2">
        <w:t>;</w:t>
      </w:r>
    </w:p>
    <w:p w14:paraId="5D029D2B" w14:textId="77777777" w:rsidR="00B92B45" w:rsidRDefault="00B92B45" w:rsidP="00E25B66">
      <w:pPr>
        <w:pStyle w:val="Bulletindent"/>
        <w:spacing w:before="120" w:after="120"/>
        <w:ind w:left="1560" w:hanging="425"/>
        <w:contextualSpacing w:val="0"/>
      </w:pPr>
      <w:r w:rsidRPr="00F61707">
        <w:t>Communication;</w:t>
      </w:r>
    </w:p>
    <w:p w14:paraId="328C1D65" w14:textId="77777777" w:rsidR="00B92B45" w:rsidRDefault="00B92B45" w:rsidP="00E25B66">
      <w:pPr>
        <w:pStyle w:val="Bulletindent"/>
        <w:spacing w:before="120" w:after="120"/>
        <w:ind w:left="1560" w:hanging="425"/>
        <w:contextualSpacing w:val="0"/>
      </w:pPr>
      <w:r>
        <w:t>Awareness and recognition of positive risk culture;</w:t>
      </w:r>
    </w:p>
    <w:p w14:paraId="722F8B26" w14:textId="56DAB0C3" w:rsidR="003D3A92" w:rsidRPr="006936E2" w:rsidRDefault="003D3A92" w:rsidP="003573D3">
      <w:pPr>
        <w:pStyle w:val="Bulletindent"/>
        <w:spacing w:before="120" w:after="120"/>
        <w:ind w:left="1560" w:hanging="425"/>
        <w:contextualSpacing w:val="0"/>
      </w:pPr>
      <w:r w:rsidRPr="00F61707">
        <w:t>Escalation of bad news;</w:t>
      </w:r>
    </w:p>
    <w:p w14:paraId="28C49EB0" w14:textId="12BA26D7" w:rsidR="003D3A92" w:rsidRPr="006936E2" w:rsidRDefault="003D3A92" w:rsidP="00E25B66">
      <w:pPr>
        <w:pStyle w:val="Bulletindent"/>
        <w:spacing w:before="120" w:after="120"/>
        <w:ind w:left="1560" w:hanging="425"/>
        <w:contextualSpacing w:val="0"/>
      </w:pPr>
      <w:r w:rsidRPr="00F61707">
        <w:t xml:space="preserve">Supporting </w:t>
      </w:r>
      <w:r w:rsidRPr="006936E2">
        <w:t>tools, templates and mechanisms;</w:t>
      </w:r>
      <w:r w:rsidR="00B92B45">
        <w:t xml:space="preserve"> and</w:t>
      </w:r>
    </w:p>
    <w:p w14:paraId="2EC62447" w14:textId="4BB807E8" w:rsidR="003D3A92" w:rsidRPr="006936E2" w:rsidRDefault="003D3A92" w:rsidP="0088257D">
      <w:pPr>
        <w:pStyle w:val="Bulletindent"/>
        <w:spacing w:before="120" w:after="120"/>
        <w:ind w:left="1560" w:hanging="425"/>
        <w:contextualSpacing w:val="0"/>
      </w:pPr>
      <w:r w:rsidRPr="00F61707">
        <w:t>Continuous improvement</w:t>
      </w:r>
      <w:r w:rsidR="0088257D">
        <w:t>.</w:t>
      </w:r>
    </w:p>
    <w:p w14:paraId="0DECD349" w14:textId="66E7F3D3" w:rsidR="00B92B45" w:rsidRDefault="00B92B45" w:rsidP="0036322B">
      <w:pPr>
        <w:pStyle w:val="Bullet1"/>
        <w:numPr>
          <w:ilvl w:val="0"/>
          <w:numId w:val="0"/>
        </w:numPr>
        <w:ind w:left="851"/>
      </w:pPr>
      <w:r>
        <w:t>L</w:t>
      </w:r>
      <w:r w:rsidRPr="00D934C0">
        <w:t xml:space="preserve">eaders </w:t>
      </w:r>
      <w:r>
        <w:t xml:space="preserve">should </w:t>
      </w:r>
      <w:r w:rsidRPr="00D934C0">
        <w:t xml:space="preserve">understand and value risk culture as a driver of good risk outcomes </w:t>
      </w:r>
      <w:r>
        <w:t>and t</w:t>
      </w:r>
      <w:r w:rsidRPr="00D934C0">
        <w:t xml:space="preserve">he </w:t>
      </w:r>
      <w:r>
        <w:t xml:space="preserve">Accountable Officer for each agency </w:t>
      </w:r>
      <w:r w:rsidRPr="00D934C0">
        <w:t xml:space="preserve">is </w:t>
      </w:r>
      <w:r>
        <w:t>responsible</w:t>
      </w:r>
      <w:r w:rsidRPr="00D934C0">
        <w:t xml:space="preserve"> for setting, owning, instilling and overseeing an appropriate risk culture.</w:t>
      </w:r>
    </w:p>
    <w:p w14:paraId="496B132D" w14:textId="77777777" w:rsidR="003D3A92" w:rsidRDefault="003D3A92" w:rsidP="00E25B66">
      <w:pPr>
        <w:spacing w:before="120" w:after="120" w:line="240" w:lineRule="auto"/>
        <w:ind w:left="851"/>
      </w:pPr>
      <w:r>
        <w:rPr>
          <w:lang w:val="en-GB"/>
        </w:rPr>
        <w:t>The management process for a prioritised focus on risk culture includes:</w:t>
      </w:r>
      <w:r w:rsidRPr="006936E2">
        <w:t xml:space="preserve"> </w:t>
      </w:r>
    </w:p>
    <w:p w14:paraId="6136EB6B" w14:textId="1338C209" w:rsidR="00F73EB2" w:rsidRDefault="002772DD" w:rsidP="00594945">
      <w:pPr>
        <w:pStyle w:val="ListParagraph"/>
        <w:numPr>
          <w:ilvl w:val="0"/>
          <w:numId w:val="6"/>
        </w:numPr>
        <w:spacing w:before="120" w:after="120" w:line="240" w:lineRule="auto"/>
        <w:contextualSpacing w:val="0"/>
      </w:pPr>
      <w:r>
        <w:t>u</w:t>
      </w:r>
      <w:r w:rsidR="003D3A92">
        <w:t xml:space="preserve">nderstanding the agency’s current risk culture and defining the desired risk culture; </w:t>
      </w:r>
    </w:p>
    <w:p w14:paraId="0BC721FF" w14:textId="791A818F" w:rsidR="00F73EB2" w:rsidRDefault="002772DD" w:rsidP="00594945">
      <w:pPr>
        <w:pStyle w:val="ListParagraph"/>
        <w:numPr>
          <w:ilvl w:val="0"/>
          <w:numId w:val="6"/>
        </w:numPr>
        <w:spacing w:before="120" w:after="120" w:line="240" w:lineRule="auto"/>
        <w:contextualSpacing w:val="0"/>
      </w:pPr>
      <w:r>
        <w:t>i</w:t>
      </w:r>
      <w:r w:rsidR="00564290">
        <w:t>dentifying</w:t>
      </w:r>
      <w:r w:rsidR="003D3A92" w:rsidRPr="006936E2">
        <w:t xml:space="preserve"> any gaps between the agency’s current risk culture</w:t>
      </w:r>
      <w:r w:rsidR="003D3A92">
        <w:t xml:space="preserve"> and desired risk culture; and </w:t>
      </w:r>
    </w:p>
    <w:p w14:paraId="6F27D59D" w14:textId="367642F9" w:rsidR="00FD102E" w:rsidRDefault="002772DD" w:rsidP="00594945">
      <w:pPr>
        <w:pStyle w:val="ListParagraph"/>
        <w:numPr>
          <w:ilvl w:val="0"/>
          <w:numId w:val="6"/>
        </w:numPr>
        <w:spacing w:before="120" w:after="120" w:line="240" w:lineRule="auto"/>
        <w:contextualSpacing w:val="0"/>
      </w:pPr>
      <w:r>
        <w:t>d</w:t>
      </w:r>
      <w:r w:rsidR="003D3A92" w:rsidRPr="006936E2">
        <w:t>efining the agency’s approach to evolve the agency’s risk culture to close gap</w:t>
      </w:r>
      <w:r w:rsidR="003D3A92">
        <w:t>s</w:t>
      </w:r>
      <w:r w:rsidR="003D3A92" w:rsidRPr="006936E2">
        <w:t xml:space="preserve"> over time.</w:t>
      </w:r>
    </w:p>
    <w:p w14:paraId="683B5FFC" w14:textId="4EFEFA1A" w:rsidR="00FD1FD9" w:rsidRPr="00635CBE" w:rsidRDefault="00346D6E" w:rsidP="008E4C9D">
      <w:pPr>
        <w:pStyle w:val="Heading3numbered"/>
        <w:spacing w:before="120" w:line="240" w:lineRule="auto"/>
        <w:ind w:left="851" w:hanging="851"/>
        <w:jc w:val="both"/>
      </w:pPr>
      <w:bookmarkStart w:id="26" w:name="_Toc21704093"/>
      <w:r>
        <w:t>3.</w:t>
      </w:r>
      <w:r w:rsidR="00391B0A">
        <w:t>3</w:t>
      </w:r>
      <w:r>
        <w:t>.4</w:t>
      </w:r>
      <w:r>
        <w:tab/>
      </w:r>
      <w:r w:rsidR="00FD1FD9" w:rsidRPr="00635CBE">
        <w:t>Risk Appetite</w:t>
      </w:r>
      <w:bookmarkEnd w:id="26"/>
      <w:r w:rsidR="00FD102E" w:rsidRPr="00635CBE">
        <w:t xml:space="preserve"> </w:t>
      </w:r>
    </w:p>
    <w:p w14:paraId="169E84D1" w14:textId="54AE0971" w:rsidR="008E4C9D" w:rsidRDefault="008E4C9D" w:rsidP="008E4C9D">
      <w:pPr>
        <w:pStyle w:val="NormalIndent"/>
        <w:spacing w:before="120" w:after="120" w:line="240" w:lineRule="auto"/>
      </w:pPr>
      <w:r w:rsidRPr="00FD102E">
        <w:t xml:space="preserve">Risk appetite is </w:t>
      </w:r>
      <w:r w:rsidR="00B92B45">
        <w:rPr>
          <w:rFonts w:ascii="Arial" w:hAnsi="Arial" w:cs="Arial"/>
          <w:color w:val="263238"/>
        </w:rPr>
        <w:t xml:space="preserve">the type and amount </w:t>
      </w:r>
      <w:r>
        <w:rPr>
          <w:rFonts w:ascii="Arial" w:hAnsi="Arial" w:cs="Arial"/>
          <w:color w:val="263238"/>
        </w:rPr>
        <w:t xml:space="preserve">of risk that an </w:t>
      </w:r>
      <w:r w:rsidR="00344ECE">
        <w:rPr>
          <w:rFonts w:ascii="Arial" w:hAnsi="Arial" w:cs="Arial"/>
          <w:color w:val="263238"/>
        </w:rPr>
        <w:t>agency</w:t>
      </w:r>
      <w:r>
        <w:rPr>
          <w:rFonts w:ascii="Arial" w:hAnsi="Arial" w:cs="Arial"/>
          <w:color w:val="263238"/>
        </w:rPr>
        <w:t xml:space="preserve"> is prepared to accept in pursuit of its strategic objectives and business plan.</w:t>
      </w:r>
      <w:r w:rsidR="00B92B45">
        <w:rPr>
          <w:rFonts w:ascii="Arial" w:hAnsi="Arial" w:cs="Arial"/>
          <w:color w:val="263238"/>
        </w:rPr>
        <w:t xml:space="preserve">  There is no one best way to articulate an agency’s risk appetite and the approach taken must be tailored to the needs of each agency.</w:t>
      </w:r>
    </w:p>
    <w:p w14:paraId="48D2F550" w14:textId="425695AB" w:rsidR="008E4C9D" w:rsidRPr="00FD102E" w:rsidRDefault="008E4C9D" w:rsidP="008E4C9D">
      <w:pPr>
        <w:pStyle w:val="NormalIndent"/>
        <w:spacing w:before="120" w:after="120" w:line="240" w:lineRule="auto"/>
      </w:pPr>
      <w:r>
        <w:t>D</w:t>
      </w:r>
      <w:r w:rsidRPr="00FD102E">
        <w:t xml:space="preserve">efining the </w:t>
      </w:r>
      <w:r>
        <w:t>material</w:t>
      </w:r>
      <w:r w:rsidRPr="00FD102E">
        <w:t xml:space="preserve"> risks of the </w:t>
      </w:r>
      <w:r>
        <w:t>agency</w:t>
      </w:r>
      <w:r w:rsidRPr="00FD102E">
        <w:t xml:space="preserve"> and the level of risk acceptable to the </w:t>
      </w:r>
      <w:r>
        <w:t>agency</w:t>
      </w:r>
      <w:r w:rsidRPr="00FD102E">
        <w:t xml:space="preserve">, enables the allocation of scarce risk management resources to those areas of low or minimal appetite and less effort to be </w:t>
      </w:r>
      <w:r w:rsidR="004B76EB" w:rsidRPr="00FD102E">
        <w:t>exp</w:t>
      </w:r>
      <w:r w:rsidR="004B76EB">
        <w:t>e</w:t>
      </w:r>
      <w:r w:rsidR="004B76EB" w:rsidRPr="00FD102E">
        <w:t xml:space="preserve">nded </w:t>
      </w:r>
      <w:r w:rsidRPr="00FD102E">
        <w:t>in moderate or high appetite areas.</w:t>
      </w:r>
      <w:r>
        <w:t xml:space="preserve"> </w:t>
      </w:r>
      <w:r w:rsidRPr="00DA57D2">
        <w:t xml:space="preserve">Where </w:t>
      </w:r>
      <w:r>
        <w:t xml:space="preserve">an </w:t>
      </w:r>
      <w:r w:rsidR="00C17161">
        <w:t>agency</w:t>
      </w:r>
      <w:r w:rsidRPr="00DA57D2">
        <w:t xml:space="preserve"> sits on that spectrum depends on the nature of the risk and the level of effort and investment </w:t>
      </w:r>
      <w:r>
        <w:t>it</w:t>
      </w:r>
      <w:r w:rsidRPr="00DA57D2">
        <w:t xml:space="preserve"> is willing to dedicate to the mitigation or management of that risk.</w:t>
      </w:r>
    </w:p>
    <w:p w14:paraId="4B2FCA1E" w14:textId="0B14345E" w:rsidR="008E4C9D" w:rsidRDefault="008E4C9D" w:rsidP="008E4C9D">
      <w:pPr>
        <w:pStyle w:val="NormalIndent"/>
        <w:spacing w:before="120" w:after="120" w:line="240" w:lineRule="auto"/>
      </w:pPr>
      <w:r w:rsidRPr="00FD102E">
        <w:lastRenderedPageBreak/>
        <w:t xml:space="preserve">It is important that </w:t>
      </w:r>
      <w:r w:rsidR="00921EB8">
        <w:t xml:space="preserve">the </w:t>
      </w:r>
      <w:r w:rsidRPr="00FD102E">
        <w:t xml:space="preserve">risk reward trade-off be considered when defining the </w:t>
      </w:r>
      <w:r>
        <w:t>agency’s</w:t>
      </w:r>
      <w:r w:rsidRPr="00FD102E">
        <w:t xml:space="preserve"> risk tolerance levels. The Executive Team should identify the strategic objectives of the </w:t>
      </w:r>
      <w:r w:rsidR="00C17161">
        <w:t>agency</w:t>
      </w:r>
      <w:r w:rsidRPr="00FD102E">
        <w:t xml:space="preserve"> where a level of increased risk taking would be </w:t>
      </w:r>
      <w:r w:rsidR="00344ECE">
        <w:t>accepted</w:t>
      </w:r>
      <w:r w:rsidRPr="00FD102E">
        <w:t xml:space="preserve"> in pursuit of these objectives. </w:t>
      </w:r>
    </w:p>
    <w:p w14:paraId="56EE7931" w14:textId="0EB88768" w:rsidR="00B92B45" w:rsidRPr="00A375C8" w:rsidRDefault="00B92B45" w:rsidP="00A375C8">
      <w:pPr>
        <w:pStyle w:val="Heading1numbered"/>
        <w:spacing w:before="120" w:after="120" w:line="240" w:lineRule="auto"/>
        <w:rPr>
          <w:color w:val="0063A6" w:themeColor="accent1"/>
          <w:sz w:val="28"/>
        </w:rPr>
      </w:pPr>
      <w:bookmarkStart w:id="27" w:name="_Toc21704094"/>
      <w:r w:rsidRPr="00A375C8">
        <w:rPr>
          <w:color w:val="0063A6" w:themeColor="accent1"/>
          <w:sz w:val="28"/>
        </w:rPr>
        <w:t>3.4</w:t>
      </w:r>
      <w:r w:rsidRPr="00A375C8">
        <w:rPr>
          <w:color w:val="0063A6" w:themeColor="accent1"/>
          <w:sz w:val="28"/>
        </w:rPr>
        <w:tab/>
        <w:t xml:space="preserve">Guidance </w:t>
      </w:r>
      <w:r w:rsidR="00921EB8" w:rsidRPr="00A375C8">
        <w:rPr>
          <w:color w:val="0063A6" w:themeColor="accent1"/>
          <w:sz w:val="28"/>
        </w:rPr>
        <w:t>to</w:t>
      </w:r>
      <w:r w:rsidRPr="00A375C8">
        <w:rPr>
          <w:color w:val="0063A6" w:themeColor="accent1"/>
          <w:sz w:val="28"/>
        </w:rPr>
        <w:t xml:space="preserve"> support </w:t>
      </w:r>
      <w:r w:rsidR="000B088C" w:rsidRPr="00A375C8">
        <w:rPr>
          <w:color w:val="0063A6" w:themeColor="accent1"/>
          <w:sz w:val="28"/>
        </w:rPr>
        <w:t xml:space="preserve">good </w:t>
      </w:r>
      <w:r w:rsidRPr="00A375C8">
        <w:rPr>
          <w:color w:val="0063A6" w:themeColor="accent1"/>
          <w:sz w:val="28"/>
        </w:rPr>
        <w:t>practice risk management</w:t>
      </w:r>
      <w:bookmarkEnd w:id="27"/>
      <w:r w:rsidRPr="00A375C8">
        <w:rPr>
          <w:color w:val="0063A6" w:themeColor="accent1"/>
          <w:sz w:val="28"/>
        </w:rPr>
        <w:t xml:space="preserve"> </w:t>
      </w:r>
    </w:p>
    <w:p w14:paraId="5132C50B" w14:textId="2F3E5637" w:rsidR="00B25E27" w:rsidRPr="00635CBE" w:rsidRDefault="00A375C8" w:rsidP="00B92B45">
      <w:pPr>
        <w:pStyle w:val="Heading3numbered"/>
        <w:spacing w:before="120" w:line="240" w:lineRule="auto"/>
        <w:ind w:left="851" w:hanging="851"/>
        <w:jc w:val="both"/>
      </w:pPr>
      <w:bookmarkStart w:id="28" w:name="_Toc21704095"/>
      <w:r>
        <w:t>3.</w:t>
      </w:r>
      <w:r w:rsidR="00874A70">
        <w:t>4</w:t>
      </w:r>
      <w:r w:rsidR="00346D6E">
        <w:t>.</w:t>
      </w:r>
      <w:r w:rsidR="00B92B45">
        <w:t>1</w:t>
      </w:r>
      <w:r w:rsidR="00484EB3">
        <w:tab/>
      </w:r>
      <w:r w:rsidR="00B25E27" w:rsidRPr="00635CBE">
        <w:t>Risk Evaluation</w:t>
      </w:r>
      <w:bookmarkEnd w:id="28"/>
    </w:p>
    <w:p w14:paraId="34318597" w14:textId="3A922787" w:rsidR="00344ECE" w:rsidRDefault="00344ECE" w:rsidP="00344ECE">
      <w:pPr>
        <w:pStyle w:val="NormalIndent"/>
        <w:spacing w:before="120" w:after="120" w:line="240" w:lineRule="auto"/>
        <w:ind w:left="851"/>
      </w:pPr>
      <w:r>
        <w:t xml:space="preserve">Risk Evaluation is completed to support decisions including whether to accept the risk (particularly if it falls within the agency’s risk appetite) or whether to </w:t>
      </w:r>
      <w:r w:rsidR="00E55C9C">
        <w:t>mit</w:t>
      </w:r>
      <w:r w:rsidR="001E13AE">
        <w:t>i</w:t>
      </w:r>
      <w:r w:rsidR="00E55C9C">
        <w:t xml:space="preserve">gate </w:t>
      </w:r>
      <w:r>
        <w:t>the risk</w:t>
      </w:r>
      <w:r w:rsidR="00E55C9C">
        <w:t xml:space="preserve"> through further treatment and prioritise those treatments</w:t>
      </w:r>
      <w:r>
        <w:t xml:space="preserve"> </w:t>
      </w:r>
    </w:p>
    <w:p w14:paraId="079A3348" w14:textId="0512A195" w:rsidR="00E55C9C" w:rsidRDefault="00E55C9C" w:rsidP="00921EB8">
      <w:pPr>
        <w:shd w:val="clear" w:color="auto" w:fill="FFFFFF"/>
        <w:spacing w:before="100" w:beforeAutospacing="1" w:afterAutospacing="1" w:line="240" w:lineRule="auto"/>
        <w:ind w:left="720" w:firstLine="131"/>
        <w:rPr>
          <w:rFonts w:ascii="Arial" w:eastAsia="Times New Roman" w:hAnsi="Arial" w:cs="Arial"/>
          <w:color w:val="000000"/>
          <w:spacing w:val="0"/>
          <w:sz w:val="19"/>
          <w:szCs w:val="19"/>
          <w:lang w:val="en-US" w:eastAsia="en-US"/>
        </w:rPr>
      </w:pPr>
      <w:r w:rsidRPr="00921EB8">
        <w:t xml:space="preserve">Factors to use in </w:t>
      </w:r>
      <w:r w:rsidRPr="00564290">
        <w:t>evaluating</w:t>
      </w:r>
      <w:r w:rsidRPr="00564290">
        <w:rPr>
          <w:rFonts w:ascii="Arial" w:eastAsia="Times New Roman" w:hAnsi="Arial" w:cs="Arial"/>
          <w:color w:val="000000"/>
          <w:spacing w:val="0"/>
          <w:lang w:val="en-US" w:eastAsia="en-US"/>
        </w:rPr>
        <w:t xml:space="preserve"> a risk include</w:t>
      </w:r>
      <w:r>
        <w:rPr>
          <w:rFonts w:ascii="Arial" w:eastAsia="Times New Roman" w:hAnsi="Arial" w:cs="Arial"/>
          <w:color w:val="000000"/>
          <w:spacing w:val="0"/>
          <w:sz w:val="19"/>
          <w:szCs w:val="19"/>
          <w:lang w:val="en-US" w:eastAsia="en-US"/>
        </w:rPr>
        <w:t>:</w:t>
      </w:r>
    </w:p>
    <w:p w14:paraId="19EF1015" w14:textId="41EF776A" w:rsidR="00E55C9C" w:rsidRPr="00921EB8" w:rsidRDefault="00564290" w:rsidP="00921EB8">
      <w:pPr>
        <w:pStyle w:val="Bulletindent"/>
        <w:spacing w:before="120" w:after="120"/>
        <w:ind w:left="1560" w:hanging="425"/>
        <w:contextualSpacing w:val="0"/>
      </w:pPr>
      <w:r>
        <w:t xml:space="preserve">comparing </w:t>
      </w:r>
      <w:r w:rsidR="00921EB8">
        <w:t>t</w:t>
      </w:r>
      <w:r w:rsidR="00E55C9C" w:rsidRPr="00921EB8">
        <w:t xml:space="preserve">he level of the risk </w:t>
      </w:r>
      <w:r w:rsidR="002772DD">
        <w:t>against</w:t>
      </w:r>
      <w:r w:rsidR="00E55C9C" w:rsidRPr="00921EB8">
        <w:t xml:space="preserve"> the agency’s view of the level of acceptable risk</w:t>
      </w:r>
      <w:r w:rsidR="00921EB8">
        <w:t>;</w:t>
      </w:r>
      <w:r w:rsidR="00E55C9C" w:rsidRPr="00921EB8">
        <w:t xml:space="preserve"> </w:t>
      </w:r>
    </w:p>
    <w:p w14:paraId="0348C009" w14:textId="79AD54DD" w:rsidR="00E55C9C" w:rsidRPr="00921EB8" w:rsidRDefault="00921EB8" w:rsidP="00921EB8">
      <w:pPr>
        <w:pStyle w:val="Bulletindent"/>
        <w:spacing w:before="120" w:after="120"/>
        <w:ind w:left="1560" w:hanging="425"/>
        <w:contextualSpacing w:val="0"/>
      </w:pPr>
      <w:r>
        <w:t>d</w:t>
      </w:r>
      <w:r w:rsidR="00E55C9C" w:rsidRPr="00921EB8">
        <w:t>etermining the level of the risk so low that treatment is not appropriate</w:t>
      </w:r>
      <w:r>
        <w:t>;</w:t>
      </w:r>
    </w:p>
    <w:p w14:paraId="18FBDAE9" w14:textId="3B74CCB6" w:rsidR="00E55C9C" w:rsidRPr="00921EB8" w:rsidRDefault="00921EB8" w:rsidP="00921EB8">
      <w:pPr>
        <w:pStyle w:val="Bulletindent"/>
        <w:spacing w:before="120" w:after="120"/>
        <w:ind w:left="1560" w:hanging="425"/>
        <w:contextualSpacing w:val="0"/>
      </w:pPr>
      <w:r>
        <w:t>a</w:t>
      </w:r>
      <w:r w:rsidR="00E55C9C" w:rsidRPr="00921EB8">
        <w:t>ssessing if the opportunities outweigh the threats to such a degree that the risk is justified</w:t>
      </w:r>
      <w:r>
        <w:t>;</w:t>
      </w:r>
    </w:p>
    <w:p w14:paraId="1109D49F" w14:textId="60440085" w:rsidR="00E55C9C" w:rsidRPr="00921EB8" w:rsidRDefault="00921EB8" w:rsidP="00921EB8">
      <w:pPr>
        <w:pStyle w:val="Bulletindent"/>
        <w:spacing w:before="120" w:after="120"/>
        <w:ind w:left="1560" w:hanging="425"/>
        <w:contextualSpacing w:val="0"/>
      </w:pPr>
      <w:r>
        <w:t>c</w:t>
      </w:r>
      <w:r w:rsidR="00E55C9C" w:rsidRPr="00921EB8">
        <w:t>onsidering if the cost of further treatment is excessive compared to the benefit</w:t>
      </w:r>
      <w:r>
        <w:t xml:space="preserve"> and</w:t>
      </w:r>
    </w:p>
    <w:p w14:paraId="412E962D" w14:textId="7C0D9B99" w:rsidR="00E55C9C" w:rsidRPr="00921EB8" w:rsidRDefault="00921EB8" w:rsidP="00921EB8">
      <w:pPr>
        <w:pStyle w:val="Bulletindent"/>
        <w:spacing w:before="120" w:after="120"/>
        <w:ind w:left="1560" w:hanging="425"/>
        <w:contextualSpacing w:val="0"/>
        <w:rPr>
          <w:rFonts w:ascii="Arial" w:hAnsi="Arial" w:cs="Arial"/>
          <w:color w:val="000000"/>
          <w:spacing w:val="0"/>
          <w:lang w:val="en-US" w:eastAsia="en-US"/>
        </w:rPr>
      </w:pPr>
      <w:r>
        <w:t>c</w:t>
      </w:r>
      <w:r w:rsidR="00E55C9C" w:rsidRPr="00921EB8">
        <w:t>heck</w:t>
      </w:r>
      <w:r>
        <w:t>ing</w:t>
      </w:r>
      <w:r w:rsidR="00E55C9C" w:rsidRPr="00921EB8">
        <w:t xml:space="preserve"> to ensure there is an available treatment</w:t>
      </w:r>
      <w:r w:rsidR="00B42DF4">
        <w:rPr>
          <w:rFonts w:ascii="Arial" w:hAnsi="Arial" w:cs="Arial"/>
          <w:color w:val="000000"/>
          <w:spacing w:val="0"/>
          <w:lang w:val="en-US" w:eastAsia="en-US"/>
        </w:rPr>
        <w:t>.</w:t>
      </w:r>
    </w:p>
    <w:p w14:paraId="0CEA9B7B" w14:textId="77777777" w:rsidR="00E55C9C" w:rsidRDefault="00E55C9C" w:rsidP="00AE6D42">
      <w:pPr>
        <w:pStyle w:val="NormalIndent"/>
        <w:spacing w:before="120" w:after="120" w:line="240" w:lineRule="auto"/>
      </w:pPr>
    </w:p>
    <w:p w14:paraId="4221E7CA" w14:textId="4BDDB198" w:rsidR="00344ECE" w:rsidRDefault="00344ECE" w:rsidP="00344ECE">
      <w:pPr>
        <w:pStyle w:val="NormalIndent"/>
        <w:spacing w:before="120" w:after="120" w:line="240" w:lineRule="auto"/>
        <w:ind w:left="851"/>
      </w:pPr>
      <w:r>
        <w:t>The risk evaluation should be conducted by the risk owner. The risk evaluation may lead to a decision that either:</w:t>
      </w:r>
    </w:p>
    <w:p w14:paraId="37B51FDE" w14:textId="7BFB184B" w:rsidR="00344ECE" w:rsidRDefault="00B42DF4" w:rsidP="00921EB8">
      <w:pPr>
        <w:pStyle w:val="Bulletindent"/>
        <w:spacing w:before="120" w:after="120"/>
        <w:ind w:left="1560" w:hanging="425"/>
        <w:contextualSpacing w:val="0"/>
      </w:pPr>
      <w:r>
        <w:t>a</w:t>
      </w:r>
      <w:r w:rsidR="00344ECE">
        <w:t>ccepts the risk</w:t>
      </w:r>
    </w:p>
    <w:p w14:paraId="497AC91D" w14:textId="0C010E7C" w:rsidR="00344ECE" w:rsidRDefault="00344ECE" w:rsidP="00594945">
      <w:pPr>
        <w:pStyle w:val="Bulletindent"/>
        <w:numPr>
          <w:ilvl w:val="1"/>
          <w:numId w:val="7"/>
        </w:numPr>
        <w:spacing w:before="120" w:after="120"/>
        <w:ind w:left="1701" w:hanging="283"/>
        <w:contextualSpacing w:val="0"/>
      </w:pPr>
      <w:r>
        <w:t>further treatment may be applied but will be a lower priority; or</w:t>
      </w:r>
    </w:p>
    <w:p w14:paraId="26A2B218" w14:textId="4A5FB355" w:rsidR="00344ECE" w:rsidRDefault="00344ECE" w:rsidP="00594945">
      <w:pPr>
        <w:pStyle w:val="Bulletindent"/>
        <w:numPr>
          <w:ilvl w:val="1"/>
          <w:numId w:val="7"/>
        </w:numPr>
        <w:spacing w:before="120" w:after="120"/>
        <w:ind w:left="1701" w:hanging="283"/>
        <w:contextualSpacing w:val="0"/>
      </w:pPr>
      <w:r>
        <w:t>if no further treatment, ongoing monitoring of the risk and controls is required to ensure the risk remains acceptable</w:t>
      </w:r>
      <w:r w:rsidR="00B42DF4">
        <w:t>.</w:t>
      </w:r>
    </w:p>
    <w:p w14:paraId="23154431" w14:textId="1A905723" w:rsidR="00344ECE" w:rsidRDefault="00B42DF4" w:rsidP="00921EB8">
      <w:pPr>
        <w:pStyle w:val="Bulletindent"/>
        <w:spacing w:before="120" w:after="120"/>
        <w:ind w:left="1560" w:hanging="425"/>
        <w:contextualSpacing w:val="0"/>
      </w:pPr>
      <w:r>
        <w:t>d</w:t>
      </w:r>
      <w:r w:rsidR="00344ECE">
        <w:t>o</w:t>
      </w:r>
      <w:r w:rsidR="00921EB8">
        <w:t>es</w:t>
      </w:r>
      <w:r w:rsidR="00344ECE">
        <w:t xml:space="preserve"> not accept the risk</w:t>
      </w:r>
    </w:p>
    <w:p w14:paraId="01E5D2B0" w14:textId="557EF4DB" w:rsidR="00344ECE" w:rsidRPr="00564290" w:rsidRDefault="00344ECE" w:rsidP="00594945">
      <w:pPr>
        <w:pStyle w:val="Bulletindent"/>
        <w:numPr>
          <w:ilvl w:val="1"/>
          <w:numId w:val="7"/>
        </w:numPr>
        <w:spacing w:before="120" w:after="120"/>
        <w:ind w:left="1701" w:hanging="283"/>
        <w:contextualSpacing w:val="0"/>
      </w:pPr>
      <w:r w:rsidRPr="00564290">
        <w:t xml:space="preserve">further treatment will be required to bring the risk within the agency’s risk appetite; </w:t>
      </w:r>
    </w:p>
    <w:p w14:paraId="2DE57DEB" w14:textId="77777777" w:rsidR="00344ECE" w:rsidRPr="00564290" w:rsidRDefault="00344ECE" w:rsidP="00594945">
      <w:pPr>
        <w:pStyle w:val="Bulletindent"/>
        <w:numPr>
          <w:ilvl w:val="1"/>
          <w:numId w:val="7"/>
        </w:numPr>
        <w:spacing w:before="120" w:after="120"/>
        <w:ind w:left="1701" w:hanging="283"/>
        <w:contextualSpacing w:val="0"/>
      </w:pPr>
      <w:r w:rsidRPr="00564290">
        <w:t>the risk owner may be required to undertake further analysis to better understand the risk; or</w:t>
      </w:r>
    </w:p>
    <w:p w14:paraId="68D056F8" w14:textId="545F1776" w:rsidR="00344ECE" w:rsidRDefault="00344ECE" w:rsidP="00594945">
      <w:pPr>
        <w:pStyle w:val="Bulletindent"/>
        <w:numPr>
          <w:ilvl w:val="1"/>
          <w:numId w:val="7"/>
        </w:numPr>
        <w:spacing w:before="120" w:after="120"/>
        <w:ind w:left="1701" w:hanging="283"/>
        <w:contextualSpacing w:val="0"/>
      </w:pPr>
      <w:r w:rsidRPr="00564290">
        <w:t>the agency may need</w:t>
      </w:r>
      <w:r>
        <w:t xml:space="preserve"> to reconsider objectives</w:t>
      </w:r>
      <w:r w:rsidR="00B42DF4">
        <w:t>.</w:t>
      </w:r>
    </w:p>
    <w:p w14:paraId="0B3E465D" w14:textId="75E96BA1" w:rsidR="00B25E27" w:rsidRPr="00635CBE" w:rsidRDefault="00A375C8" w:rsidP="003368C3">
      <w:pPr>
        <w:pStyle w:val="Heading3numbered"/>
        <w:spacing w:before="120" w:line="240" w:lineRule="auto"/>
        <w:jc w:val="both"/>
      </w:pPr>
      <w:bookmarkStart w:id="29" w:name="_Toc21704096"/>
      <w:r>
        <w:t>3.</w:t>
      </w:r>
      <w:r w:rsidR="00B92B45">
        <w:t>4</w:t>
      </w:r>
      <w:r w:rsidR="005D28A2">
        <w:t>.</w:t>
      </w:r>
      <w:r w:rsidR="00B92B45">
        <w:t>2</w:t>
      </w:r>
      <w:r w:rsidR="00484EB3">
        <w:tab/>
      </w:r>
      <w:r w:rsidR="005D28A2">
        <w:t>K</w:t>
      </w:r>
      <w:r w:rsidR="00B25E27" w:rsidRPr="00635CBE">
        <w:t>ey Risk Indicators</w:t>
      </w:r>
      <w:bookmarkEnd w:id="29"/>
    </w:p>
    <w:p w14:paraId="731FFF07" w14:textId="6B3C2C8B" w:rsidR="00484EB3" w:rsidRDefault="00484EB3" w:rsidP="00484EB3">
      <w:pPr>
        <w:pStyle w:val="NormalIndent"/>
        <w:spacing w:before="120" w:after="120" w:line="240" w:lineRule="auto"/>
      </w:pPr>
      <w:r>
        <w:t xml:space="preserve">Key Risk Indicators (KRIs) </w:t>
      </w:r>
      <w:r w:rsidR="004B76EB">
        <w:t>provide insight into the</w:t>
      </w:r>
      <w:r>
        <w:t xml:space="preserve"> possibility of future adverse</w:t>
      </w:r>
      <w:r w:rsidR="00E55C9C">
        <w:t xml:space="preserve"> likelihood</w:t>
      </w:r>
      <w:r>
        <w:t xml:space="preserve"> of risks and can identify potential events that may cause harm. KRIs are </w:t>
      </w:r>
      <w:r w:rsidR="00E55C9C">
        <w:t>typ</w:t>
      </w:r>
      <w:r w:rsidR="001E13AE">
        <w:t>i</w:t>
      </w:r>
      <w:r w:rsidR="00E55C9C">
        <w:t xml:space="preserve">cally </w:t>
      </w:r>
      <w:r>
        <w:t>leading or predictive and used to signal changes in the likelihood of a risk event. They aid management taking action in advance of risks materialising.</w:t>
      </w:r>
    </w:p>
    <w:p w14:paraId="650B8086" w14:textId="324511E1" w:rsidR="00863D84" w:rsidRDefault="00E55C9C" w:rsidP="00A375C8">
      <w:pPr>
        <w:pStyle w:val="NormalIndent"/>
        <w:spacing w:before="120" w:after="120" w:line="240" w:lineRule="auto"/>
      </w:pPr>
      <w:r>
        <w:t>As the State’s access to data to measure its reform and service activities</w:t>
      </w:r>
      <w:r w:rsidR="00564290">
        <w:t xml:space="preserve"> improve</w:t>
      </w:r>
      <w:r>
        <w:t>, both KRIs and risk KPIs become more accessible tools to effectively manage risk.</w:t>
      </w:r>
      <w:r w:rsidR="00863D84">
        <w:t xml:space="preserve">  Data </w:t>
      </w:r>
      <w:r w:rsidR="00A31ACB">
        <w:t>analytics uses</w:t>
      </w:r>
      <w:r w:rsidR="004731E9">
        <w:t xml:space="preserve"> </w:t>
      </w:r>
      <w:r w:rsidR="00863D84">
        <w:t>information to form a view as to whether that risk severity is increasing or decreasing.</w:t>
      </w:r>
    </w:p>
    <w:p w14:paraId="28D5C4C7" w14:textId="5FC62DA6" w:rsidR="00484EB3" w:rsidRDefault="00484EB3" w:rsidP="00A375C8">
      <w:pPr>
        <w:pStyle w:val="NormalIndent"/>
        <w:spacing w:before="120" w:after="120" w:line="240" w:lineRule="auto"/>
      </w:pPr>
      <w:r>
        <w:t xml:space="preserve">Monitoring and measurement of KRIs and </w:t>
      </w:r>
      <w:r w:rsidR="00E55C9C">
        <w:t>risk KPIs</w:t>
      </w:r>
      <w:r>
        <w:t xml:space="preserve"> are powerf</w:t>
      </w:r>
      <w:r w:rsidR="00FA0976">
        <w:t xml:space="preserve">ul ways of keeping track of efforts and alerting management </w:t>
      </w:r>
      <w:r>
        <w:t>to important changes (both positive and n</w:t>
      </w:r>
      <w:r w:rsidR="00FA0976">
        <w:t>egative) in the</w:t>
      </w:r>
      <w:r>
        <w:t xml:space="preserve"> risk management initiatives through a data driven approach.</w:t>
      </w:r>
    </w:p>
    <w:p w14:paraId="6C59B6D8" w14:textId="2A76B31A" w:rsidR="00A011FD" w:rsidRDefault="00A011FD" w:rsidP="00A011FD">
      <w:pPr>
        <w:pStyle w:val="Bulletindent"/>
        <w:numPr>
          <w:ilvl w:val="0"/>
          <w:numId w:val="0"/>
        </w:numPr>
        <w:spacing w:before="120" w:after="120"/>
        <w:ind w:left="792"/>
        <w:contextualSpacing w:val="0"/>
      </w:pPr>
      <w:r>
        <w:lastRenderedPageBreak/>
        <w:t xml:space="preserve">Agencies </w:t>
      </w:r>
      <w:r w:rsidR="00E55C9C">
        <w:t>can utilise</w:t>
      </w:r>
      <w:r>
        <w:t xml:space="preserve"> KRIs as an early warning of increasing risk, which can be achieved through: </w:t>
      </w:r>
    </w:p>
    <w:p w14:paraId="75BF10AB" w14:textId="34C27AA7" w:rsidR="00A011FD" w:rsidRDefault="00A011FD" w:rsidP="00594945">
      <w:pPr>
        <w:pStyle w:val="Bulletindent"/>
        <w:numPr>
          <w:ilvl w:val="0"/>
          <w:numId w:val="7"/>
        </w:numPr>
        <w:spacing w:before="120" w:after="120"/>
        <w:ind w:left="1276" w:hanging="283"/>
        <w:contextualSpacing w:val="0"/>
      </w:pPr>
      <w:r w:rsidRPr="00A011FD">
        <w:t xml:space="preserve">data driven risk assessments </w:t>
      </w:r>
      <w:r>
        <w:t>– use of d</w:t>
      </w:r>
      <w:r w:rsidRPr="00A011FD">
        <w:t>ata analytics to aid in the identification o</w:t>
      </w:r>
      <w:r>
        <w:t xml:space="preserve">f risk, fraud, error or misuse or </w:t>
      </w:r>
      <w:r w:rsidRPr="00A011FD">
        <w:t>the early identification of a control breakdown or verifi</w:t>
      </w:r>
      <w:r w:rsidR="001D7AD4">
        <w:t>cation of control effectiveness.</w:t>
      </w:r>
    </w:p>
    <w:p w14:paraId="283F8036" w14:textId="31261FD0" w:rsidR="00A011FD" w:rsidRDefault="00A011FD" w:rsidP="00594945">
      <w:pPr>
        <w:pStyle w:val="Bulletindent"/>
        <w:numPr>
          <w:ilvl w:val="0"/>
          <w:numId w:val="7"/>
        </w:numPr>
        <w:spacing w:before="120" w:after="120"/>
        <w:ind w:left="1276" w:hanging="283"/>
        <w:contextualSpacing w:val="0"/>
      </w:pPr>
      <w:r>
        <w:t xml:space="preserve">working with other agencies </w:t>
      </w:r>
      <w:r w:rsidR="00564290">
        <w:t xml:space="preserve">to agree </w:t>
      </w:r>
      <w:r w:rsidRPr="00A011FD">
        <w:t>KPIs and KRIs</w:t>
      </w:r>
      <w:r>
        <w:t>; and</w:t>
      </w:r>
    </w:p>
    <w:p w14:paraId="097A8178" w14:textId="0C7956C4" w:rsidR="00A011FD" w:rsidRDefault="00A011FD" w:rsidP="00594945">
      <w:pPr>
        <w:pStyle w:val="Bulletindent"/>
        <w:numPr>
          <w:ilvl w:val="0"/>
          <w:numId w:val="7"/>
        </w:numPr>
        <w:spacing w:before="120" w:after="120"/>
        <w:ind w:left="1276" w:hanging="283"/>
        <w:contextualSpacing w:val="0"/>
      </w:pPr>
      <w:r>
        <w:t>establishing</w:t>
      </w:r>
      <w:r w:rsidRPr="00A011FD">
        <w:t xml:space="preserve"> data analytics network</w:t>
      </w:r>
      <w:r w:rsidR="00564290">
        <w:t>s</w:t>
      </w:r>
      <w:r w:rsidRPr="00A011FD">
        <w:t xml:space="preserve"> to</w:t>
      </w:r>
      <w:r>
        <w:t>:</w:t>
      </w:r>
      <w:r w:rsidRPr="00A011FD">
        <w:t xml:space="preserve"> </w:t>
      </w:r>
    </w:p>
    <w:p w14:paraId="14690455" w14:textId="47AEE2A5" w:rsidR="00A011FD" w:rsidRDefault="00A011FD" w:rsidP="00594945">
      <w:pPr>
        <w:pStyle w:val="Bulletindent"/>
        <w:numPr>
          <w:ilvl w:val="1"/>
          <w:numId w:val="7"/>
        </w:numPr>
        <w:spacing w:before="120" w:after="120"/>
        <w:ind w:left="1701" w:hanging="283"/>
        <w:contextualSpacing w:val="0"/>
      </w:pPr>
      <w:r w:rsidRPr="00A011FD">
        <w:t>share success stories and provide a process for agencies to identify data sources across VPS</w:t>
      </w:r>
      <w:r>
        <w:t>; and</w:t>
      </w:r>
    </w:p>
    <w:p w14:paraId="00DE3831" w14:textId="35A8F7B3" w:rsidR="00344ECE" w:rsidRDefault="00A011FD" w:rsidP="00594945">
      <w:pPr>
        <w:pStyle w:val="Bulletindent"/>
        <w:numPr>
          <w:ilvl w:val="1"/>
          <w:numId w:val="7"/>
        </w:numPr>
        <w:spacing w:before="120" w:after="120"/>
        <w:ind w:left="1701" w:hanging="283"/>
        <w:contextualSpacing w:val="0"/>
      </w:pPr>
      <w:r>
        <w:t>compil</w:t>
      </w:r>
      <w:r w:rsidR="00564290">
        <w:t>e</w:t>
      </w:r>
      <w:r>
        <w:t xml:space="preserve"> and maintain</w:t>
      </w:r>
      <w:r w:rsidR="00564290">
        <w:t xml:space="preserve"> </w:t>
      </w:r>
      <w:r>
        <w:t>a risk register detailing the data sources utilised for risk management across the VPS</w:t>
      </w:r>
      <w:r w:rsidRPr="00A011FD">
        <w:t>.</w:t>
      </w:r>
    </w:p>
    <w:p w14:paraId="70DA59B8" w14:textId="11BBAC56" w:rsidR="00C86F77" w:rsidRPr="00635CBE" w:rsidRDefault="00A375C8" w:rsidP="005D28A2">
      <w:pPr>
        <w:pStyle w:val="Heading3numbered"/>
        <w:spacing w:before="120" w:line="240" w:lineRule="auto"/>
        <w:ind w:left="851" w:hanging="851"/>
        <w:jc w:val="both"/>
      </w:pPr>
      <w:bookmarkStart w:id="30" w:name="_Toc21704097"/>
      <w:r>
        <w:t>3.</w:t>
      </w:r>
      <w:r w:rsidR="001E13AE">
        <w:t>4</w:t>
      </w:r>
      <w:r w:rsidR="005D28A2">
        <w:t>.</w:t>
      </w:r>
      <w:r w:rsidR="00874A70">
        <w:t>3</w:t>
      </w:r>
      <w:r w:rsidR="005D28A2">
        <w:tab/>
      </w:r>
      <w:r w:rsidR="00C86F77">
        <w:t>Risk Maturity</w:t>
      </w:r>
      <w:bookmarkEnd w:id="30"/>
    </w:p>
    <w:p w14:paraId="23772127" w14:textId="343FDF49" w:rsidR="00C86F77" w:rsidRDefault="00C86F77" w:rsidP="005D28A2">
      <w:pPr>
        <w:spacing w:before="120" w:after="120" w:line="240" w:lineRule="auto"/>
        <w:ind w:left="851"/>
      </w:pPr>
      <w:r w:rsidRPr="00C86F77">
        <w:t>Risk maturity</w:t>
      </w:r>
      <w:r>
        <w:t xml:space="preserve"> describes risk capability and the level of </w:t>
      </w:r>
      <w:r w:rsidR="004B76EB">
        <w:t>sophistication</w:t>
      </w:r>
      <w:r>
        <w:t xml:space="preserve"> an agency operates at in terms of its risk processes and procedures. Risk maturity is not a static concept</w:t>
      </w:r>
      <w:r w:rsidR="001E13AE">
        <w:t xml:space="preserve"> and should be tailored to reflect </w:t>
      </w:r>
      <w:r w:rsidR="004B76EB">
        <w:t xml:space="preserve">how risk can best support delivery of </w:t>
      </w:r>
      <w:r w:rsidR="001E13AE">
        <w:t xml:space="preserve">the agency’s strategic objectives.  </w:t>
      </w:r>
      <w:r>
        <w:t>As agencies and their environments change, risk management evolve</w:t>
      </w:r>
      <w:r w:rsidR="00A011FD">
        <w:t>s</w:t>
      </w:r>
      <w:r>
        <w:t xml:space="preserve"> to ensure that it continues to support agencies achieving their objectives. Agencies should consider developing and implementing strategies to improve their risk maturity (or maintain it at the desired level)</w:t>
      </w:r>
      <w:r w:rsidR="004B76EB">
        <w:t xml:space="preserve"> to ensure it supports effective risk management.</w:t>
      </w:r>
    </w:p>
    <w:p w14:paraId="205ED9C4" w14:textId="771C3F16" w:rsidR="001E13AE" w:rsidRDefault="00A375C8" w:rsidP="0036322B">
      <w:pPr>
        <w:pStyle w:val="Heading3numbered"/>
        <w:spacing w:before="120" w:line="240" w:lineRule="auto"/>
        <w:ind w:left="851" w:hanging="851"/>
        <w:jc w:val="both"/>
      </w:pPr>
      <w:bookmarkStart w:id="31" w:name="_Toc21704098"/>
      <w:r>
        <w:t>3.</w:t>
      </w:r>
      <w:r w:rsidR="001E13AE">
        <w:t>4.</w:t>
      </w:r>
      <w:r w:rsidR="00874A70">
        <w:t>4</w:t>
      </w:r>
      <w:r w:rsidR="001E13AE" w:rsidRPr="00522228">
        <w:t xml:space="preserve"> </w:t>
      </w:r>
      <w:r w:rsidR="00594945">
        <w:tab/>
      </w:r>
      <w:r w:rsidR="001E13AE">
        <w:t>Control Effectiveness Testing</w:t>
      </w:r>
      <w:bookmarkEnd w:id="31"/>
    </w:p>
    <w:p w14:paraId="71D4FBC2" w14:textId="35449623" w:rsidR="001E13AE" w:rsidRDefault="001E13AE" w:rsidP="00C301B0">
      <w:pPr>
        <w:spacing w:before="120" w:after="120" w:line="240" w:lineRule="auto"/>
        <w:ind w:left="851"/>
      </w:pPr>
      <w:r>
        <w:t xml:space="preserve">Control effectiveness testing involves </w:t>
      </w:r>
      <w:r w:rsidRPr="009F37F3">
        <w:t xml:space="preserve">regular reviews of </w:t>
      </w:r>
      <w:r>
        <w:t>an agency’s</w:t>
      </w:r>
      <w:r w:rsidRPr="009F37F3">
        <w:t xml:space="preserve"> controls to ensure they are designed and operating effectively to minimise the risks they are intended to mitigate</w:t>
      </w:r>
      <w:r>
        <w:t>.  This technique is best suited for use in agencies with stable control environments, mature risk management frameworks and resources able to perform the work involved.</w:t>
      </w:r>
    </w:p>
    <w:p w14:paraId="12CB2D3A" w14:textId="3B60AE49" w:rsidR="001E13AE" w:rsidRPr="00EC3248" w:rsidRDefault="001E13AE" w:rsidP="00C301B0">
      <w:pPr>
        <w:spacing w:before="120" w:after="120" w:line="240" w:lineRule="auto"/>
        <w:ind w:left="851"/>
      </w:pPr>
      <w:r w:rsidRPr="00EC3248">
        <w:t>Controls testing and validation is important in ensuring the</w:t>
      </w:r>
      <w:r>
        <w:t xml:space="preserve"> agency</w:t>
      </w:r>
      <w:r w:rsidRPr="00EC3248">
        <w:t xml:space="preserve"> is reviewing its risks and developing effective methods to minimise these where possible. It </w:t>
      </w:r>
      <w:r w:rsidR="00863D84">
        <w:t xml:space="preserve">is </w:t>
      </w:r>
      <w:r w:rsidRPr="00EC3248">
        <w:t xml:space="preserve">beneficial for </w:t>
      </w:r>
      <w:r>
        <w:t>agenc</w:t>
      </w:r>
      <w:r w:rsidR="00564290">
        <w:t>ie</w:t>
      </w:r>
      <w:r>
        <w:t>s</w:t>
      </w:r>
      <w:r w:rsidRPr="00EC3248">
        <w:t xml:space="preserve"> to develop their controls framework to more effectively mitigate risk.  The establishment of </w:t>
      </w:r>
      <w:r w:rsidR="00863D84">
        <w:t>an effective</w:t>
      </w:r>
      <w:r w:rsidRPr="00EC3248">
        <w:t xml:space="preserve"> controls framework includes:</w:t>
      </w:r>
    </w:p>
    <w:p w14:paraId="1792C557" w14:textId="4C2E14DD" w:rsidR="001E13AE" w:rsidRPr="00EC3248" w:rsidRDefault="001E13AE" w:rsidP="00C301B0">
      <w:pPr>
        <w:pStyle w:val="Bulletindent"/>
      </w:pPr>
      <w:r w:rsidRPr="00C301B0">
        <w:t>Defining a controls library.</w:t>
      </w:r>
      <w:r w:rsidRPr="00EC3248">
        <w:t xml:space="preserve"> A controls library contains common controls testing examples, including what is considered to be a key control. A key control can provide reasonable assurance that material errors may be detected and prevented in a timely manner. This could include policies and procedures, embedded authorisations and approval process, training and clear descriptions or segregation of duties. </w:t>
      </w:r>
    </w:p>
    <w:p w14:paraId="74A96814" w14:textId="77777777" w:rsidR="001E13AE" w:rsidRPr="00EC3248" w:rsidRDefault="001E13AE" w:rsidP="00C301B0">
      <w:pPr>
        <w:pStyle w:val="Bulletindent"/>
      </w:pPr>
      <w:r w:rsidRPr="00C301B0">
        <w:t>Identifying control ownership</w:t>
      </w:r>
      <w:r>
        <w:t xml:space="preserve">. </w:t>
      </w:r>
      <w:r w:rsidRPr="00EC3248">
        <w:t>Control owners should be identified and designate roles and responsibilities defined. It may also be beneficial to focus on accountability and consequences of a failure to control and mitigate the risk as part of the risk owner’s performance reviews.</w:t>
      </w:r>
    </w:p>
    <w:p w14:paraId="220AC06D" w14:textId="77777777" w:rsidR="001E13AE" w:rsidRDefault="001E13AE" w:rsidP="00594945">
      <w:pPr>
        <w:pStyle w:val="Bulletindent"/>
        <w:numPr>
          <w:ilvl w:val="0"/>
          <w:numId w:val="7"/>
        </w:numPr>
        <w:spacing w:before="120" w:after="120"/>
        <w:ind w:left="1276" w:hanging="283"/>
        <w:contextualSpacing w:val="0"/>
      </w:pPr>
      <w:r w:rsidRPr="00C301B0">
        <w:t>Control testing and validation</w:t>
      </w:r>
      <w:r w:rsidRPr="00EC3248">
        <w:t>. Controls should be regularly reviewed to ensure they are designed and operating effectively to minimise the risks they are intended to mitigate. Control testing and validation could include:</w:t>
      </w:r>
    </w:p>
    <w:p w14:paraId="27AE3217" w14:textId="76543D63" w:rsidR="00594945" w:rsidRDefault="00594945" w:rsidP="00594945">
      <w:pPr>
        <w:pStyle w:val="Bulletindent"/>
        <w:numPr>
          <w:ilvl w:val="1"/>
          <w:numId w:val="7"/>
        </w:numPr>
        <w:spacing w:before="120" w:after="120"/>
        <w:ind w:left="1701" w:hanging="283"/>
        <w:contextualSpacing w:val="0"/>
      </w:pPr>
      <w:r w:rsidRPr="00EC3248">
        <w:t>Control self-assessments by control</w:t>
      </w:r>
      <w:r>
        <w:t xml:space="preserve"> owners</w:t>
      </w:r>
    </w:p>
    <w:p w14:paraId="323EC03E" w14:textId="21ED4CF6" w:rsidR="001E13AE" w:rsidRDefault="001E13AE" w:rsidP="00594945">
      <w:pPr>
        <w:pStyle w:val="Bulletindent"/>
        <w:numPr>
          <w:ilvl w:val="1"/>
          <w:numId w:val="7"/>
        </w:numPr>
        <w:spacing w:before="120" w:after="120"/>
        <w:ind w:left="1701" w:hanging="283"/>
        <w:contextualSpacing w:val="0"/>
      </w:pPr>
      <w:r w:rsidRPr="00EC3248">
        <w:t>Consideration of breaches, internal audit findings and / or any process issues identified during the year as part of the annual review of the risk profile</w:t>
      </w:r>
    </w:p>
    <w:p w14:paraId="2C61D7C7" w14:textId="77777777" w:rsidR="001E13AE" w:rsidRDefault="001E13AE" w:rsidP="00594945">
      <w:pPr>
        <w:pStyle w:val="Bulletindent"/>
        <w:numPr>
          <w:ilvl w:val="1"/>
          <w:numId w:val="7"/>
        </w:numPr>
        <w:spacing w:before="120" w:after="120"/>
        <w:ind w:left="1701" w:hanging="283"/>
        <w:contextualSpacing w:val="0"/>
      </w:pPr>
      <w:r w:rsidRPr="00EC3248">
        <w:t xml:space="preserve">Regular review and testing of key controls by either re-performing the control, observing / inspecting that the control is working. </w:t>
      </w:r>
    </w:p>
    <w:p w14:paraId="5B36AEC5" w14:textId="77777777" w:rsidR="001E13AE" w:rsidRPr="00B25E27" w:rsidRDefault="001E13AE" w:rsidP="005D28A2">
      <w:pPr>
        <w:spacing w:before="120" w:after="120" w:line="240" w:lineRule="auto"/>
        <w:ind w:left="851"/>
      </w:pPr>
    </w:p>
    <w:p w14:paraId="5288DEF7" w14:textId="4A59097E" w:rsidR="00582A9D" w:rsidRDefault="00A375C8" w:rsidP="003368C3">
      <w:pPr>
        <w:pStyle w:val="Heading3numbered"/>
        <w:spacing w:before="120" w:line="240" w:lineRule="auto"/>
        <w:jc w:val="both"/>
      </w:pPr>
      <w:bookmarkStart w:id="32" w:name="_Toc21704099"/>
      <w:r>
        <w:lastRenderedPageBreak/>
        <w:t>3.</w:t>
      </w:r>
      <w:r w:rsidR="001E13AE">
        <w:t>4</w:t>
      </w:r>
      <w:r w:rsidR="005D28A2">
        <w:t>.</w:t>
      </w:r>
      <w:r w:rsidR="00874A70">
        <w:t>5</w:t>
      </w:r>
      <w:r w:rsidR="005D28A2">
        <w:tab/>
        <w:t>A</w:t>
      </w:r>
      <w:r w:rsidR="00582A9D">
        <w:t>dditional guidance and risk management support</w:t>
      </w:r>
      <w:bookmarkEnd w:id="32"/>
    </w:p>
    <w:p w14:paraId="67DE8D4F" w14:textId="37E8A841" w:rsidR="00582A9D" w:rsidRDefault="00582A9D" w:rsidP="005D28A2">
      <w:pPr>
        <w:pStyle w:val="NormalIndent"/>
        <w:spacing w:before="120" w:after="120" w:line="240" w:lineRule="auto"/>
      </w:pPr>
      <w:r>
        <w:t>The VMIA provides advice to the Victorian public sector and delivers risk management assistance, guidance and training to build risk management capability and maturity across the State. Agencies can refer to the VMIA website to access VMIA Risk Management Guidelines outlining sound practice in implementing an effective risk management framework and complying with Ministerial Direction 3.7.1.</w:t>
      </w:r>
    </w:p>
    <w:p w14:paraId="5FDFF8E6" w14:textId="738B9183" w:rsidR="00582A9D" w:rsidRDefault="00582A9D" w:rsidP="005D28A2">
      <w:pPr>
        <w:pStyle w:val="NormalIndent"/>
        <w:spacing w:before="120" w:after="120" w:line="240" w:lineRule="auto"/>
      </w:pPr>
      <w:r>
        <w:t>The VMIA website provides other references and information, including:</w:t>
      </w:r>
    </w:p>
    <w:p w14:paraId="2E5C6A4B" w14:textId="4C5A4EDE" w:rsidR="00582A9D" w:rsidRDefault="00582A9D" w:rsidP="005D28A2">
      <w:pPr>
        <w:pStyle w:val="Bulletindent"/>
        <w:spacing w:before="120" w:after="120"/>
        <w:contextualSpacing w:val="0"/>
      </w:pPr>
      <w:r>
        <w:t xml:space="preserve">upcoming learning and development programs and risk events; </w:t>
      </w:r>
    </w:p>
    <w:p w14:paraId="2A6697D0" w14:textId="3F90734A" w:rsidR="00582A9D" w:rsidRDefault="00582A9D" w:rsidP="005D28A2">
      <w:pPr>
        <w:pStyle w:val="Bulletindent"/>
        <w:spacing w:before="120" w:after="120"/>
        <w:contextualSpacing w:val="0"/>
      </w:pPr>
      <w:r>
        <w:t>risk management information and updates;</w:t>
      </w:r>
    </w:p>
    <w:p w14:paraId="3CDAD4DD" w14:textId="23A3B327" w:rsidR="00582A9D" w:rsidRDefault="00582A9D" w:rsidP="005D28A2">
      <w:pPr>
        <w:pStyle w:val="Bulletindent"/>
        <w:spacing w:before="120" w:after="120"/>
        <w:contextualSpacing w:val="0"/>
      </w:pPr>
      <w:r>
        <w:t>risk management tools and templates;</w:t>
      </w:r>
    </w:p>
    <w:p w14:paraId="3224F502" w14:textId="5A1CADC4" w:rsidR="00582A9D" w:rsidRDefault="00582A9D" w:rsidP="005D28A2">
      <w:pPr>
        <w:pStyle w:val="Bulletindent"/>
        <w:spacing w:before="120" w:after="120"/>
        <w:contextualSpacing w:val="0"/>
      </w:pPr>
      <w:r>
        <w:t>publications;</w:t>
      </w:r>
    </w:p>
    <w:p w14:paraId="4ED81595" w14:textId="194326CD" w:rsidR="00582A9D" w:rsidRDefault="00582A9D" w:rsidP="005D28A2">
      <w:pPr>
        <w:pStyle w:val="Bulletindent"/>
        <w:spacing w:before="120" w:after="120"/>
        <w:contextualSpacing w:val="0"/>
      </w:pPr>
      <w:r>
        <w:t>insurance policies; and</w:t>
      </w:r>
    </w:p>
    <w:p w14:paraId="52C0D663" w14:textId="2F356A3A" w:rsidR="00582A9D" w:rsidRDefault="00582A9D" w:rsidP="005D28A2">
      <w:pPr>
        <w:pStyle w:val="Bulletindent"/>
        <w:spacing w:before="120" w:after="120"/>
        <w:contextualSpacing w:val="0"/>
      </w:pPr>
      <w:r>
        <w:t>links to other relevant websites.</w:t>
      </w:r>
    </w:p>
    <w:p w14:paraId="4AED64F6" w14:textId="5285339D" w:rsidR="00582A9D" w:rsidRDefault="00582A9D" w:rsidP="005D28A2">
      <w:pPr>
        <w:pStyle w:val="NormalIndent"/>
        <w:spacing w:before="120" w:after="120" w:line="240" w:lineRule="auto"/>
      </w:pPr>
      <w:r>
        <w:t>The VMIA website is at www.vmia.vic.gov.au</w:t>
      </w:r>
    </w:p>
    <w:p w14:paraId="104718C5" w14:textId="6E9275B0" w:rsidR="009A7ED0" w:rsidRDefault="00F41C64" w:rsidP="00594945">
      <w:pPr>
        <w:pStyle w:val="Heading1numbered"/>
        <w:numPr>
          <w:ilvl w:val="0"/>
          <w:numId w:val="5"/>
        </w:numPr>
        <w:spacing w:before="120" w:after="120" w:line="240" w:lineRule="auto"/>
        <w:ind w:hanging="720"/>
      </w:pPr>
      <w:bookmarkStart w:id="33" w:name="_Toc21704100"/>
      <w:r>
        <w:t xml:space="preserve">AS </w:t>
      </w:r>
      <w:r w:rsidR="009A7ED0">
        <w:t>ISO 31000:20</w:t>
      </w:r>
      <w:r w:rsidR="00B25E27">
        <w:t>18</w:t>
      </w:r>
      <w:r w:rsidR="009A7ED0">
        <w:t xml:space="preserve"> Risk Management</w:t>
      </w:r>
      <w:r w:rsidR="00B25E27">
        <w:t xml:space="preserve"> </w:t>
      </w:r>
      <w:r w:rsidR="00FD102E">
        <w:t>–</w:t>
      </w:r>
      <w:r w:rsidR="00B25E27">
        <w:t xml:space="preserve"> </w:t>
      </w:r>
      <w:r w:rsidR="009A7ED0">
        <w:t>Guidelines</w:t>
      </w:r>
      <w:bookmarkEnd w:id="33"/>
    </w:p>
    <w:p w14:paraId="128E0A85" w14:textId="774C529A" w:rsidR="009A7ED0" w:rsidRPr="00FD102E" w:rsidRDefault="009A7ED0" w:rsidP="005D28A2">
      <w:pPr>
        <w:pStyle w:val="NormalIndent"/>
        <w:spacing w:before="120" w:after="120" w:line="240" w:lineRule="auto"/>
        <w:rPr>
          <w:i/>
        </w:rPr>
      </w:pPr>
      <w:r>
        <w:t>Each agency is unique and the approach to managing risk needs to be appropriate and tailored to the activity, size, complexity and risk profile of the agency. An agency</w:t>
      </w:r>
      <w:r w:rsidR="007755D8">
        <w:t>’</w:t>
      </w:r>
      <w:r>
        <w:t xml:space="preserve">s approach to risk management must be consistent with the </w:t>
      </w:r>
      <w:r w:rsidR="00F41C64">
        <w:t xml:space="preserve">AS </w:t>
      </w:r>
      <w:r w:rsidRPr="009A7ED0">
        <w:rPr>
          <w:i/>
        </w:rPr>
        <w:t>ISO 31000:20</w:t>
      </w:r>
      <w:r w:rsidR="00EB4B2C">
        <w:rPr>
          <w:i/>
        </w:rPr>
        <w:t>18</w:t>
      </w:r>
      <w:r w:rsidRPr="009A7ED0">
        <w:rPr>
          <w:i/>
        </w:rPr>
        <w:t xml:space="preserve"> Risk Management </w:t>
      </w:r>
      <w:r w:rsidR="00EB4B2C">
        <w:rPr>
          <w:i/>
        </w:rPr>
        <w:t xml:space="preserve">– </w:t>
      </w:r>
      <w:r w:rsidRPr="009A7ED0">
        <w:rPr>
          <w:i/>
        </w:rPr>
        <w:t>Guidelines</w:t>
      </w:r>
      <w:r>
        <w:t xml:space="preserve">. </w:t>
      </w:r>
      <w:r w:rsidR="00EB4B2C">
        <w:t xml:space="preserve"> </w:t>
      </w:r>
    </w:p>
    <w:p w14:paraId="0FD16B9A" w14:textId="77777777" w:rsidR="005B6C7A" w:rsidRDefault="005B6C7A" w:rsidP="005D28A2">
      <w:pPr>
        <w:spacing w:before="120" w:after="120" w:line="240" w:lineRule="auto"/>
        <w:rPr>
          <w:rFonts w:asciiTheme="majorHAnsi" w:eastAsiaTheme="majorEastAsia" w:hAnsiTheme="majorHAnsi" w:cstheme="majorBidi"/>
          <w:b/>
          <w:bCs/>
          <w:color w:val="201547"/>
          <w:spacing w:val="-1"/>
          <w:sz w:val="36"/>
          <w:szCs w:val="28"/>
        </w:rPr>
      </w:pPr>
      <w:r>
        <w:br w:type="page"/>
      </w:r>
    </w:p>
    <w:p w14:paraId="7019B9FA" w14:textId="77777777" w:rsidR="00494D03" w:rsidRDefault="00522228" w:rsidP="005D28A2">
      <w:pPr>
        <w:pStyle w:val="Heading1"/>
        <w:spacing w:before="120" w:after="120" w:line="240" w:lineRule="auto"/>
      </w:pPr>
      <w:bookmarkStart w:id="34" w:name="_Toc21704104"/>
      <w:r w:rsidRPr="00522228">
        <w:lastRenderedPageBreak/>
        <w:t>Appendix 1 – Introduction to risk management</w:t>
      </w:r>
      <w:bookmarkEnd w:id="34"/>
    </w:p>
    <w:p w14:paraId="26008D27" w14:textId="77777777" w:rsidR="00522228" w:rsidRDefault="00522228" w:rsidP="005D28A2">
      <w:pPr>
        <w:spacing w:before="120" w:after="120" w:line="240" w:lineRule="auto"/>
      </w:pPr>
      <w:r>
        <w:t>Agencies can refer to the VMIA website www.vmia.vic.gov.au for advice and support on managing risk, including implementing an effective risk management framework and the effective use of insurance as a risk management tool.</w:t>
      </w:r>
    </w:p>
    <w:p w14:paraId="7E33E935" w14:textId="77777777" w:rsidR="00522228" w:rsidRDefault="00522228" w:rsidP="005D28A2">
      <w:pPr>
        <w:spacing w:before="120" w:after="120" w:line="240" w:lineRule="auto"/>
      </w:pPr>
      <w:r>
        <w:t>A brief introduction to risk management and concepts is provided below.</w:t>
      </w:r>
    </w:p>
    <w:p w14:paraId="4AFC9E38" w14:textId="1FB35F37" w:rsidR="00494D03" w:rsidRDefault="00522228" w:rsidP="005D28A2">
      <w:pPr>
        <w:pStyle w:val="Tablechartdiagramheading"/>
        <w:spacing w:before="120" w:after="120" w:line="240" w:lineRule="auto"/>
      </w:pPr>
      <w:r w:rsidRPr="00AA64A9">
        <w:rPr>
          <w:sz w:val="24"/>
        </w:rPr>
        <w:t>Categories of risks</w:t>
      </w:r>
    </w:p>
    <w:p w14:paraId="5AFD9C41" w14:textId="77777777" w:rsidR="00522228" w:rsidRDefault="00522228" w:rsidP="005D28A2">
      <w:pPr>
        <w:spacing w:before="120" w:after="120" w:line="240" w:lineRule="auto"/>
      </w:pPr>
      <w:r>
        <w:t xml:space="preserve">Risks can involve short and long term impacts and may have event based, recurrent, creeping (becomes more serious over time) or emerging features. With an emerging risk we are still developing an understanding of the opportunities or threats, but due to their potential impacts, the risk is monitored and further investigated. </w:t>
      </w:r>
    </w:p>
    <w:p w14:paraId="4E605882" w14:textId="77777777" w:rsidR="00522228" w:rsidRDefault="00522228" w:rsidP="005D28A2">
      <w:pPr>
        <w:spacing w:before="120" w:after="120" w:line="240" w:lineRule="auto"/>
      </w:pPr>
      <w:r w:rsidRPr="00522228">
        <w:rPr>
          <w:b/>
        </w:rPr>
        <w:t>Agency specific risks</w:t>
      </w:r>
      <w:r>
        <w:t xml:space="preserve"> are risks that can be managed entirely within a single agency</w:t>
      </w:r>
      <w:r w:rsidR="007755D8">
        <w:t>’</w:t>
      </w:r>
      <w:r>
        <w:t xml:space="preserve">s operations and can generally be well understood and effectively managed with straight forward risk management processes. </w:t>
      </w:r>
    </w:p>
    <w:p w14:paraId="61304678" w14:textId="1244A33D" w:rsidR="00522228" w:rsidRDefault="00C93C64" w:rsidP="005D28A2">
      <w:pPr>
        <w:spacing w:before="120" w:after="120" w:line="240" w:lineRule="auto"/>
      </w:pPr>
      <w:r>
        <w:rPr>
          <w:b/>
        </w:rPr>
        <w:t>Shared</w:t>
      </w:r>
      <w:r w:rsidR="00522228" w:rsidRPr="00522228">
        <w:rPr>
          <w:b/>
        </w:rPr>
        <w:t xml:space="preserve"> risks</w:t>
      </w:r>
      <w:r w:rsidR="00522228">
        <w:t xml:space="preserve"> are risks shared by two or more agencies that require coordinated management by more than one agency. The responsibility for managing a</w:t>
      </w:r>
      <w:r>
        <w:t xml:space="preserve"> shared </w:t>
      </w:r>
      <w:r w:rsidR="00522228">
        <w:t>risk is shared by all the relevant agencies and will benefit from a coordinated response where one agency takes a lead role.</w:t>
      </w:r>
    </w:p>
    <w:p w14:paraId="6CDA390D" w14:textId="279DF083" w:rsidR="001E13AE" w:rsidRDefault="00522228" w:rsidP="005D28A2">
      <w:pPr>
        <w:spacing w:before="120" w:after="120" w:line="240" w:lineRule="auto"/>
      </w:pPr>
      <w:r w:rsidRPr="00522228">
        <w:rPr>
          <w:b/>
        </w:rPr>
        <w:t>State significant risks</w:t>
      </w:r>
      <w:r>
        <w:t xml:space="preserve"> are risks where the potential consequences or impacts of the risk on the community, the Government and the private sector are so large as to be of state significance. </w:t>
      </w:r>
      <w:r w:rsidR="001E13AE">
        <w:t>While all state significant risks are shared between agencies, not all shared risks are state significant risks.</w:t>
      </w:r>
    </w:p>
    <w:p w14:paraId="3A2135D8" w14:textId="478C4FB2" w:rsidR="00522228" w:rsidRDefault="00522228" w:rsidP="005D28A2">
      <w:pPr>
        <w:spacing w:before="120" w:after="120" w:line="240" w:lineRule="auto"/>
      </w:pPr>
      <w:r>
        <w:t>A state significant risk can be the extension of an existing agency risk which, beyond a certain threshold, becomes severe enough to have state wide implications or it could be the aggregation of many agency specific risks. An agency</w:t>
      </w:r>
      <w:r w:rsidR="007755D8">
        <w:t>’</w:t>
      </w:r>
      <w:r>
        <w:t>s responsibility is to ensure that a state significant risk is considered by decision makers at the appropriate level of government. Agencies are also responsible for contributing to management of the</w:t>
      </w:r>
      <w:r w:rsidR="001E13AE">
        <w:t xml:space="preserve"> state significant</w:t>
      </w:r>
      <w:r>
        <w:t xml:space="preserve"> risks identified.</w:t>
      </w:r>
    </w:p>
    <w:p w14:paraId="271B7317" w14:textId="77777777" w:rsidR="00522228" w:rsidRDefault="00522228" w:rsidP="005D28A2">
      <w:pPr>
        <w:pStyle w:val="Heading2"/>
        <w:spacing w:before="120" w:after="120" w:line="240" w:lineRule="auto"/>
      </w:pPr>
      <w:bookmarkStart w:id="35" w:name="_Toc21704105"/>
      <w:r>
        <w:t>Risk management concepts</w:t>
      </w:r>
      <w:bookmarkEnd w:id="35"/>
    </w:p>
    <w:p w14:paraId="486B95E8" w14:textId="77777777" w:rsidR="00522228" w:rsidRDefault="00522228" w:rsidP="005D28A2">
      <w:pPr>
        <w:spacing w:before="120" w:after="120" w:line="240" w:lineRule="auto"/>
      </w:pPr>
      <w:r w:rsidRPr="00C83F19">
        <w:rPr>
          <w:b/>
        </w:rPr>
        <w:t>Risk appetite</w:t>
      </w:r>
      <w:r>
        <w:t xml:space="preserve"> supports risk evaluation and defines the amount and type of risk that an agency is willing to accept in pursuing its objectives. Risk appetite may be expressed in various ways to ensure that it is understood and consistently applied by the organisation.</w:t>
      </w:r>
    </w:p>
    <w:p w14:paraId="020B7146" w14:textId="7B7AAB67" w:rsidR="00522228" w:rsidRDefault="00522228" w:rsidP="005D28A2">
      <w:pPr>
        <w:spacing w:before="120" w:after="120" w:line="240" w:lineRule="auto"/>
      </w:pPr>
      <w:r>
        <w:t>The agency</w:t>
      </w:r>
      <w:r w:rsidR="007755D8">
        <w:t>’</w:t>
      </w:r>
      <w:r>
        <w:t xml:space="preserve">s </w:t>
      </w:r>
      <w:r w:rsidRPr="00C83F19">
        <w:rPr>
          <w:b/>
        </w:rPr>
        <w:t>risk profile</w:t>
      </w:r>
      <w:r>
        <w:t xml:space="preserve"> is a description of any set of risks. The set of risks can contain</w:t>
      </w:r>
      <w:r w:rsidR="00635CBE">
        <w:t xml:space="preserve"> </w:t>
      </w:r>
      <w:r>
        <w:t>those that relate to the whole organisation or part of the organisation.</w:t>
      </w:r>
    </w:p>
    <w:p w14:paraId="0C0535E4" w14:textId="77777777" w:rsidR="00522228" w:rsidRDefault="00522228" w:rsidP="005D28A2">
      <w:pPr>
        <w:spacing w:before="120" w:after="120" w:line="240" w:lineRule="auto"/>
      </w:pPr>
      <w:r>
        <w:t>It is important to take human and cultural factors into account in an agency</w:t>
      </w:r>
      <w:r w:rsidR="007755D8">
        <w:t>’</w:t>
      </w:r>
      <w:r>
        <w:t xml:space="preserve">s approach to risk management. A positive </w:t>
      </w:r>
      <w:r w:rsidRPr="00C83F19">
        <w:rPr>
          <w:b/>
        </w:rPr>
        <w:t>risk culture</w:t>
      </w:r>
      <w:r>
        <w:t xml:space="preserve"> is one where every person in the agency believes that thinking about and managing risk is part of their job.</w:t>
      </w:r>
    </w:p>
    <w:p w14:paraId="3EF12CCB" w14:textId="77777777" w:rsidR="00522228" w:rsidRDefault="00522228" w:rsidP="005D28A2">
      <w:pPr>
        <w:spacing w:before="120" w:after="120" w:line="240" w:lineRule="auto"/>
      </w:pPr>
      <w:r>
        <w:t>Risk management needs to be incorporated in the agency</w:t>
      </w:r>
      <w:r w:rsidR="007755D8">
        <w:t>’</w:t>
      </w:r>
      <w:r>
        <w:t xml:space="preserve">s </w:t>
      </w:r>
      <w:r w:rsidRPr="00C83F19">
        <w:rPr>
          <w:b/>
        </w:rPr>
        <w:t>corporate and business planning process</w:t>
      </w:r>
      <w:r>
        <w:t>. An effective risk management approach strengthens corporate and business planning by:</w:t>
      </w:r>
    </w:p>
    <w:p w14:paraId="455044B9" w14:textId="77777777" w:rsidR="00522228" w:rsidRDefault="00522228" w:rsidP="005D28A2">
      <w:pPr>
        <w:pStyle w:val="Bullet1"/>
        <w:spacing w:before="120" w:after="120"/>
        <w:contextualSpacing w:val="0"/>
      </w:pPr>
      <w:r>
        <w:t>enabling better decision making;</w:t>
      </w:r>
    </w:p>
    <w:p w14:paraId="336947B9" w14:textId="77777777" w:rsidR="00522228" w:rsidRDefault="00522228" w:rsidP="005D28A2">
      <w:pPr>
        <w:pStyle w:val="Bullet1"/>
        <w:spacing w:before="120" w:after="120"/>
        <w:contextualSpacing w:val="0"/>
      </w:pPr>
      <w:r>
        <w:t>building organisational confidence in new oppo</w:t>
      </w:r>
      <w:r w:rsidR="00C83F19">
        <w:t xml:space="preserve">rtunities through a considered </w:t>
      </w:r>
      <w:r>
        <w:t>risk approach;</w:t>
      </w:r>
    </w:p>
    <w:p w14:paraId="68F147DD" w14:textId="77777777" w:rsidR="00522228" w:rsidRDefault="00522228" w:rsidP="005D28A2">
      <w:pPr>
        <w:pStyle w:val="Bullet1"/>
        <w:spacing w:before="120" w:after="120"/>
        <w:contextualSpacing w:val="0"/>
      </w:pPr>
      <w:r>
        <w:t>supporting improved performance outcomes; and</w:t>
      </w:r>
    </w:p>
    <w:p w14:paraId="0B5EEA51" w14:textId="77777777" w:rsidR="00522228" w:rsidRDefault="00522228" w:rsidP="005D28A2">
      <w:pPr>
        <w:pStyle w:val="Bullet1"/>
        <w:spacing w:before="120" w:after="120"/>
        <w:contextualSpacing w:val="0"/>
      </w:pPr>
      <w:r>
        <w:t>establishing clear accountabilities.</w:t>
      </w:r>
    </w:p>
    <w:p w14:paraId="534FD0A9" w14:textId="77777777" w:rsidR="00522228" w:rsidRDefault="00522228" w:rsidP="005D28A2">
      <w:pPr>
        <w:spacing w:before="120" w:after="120" w:line="240" w:lineRule="auto"/>
      </w:pPr>
      <w:r>
        <w:t xml:space="preserve">Agencies need to maintain adequate </w:t>
      </w:r>
      <w:r w:rsidRPr="00C83F19">
        <w:rPr>
          <w:b/>
        </w:rPr>
        <w:t>resources</w:t>
      </w:r>
      <w:r>
        <w:t xml:space="preserve"> and</w:t>
      </w:r>
      <w:r w:rsidR="00C83F19">
        <w:t xml:space="preserve"> capability to ensure that the </w:t>
      </w:r>
      <w:r>
        <w:t>risk management function operates effectively. This includes:</w:t>
      </w:r>
    </w:p>
    <w:p w14:paraId="3804B5D1" w14:textId="77777777" w:rsidR="00522228" w:rsidRDefault="00522228" w:rsidP="005D28A2">
      <w:pPr>
        <w:pStyle w:val="Bullet1"/>
        <w:spacing w:before="120" w:after="120"/>
        <w:contextualSpacing w:val="0"/>
      </w:pPr>
      <w:r>
        <w:t>the necessary people, skills, experience and competence;</w:t>
      </w:r>
    </w:p>
    <w:p w14:paraId="27BFE546" w14:textId="77777777" w:rsidR="00522228" w:rsidRDefault="00522228" w:rsidP="005D28A2">
      <w:pPr>
        <w:pStyle w:val="Bullet1"/>
        <w:spacing w:before="120" w:after="120"/>
        <w:contextualSpacing w:val="0"/>
      </w:pPr>
      <w:r>
        <w:t>adequate funding;</w:t>
      </w:r>
    </w:p>
    <w:p w14:paraId="07CB79D0" w14:textId="77777777" w:rsidR="00522228" w:rsidRDefault="00522228" w:rsidP="005D28A2">
      <w:pPr>
        <w:pStyle w:val="Bullet1"/>
        <w:spacing w:before="120" w:after="120"/>
        <w:contextualSpacing w:val="0"/>
      </w:pPr>
      <w:r>
        <w:lastRenderedPageBreak/>
        <w:t>processes, methods and tools for managing risk;</w:t>
      </w:r>
    </w:p>
    <w:p w14:paraId="240CC9B3" w14:textId="77777777" w:rsidR="00522228" w:rsidRDefault="00522228" w:rsidP="005D28A2">
      <w:pPr>
        <w:pStyle w:val="Bullet1"/>
        <w:spacing w:before="120" w:after="120"/>
        <w:contextualSpacing w:val="0"/>
      </w:pPr>
      <w:r>
        <w:t>information and systems;</w:t>
      </w:r>
    </w:p>
    <w:p w14:paraId="19A2A727" w14:textId="77777777" w:rsidR="00522228" w:rsidRDefault="00522228" w:rsidP="005D28A2">
      <w:pPr>
        <w:pStyle w:val="Bullet1"/>
        <w:spacing w:before="120" w:after="120"/>
        <w:contextualSpacing w:val="0"/>
      </w:pPr>
      <w:r>
        <w:t>staff training and education; and</w:t>
      </w:r>
    </w:p>
    <w:p w14:paraId="1BA957F1" w14:textId="294B0A28" w:rsidR="00522228" w:rsidRDefault="00522228" w:rsidP="005D28A2">
      <w:pPr>
        <w:pStyle w:val="Bullet1"/>
        <w:spacing w:before="120" w:after="120"/>
        <w:contextualSpacing w:val="0"/>
      </w:pPr>
      <w:r>
        <w:t>risk tools and techniques.</w:t>
      </w:r>
    </w:p>
    <w:p w14:paraId="4A9F892C" w14:textId="429CDD4A" w:rsidR="00A701CD" w:rsidRDefault="00A701CD" w:rsidP="005D28A2">
      <w:pPr>
        <w:pStyle w:val="Heading2"/>
        <w:spacing w:before="120" w:after="120" w:line="240" w:lineRule="auto"/>
      </w:pPr>
      <w:bookmarkStart w:id="36" w:name="_Toc21704106"/>
      <w:r>
        <w:t>Other risk terms</w:t>
      </w:r>
      <w:bookmarkEnd w:id="36"/>
    </w:p>
    <w:p w14:paraId="655E47E8" w14:textId="3906D949" w:rsidR="00522228" w:rsidRDefault="00A701CD" w:rsidP="005D28A2">
      <w:pPr>
        <w:spacing w:before="120" w:after="120" w:line="240" w:lineRule="auto"/>
      </w:pPr>
      <w:r>
        <w:t>The following provides an overview of other risk ter</w:t>
      </w:r>
      <w:r w:rsidR="00F47350">
        <w:t xml:space="preserve">ms; more detailed explanations </w:t>
      </w:r>
      <w:r>
        <w:t>and guidance is included in VMIA guidance materials. (N</w:t>
      </w:r>
      <w:r w:rsidR="00F47350">
        <w:t xml:space="preserve">ote: these are not definitions </w:t>
      </w:r>
      <w:r>
        <w:t>or standards).</w:t>
      </w:r>
    </w:p>
    <w:tbl>
      <w:tblPr>
        <w:tblStyle w:val="DTFtexttable"/>
        <w:tblW w:w="9147" w:type="dxa"/>
        <w:tblInd w:w="57" w:type="dxa"/>
        <w:tblLayout w:type="fixed"/>
        <w:tblLook w:val="04A0" w:firstRow="1" w:lastRow="0" w:firstColumn="1" w:lastColumn="0" w:noHBand="0" w:noVBand="1"/>
      </w:tblPr>
      <w:tblGrid>
        <w:gridCol w:w="1809"/>
        <w:gridCol w:w="7338"/>
      </w:tblGrid>
      <w:tr w:rsidR="00F47350" w:rsidRPr="00F548B7" w14:paraId="6FB99406" w14:textId="77777777" w:rsidTr="00C86F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9" w:type="dxa"/>
          </w:tcPr>
          <w:p w14:paraId="6CF970D6" w14:textId="5A067EA6" w:rsidR="00F47350" w:rsidRPr="00FD1A5E" w:rsidRDefault="000D415E" w:rsidP="00C86F77">
            <w:pPr>
              <w:pStyle w:val="Tabletext"/>
            </w:pPr>
            <w:r>
              <w:t>Term</w:t>
            </w:r>
          </w:p>
        </w:tc>
        <w:tc>
          <w:tcPr>
            <w:tcW w:w="7338" w:type="dxa"/>
          </w:tcPr>
          <w:p w14:paraId="386AAE9D" w14:textId="10649BE1" w:rsidR="00F47350" w:rsidRPr="00FD1A5E" w:rsidRDefault="000D415E" w:rsidP="00C86F77">
            <w:pPr>
              <w:pStyle w:val="Tabletext"/>
              <w:cnfStyle w:val="100000000000" w:firstRow="1" w:lastRow="0" w:firstColumn="0" w:lastColumn="0" w:oddVBand="0" w:evenVBand="0" w:oddHBand="0" w:evenHBand="0" w:firstRowFirstColumn="0" w:firstRowLastColumn="0" w:lastRowFirstColumn="0" w:lastRowLastColumn="0"/>
            </w:pPr>
            <w:r>
              <w:t>Description</w:t>
            </w:r>
          </w:p>
        </w:tc>
      </w:tr>
      <w:tr w:rsidR="00C86F77" w14:paraId="5FF84645" w14:textId="77777777" w:rsidTr="00C86F77">
        <w:tc>
          <w:tcPr>
            <w:cnfStyle w:val="001000000000" w:firstRow="0" w:lastRow="0" w:firstColumn="1" w:lastColumn="0" w:oddVBand="0" w:evenVBand="0" w:oddHBand="0" w:evenHBand="0" w:firstRowFirstColumn="0" w:firstRowLastColumn="0" w:lastRowFirstColumn="0" w:lastRowLastColumn="0"/>
            <w:tcW w:w="1809" w:type="dxa"/>
          </w:tcPr>
          <w:p w14:paraId="3D70A5F6" w14:textId="77777777" w:rsidR="00C86F77" w:rsidRDefault="00C86F77" w:rsidP="00C86F77">
            <w:pPr>
              <w:pStyle w:val="Tabletext"/>
            </w:pPr>
            <w:r w:rsidRPr="00FD1A5E">
              <w:t>Risk</w:t>
            </w:r>
          </w:p>
        </w:tc>
        <w:tc>
          <w:tcPr>
            <w:tcW w:w="7338" w:type="dxa"/>
            <w:shd w:val="clear" w:color="auto" w:fill="auto"/>
          </w:tcPr>
          <w:p w14:paraId="3909F5CC" w14:textId="77777777" w:rsidR="00C86F77" w:rsidRDefault="00C86F77" w:rsidP="00C86F77">
            <w:pPr>
              <w:pStyle w:val="Tabletext"/>
              <w:cnfStyle w:val="000000000000" w:firstRow="0" w:lastRow="0" w:firstColumn="0" w:lastColumn="0" w:oddVBand="0" w:evenVBand="0" w:oddHBand="0" w:evenHBand="0" w:firstRowFirstColumn="0" w:firstRowLastColumn="0" w:lastRowFirstColumn="0" w:lastRowLastColumn="0"/>
            </w:pPr>
            <w:r w:rsidRPr="00FD1A5E">
              <w:t>The effect of uncertainty on objectives.</w:t>
            </w:r>
          </w:p>
          <w:p w14:paraId="4612A7F7" w14:textId="77777777" w:rsidR="00C86F77" w:rsidRDefault="00C86F77" w:rsidP="00C86F77">
            <w:pPr>
              <w:pStyle w:val="Tabletext"/>
              <w:cnfStyle w:val="000000000000" w:firstRow="0" w:lastRow="0" w:firstColumn="0" w:lastColumn="0" w:oddVBand="0" w:evenVBand="0" w:oddHBand="0" w:evenHBand="0" w:firstRowFirstColumn="0" w:firstRowLastColumn="0" w:lastRowFirstColumn="0" w:lastRowLastColumn="0"/>
            </w:pPr>
            <w:r>
              <w:t>An effect is a deviation from the expected. It can be positive, negative or both, and can address, create or result in opportunities and threats.</w:t>
            </w:r>
          </w:p>
          <w:p w14:paraId="259BAAE8" w14:textId="53CB547A" w:rsidR="00C86F77" w:rsidRDefault="00C86F77" w:rsidP="00C86F77">
            <w:pPr>
              <w:pStyle w:val="Tabletext"/>
              <w:cnfStyle w:val="000000000000" w:firstRow="0" w:lastRow="0" w:firstColumn="0" w:lastColumn="0" w:oddVBand="0" w:evenVBand="0" w:oddHBand="0" w:evenHBand="0" w:firstRowFirstColumn="0" w:firstRowLastColumn="0" w:lastRowFirstColumn="0" w:lastRowLastColumn="0"/>
            </w:pPr>
            <w:r>
              <w:t xml:space="preserve">Objectives can have different aspects and </w:t>
            </w:r>
            <w:r w:rsidR="00F41C64">
              <w:t>categories and</w:t>
            </w:r>
            <w:r>
              <w:t xml:space="preserve"> be applied at different levels. </w:t>
            </w:r>
            <w:r w:rsidRPr="00FD1A5E">
              <w:t xml:space="preserve"> </w:t>
            </w:r>
          </w:p>
        </w:tc>
      </w:tr>
      <w:tr w:rsidR="000D415E" w14:paraId="06604B17" w14:textId="77777777" w:rsidTr="00C86F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BA89D57" w14:textId="5E47C75F" w:rsidR="000D415E" w:rsidRDefault="000D415E" w:rsidP="00C86F77">
            <w:pPr>
              <w:pStyle w:val="Tabletext"/>
            </w:pPr>
            <w:r>
              <w:t>Risk culture</w:t>
            </w:r>
          </w:p>
        </w:tc>
        <w:tc>
          <w:tcPr>
            <w:tcW w:w="7338" w:type="dxa"/>
            <w:shd w:val="clear" w:color="auto" w:fill="auto"/>
          </w:tcPr>
          <w:p w14:paraId="0EA90CE4" w14:textId="29843934" w:rsidR="000D415E" w:rsidRDefault="00E25B66" w:rsidP="00E25B66">
            <w:pPr>
              <w:pStyle w:val="Tabletext"/>
              <w:cnfStyle w:val="000000010000" w:firstRow="0" w:lastRow="0" w:firstColumn="0" w:lastColumn="0" w:oddVBand="0" w:evenVBand="0" w:oddHBand="0" w:evenHBand="1" w:firstRowFirstColumn="0" w:firstRowLastColumn="0" w:lastRowFirstColumn="0" w:lastRowLastColumn="0"/>
            </w:pPr>
            <w:r>
              <w:rPr>
                <w:lang w:val="en-GB"/>
              </w:rPr>
              <w:t xml:space="preserve">Risk culture refers to the </w:t>
            </w:r>
            <w:r w:rsidRPr="006936E2">
              <w:rPr>
                <w:lang w:val="en-GB"/>
              </w:rPr>
              <w:t>system of beliefs, values and behaviours throughout an organisation that shapes the collective approach to managing risk and making decisions</w:t>
            </w:r>
            <w:r>
              <w:rPr>
                <w:lang w:val="en-GB"/>
              </w:rPr>
              <w:t xml:space="preserve">. </w:t>
            </w:r>
            <w:r w:rsidRPr="006936E2">
              <w:t xml:space="preserve">A positive risk culture is one where every person in the agency believes </w:t>
            </w:r>
            <w:r>
              <w:t>that thinking about and m</w:t>
            </w:r>
            <w:r w:rsidRPr="006936E2">
              <w:t>an</w:t>
            </w:r>
            <w:r>
              <w:t>aging risk is part of their job.</w:t>
            </w:r>
          </w:p>
        </w:tc>
      </w:tr>
      <w:tr w:rsidR="000D415E" w14:paraId="2DB3FB9A" w14:textId="77777777" w:rsidTr="00C86F77">
        <w:tc>
          <w:tcPr>
            <w:cnfStyle w:val="001000000000" w:firstRow="0" w:lastRow="0" w:firstColumn="1" w:lastColumn="0" w:oddVBand="0" w:evenVBand="0" w:oddHBand="0" w:evenHBand="0" w:firstRowFirstColumn="0" w:firstRowLastColumn="0" w:lastRowFirstColumn="0" w:lastRowLastColumn="0"/>
            <w:tcW w:w="1809" w:type="dxa"/>
          </w:tcPr>
          <w:p w14:paraId="76B1837E" w14:textId="52402B75" w:rsidR="000D415E" w:rsidRDefault="000D415E" w:rsidP="00C86F77">
            <w:pPr>
              <w:pStyle w:val="Tabletext"/>
            </w:pPr>
            <w:r>
              <w:t xml:space="preserve">Risk appetite </w:t>
            </w:r>
          </w:p>
        </w:tc>
        <w:tc>
          <w:tcPr>
            <w:tcW w:w="7338" w:type="dxa"/>
            <w:shd w:val="clear" w:color="auto" w:fill="auto"/>
          </w:tcPr>
          <w:p w14:paraId="130E7BE7" w14:textId="488EDC3E" w:rsidR="000D415E" w:rsidRDefault="00FA0976" w:rsidP="00C86F77">
            <w:pPr>
              <w:pStyle w:val="Tabletext"/>
              <w:cnfStyle w:val="000000000000" w:firstRow="0" w:lastRow="0" w:firstColumn="0" w:lastColumn="0" w:oddVBand="0" w:evenVBand="0" w:oddHBand="0" w:evenHBand="0" w:firstRowFirstColumn="0" w:firstRowLastColumn="0" w:lastRowFirstColumn="0" w:lastRowLastColumn="0"/>
            </w:pPr>
            <w:r w:rsidRPr="00FA0976">
              <w:t>The types and amounts of risk that an agency is willing to accept in the pursuit of its strategic and business objectives</w:t>
            </w:r>
            <w:r>
              <w:t>.</w:t>
            </w:r>
          </w:p>
        </w:tc>
      </w:tr>
      <w:tr w:rsidR="00C86F77" w14:paraId="70E5B713" w14:textId="77777777" w:rsidTr="00C86F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1854C7A" w14:textId="41DDEEF9" w:rsidR="00C86F77" w:rsidRPr="00FD1A5E" w:rsidRDefault="00C86F77" w:rsidP="00C86F77">
            <w:pPr>
              <w:pStyle w:val="Tabletext"/>
            </w:pPr>
            <w:r>
              <w:t>Risk management</w:t>
            </w:r>
          </w:p>
        </w:tc>
        <w:tc>
          <w:tcPr>
            <w:tcW w:w="7338" w:type="dxa"/>
            <w:shd w:val="clear" w:color="auto" w:fill="auto"/>
          </w:tcPr>
          <w:p w14:paraId="41D3AECD" w14:textId="093131C0" w:rsidR="00C86F77" w:rsidRPr="00FD1A5E" w:rsidRDefault="00C86F77" w:rsidP="00C86F77">
            <w:pPr>
              <w:pStyle w:val="Tabletext"/>
              <w:cnfStyle w:val="000000010000" w:firstRow="0" w:lastRow="0" w:firstColumn="0" w:lastColumn="0" w:oddVBand="0" w:evenVBand="0" w:oddHBand="0" w:evenHBand="1" w:firstRowFirstColumn="0" w:firstRowLastColumn="0" w:lastRowFirstColumn="0" w:lastRowLastColumn="0"/>
            </w:pPr>
            <w:r>
              <w:t>Coordinated activities to direct and control an organisation with regard to risk</w:t>
            </w:r>
          </w:p>
        </w:tc>
      </w:tr>
      <w:tr w:rsidR="00C86F77" w14:paraId="0054AE32" w14:textId="77777777" w:rsidTr="00C86F77">
        <w:tc>
          <w:tcPr>
            <w:cnfStyle w:val="001000000000" w:firstRow="0" w:lastRow="0" w:firstColumn="1" w:lastColumn="0" w:oddVBand="0" w:evenVBand="0" w:oddHBand="0" w:evenHBand="0" w:firstRowFirstColumn="0" w:firstRowLastColumn="0" w:lastRowFirstColumn="0" w:lastRowLastColumn="0"/>
            <w:tcW w:w="1809" w:type="dxa"/>
          </w:tcPr>
          <w:p w14:paraId="659C32BD" w14:textId="393B10EF" w:rsidR="00C86F77" w:rsidRPr="00FD1A5E" w:rsidRDefault="00C86F77" w:rsidP="00C86F77">
            <w:pPr>
              <w:pStyle w:val="Tabletext"/>
            </w:pPr>
            <w:r>
              <w:t>Stakeholder</w:t>
            </w:r>
          </w:p>
        </w:tc>
        <w:tc>
          <w:tcPr>
            <w:tcW w:w="7338" w:type="dxa"/>
            <w:shd w:val="clear" w:color="auto" w:fill="auto"/>
          </w:tcPr>
          <w:p w14:paraId="3453724C" w14:textId="2F8A614A" w:rsidR="00C86F77" w:rsidRPr="00FD1A5E" w:rsidRDefault="00C86F77" w:rsidP="00C86F77">
            <w:pPr>
              <w:pStyle w:val="Tabletext"/>
              <w:cnfStyle w:val="000000000000" w:firstRow="0" w:lastRow="0" w:firstColumn="0" w:lastColumn="0" w:oddVBand="0" w:evenVBand="0" w:oddHBand="0" w:evenHBand="0" w:firstRowFirstColumn="0" w:firstRowLastColumn="0" w:lastRowFirstColumn="0" w:lastRowLastColumn="0"/>
            </w:pPr>
            <w:r>
              <w:t>Person or organisation that can affect, be affected by, or perceive themselves to be affected by a decision or activity.</w:t>
            </w:r>
          </w:p>
        </w:tc>
      </w:tr>
      <w:tr w:rsidR="00C86F77" w14:paraId="0B43997C" w14:textId="77777777" w:rsidTr="00C86F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BAB6CCF" w14:textId="12EB3045" w:rsidR="00C86F77" w:rsidRPr="00FD1A5E" w:rsidRDefault="00C86F77" w:rsidP="00C86F77">
            <w:pPr>
              <w:pStyle w:val="Tabletext"/>
            </w:pPr>
            <w:r>
              <w:t>Risk source</w:t>
            </w:r>
          </w:p>
        </w:tc>
        <w:tc>
          <w:tcPr>
            <w:tcW w:w="7338" w:type="dxa"/>
            <w:shd w:val="clear" w:color="auto" w:fill="auto"/>
          </w:tcPr>
          <w:p w14:paraId="0A7A2755" w14:textId="395FAEDF" w:rsidR="00C86F77" w:rsidRPr="00FD1A5E" w:rsidRDefault="00C86F77" w:rsidP="00C86F77">
            <w:pPr>
              <w:pStyle w:val="Tabletext"/>
              <w:cnfStyle w:val="000000010000" w:firstRow="0" w:lastRow="0" w:firstColumn="0" w:lastColumn="0" w:oddVBand="0" w:evenVBand="0" w:oddHBand="0" w:evenHBand="1" w:firstRowFirstColumn="0" w:firstRowLastColumn="0" w:lastRowFirstColumn="0" w:lastRowLastColumn="0"/>
            </w:pPr>
            <w:r>
              <w:t>Element which alone or in combination has potential to give risk to risk.</w:t>
            </w:r>
          </w:p>
        </w:tc>
      </w:tr>
      <w:tr w:rsidR="00C86F77" w14:paraId="5D6B874F" w14:textId="77777777" w:rsidTr="00C86F77">
        <w:tc>
          <w:tcPr>
            <w:cnfStyle w:val="001000000000" w:firstRow="0" w:lastRow="0" w:firstColumn="1" w:lastColumn="0" w:oddVBand="0" w:evenVBand="0" w:oddHBand="0" w:evenHBand="0" w:firstRowFirstColumn="0" w:firstRowLastColumn="0" w:lastRowFirstColumn="0" w:lastRowLastColumn="0"/>
            <w:tcW w:w="1809" w:type="dxa"/>
          </w:tcPr>
          <w:p w14:paraId="3B63E6F7" w14:textId="6C973ABE" w:rsidR="00C86F77" w:rsidRPr="00FD1A5E" w:rsidRDefault="00C86F77" w:rsidP="00C86F77">
            <w:pPr>
              <w:pStyle w:val="Tabletext"/>
            </w:pPr>
            <w:r>
              <w:t>Event</w:t>
            </w:r>
          </w:p>
        </w:tc>
        <w:tc>
          <w:tcPr>
            <w:tcW w:w="7338" w:type="dxa"/>
            <w:shd w:val="clear" w:color="auto" w:fill="auto"/>
          </w:tcPr>
          <w:p w14:paraId="1DD395F1" w14:textId="77777777" w:rsidR="00C86F77" w:rsidRDefault="00C86F77" w:rsidP="00C86F77">
            <w:pPr>
              <w:pStyle w:val="Tabletext"/>
              <w:cnfStyle w:val="000000000000" w:firstRow="0" w:lastRow="0" w:firstColumn="0" w:lastColumn="0" w:oddVBand="0" w:evenVBand="0" w:oddHBand="0" w:evenHBand="0" w:firstRowFirstColumn="0" w:firstRowLastColumn="0" w:lastRowFirstColumn="0" w:lastRowLastColumn="0"/>
            </w:pPr>
            <w:r>
              <w:t>Occurrence or change of a particular set of circumstances.</w:t>
            </w:r>
          </w:p>
          <w:p w14:paraId="02A05F0F" w14:textId="2D919803" w:rsidR="00C86F77" w:rsidRPr="00FD1A5E" w:rsidRDefault="00C86F77" w:rsidP="00C86F77">
            <w:pPr>
              <w:pStyle w:val="Tabletext"/>
              <w:cnfStyle w:val="000000000000" w:firstRow="0" w:lastRow="0" w:firstColumn="0" w:lastColumn="0" w:oddVBand="0" w:evenVBand="0" w:oddHBand="0" w:evenHBand="0" w:firstRowFirstColumn="0" w:firstRowLastColumn="0" w:lastRowFirstColumn="0" w:lastRowLastColumn="0"/>
            </w:pPr>
            <w:r>
              <w:t xml:space="preserve">An event can have one or more </w:t>
            </w:r>
            <w:r w:rsidR="00F41C64">
              <w:t>occurrences and</w:t>
            </w:r>
            <w:r>
              <w:t xml:space="preserve"> can have several causes and several consequences.</w:t>
            </w:r>
          </w:p>
        </w:tc>
      </w:tr>
      <w:tr w:rsidR="00C86F77" w14:paraId="6C59D891" w14:textId="77777777" w:rsidTr="00C86F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132B8C6" w14:textId="52E10A58" w:rsidR="00C86F77" w:rsidRPr="00FD1A5E" w:rsidRDefault="00C86F77" w:rsidP="00C86F77">
            <w:pPr>
              <w:pStyle w:val="Tabletext"/>
            </w:pPr>
            <w:r>
              <w:t>Consequence</w:t>
            </w:r>
          </w:p>
        </w:tc>
        <w:tc>
          <w:tcPr>
            <w:tcW w:w="7338" w:type="dxa"/>
            <w:shd w:val="clear" w:color="auto" w:fill="auto"/>
          </w:tcPr>
          <w:p w14:paraId="5F4C2CE9" w14:textId="77777777" w:rsidR="00C86F77" w:rsidRDefault="00C86F77" w:rsidP="00C86F77">
            <w:pPr>
              <w:pStyle w:val="Tabletext"/>
              <w:cnfStyle w:val="000000010000" w:firstRow="0" w:lastRow="0" w:firstColumn="0" w:lastColumn="0" w:oddVBand="0" w:evenVBand="0" w:oddHBand="0" w:evenHBand="1" w:firstRowFirstColumn="0" w:firstRowLastColumn="0" w:lastRowFirstColumn="0" w:lastRowLastColumn="0"/>
            </w:pPr>
            <w:r>
              <w:t>Outcome of an event.</w:t>
            </w:r>
          </w:p>
          <w:p w14:paraId="11E72A99" w14:textId="1FFCCE84" w:rsidR="000D415E" w:rsidRPr="00FD1A5E" w:rsidRDefault="000D415E" w:rsidP="00C86F77">
            <w:pPr>
              <w:pStyle w:val="Tabletext"/>
              <w:cnfStyle w:val="000000010000" w:firstRow="0" w:lastRow="0" w:firstColumn="0" w:lastColumn="0" w:oddVBand="0" w:evenVBand="0" w:oddHBand="0" w:evenHBand="1" w:firstRowFirstColumn="0" w:firstRowLastColumn="0" w:lastRowFirstColumn="0" w:lastRowLastColumn="0"/>
            </w:pPr>
            <w:r>
              <w:t>A consequence can be certain or uncertain and can have positive or negative or direct or indirect effects on objectives.</w:t>
            </w:r>
          </w:p>
        </w:tc>
      </w:tr>
      <w:tr w:rsidR="00C86F77" w14:paraId="582D74A8" w14:textId="77777777" w:rsidTr="00C86F77">
        <w:tc>
          <w:tcPr>
            <w:cnfStyle w:val="001000000000" w:firstRow="0" w:lastRow="0" w:firstColumn="1" w:lastColumn="0" w:oddVBand="0" w:evenVBand="0" w:oddHBand="0" w:evenHBand="0" w:firstRowFirstColumn="0" w:firstRowLastColumn="0" w:lastRowFirstColumn="0" w:lastRowLastColumn="0"/>
            <w:tcW w:w="1809" w:type="dxa"/>
          </w:tcPr>
          <w:p w14:paraId="4DD625BA" w14:textId="04F184B4" w:rsidR="00C86F77" w:rsidRPr="00FD1A5E" w:rsidRDefault="000D415E" w:rsidP="00C86F77">
            <w:pPr>
              <w:pStyle w:val="Tabletext"/>
            </w:pPr>
            <w:r>
              <w:t>Likelihood</w:t>
            </w:r>
          </w:p>
        </w:tc>
        <w:tc>
          <w:tcPr>
            <w:tcW w:w="7338" w:type="dxa"/>
            <w:shd w:val="clear" w:color="auto" w:fill="auto"/>
          </w:tcPr>
          <w:p w14:paraId="47B8A09A" w14:textId="77777777" w:rsidR="00C86F77" w:rsidRDefault="000D415E" w:rsidP="00C86F77">
            <w:pPr>
              <w:pStyle w:val="Tabletext"/>
              <w:cnfStyle w:val="000000000000" w:firstRow="0" w:lastRow="0" w:firstColumn="0" w:lastColumn="0" w:oddVBand="0" w:evenVBand="0" w:oddHBand="0" w:evenHBand="0" w:firstRowFirstColumn="0" w:firstRowLastColumn="0" w:lastRowFirstColumn="0" w:lastRowLastColumn="0"/>
            </w:pPr>
            <w:r>
              <w:t xml:space="preserve">Chance of something happening. </w:t>
            </w:r>
          </w:p>
          <w:p w14:paraId="2B723A25" w14:textId="7A7151B0" w:rsidR="000D415E" w:rsidRPr="00FD1A5E" w:rsidRDefault="000D415E" w:rsidP="00C86F77">
            <w:pPr>
              <w:pStyle w:val="Tabletext"/>
              <w:cnfStyle w:val="000000000000" w:firstRow="0" w:lastRow="0" w:firstColumn="0" w:lastColumn="0" w:oddVBand="0" w:evenVBand="0" w:oddHBand="0" w:evenHBand="0" w:firstRowFirstColumn="0" w:firstRowLastColumn="0" w:lastRowFirstColumn="0" w:lastRowLastColumn="0"/>
            </w:pPr>
            <w:r>
              <w:t xml:space="preserve">In risk management, ‘likelihood’ is used to refer to the change of something happening, whether defined, measure or determined objectively or subjectively, qualitatively or quantitatively, and described using general terms or mathematically. </w:t>
            </w:r>
          </w:p>
        </w:tc>
      </w:tr>
      <w:tr w:rsidR="000D415E" w14:paraId="2C0E117E" w14:textId="77777777" w:rsidTr="00C86F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DC545BF" w14:textId="2A741A24" w:rsidR="000D415E" w:rsidRPr="00FD1A5E" w:rsidRDefault="000D415E" w:rsidP="00C86F77">
            <w:pPr>
              <w:pStyle w:val="Tabletext"/>
            </w:pPr>
            <w:r>
              <w:t>Control</w:t>
            </w:r>
          </w:p>
        </w:tc>
        <w:tc>
          <w:tcPr>
            <w:tcW w:w="7338" w:type="dxa"/>
            <w:shd w:val="clear" w:color="auto" w:fill="auto"/>
          </w:tcPr>
          <w:p w14:paraId="1E0E132C" w14:textId="77777777" w:rsidR="000D415E" w:rsidRDefault="000D415E" w:rsidP="00C86F77">
            <w:pPr>
              <w:pStyle w:val="Tabletext"/>
              <w:cnfStyle w:val="000000010000" w:firstRow="0" w:lastRow="0" w:firstColumn="0" w:lastColumn="0" w:oddVBand="0" w:evenVBand="0" w:oddHBand="0" w:evenHBand="1" w:firstRowFirstColumn="0" w:firstRowLastColumn="0" w:lastRowFirstColumn="0" w:lastRowLastColumn="0"/>
            </w:pPr>
            <w:r>
              <w:t>Measure that maintains and / or modifies risk.</w:t>
            </w:r>
          </w:p>
          <w:p w14:paraId="0411704E" w14:textId="29F89BFE" w:rsidR="000D415E" w:rsidRPr="00FD1A5E" w:rsidRDefault="000D415E" w:rsidP="00C86F77">
            <w:pPr>
              <w:pStyle w:val="Tabletext"/>
              <w:cnfStyle w:val="000000010000" w:firstRow="0" w:lastRow="0" w:firstColumn="0" w:lastColumn="0" w:oddVBand="0" w:evenVBand="0" w:oddHBand="0" w:evenHBand="1" w:firstRowFirstColumn="0" w:firstRowLastColumn="0" w:lastRowFirstColumn="0" w:lastRowLastColumn="0"/>
            </w:pPr>
            <w:r>
              <w:t>Controls include, but are not limited to, any process, policy, device, practice, or other conditions and / or actions which maintain and / or modify risk.</w:t>
            </w:r>
          </w:p>
        </w:tc>
      </w:tr>
      <w:tr w:rsidR="000D415E" w14:paraId="480D1586" w14:textId="77777777" w:rsidTr="00C86F77">
        <w:tc>
          <w:tcPr>
            <w:cnfStyle w:val="001000000000" w:firstRow="0" w:lastRow="0" w:firstColumn="1" w:lastColumn="0" w:oddVBand="0" w:evenVBand="0" w:oddHBand="0" w:evenHBand="0" w:firstRowFirstColumn="0" w:firstRowLastColumn="0" w:lastRowFirstColumn="0" w:lastRowLastColumn="0"/>
            <w:tcW w:w="1809" w:type="dxa"/>
          </w:tcPr>
          <w:p w14:paraId="45701359" w14:textId="106F05AA" w:rsidR="000D415E" w:rsidRPr="00FD1A5E" w:rsidRDefault="000D415E" w:rsidP="000D415E">
            <w:pPr>
              <w:pStyle w:val="Tabletext"/>
            </w:pPr>
            <w:r w:rsidRPr="00D07CD8">
              <w:t>Residual risk</w:t>
            </w:r>
          </w:p>
        </w:tc>
        <w:tc>
          <w:tcPr>
            <w:tcW w:w="7338" w:type="dxa"/>
            <w:shd w:val="clear" w:color="auto" w:fill="auto"/>
          </w:tcPr>
          <w:p w14:paraId="77A31FEF" w14:textId="0E38FE16" w:rsidR="000D415E" w:rsidRPr="00FD1A5E" w:rsidRDefault="000D415E" w:rsidP="000D415E">
            <w:pPr>
              <w:pStyle w:val="Tabletext"/>
              <w:cnfStyle w:val="000000000000" w:firstRow="0" w:lastRow="0" w:firstColumn="0" w:lastColumn="0" w:oddVBand="0" w:evenVBand="0" w:oddHBand="0" w:evenHBand="0" w:firstRowFirstColumn="0" w:firstRowLastColumn="0" w:lastRowFirstColumn="0" w:lastRowLastColumn="0"/>
            </w:pPr>
            <w:r w:rsidRPr="00D07CD8">
              <w:t>The risk remaining after risk treatment; also known as retained risk. Can include unidentified risk.</w:t>
            </w:r>
          </w:p>
        </w:tc>
      </w:tr>
      <w:tr w:rsidR="00C86F77" w14:paraId="7CD43E3F" w14:textId="77777777" w:rsidTr="00C86F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2ACA38D" w14:textId="77777777" w:rsidR="00C86F77" w:rsidRPr="00FD1A5E" w:rsidRDefault="00C86F77" w:rsidP="00C86F77">
            <w:pPr>
              <w:pStyle w:val="Tabletext"/>
            </w:pPr>
            <w:r w:rsidRPr="00FD1A5E">
              <w:t>Risk analysis</w:t>
            </w:r>
          </w:p>
        </w:tc>
        <w:tc>
          <w:tcPr>
            <w:tcW w:w="7338" w:type="dxa"/>
            <w:shd w:val="clear" w:color="auto" w:fill="auto"/>
          </w:tcPr>
          <w:p w14:paraId="440B33EF" w14:textId="1B522050" w:rsidR="00C86F77" w:rsidRPr="00FD1A5E" w:rsidRDefault="00C86F77" w:rsidP="00C86F77">
            <w:pPr>
              <w:pStyle w:val="Tabletext"/>
              <w:cnfStyle w:val="000000010000" w:firstRow="0" w:lastRow="0" w:firstColumn="0" w:lastColumn="0" w:oddVBand="0" w:evenVBand="0" w:oddHBand="0" w:evenHBand="1" w:firstRowFirstColumn="0" w:firstRowLastColumn="0" w:lastRowFirstColumn="0" w:lastRowLastColumn="0"/>
            </w:pPr>
            <w:r w:rsidRPr="00FD1A5E">
              <w:t>Process to understand the nature of the risk and to determine the level of risk.</w:t>
            </w:r>
          </w:p>
        </w:tc>
      </w:tr>
      <w:tr w:rsidR="00C86F77" w14:paraId="7477CEB3" w14:textId="77777777" w:rsidTr="00C86F77">
        <w:tc>
          <w:tcPr>
            <w:cnfStyle w:val="001000000000" w:firstRow="0" w:lastRow="0" w:firstColumn="1" w:lastColumn="0" w:oddVBand="0" w:evenVBand="0" w:oddHBand="0" w:evenHBand="0" w:firstRowFirstColumn="0" w:firstRowLastColumn="0" w:lastRowFirstColumn="0" w:lastRowLastColumn="0"/>
            <w:tcW w:w="1809" w:type="dxa"/>
          </w:tcPr>
          <w:p w14:paraId="7B628E9C" w14:textId="77777777" w:rsidR="00C86F77" w:rsidRPr="00FD1A5E" w:rsidRDefault="00C86F77" w:rsidP="00C86F77">
            <w:pPr>
              <w:pStyle w:val="Tabletext"/>
            </w:pPr>
            <w:r w:rsidRPr="00FD1A5E">
              <w:t>Risk criteria</w:t>
            </w:r>
          </w:p>
        </w:tc>
        <w:tc>
          <w:tcPr>
            <w:tcW w:w="7338" w:type="dxa"/>
            <w:shd w:val="clear" w:color="auto" w:fill="auto"/>
          </w:tcPr>
          <w:p w14:paraId="0F060198" w14:textId="77777777" w:rsidR="00C86F77" w:rsidRPr="00FD1A5E" w:rsidRDefault="00C86F77" w:rsidP="00C86F77">
            <w:pPr>
              <w:pStyle w:val="Tabletext"/>
              <w:cnfStyle w:val="000000000000" w:firstRow="0" w:lastRow="0" w:firstColumn="0" w:lastColumn="0" w:oddVBand="0" w:evenVBand="0" w:oddHBand="0" w:evenHBand="0" w:firstRowFirstColumn="0" w:firstRowLastColumn="0" w:lastRowFirstColumn="0" w:lastRowLastColumn="0"/>
            </w:pPr>
            <w:r w:rsidRPr="00FD1A5E">
              <w:t>Terms of reference against which the significance of risk is evaluated. Based on organisational objectives and internal and external contexts. Risk criteria can be derived from standards, laws, policies and other requirements.</w:t>
            </w:r>
          </w:p>
        </w:tc>
      </w:tr>
      <w:tr w:rsidR="00C86F77" w14:paraId="50FDA97C" w14:textId="77777777" w:rsidTr="00C86F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341A8DB" w14:textId="77777777" w:rsidR="00C86F77" w:rsidRPr="00FD1A5E" w:rsidRDefault="00C86F77" w:rsidP="00C86F77">
            <w:pPr>
              <w:pStyle w:val="Tabletext"/>
            </w:pPr>
            <w:r w:rsidRPr="00FD1A5E">
              <w:t>Risk evaluation</w:t>
            </w:r>
          </w:p>
        </w:tc>
        <w:tc>
          <w:tcPr>
            <w:tcW w:w="7338" w:type="dxa"/>
            <w:shd w:val="clear" w:color="auto" w:fill="auto"/>
          </w:tcPr>
          <w:p w14:paraId="78F7AEE6" w14:textId="77777777" w:rsidR="00C86F77" w:rsidRPr="00FD1A5E" w:rsidRDefault="00C86F77" w:rsidP="00C86F77">
            <w:pPr>
              <w:pStyle w:val="Tabletext"/>
              <w:cnfStyle w:val="000000010000" w:firstRow="0" w:lastRow="0" w:firstColumn="0" w:lastColumn="0" w:oddVBand="0" w:evenVBand="0" w:oddHBand="0" w:evenHBand="1" w:firstRowFirstColumn="0" w:firstRowLastColumn="0" w:lastRowFirstColumn="0" w:lastRowLastColumn="0"/>
            </w:pPr>
            <w:r w:rsidRPr="00FD1A5E">
              <w:t>The process of assessing risk analysis results to determine whether the risk and/or its magnitude is acceptable or tolerable. Risk evaluation assists the decision about risk treatment and needs to consider the risk appetite and risk tolerance of the organisation.</w:t>
            </w:r>
          </w:p>
        </w:tc>
      </w:tr>
      <w:tr w:rsidR="00C86F77" w14:paraId="0A56289E" w14:textId="77777777" w:rsidTr="00C86F77">
        <w:tc>
          <w:tcPr>
            <w:cnfStyle w:val="001000000000" w:firstRow="0" w:lastRow="0" w:firstColumn="1" w:lastColumn="0" w:oddVBand="0" w:evenVBand="0" w:oddHBand="0" w:evenHBand="0" w:firstRowFirstColumn="0" w:firstRowLastColumn="0" w:lastRowFirstColumn="0" w:lastRowLastColumn="0"/>
            <w:tcW w:w="1809" w:type="dxa"/>
          </w:tcPr>
          <w:p w14:paraId="2E5BE4AC" w14:textId="77777777" w:rsidR="00C86F77" w:rsidRPr="00FD1A5E" w:rsidRDefault="00C86F77" w:rsidP="00C86F77">
            <w:pPr>
              <w:pStyle w:val="Tabletext"/>
            </w:pPr>
            <w:r w:rsidRPr="00FD1A5E">
              <w:lastRenderedPageBreak/>
              <w:t>Risk event</w:t>
            </w:r>
          </w:p>
        </w:tc>
        <w:tc>
          <w:tcPr>
            <w:tcW w:w="7338" w:type="dxa"/>
            <w:shd w:val="clear" w:color="auto" w:fill="auto"/>
          </w:tcPr>
          <w:p w14:paraId="1660602C" w14:textId="77777777" w:rsidR="00C86F77" w:rsidRPr="00FD1A5E" w:rsidRDefault="00C86F77" w:rsidP="00C86F77">
            <w:pPr>
              <w:pStyle w:val="Tabletext"/>
              <w:cnfStyle w:val="000000000000" w:firstRow="0" w:lastRow="0" w:firstColumn="0" w:lastColumn="0" w:oddVBand="0" w:evenVBand="0" w:oddHBand="0" w:evenHBand="0" w:firstRowFirstColumn="0" w:firstRowLastColumn="0" w:lastRowFirstColumn="0" w:lastRowLastColumn="0"/>
            </w:pPr>
            <w:r w:rsidRPr="00FD1A5E">
              <w:t xml:space="preserve">An occurrence or change of a particular set of circumstances. May have one or more occurrences and can have several causes. An event can consist of something not happening and may also be referred to as an </w:t>
            </w:r>
            <w:r>
              <w:t>‘</w:t>
            </w:r>
            <w:r w:rsidRPr="00FD1A5E">
              <w:t>incident</w:t>
            </w:r>
            <w:r>
              <w:t>’</w:t>
            </w:r>
            <w:r w:rsidRPr="00FD1A5E">
              <w:t>.</w:t>
            </w:r>
          </w:p>
        </w:tc>
      </w:tr>
      <w:tr w:rsidR="00C86F77" w14:paraId="38BE5D33" w14:textId="77777777" w:rsidTr="00C86F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660E475" w14:textId="77777777" w:rsidR="00C86F77" w:rsidRPr="00FD1A5E" w:rsidRDefault="00C86F77" w:rsidP="00C86F77">
            <w:pPr>
              <w:pStyle w:val="Tabletext"/>
            </w:pPr>
            <w:r w:rsidRPr="00FD1A5E">
              <w:t>Risk identification</w:t>
            </w:r>
          </w:p>
        </w:tc>
        <w:tc>
          <w:tcPr>
            <w:tcW w:w="7338" w:type="dxa"/>
            <w:shd w:val="clear" w:color="auto" w:fill="auto"/>
          </w:tcPr>
          <w:p w14:paraId="6E2912AD" w14:textId="77777777" w:rsidR="00C86F77" w:rsidRPr="00FD1A5E" w:rsidRDefault="00C86F77" w:rsidP="00C86F77">
            <w:pPr>
              <w:pStyle w:val="Tabletext"/>
              <w:cnfStyle w:val="000000010000" w:firstRow="0" w:lastRow="0" w:firstColumn="0" w:lastColumn="0" w:oddVBand="0" w:evenVBand="0" w:oddHBand="0" w:evenHBand="1" w:firstRowFirstColumn="0" w:firstRowLastColumn="0" w:lastRowFirstColumn="0" w:lastRowLastColumn="0"/>
            </w:pPr>
            <w:r w:rsidRPr="00FD1A5E">
              <w:t>The process of finding, recognising and describing risks. Involves the identification of risk sources, events and potential consequences.</w:t>
            </w:r>
            <w:r>
              <w:t xml:space="preserve"> </w:t>
            </w:r>
            <w:r>
              <w:br/>
            </w:r>
            <w:r w:rsidRPr="00FD1A5E">
              <w:t>Can involve historical data, theoretical analysis, informed and expert opinions and stakeholder needs.</w:t>
            </w:r>
          </w:p>
        </w:tc>
      </w:tr>
      <w:tr w:rsidR="00C86F77" w14:paraId="539CD356" w14:textId="77777777" w:rsidTr="00C86F77">
        <w:tc>
          <w:tcPr>
            <w:cnfStyle w:val="001000000000" w:firstRow="0" w:lastRow="0" w:firstColumn="1" w:lastColumn="0" w:oddVBand="0" w:evenVBand="0" w:oddHBand="0" w:evenHBand="0" w:firstRowFirstColumn="0" w:firstRowLastColumn="0" w:lastRowFirstColumn="0" w:lastRowLastColumn="0"/>
            <w:tcW w:w="1809" w:type="dxa"/>
          </w:tcPr>
          <w:p w14:paraId="4DB5DD3B" w14:textId="77777777" w:rsidR="00C86F77" w:rsidRPr="00FD1A5E" w:rsidRDefault="00C86F77" w:rsidP="00C86F77">
            <w:pPr>
              <w:pStyle w:val="Tabletext"/>
            </w:pPr>
            <w:r w:rsidRPr="00FD1A5E">
              <w:t>Risk management framework</w:t>
            </w:r>
          </w:p>
        </w:tc>
        <w:tc>
          <w:tcPr>
            <w:tcW w:w="7338" w:type="dxa"/>
            <w:shd w:val="clear" w:color="auto" w:fill="auto"/>
          </w:tcPr>
          <w:p w14:paraId="54F4EFB5" w14:textId="77777777" w:rsidR="00C86F77" w:rsidRPr="00FD1A5E" w:rsidRDefault="00C86F77" w:rsidP="00C86F77">
            <w:pPr>
              <w:pStyle w:val="Tabletext"/>
              <w:cnfStyle w:val="000000000000" w:firstRow="0" w:lastRow="0" w:firstColumn="0" w:lastColumn="0" w:oddVBand="0" w:evenVBand="0" w:oddHBand="0" w:evenHBand="0" w:firstRowFirstColumn="0" w:firstRowLastColumn="0" w:lastRowFirstColumn="0" w:lastRowLastColumn="0"/>
            </w:pPr>
            <w:r w:rsidRPr="00FD1A5E">
              <w:t>Set of components that provide the foundations and organisational arrangements for designing, implementing, monitoring, reviewing and continually improving risk management throughout the organisation.</w:t>
            </w:r>
          </w:p>
        </w:tc>
      </w:tr>
      <w:tr w:rsidR="001E13AE" w14:paraId="44654C09" w14:textId="77777777" w:rsidTr="00C86F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3F85396" w14:textId="64645001" w:rsidR="001E13AE" w:rsidRPr="00FD1A5E" w:rsidRDefault="001E13AE" w:rsidP="001E13AE">
            <w:pPr>
              <w:pStyle w:val="Tabletext"/>
            </w:pPr>
            <w:r>
              <w:t>Risk maturity</w:t>
            </w:r>
          </w:p>
        </w:tc>
        <w:tc>
          <w:tcPr>
            <w:tcW w:w="7338" w:type="dxa"/>
            <w:shd w:val="clear" w:color="auto" w:fill="auto"/>
          </w:tcPr>
          <w:p w14:paraId="58AB72F0" w14:textId="775E3583" w:rsidR="001E13AE" w:rsidRPr="00FD1A5E" w:rsidRDefault="001E13AE" w:rsidP="001E13AE">
            <w:pPr>
              <w:pStyle w:val="Tabletext"/>
              <w:cnfStyle w:val="000000010000" w:firstRow="0" w:lastRow="0" w:firstColumn="0" w:lastColumn="0" w:oddVBand="0" w:evenVBand="0" w:oddHBand="0" w:evenHBand="1" w:firstRowFirstColumn="0" w:firstRowLastColumn="0" w:lastRowFirstColumn="0" w:lastRowLastColumn="0"/>
            </w:pPr>
            <w:r>
              <w:t>The benchmarking of an agency’s risk management framework relative to leading practice</w:t>
            </w:r>
          </w:p>
        </w:tc>
      </w:tr>
      <w:tr w:rsidR="001E13AE" w14:paraId="62302CD1" w14:textId="77777777" w:rsidTr="00C86F77">
        <w:tc>
          <w:tcPr>
            <w:cnfStyle w:val="001000000000" w:firstRow="0" w:lastRow="0" w:firstColumn="1" w:lastColumn="0" w:oddVBand="0" w:evenVBand="0" w:oddHBand="0" w:evenHBand="0" w:firstRowFirstColumn="0" w:firstRowLastColumn="0" w:lastRowFirstColumn="0" w:lastRowLastColumn="0"/>
            <w:tcW w:w="1809" w:type="dxa"/>
          </w:tcPr>
          <w:p w14:paraId="42646940" w14:textId="77777777" w:rsidR="001E13AE" w:rsidRPr="00FD1A5E" w:rsidRDefault="001E13AE" w:rsidP="001E13AE">
            <w:pPr>
              <w:pStyle w:val="Tabletext"/>
            </w:pPr>
            <w:r w:rsidRPr="00FD1A5E">
              <w:t>Risk profile</w:t>
            </w:r>
          </w:p>
        </w:tc>
        <w:tc>
          <w:tcPr>
            <w:tcW w:w="7338" w:type="dxa"/>
            <w:shd w:val="clear" w:color="auto" w:fill="auto"/>
          </w:tcPr>
          <w:p w14:paraId="2126A261" w14:textId="77777777" w:rsidR="001E13AE" w:rsidRPr="00FD1A5E" w:rsidRDefault="001E13AE" w:rsidP="001E13AE">
            <w:pPr>
              <w:pStyle w:val="Tabletext"/>
              <w:cnfStyle w:val="000000000000" w:firstRow="0" w:lastRow="0" w:firstColumn="0" w:lastColumn="0" w:oddVBand="0" w:evenVBand="0" w:oddHBand="0" w:evenHBand="0" w:firstRowFirstColumn="0" w:firstRowLastColumn="0" w:lastRowFirstColumn="0" w:lastRowLastColumn="0"/>
            </w:pPr>
            <w:r w:rsidRPr="00FD1A5E">
              <w:t>A description of any set of risks. The set of risks can contain those that relate to the whole organisation or part of the organisation.</w:t>
            </w:r>
          </w:p>
        </w:tc>
      </w:tr>
      <w:tr w:rsidR="001E13AE" w14:paraId="6CA210FD" w14:textId="77777777" w:rsidTr="00C86F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D343600" w14:textId="77777777" w:rsidR="001E13AE" w:rsidRPr="00FD1A5E" w:rsidRDefault="001E13AE" w:rsidP="001E13AE">
            <w:pPr>
              <w:pStyle w:val="Tabletext"/>
            </w:pPr>
            <w:r w:rsidRPr="00FD1A5E">
              <w:t>Risk management process</w:t>
            </w:r>
          </w:p>
        </w:tc>
        <w:tc>
          <w:tcPr>
            <w:tcW w:w="7338" w:type="dxa"/>
            <w:shd w:val="clear" w:color="auto" w:fill="auto"/>
          </w:tcPr>
          <w:p w14:paraId="0708834F" w14:textId="77777777" w:rsidR="001E13AE" w:rsidRPr="00FD1A5E" w:rsidRDefault="001E13AE" w:rsidP="001E13AE">
            <w:pPr>
              <w:pStyle w:val="Tabletext"/>
              <w:cnfStyle w:val="000000010000" w:firstRow="0" w:lastRow="0" w:firstColumn="0" w:lastColumn="0" w:oddVBand="0" w:evenVBand="0" w:oddHBand="0" w:evenHBand="1" w:firstRowFirstColumn="0" w:firstRowLastColumn="0" w:lastRowFirstColumn="0" w:lastRowLastColumn="0"/>
            </w:pPr>
            <w:r w:rsidRPr="00FD1A5E">
              <w:t>Systematic application of management policies, procedures and practices to the activities of communicating, consulting, establishing the context, and identifying, analysing, evaluating, treating, monitoring and reviewing risk.</w:t>
            </w:r>
          </w:p>
        </w:tc>
      </w:tr>
      <w:tr w:rsidR="001E13AE" w14:paraId="2864CC79" w14:textId="77777777" w:rsidTr="00C86F77">
        <w:tc>
          <w:tcPr>
            <w:cnfStyle w:val="001000000000" w:firstRow="0" w:lastRow="0" w:firstColumn="1" w:lastColumn="0" w:oddVBand="0" w:evenVBand="0" w:oddHBand="0" w:evenHBand="0" w:firstRowFirstColumn="0" w:firstRowLastColumn="0" w:lastRowFirstColumn="0" w:lastRowLastColumn="0"/>
            <w:tcW w:w="1809" w:type="dxa"/>
          </w:tcPr>
          <w:p w14:paraId="27A08184" w14:textId="35FD13B3" w:rsidR="001E13AE" w:rsidRPr="00FD1A5E" w:rsidRDefault="001E13AE" w:rsidP="001E13AE">
            <w:pPr>
              <w:pStyle w:val="Tabletext"/>
            </w:pPr>
            <w:r>
              <w:t>Key risk indicator</w:t>
            </w:r>
          </w:p>
        </w:tc>
        <w:tc>
          <w:tcPr>
            <w:tcW w:w="7338" w:type="dxa"/>
            <w:shd w:val="clear" w:color="auto" w:fill="auto"/>
          </w:tcPr>
          <w:p w14:paraId="5395798C" w14:textId="30E421C0" w:rsidR="001E13AE" w:rsidRPr="00FD1A5E" w:rsidRDefault="001E13AE" w:rsidP="001E13AE">
            <w:pPr>
              <w:pStyle w:val="Tabletext"/>
              <w:cnfStyle w:val="000000000000" w:firstRow="0" w:lastRow="0" w:firstColumn="0" w:lastColumn="0" w:oddVBand="0" w:evenVBand="0" w:oddHBand="0" w:evenHBand="0" w:firstRowFirstColumn="0" w:firstRowLastColumn="0" w:lastRowFirstColumn="0" w:lastRowLastColumn="0"/>
            </w:pPr>
            <w:r>
              <w:t xml:space="preserve">A </w:t>
            </w:r>
            <w:r w:rsidRPr="004731E9">
              <w:t>metric used to measure the likelihood of a risk event</w:t>
            </w:r>
            <w:r w:rsidR="004B76EB" w:rsidRPr="004731E9">
              <w:t xml:space="preserve"> </w:t>
            </w:r>
            <w:r w:rsidR="004B76EB" w:rsidRPr="00061797">
              <w:t>or the effectiveness of controls that prevent a risk event</w:t>
            </w:r>
            <w:r w:rsidRPr="004731E9">
              <w:t xml:space="preserve">.  </w:t>
            </w:r>
            <w:r w:rsidRPr="004731E9">
              <w:rPr>
                <w:rFonts w:ascii="Arial" w:hAnsi="Arial" w:cs="Arial"/>
                <w:bCs/>
                <w:color w:val="222222"/>
                <w:shd w:val="clear" w:color="auto" w:fill="FFFFFF"/>
              </w:rPr>
              <w:t>They</w:t>
            </w:r>
            <w:r w:rsidRPr="001E13AE">
              <w:rPr>
                <w:rFonts w:ascii="Arial" w:hAnsi="Arial" w:cs="Arial"/>
                <w:color w:val="222222"/>
                <w:shd w:val="clear" w:color="auto" w:fill="FFFFFF"/>
              </w:rPr>
              <w:t xml:space="preserve"> provide an early signal of increasing </w:t>
            </w:r>
            <w:r w:rsidRPr="0036322B">
              <w:rPr>
                <w:rFonts w:ascii="Arial" w:hAnsi="Arial" w:cs="Arial"/>
                <w:bCs/>
                <w:color w:val="222222"/>
                <w:shd w:val="clear" w:color="auto" w:fill="FFFFFF"/>
              </w:rPr>
              <w:t>risk</w:t>
            </w:r>
            <w:r w:rsidRPr="001E13AE">
              <w:rPr>
                <w:rFonts w:ascii="Arial" w:hAnsi="Arial" w:cs="Arial"/>
                <w:color w:val="222222"/>
                <w:shd w:val="clear" w:color="auto" w:fill="FFFFFF"/>
              </w:rPr>
              <w:t> exposures.</w:t>
            </w:r>
          </w:p>
        </w:tc>
      </w:tr>
      <w:tr w:rsidR="001E13AE" w14:paraId="4AFC1D6C" w14:textId="77777777" w:rsidTr="00C86F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072A8F5" w14:textId="77777777" w:rsidR="001E13AE" w:rsidRPr="00FD1A5E" w:rsidRDefault="001E13AE" w:rsidP="001E13AE">
            <w:pPr>
              <w:pStyle w:val="Tabletext"/>
            </w:pPr>
            <w:r w:rsidRPr="00FD1A5E">
              <w:t>Risk register</w:t>
            </w:r>
          </w:p>
        </w:tc>
        <w:tc>
          <w:tcPr>
            <w:tcW w:w="7338" w:type="dxa"/>
            <w:shd w:val="clear" w:color="auto" w:fill="auto"/>
          </w:tcPr>
          <w:p w14:paraId="69C879F8" w14:textId="77777777" w:rsidR="001E13AE" w:rsidRPr="00FD1A5E" w:rsidRDefault="001E13AE" w:rsidP="001E13AE">
            <w:pPr>
              <w:pStyle w:val="Tabletext"/>
              <w:cnfStyle w:val="000000010000" w:firstRow="0" w:lastRow="0" w:firstColumn="0" w:lastColumn="0" w:oddVBand="0" w:evenVBand="0" w:oddHBand="0" w:evenHBand="1" w:firstRowFirstColumn="0" w:firstRowLastColumn="0" w:lastRowFirstColumn="0" w:lastRowLastColumn="0"/>
            </w:pPr>
            <w:r w:rsidRPr="00FD1A5E">
              <w:t>Record of information about identified risks.</w:t>
            </w:r>
          </w:p>
        </w:tc>
      </w:tr>
      <w:tr w:rsidR="001E13AE" w14:paraId="4EBD6304" w14:textId="77777777" w:rsidTr="00C86F77">
        <w:tc>
          <w:tcPr>
            <w:cnfStyle w:val="001000000000" w:firstRow="0" w:lastRow="0" w:firstColumn="1" w:lastColumn="0" w:oddVBand="0" w:evenVBand="0" w:oddHBand="0" w:evenHBand="0" w:firstRowFirstColumn="0" w:firstRowLastColumn="0" w:lastRowFirstColumn="0" w:lastRowLastColumn="0"/>
            <w:tcW w:w="1809" w:type="dxa"/>
          </w:tcPr>
          <w:p w14:paraId="45019B84" w14:textId="77777777" w:rsidR="001E13AE" w:rsidRPr="00FD1A5E" w:rsidRDefault="001E13AE" w:rsidP="001E13AE">
            <w:pPr>
              <w:pStyle w:val="Tabletext"/>
            </w:pPr>
            <w:r w:rsidRPr="00FD1A5E">
              <w:t>Risk strategy</w:t>
            </w:r>
          </w:p>
        </w:tc>
        <w:tc>
          <w:tcPr>
            <w:tcW w:w="7338" w:type="dxa"/>
            <w:shd w:val="clear" w:color="auto" w:fill="auto"/>
          </w:tcPr>
          <w:p w14:paraId="69B7E447" w14:textId="77777777" w:rsidR="001E13AE" w:rsidRPr="00FD1A5E" w:rsidRDefault="001E13AE" w:rsidP="001E13AE">
            <w:pPr>
              <w:pStyle w:val="Tabletext"/>
              <w:cnfStyle w:val="000000000000" w:firstRow="0" w:lastRow="0" w:firstColumn="0" w:lastColumn="0" w:oddVBand="0" w:evenVBand="0" w:oddHBand="0" w:evenHBand="0" w:firstRowFirstColumn="0" w:firstRowLastColumn="0" w:lastRowFirstColumn="0" w:lastRowLastColumn="0"/>
            </w:pPr>
            <w:r w:rsidRPr="00FD1A5E">
              <w:t>A risk management strategy (may be referred to as the risk plan or risk policy) that outlines and describes the key elements of the risk management framework. It specifies the approach, the management components and resources to be applied to the management of risk.</w:t>
            </w:r>
          </w:p>
        </w:tc>
      </w:tr>
      <w:tr w:rsidR="001E13AE" w14:paraId="255512CF" w14:textId="77777777" w:rsidTr="00C86F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28C6785" w14:textId="77777777" w:rsidR="001E13AE" w:rsidRPr="00FD1A5E" w:rsidRDefault="001E13AE" w:rsidP="001E13AE">
            <w:pPr>
              <w:pStyle w:val="Tabletext"/>
            </w:pPr>
            <w:r w:rsidRPr="00FD1A5E">
              <w:t>Risk tolerance</w:t>
            </w:r>
          </w:p>
        </w:tc>
        <w:tc>
          <w:tcPr>
            <w:tcW w:w="7338" w:type="dxa"/>
            <w:shd w:val="clear" w:color="auto" w:fill="auto"/>
          </w:tcPr>
          <w:p w14:paraId="6F6C35B3" w14:textId="77777777" w:rsidR="001E13AE" w:rsidRPr="00FD1A5E" w:rsidRDefault="001E13AE" w:rsidP="001E13AE">
            <w:pPr>
              <w:pStyle w:val="Tabletext"/>
              <w:cnfStyle w:val="000000010000" w:firstRow="0" w:lastRow="0" w:firstColumn="0" w:lastColumn="0" w:oddVBand="0" w:evenVBand="0" w:oddHBand="0" w:evenHBand="1" w:firstRowFirstColumn="0" w:firstRowLastColumn="0" w:lastRowFirstColumn="0" w:lastRowLastColumn="0"/>
            </w:pPr>
            <w:r w:rsidRPr="00FD1A5E">
              <w:t>The organisation</w:t>
            </w:r>
            <w:r>
              <w:t>’</w:t>
            </w:r>
            <w:r w:rsidRPr="00FD1A5E">
              <w:t>s readiness to bear the risk after risk treatment in order to achieve objectives. Risk tolerances are based on the maximum level of acceptable risk and may be expressed in various ways depending on the nature of the risk.</w:t>
            </w:r>
          </w:p>
        </w:tc>
      </w:tr>
      <w:tr w:rsidR="001E13AE" w14:paraId="3A9BC4E7" w14:textId="77777777" w:rsidTr="00C86F77">
        <w:tc>
          <w:tcPr>
            <w:cnfStyle w:val="001000000000" w:firstRow="0" w:lastRow="0" w:firstColumn="1" w:lastColumn="0" w:oddVBand="0" w:evenVBand="0" w:oddHBand="0" w:evenHBand="0" w:firstRowFirstColumn="0" w:firstRowLastColumn="0" w:lastRowFirstColumn="0" w:lastRowLastColumn="0"/>
            <w:tcW w:w="1809" w:type="dxa"/>
          </w:tcPr>
          <w:p w14:paraId="4BBF4F90" w14:textId="77777777" w:rsidR="001E13AE" w:rsidRPr="00FD1A5E" w:rsidRDefault="001E13AE" w:rsidP="001E13AE">
            <w:pPr>
              <w:pStyle w:val="Tabletext"/>
            </w:pPr>
            <w:r w:rsidRPr="00FD1A5E">
              <w:t>Risk treatment</w:t>
            </w:r>
          </w:p>
        </w:tc>
        <w:tc>
          <w:tcPr>
            <w:tcW w:w="7338" w:type="dxa"/>
            <w:shd w:val="clear" w:color="auto" w:fill="auto"/>
          </w:tcPr>
          <w:p w14:paraId="055C2248" w14:textId="77777777" w:rsidR="001E13AE" w:rsidRPr="00FD1A5E" w:rsidRDefault="001E13AE" w:rsidP="001E13AE">
            <w:pPr>
              <w:pStyle w:val="Tabletext"/>
              <w:cnfStyle w:val="000000000000" w:firstRow="0" w:lastRow="0" w:firstColumn="0" w:lastColumn="0" w:oddVBand="0" w:evenVBand="0" w:oddHBand="0" w:evenHBand="0" w:firstRowFirstColumn="0" w:firstRowLastColumn="0" w:lastRowFirstColumn="0" w:lastRowLastColumn="0"/>
            </w:pPr>
            <w:r w:rsidRPr="00FD1A5E">
              <w:t>Process to modify risk, may include deciding to take, retain, avoid, remove, change or share the risk. Risk treatments that deal with negative consequence may also be referred to as risk mitigation.</w:t>
            </w:r>
          </w:p>
        </w:tc>
      </w:tr>
      <w:tr w:rsidR="001E13AE" w14:paraId="66625900" w14:textId="77777777" w:rsidTr="00E55C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7" w:type="dxa"/>
            <w:gridSpan w:val="2"/>
          </w:tcPr>
          <w:p w14:paraId="7829605A" w14:textId="2F2905D0" w:rsidR="001E13AE" w:rsidRPr="00AE6D42" w:rsidRDefault="001E13AE" w:rsidP="001E13AE">
            <w:pPr>
              <w:pStyle w:val="Tabletext"/>
              <w:rPr>
                <w:b/>
              </w:rPr>
            </w:pPr>
          </w:p>
        </w:tc>
      </w:tr>
      <w:tr w:rsidR="001E13AE" w14:paraId="49D7E34C" w14:textId="77777777" w:rsidTr="00C86F77">
        <w:tc>
          <w:tcPr>
            <w:cnfStyle w:val="001000000000" w:firstRow="0" w:lastRow="0" w:firstColumn="1" w:lastColumn="0" w:oddVBand="0" w:evenVBand="0" w:oddHBand="0" w:evenHBand="0" w:firstRowFirstColumn="0" w:firstRowLastColumn="0" w:lastRowFirstColumn="0" w:lastRowLastColumn="0"/>
            <w:tcW w:w="1809" w:type="dxa"/>
          </w:tcPr>
          <w:p w14:paraId="13618892" w14:textId="1107A647" w:rsidR="001E13AE" w:rsidRPr="00FD1A5E" w:rsidRDefault="001E13AE" w:rsidP="001E13AE">
            <w:pPr>
              <w:pStyle w:val="Tabletext"/>
            </w:pPr>
            <w:r w:rsidRPr="004967AB">
              <w:t>Agency</w:t>
            </w:r>
          </w:p>
        </w:tc>
        <w:tc>
          <w:tcPr>
            <w:tcW w:w="7338" w:type="dxa"/>
            <w:shd w:val="clear" w:color="auto" w:fill="auto"/>
          </w:tcPr>
          <w:p w14:paraId="1FC0FDDE" w14:textId="6D82BA05" w:rsidR="001E13AE" w:rsidRPr="00FD1A5E" w:rsidRDefault="001E13AE" w:rsidP="001E13AE">
            <w:pPr>
              <w:pStyle w:val="Tabletext"/>
              <w:cnfStyle w:val="000000000000" w:firstRow="0" w:lastRow="0" w:firstColumn="0" w:lastColumn="0" w:oddVBand="0" w:evenVBand="0" w:oddHBand="0" w:evenHBand="0" w:firstRowFirstColumn="0" w:firstRowLastColumn="0" w:lastRowFirstColumn="0" w:lastRowLastColumn="0"/>
            </w:pPr>
            <w:r w:rsidRPr="004967AB">
              <w:t xml:space="preserve">Any department or public body as defined in the </w:t>
            </w:r>
            <w:r w:rsidRPr="00AE6D42">
              <w:rPr>
                <w:i/>
              </w:rPr>
              <w:t>Financial Management Act 1994</w:t>
            </w:r>
            <w:r w:rsidRPr="004967AB">
              <w:t>.</w:t>
            </w:r>
          </w:p>
        </w:tc>
      </w:tr>
      <w:tr w:rsidR="001E13AE" w14:paraId="7B90CB74" w14:textId="77777777" w:rsidTr="00C86F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94C0E99" w14:textId="4B2755EA" w:rsidR="001E13AE" w:rsidRPr="00FD1A5E" w:rsidRDefault="001E13AE" w:rsidP="001E13AE">
            <w:pPr>
              <w:pStyle w:val="Tabletext"/>
            </w:pPr>
            <w:r w:rsidRPr="004967AB">
              <w:t>Accountable Officer</w:t>
            </w:r>
          </w:p>
        </w:tc>
        <w:tc>
          <w:tcPr>
            <w:tcW w:w="7338" w:type="dxa"/>
            <w:shd w:val="clear" w:color="auto" w:fill="auto"/>
          </w:tcPr>
          <w:p w14:paraId="55D8DC85" w14:textId="3F17D4D7" w:rsidR="001E13AE" w:rsidRPr="00FD1A5E" w:rsidRDefault="001E13AE" w:rsidP="001E13AE">
            <w:pPr>
              <w:pStyle w:val="Tabletext"/>
              <w:cnfStyle w:val="000000010000" w:firstRow="0" w:lastRow="0" w:firstColumn="0" w:lastColumn="0" w:oddVBand="0" w:evenVBand="0" w:oddHBand="0" w:evenHBand="1" w:firstRowFirstColumn="0" w:firstRowLastColumn="0" w:lastRowFirstColumn="0" w:lastRowLastColumn="0"/>
            </w:pPr>
            <w:r w:rsidRPr="004967AB">
              <w:t xml:space="preserve">In relation to a department or public body, means the accountable officer for that department or public body as determined under section 42 of the </w:t>
            </w:r>
            <w:r w:rsidRPr="00AE6D42">
              <w:rPr>
                <w:i/>
              </w:rPr>
              <w:t>Financial Management Act 1994</w:t>
            </w:r>
            <w:r w:rsidRPr="004967AB">
              <w:t>.</w:t>
            </w:r>
          </w:p>
        </w:tc>
      </w:tr>
      <w:tr w:rsidR="001E13AE" w14:paraId="72D678D2" w14:textId="77777777" w:rsidTr="00C86F77">
        <w:tc>
          <w:tcPr>
            <w:cnfStyle w:val="001000000000" w:firstRow="0" w:lastRow="0" w:firstColumn="1" w:lastColumn="0" w:oddVBand="0" w:evenVBand="0" w:oddHBand="0" w:evenHBand="0" w:firstRowFirstColumn="0" w:firstRowLastColumn="0" w:lastRowFirstColumn="0" w:lastRowLastColumn="0"/>
            <w:tcW w:w="1809" w:type="dxa"/>
          </w:tcPr>
          <w:p w14:paraId="086174E1" w14:textId="104D05FD" w:rsidR="001E13AE" w:rsidRPr="00FD1A5E" w:rsidRDefault="001E13AE" w:rsidP="001E13AE">
            <w:pPr>
              <w:pStyle w:val="Tabletext"/>
            </w:pPr>
            <w:r w:rsidRPr="004967AB">
              <w:t>Audit Committee</w:t>
            </w:r>
          </w:p>
        </w:tc>
        <w:tc>
          <w:tcPr>
            <w:tcW w:w="7338" w:type="dxa"/>
            <w:shd w:val="clear" w:color="auto" w:fill="auto"/>
          </w:tcPr>
          <w:p w14:paraId="1DCD94E9" w14:textId="75EB7221" w:rsidR="001E13AE" w:rsidRPr="00FD1A5E" w:rsidRDefault="001E13AE" w:rsidP="001E13AE">
            <w:pPr>
              <w:pStyle w:val="Tabletext"/>
              <w:cnfStyle w:val="000000000000" w:firstRow="0" w:lastRow="0" w:firstColumn="0" w:lastColumn="0" w:oddVBand="0" w:evenVBand="0" w:oddHBand="0" w:evenHBand="0" w:firstRowFirstColumn="0" w:firstRowLastColumn="0" w:lastRowFirstColumn="0" w:lastRowLastColumn="0"/>
            </w:pPr>
            <w:r w:rsidRPr="004967AB">
              <w:t>The Standing Directions of the Minister for Finance require that an audit committee be appointed to oversee and advise the department or agency on matters of accountability and internal control. This committee is a subset of the Responsible Body (or Board) which has been formulated to deal with issues of a specific nature.</w:t>
            </w:r>
          </w:p>
        </w:tc>
      </w:tr>
      <w:tr w:rsidR="001E13AE" w14:paraId="666667AA" w14:textId="77777777" w:rsidTr="00C86F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EFAA2EE" w14:textId="6486572B" w:rsidR="001E13AE" w:rsidRPr="00FD1A5E" w:rsidRDefault="001E13AE" w:rsidP="001E13AE">
            <w:pPr>
              <w:pStyle w:val="Tabletext"/>
            </w:pPr>
            <w:r w:rsidRPr="004967AB">
              <w:t>Responsible Body</w:t>
            </w:r>
          </w:p>
        </w:tc>
        <w:tc>
          <w:tcPr>
            <w:tcW w:w="7338" w:type="dxa"/>
            <w:shd w:val="clear" w:color="auto" w:fill="auto"/>
          </w:tcPr>
          <w:p w14:paraId="10494846" w14:textId="10CAFE24" w:rsidR="001E13AE" w:rsidRPr="00FD1A5E" w:rsidRDefault="001E13AE" w:rsidP="001E13AE">
            <w:pPr>
              <w:pStyle w:val="Tabletext"/>
              <w:cnfStyle w:val="000000010000" w:firstRow="0" w:lastRow="0" w:firstColumn="0" w:lastColumn="0" w:oddVBand="0" w:evenVBand="0" w:oddHBand="0" w:evenHBand="1" w:firstRowFirstColumn="0" w:firstRowLastColumn="0" w:lastRowFirstColumn="0" w:lastRowLastColumn="0"/>
            </w:pPr>
            <w:r w:rsidRPr="004967AB">
              <w:t>For a department, the accountable officer is the responsible body. For other agencies, it is the board or the person or body with ultimate decision making authority.</w:t>
            </w:r>
          </w:p>
        </w:tc>
      </w:tr>
    </w:tbl>
    <w:p w14:paraId="437E0C67" w14:textId="53D0CE15" w:rsidR="005B6C7A" w:rsidRDefault="005B6C7A" w:rsidP="005B6C7A">
      <w:pPr>
        <w:rPr>
          <w:rFonts w:eastAsiaTheme="majorEastAsia"/>
        </w:rPr>
      </w:pPr>
    </w:p>
    <w:p w14:paraId="4D261600" w14:textId="77777777" w:rsidR="00EC3248" w:rsidRDefault="00EC3248">
      <w:pPr>
        <w:spacing w:before="0" w:after="200"/>
      </w:pPr>
      <w:r>
        <w:rPr>
          <w:b/>
          <w:bCs/>
        </w:rPr>
        <w:br w:type="page"/>
      </w:r>
    </w:p>
    <w:p w14:paraId="55AEAF12" w14:textId="31FB46EF" w:rsidR="00A96821" w:rsidRDefault="00A96821" w:rsidP="00EC3248">
      <w:pPr>
        <w:pStyle w:val="Heading1"/>
      </w:pPr>
      <w:bookmarkStart w:id="37" w:name="_Toc21704107"/>
      <w:r>
        <w:lastRenderedPageBreak/>
        <w:t xml:space="preserve">Appendix </w:t>
      </w:r>
      <w:r w:rsidR="00144B70">
        <w:t>2</w:t>
      </w:r>
      <w:r>
        <w:t xml:space="preserve"> – </w:t>
      </w:r>
      <w:r w:rsidRPr="005B6C7A">
        <w:t>E</w:t>
      </w:r>
      <w:r>
        <w:t>mergency management</w:t>
      </w:r>
      <w:bookmarkEnd w:id="37"/>
    </w:p>
    <w:p w14:paraId="618B5E21" w14:textId="77777777" w:rsidR="002479B9" w:rsidRDefault="002479B9" w:rsidP="002479B9">
      <w:r w:rsidRPr="003135DF">
        <w:t>Emergency management contributes to community safety through the reduction of the impact of emergency related events that can cause death, injury, loss of property and community disruption. The planning for, and the management of, emergencies is a shared responsibility</w:t>
      </w:r>
      <w:r w:rsidRPr="000D798E">
        <w:rPr>
          <w:rFonts w:ascii="Helvetica" w:hAnsi="Helvetica" w:cs="Helvetica"/>
          <w:color w:val="000000"/>
          <w:sz w:val="27"/>
          <w:szCs w:val="27"/>
          <w:shd w:val="clear" w:color="auto" w:fill="FFFFFF"/>
        </w:rPr>
        <w:t xml:space="preserve"> </w:t>
      </w:r>
      <w:r w:rsidRPr="003135DF">
        <w:t>with communities, government, agencies and business</w:t>
      </w:r>
      <w:r>
        <w:t>.</w:t>
      </w:r>
      <w:r w:rsidRPr="003135DF">
        <w:t> </w:t>
      </w:r>
    </w:p>
    <w:p w14:paraId="3AA6F50D" w14:textId="77777777" w:rsidR="002479B9" w:rsidRDefault="002479B9" w:rsidP="002479B9">
      <w:r>
        <w:t xml:space="preserve">The potential consequences of emergencies can be sudden, visible and highly damaging. Victoria has in place a governance structure that assists in managing emergency risks through a shared vision of </w:t>
      </w:r>
      <w:r w:rsidRPr="003135DF">
        <w:rPr>
          <w:i/>
        </w:rPr>
        <w:t>safer and more resilient communities</w:t>
      </w:r>
      <w:r w:rsidRPr="0004444B">
        <w:t>.</w:t>
      </w:r>
      <w:r>
        <w:t xml:space="preserve"> </w:t>
      </w:r>
    </w:p>
    <w:p w14:paraId="3213BE21" w14:textId="77777777" w:rsidR="002479B9" w:rsidRDefault="002479B9" w:rsidP="002479B9">
      <w:r>
        <w:t xml:space="preserve">Victoria operates a </w:t>
      </w:r>
      <w:r w:rsidRPr="003135DF">
        <w:t>multi</w:t>
      </w:r>
      <w:r>
        <w:t>-</w:t>
      </w:r>
      <w:r w:rsidRPr="003135DF">
        <w:t>agency framework for emergency management</w:t>
      </w:r>
      <w:r>
        <w:t xml:space="preserve"> that enables </w:t>
      </w:r>
      <w:r w:rsidRPr="003135DF">
        <w:t xml:space="preserve">capacity to adapt to new or changed circumstances, within a </w:t>
      </w:r>
      <w:r>
        <w:t>broader emergency management system.</w:t>
      </w:r>
    </w:p>
    <w:p w14:paraId="3A71B9A0" w14:textId="77777777" w:rsidR="002479B9" w:rsidRDefault="002479B9" w:rsidP="002479B9">
      <w:pPr>
        <w:pStyle w:val="Heading2"/>
      </w:pPr>
      <w:bookmarkStart w:id="38" w:name="_Toc21704108"/>
      <w:r>
        <w:t>Victoria’s emergency management governance structure</w:t>
      </w:r>
      <w:bookmarkEnd w:id="38"/>
    </w:p>
    <w:p w14:paraId="37EB0D76" w14:textId="77777777" w:rsidR="002479B9" w:rsidRDefault="002479B9" w:rsidP="002479B9">
      <w:pPr>
        <w:rPr>
          <w:highlight w:val="yellow"/>
        </w:rPr>
      </w:pPr>
      <w:r>
        <w:t xml:space="preserve">The </w:t>
      </w:r>
      <w:r w:rsidRPr="005B6C7A">
        <w:rPr>
          <w:b/>
        </w:rPr>
        <w:t>State Crisis and Resilience Council (SCRC)</w:t>
      </w:r>
      <w:r>
        <w:t xml:space="preserve">, is established under the </w:t>
      </w:r>
      <w:r w:rsidRPr="0004444B">
        <w:rPr>
          <w:i/>
        </w:rPr>
        <w:t>Emergency Management Act 2013</w:t>
      </w:r>
      <w:r>
        <w:t xml:space="preserve"> (the EM Act) to act as the peak crisis and emergency management advisory body in Victoria. The SCRC provides advice to the Minister for Police and Emergency Services (the Minister) in relation to whole of government policy and strategy for emergency management in Victoria and its implementation. </w:t>
      </w:r>
    </w:p>
    <w:p w14:paraId="4F7035A4" w14:textId="77777777" w:rsidR="002479B9" w:rsidRDefault="002479B9" w:rsidP="002479B9">
      <w:r w:rsidRPr="0004444B">
        <w:t>Section 12 of the EM Act requires the SCRC to develop a rolling three-year Strategic Action Plan (SAP) to be submitted to the Minister for approval.</w:t>
      </w:r>
      <w:r>
        <w:t xml:space="preserve"> The SAP outlines a number of state-wide strategic priorities and actions to support Victoria achieve its vision of </w:t>
      </w:r>
      <w:r>
        <w:rPr>
          <w:i/>
        </w:rPr>
        <w:t xml:space="preserve">safer and more resilient communities. </w:t>
      </w:r>
      <w:r>
        <w:t xml:space="preserve">Emergency Management Victoria (EMV) facilitates an annual review of the SAP in liaison with emergency management agencies and departments. </w:t>
      </w:r>
    </w:p>
    <w:p w14:paraId="1EC6C340" w14:textId="77777777" w:rsidR="002479B9" w:rsidRDefault="002479B9" w:rsidP="002479B9">
      <w:r>
        <w:t>Work programs are developed through the SAP which include elements aimed at enhancing each agency’s operational capacity and capability and its capacity to operate together with other agencies for emergency response. EMV is responsible for coordinating the development of whole of government emergency management policy, implementing emergency management reform initiatives given to it by the Minister, and to support the performance of the Emergency Management Commissioner’s functions. EMV must have regard to decisions made by the SCRC and must collaborate and consult with the emergency management sector.</w:t>
      </w:r>
    </w:p>
    <w:p w14:paraId="4A3D2C97" w14:textId="77777777" w:rsidR="002479B9" w:rsidRDefault="002479B9" w:rsidP="002479B9">
      <w:r>
        <w:t xml:space="preserve">The </w:t>
      </w:r>
      <w:r w:rsidRPr="003135DF">
        <w:rPr>
          <w:b/>
        </w:rPr>
        <w:t>Emergency Management Commissioner</w:t>
      </w:r>
      <w:r>
        <w:t xml:space="preserve"> supported by EMV has a range of powers and roles in relation to the coordinating response to and recovery from emergencies.  The EMC leads the coordination of emergency preparedness, response and recovery across Victoria’s emergency management sector in conjunction with communities, government, agencies and business. The EMC is also responsible for consequence management for a major emergency;</w:t>
      </w:r>
      <w:r w:rsidRPr="00692BC7">
        <w:t xml:space="preserve"> </w:t>
      </w:r>
      <w:r>
        <w:t>the objective being to minimise the adverse consequences caused by an emergency on communities.  Consequence assessments help to understand how medium</w:t>
      </w:r>
      <w:r w:rsidRPr="00912B43">
        <w:rPr>
          <w:rFonts w:ascii="Helvetica" w:hAnsi="Helvetica" w:cs="Helvetica"/>
          <w:color w:val="000000"/>
          <w:sz w:val="30"/>
          <w:szCs w:val="30"/>
          <w:shd w:val="clear" w:color="auto" w:fill="F2F6F6"/>
        </w:rPr>
        <w:t xml:space="preserve"> </w:t>
      </w:r>
      <w:r>
        <w:t xml:space="preserve">to long term consequences may affect the delivery of recovery effects, rehabilitation and revitalisation.  </w:t>
      </w:r>
    </w:p>
    <w:p w14:paraId="27E47B7E" w14:textId="77777777" w:rsidR="002479B9" w:rsidRDefault="002479B9" w:rsidP="002479B9">
      <w:r>
        <w:t xml:space="preserve">The current governance arrangements for the management of emergencies within Victoria are enshrined in the EM Act and are described in the State Emergency Response Plan and the State Emergency Relief and Recovery Plan.  </w:t>
      </w:r>
      <w:r w:rsidRPr="003135DF">
        <w:t xml:space="preserve"> </w:t>
      </w:r>
    </w:p>
    <w:p w14:paraId="03625410" w14:textId="77777777" w:rsidR="002479B9" w:rsidRPr="003135DF" w:rsidRDefault="002479B9" w:rsidP="002479B9">
      <w:r w:rsidRPr="003135DF">
        <w:lastRenderedPageBreak/>
        <w:t xml:space="preserve">The </w:t>
      </w:r>
      <w:r w:rsidRPr="003135DF">
        <w:rPr>
          <w:i/>
        </w:rPr>
        <w:t xml:space="preserve">Emergency Management Legislation Amendment Act 2018 </w:t>
      </w:r>
      <w:r w:rsidRPr="003135DF">
        <w:t>(EMLA Act) sets out underlying principles and req</w:t>
      </w:r>
      <w:r>
        <w:t xml:space="preserve">uirements for the content of </w:t>
      </w:r>
      <w:r w:rsidRPr="003135DF">
        <w:t>emergency management plans</w:t>
      </w:r>
      <w:r>
        <w:t xml:space="preserve"> at State, regional and municipal levels. This includes</w:t>
      </w:r>
      <w:r w:rsidRPr="003135DF">
        <w:t xml:space="preserve"> the development of the State Emergency Management Plan (SEMP)</w:t>
      </w:r>
      <w:r>
        <w:t xml:space="preserve"> and </w:t>
      </w:r>
      <w:r w:rsidRPr="003135DF">
        <w:t>associated Ministerial guidelines,</w:t>
      </w:r>
      <w:r>
        <w:t xml:space="preserve"> which</w:t>
      </w:r>
      <w:r w:rsidRPr="003135DF">
        <w:t xml:space="preserve"> will replace </w:t>
      </w:r>
      <w:r>
        <w:t>the State Emergency Response Plan and the State Emergency Relief and Recovery Plan.</w:t>
      </w:r>
    </w:p>
    <w:p w14:paraId="6E3FA1A2" w14:textId="77777777" w:rsidR="002479B9" w:rsidRDefault="002479B9" w:rsidP="002479B9">
      <w:r>
        <w:t xml:space="preserve">The </w:t>
      </w:r>
      <w:r w:rsidRPr="003135DF">
        <w:rPr>
          <w:b/>
        </w:rPr>
        <w:t>Inspector General of Emergency Management</w:t>
      </w:r>
      <w:r>
        <w:t xml:space="preserve"> provides assurance to the Government and the community about emergency management arrangements and to foster continuous improvement. </w:t>
      </w:r>
    </w:p>
    <w:p w14:paraId="1C649ADB" w14:textId="77777777" w:rsidR="005B6C7A" w:rsidRDefault="005B6C7A">
      <w:pPr>
        <w:spacing w:before="0" w:after="200"/>
      </w:pPr>
      <w:r>
        <w:br w:type="page"/>
      </w:r>
    </w:p>
    <w:p w14:paraId="5A9586EB" w14:textId="77777777" w:rsidR="005B6C7A" w:rsidRPr="00FD1A5E" w:rsidRDefault="005B6C7A" w:rsidP="00EC1DD0">
      <w:pPr>
        <w:pStyle w:val="Heading3"/>
      </w:pPr>
      <w:bookmarkStart w:id="39" w:name="_Toc21704109"/>
      <w:r>
        <w:lastRenderedPageBreak/>
        <w:t>Key references</w:t>
      </w:r>
      <w:bookmarkEnd w:id="39"/>
      <w:r>
        <w:t xml:space="preserve"> </w:t>
      </w:r>
    </w:p>
    <w:p w14:paraId="3565CA86" w14:textId="77777777" w:rsidR="005B6C7A" w:rsidRDefault="005B6C7A" w:rsidP="005B6C7A">
      <w:pPr>
        <w:pStyle w:val="Heading4"/>
      </w:pPr>
      <w:r w:rsidRPr="00BE5B4A">
        <w:t>Emergency Management Reform</w:t>
      </w:r>
      <w:r>
        <w:t xml:space="preserve"> – White Paper</w:t>
      </w:r>
    </w:p>
    <w:p w14:paraId="1D1758C3" w14:textId="77777777" w:rsidR="005238F1" w:rsidRDefault="00FC7D89" w:rsidP="005B6C7A">
      <w:hyperlink r:id="rId30" w:history="1">
        <w:r w:rsidR="005238F1" w:rsidRPr="005837E9">
          <w:rPr>
            <w:rStyle w:val="Hyperlink"/>
          </w:rPr>
          <w:t>https://www.emv.vic.gov.au/publications/victorian-emergency-management-reform-white-paper-dec-2012</w:t>
        </w:r>
      </w:hyperlink>
    </w:p>
    <w:p w14:paraId="23B501C4" w14:textId="50A040E1" w:rsidR="005238F1" w:rsidRDefault="005238F1" w:rsidP="005B6C7A">
      <w:pPr>
        <w:pStyle w:val="Heading4"/>
      </w:pPr>
      <w:r>
        <w:t xml:space="preserve">Australian Institute for Disaster </w:t>
      </w:r>
      <w:r w:rsidR="00175350">
        <w:t>Resilience</w:t>
      </w:r>
      <w:r w:rsidR="00D04DDE">
        <w:t xml:space="preserve"> – </w:t>
      </w:r>
      <w:r w:rsidRPr="005238F1">
        <w:t>Handbook Collectio</w:t>
      </w:r>
      <w:r>
        <w:t xml:space="preserve">n </w:t>
      </w:r>
    </w:p>
    <w:p w14:paraId="72117645" w14:textId="77777777" w:rsidR="005238F1" w:rsidRDefault="005238F1" w:rsidP="005B6C7A">
      <w:r w:rsidRPr="005238F1">
        <w:t>https://aidr.org.au/programs/handbook-collection/</w:t>
      </w:r>
    </w:p>
    <w:p w14:paraId="22F32C81" w14:textId="77777777" w:rsidR="005B6C7A" w:rsidRPr="00543467" w:rsidRDefault="005B6C7A" w:rsidP="005B6C7A">
      <w:pPr>
        <w:pStyle w:val="Heading4"/>
      </w:pPr>
      <w:r w:rsidRPr="00543467">
        <w:t xml:space="preserve">Emergency Management Manual Victoria </w:t>
      </w:r>
      <w:r>
        <w:t>(</w:t>
      </w:r>
      <w:r w:rsidRPr="00543467">
        <w:t>contains the state emergency response and recovery plans)</w:t>
      </w:r>
    </w:p>
    <w:p w14:paraId="65FF1904" w14:textId="77777777" w:rsidR="005B6C7A" w:rsidRPr="00D15A09" w:rsidRDefault="00FC7D89" w:rsidP="005B6C7A">
      <w:hyperlink r:id="rId31" w:history="1">
        <w:r w:rsidR="005B6C7A">
          <w:rPr>
            <w:rStyle w:val="Hyperlink"/>
          </w:rPr>
          <w:t>www.emv.vic.gov.au/policies/emmv/</w:t>
        </w:r>
      </w:hyperlink>
    </w:p>
    <w:p w14:paraId="066FAB96" w14:textId="77777777" w:rsidR="005B6C7A" w:rsidRPr="00FD1A5E" w:rsidRDefault="005B6C7A" w:rsidP="00EC1DD0">
      <w:pPr>
        <w:pStyle w:val="Heading3"/>
      </w:pPr>
      <w:bookmarkStart w:id="40" w:name="_Toc21704110"/>
      <w:r>
        <w:t>Security related risks</w:t>
      </w:r>
      <w:bookmarkEnd w:id="40"/>
    </w:p>
    <w:p w14:paraId="05165A02" w14:textId="77777777" w:rsidR="005B6C7A" w:rsidRPr="00FD1A5E" w:rsidRDefault="005B6C7A" w:rsidP="005B6C7A">
      <w:pPr>
        <w:pStyle w:val="Heading4"/>
      </w:pPr>
      <w:r>
        <w:t>Terrorism</w:t>
      </w:r>
    </w:p>
    <w:p w14:paraId="4587C143" w14:textId="77777777" w:rsidR="005B6C7A" w:rsidRPr="00457627" w:rsidRDefault="00FC7D89" w:rsidP="005B6C7A">
      <w:hyperlink r:id="rId32" w:history="1">
        <w:r w:rsidR="005B6C7A" w:rsidRPr="00457627">
          <w:rPr>
            <w:rStyle w:val="Hyperlink"/>
          </w:rPr>
          <w:t>www.nationalsecurity.gov.au</w:t>
        </w:r>
      </w:hyperlink>
    </w:p>
    <w:p w14:paraId="040E0C92" w14:textId="77777777" w:rsidR="005B6C7A" w:rsidRPr="00FD1A5E" w:rsidRDefault="005B6C7A" w:rsidP="005B6C7A">
      <w:pPr>
        <w:pStyle w:val="Heading4"/>
      </w:pPr>
      <w:r w:rsidRPr="00FD1A5E">
        <w:t>Cyber attacks</w:t>
      </w:r>
    </w:p>
    <w:p w14:paraId="2A04FFBA" w14:textId="77777777" w:rsidR="005B6C7A" w:rsidRPr="00457627" w:rsidRDefault="00FC7D89" w:rsidP="005B6C7A">
      <w:hyperlink r:id="rId33" w:history="1">
        <w:r w:rsidR="005B6C7A" w:rsidRPr="00457627">
          <w:rPr>
            <w:rStyle w:val="Hyperlink"/>
          </w:rPr>
          <w:t>www.cert.gov.au</w:t>
        </w:r>
      </w:hyperlink>
    </w:p>
    <w:p w14:paraId="1CD34F60" w14:textId="77777777" w:rsidR="005B6C7A" w:rsidRPr="00457627" w:rsidRDefault="00FC7D89" w:rsidP="005B6C7A">
      <w:hyperlink r:id="rId34" w:history="1">
        <w:r w:rsidR="005B6C7A" w:rsidRPr="00457627">
          <w:rPr>
            <w:rStyle w:val="Hyperlink"/>
          </w:rPr>
          <w:t>www.asd.gov.au</w:t>
        </w:r>
      </w:hyperlink>
    </w:p>
    <w:p w14:paraId="7198D051" w14:textId="77777777" w:rsidR="005B6C7A" w:rsidRPr="00457627" w:rsidRDefault="00FC7D89" w:rsidP="005B6C7A">
      <w:hyperlink r:id="rId35" w:history="1">
        <w:r w:rsidR="005B6C7A" w:rsidRPr="00457627">
          <w:rPr>
            <w:rStyle w:val="Hyperlink"/>
          </w:rPr>
          <w:t>www.staysmartonline.gov.au</w:t>
        </w:r>
      </w:hyperlink>
    </w:p>
    <w:p w14:paraId="0E7CA758" w14:textId="77777777" w:rsidR="005B6C7A" w:rsidRPr="00457627" w:rsidRDefault="00FC7D89" w:rsidP="005B6C7A">
      <w:hyperlink r:id="rId36" w:history="1">
        <w:r w:rsidR="005B6C7A" w:rsidRPr="00457627">
          <w:rPr>
            <w:rStyle w:val="Hyperlink"/>
          </w:rPr>
          <w:t>www.cybersmart.gov.au</w:t>
        </w:r>
      </w:hyperlink>
    </w:p>
    <w:p w14:paraId="71558B1D" w14:textId="2B7D81DB" w:rsidR="00014213" w:rsidRDefault="005B6C7A" w:rsidP="00D2312F">
      <w:pPr>
        <w:sectPr w:rsidR="00014213" w:rsidSect="005B6C7A">
          <w:type w:val="oddPage"/>
          <w:pgSz w:w="11906" w:h="16838" w:code="9"/>
          <w:pgMar w:top="2160" w:right="1440" w:bottom="1800" w:left="1440" w:header="706" w:footer="461" w:gutter="0"/>
          <w:cols w:space="708"/>
          <w:docGrid w:linePitch="360"/>
        </w:sectPr>
      </w:pPr>
      <w:r>
        <w:br w:type="page"/>
      </w:r>
    </w:p>
    <w:p w14:paraId="79C6C1B5" w14:textId="77777777" w:rsidR="00014213" w:rsidRPr="00D2312F" w:rsidRDefault="00014213" w:rsidP="00D2312F"/>
    <w:sectPr w:rsidR="00014213" w:rsidRPr="00D2312F" w:rsidSect="00014213">
      <w:headerReference w:type="even" r:id="rId37"/>
      <w:headerReference w:type="default" r:id="rId38"/>
      <w:footerReference w:type="even" r:id="rId39"/>
      <w:footerReference w:type="default" r:id="rId40"/>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3A3C7" w14:textId="77777777" w:rsidR="00FC7D89" w:rsidRDefault="00FC7D89" w:rsidP="002D711A">
      <w:pPr>
        <w:spacing w:after="0" w:line="240" w:lineRule="auto"/>
      </w:pPr>
      <w:r>
        <w:separator/>
      </w:r>
    </w:p>
  </w:endnote>
  <w:endnote w:type="continuationSeparator" w:id="0">
    <w:p w14:paraId="78C2E7DC" w14:textId="77777777" w:rsidR="00FC7D89" w:rsidRDefault="00FC7D89"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0353F" w14:textId="16C2EE84" w:rsidR="00FC7D89" w:rsidRDefault="00FC7D89" w:rsidP="00CB3976">
    <w:pPr>
      <w:pStyle w:val="Spacer"/>
    </w:pPr>
    <w:r>
      <w:rPr>
        <w:noProof/>
        <w:lang w:val="en-US" w:eastAsia="en-US"/>
      </w:rPr>
      <mc:AlternateContent>
        <mc:Choice Requires="wps">
          <w:drawing>
            <wp:anchor distT="0" distB="0" distL="114300" distR="114300" simplePos="0" relativeHeight="251665920" behindDoc="0" locked="0" layoutInCell="0" allowOverlap="1" wp14:anchorId="4F450AC1" wp14:editId="221B95B7">
              <wp:simplePos x="0" y="0"/>
              <wp:positionH relativeFrom="page">
                <wp:posOffset>0</wp:posOffset>
              </wp:positionH>
              <wp:positionV relativeFrom="page">
                <wp:posOffset>10234930</wp:posOffset>
              </wp:positionV>
              <wp:extent cx="7560310" cy="266700"/>
              <wp:effectExtent l="0" t="0" r="0" b="0"/>
              <wp:wrapNone/>
              <wp:docPr id="4" name="MSIPCM38354b44a37bc0d0000819ce"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8FC749" w14:textId="52A2E887" w:rsidR="00FC7D89" w:rsidRPr="003573D3" w:rsidRDefault="00FC7D89" w:rsidP="003573D3">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450AC1" id="_x0000_t202" coordsize="21600,21600" o:spt="202" path="m,l,21600r21600,l21600,xe">
              <v:stroke joinstyle="miter"/>
              <v:path gradientshapeok="t" o:connecttype="rect"/>
            </v:shapetype>
            <v:shape id="MSIPCM38354b44a37bc0d0000819ce" o:spid="_x0000_s1026" type="#_x0000_t202" alt="{&quot;HashCode&quot;:-1267603503,&quot;Height&quot;:841.0,&quot;Width&quot;:595.0,&quot;Placement&quot;:&quot;Footer&quot;,&quot;Index&quot;:&quot;OddAndEven&quot;,&quot;Section&quot;:1,&quot;Top&quot;:0.0,&quot;Left&quot;:0.0}" style="position:absolute;margin-left:0;margin-top:805.9pt;width:595.3pt;height:21pt;z-index:251665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3aVIrSIDAAA7BgAADgAA&#10;AAAAAAAAAAAAAAAuAgAAZHJzL2Uyb0RvYy54bWxQSwECLQAUAAYACAAAACEAYBHGJt4AAAALAQAA&#10;DwAAAAAAAAAAAAAAAAB8BQAAZHJzL2Rvd25yZXYueG1sUEsFBgAAAAAEAAQA8wAAAIcGAAAAAA==&#10;" o:allowincell="f" filled="f" stroked="f" strokeweight=".5pt">
              <v:textbox inset="20pt,0,,0">
                <w:txbxContent>
                  <w:p w14:paraId="3F8FC749" w14:textId="52A2E887" w:rsidR="00FC7D89" w:rsidRPr="003573D3" w:rsidRDefault="00FC7D89" w:rsidP="003573D3">
                    <w:pPr>
                      <w:spacing w:before="0" w:after="0"/>
                      <w:rPr>
                        <w:rFonts w:ascii="Calibri" w:hAnsi="Calibri" w:cs="Calibri"/>
                        <w:color w:val="000000"/>
                        <w:sz w:val="22"/>
                      </w:rPr>
                    </w:pPr>
                  </w:p>
                </w:txbxContent>
              </v:textbox>
              <w10:wrap anchorx="page" anchory="page"/>
            </v:shape>
          </w:pict>
        </mc:Fallback>
      </mc:AlternateContent>
    </w:r>
  </w:p>
  <w:p w14:paraId="0D578D87" w14:textId="77777777" w:rsidR="00FC7D89" w:rsidRDefault="00FC7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9814A" w14:textId="49C631EA" w:rsidR="00FC7D89" w:rsidRDefault="00FC7D89" w:rsidP="00CB3976">
    <w:pPr>
      <w:pStyle w:val="Spacer"/>
    </w:pPr>
    <w:r>
      <w:rPr>
        <w:noProof/>
        <w:lang w:val="en-US" w:eastAsia="en-US"/>
      </w:rPr>
      <mc:AlternateContent>
        <mc:Choice Requires="wps">
          <w:drawing>
            <wp:anchor distT="0" distB="0" distL="114300" distR="114300" simplePos="0" relativeHeight="251664896" behindDoc="0" locked="0" layoutInCell="0" allowOverlap="1" wp14:anchorId="5375C82E" wp14:editId="0F7AEDD2">
              <wp:simplePos x="0" y="0"/>
              <wp:positionH relativeFrom="page">
                <wp:posOffset>0</wp:posOffset>
              </wp:positionH>
              <wp:positionV relativeFrom="page">
                <wp:posOffset>10234930</wp:posOffset>
              </wp:positionV>
              <wp:extent cx="7560310" cy="266700"/>
              <wp:effectExtent l="0" t="0" r="0" b="0"/>
              <wp:wrapNone/>
              <wp:docPr id="3" name="MSIPCMc39249b1b53cc36a1049447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F1C4E" w14:textId="5F6D8457" w:rsidR="00FC7D89" w:rsidRPr="003573D3" w:rsidRDefault="00FC7D89" w:rsidP="003573D3">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75C82E" id="_x0000_t202" coordsize="21600,21600" o:spt="202" path="m,l,21600r21600,l21600,xe">
              <v:stroke joinstyle="miter"/>
              <v:path gradientshapeok="t" o:connecttype="rect"/>
            </v:shapetype>
            <v:shape id="MSIPCMc39249b1b53cc36a1049447e"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" o:allowincell="f" filled="f" stroked="f" strokeweight=".5pt">
              <v:textbox inset="20pt,0,,0">
                <w:txbxContent>
                  <w:p w14:paraId="04FF1C4E" w14:textId="5F6D8457" w:rsidR="00FC7D89" w:rsidRPr="003573D3" w:rsidRDefault="00FC7D89" w:rsidP="003573D3">
                    <w:pPr>
                      <w:spacing w:before="0" w:after="0"/>
                      <w:rPr>
                        <w:rFonts w:ascii="Calibri" w:hAnsi="Calibri" w:cs="Calibri"/>
                        <w:color w:val="000000"/>
                        <w:sz w:val="22"/>
                      </w:rPr>
                    </w:pPr>
                  </w:p>
                </w:txbxContent>
              </v:textbox>
              <w10:wrap anchorx="page" anchory="page"/>
            </v:shape>
          </w:pict>
        </mc:Fallback>
      </mc:AlternateContent>
    </w:r>
  </w:p>
  <w:p w14:paraId="2F81CB2D" w14:textId="77777777" w:rsidR="00FC7D89" w:rsidRDefault="00FC7D89" w:rsidP="00C022F9">
    <w:pPr>
      <w:pStyle w:val="Footer"/>
    </w:pPr>
    <w:r>
      <w:rPr>
        <w:lang w:val="en-US" w:eastAsia="en-US"/>
      </w:rPr>
      <w:drawing>
        <wp:anchor distT="0" distB="0" distL="114300" distR="114300" simplePos="0" relativeHeight="251649536" behindDoc="0" locked="0" layoutInCell="1" allowOverlap="1" wp14:anchorId="47F5E2D4" wp14:editId="7A025505">
          <wp:simplePos x="0" y="0"/>
          <wp:positionH relativeFrom="column">
            <wp:posOffset>4224020</wp:posOffset>
          </wp:positionH>
          <wp:positionV relativeFrom="page">
            <wp:posOffset>9498330</wp:posOffset>
          </wp:positionV>
          <wp:extent cx="1956435" cy="582930"/>
          <wp:effectExtent l="0" t="0" r="5715" b="7620"/>
          <wp:wrapNone/>
          <wp:docPr id="1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21F58" w14:textId="77777777" w:rsidR="00EC16FD" w:rsidRDefault="00EC16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19DB7" w14:textId="61384F1D" w:rsidR="00FC7D89" w:rsidRDefault="00FC7D89" w:rsidP="00A47634">
    <w:pPr>
      <w:pStyle w:val="Spacer"/>
    </w:pPr>
    <w:r>
      <w:rPr>
        <w:noProof/>
        <w:lang w:val="en-US" w:eastAsia="en-US"/>
      </w:rPr>
      <mc:AlternateContent>
        <mc:Choice Requires="wps">
          <w:drawing>
            <wp:anchor distT="0" distB="0" distL="114300" distR="114300" simplePos="0" relativeHeight="251654656" behindDoc="0" locked="0" layoutInCell="0" allowOverlap="1" wp14:anchorId="483FFE1A" wp14:editId="27308F4D">
              <wp:simplePos x="0" y="0"/>
              <wp:positionH relativeFrom="page">
                <wp:posOffset>0</wp:posOffset>
              </wp:positionH>
              <wp:positionV relativeFrom="page">
                <wp:posOffset>10234930</wp:posOffset>
              </wp:positionV>
              <wp:extent cx="7560310" cy="266700"/>
              <wp:effectExtent l="0" t="0" r="0" b="0"/>
              <wp:wrapNone/>
              <wp:docPr id="7" name="MSIPCMae104221b09ff47a03c7b82e"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1F1963" w14:textId="689BA0AC" w:rsidR="00FC7D89" w:rsidRPr="003573D3" w:rsidRDefault="00FC7D89" w:rsidP="003573D3">
                          <w:pPr>
                            <w:spacing w:before="0" w:after="0"/>
                            <w:rPr>
                              <w:rFonts w:ascii="Calibri" w:hAnsi="Calibri" w:cs="Calibri"/>
                              <w:color w:val="000000"/>
                              <w:sz w:val="22"/>
                            </w:rPr>
                          </w:pPr>
                          <w:r w:rsidRPr="003573D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83FFE1A" id="_x0000_t202" coordsize="21600,21600" o:spt="202" path="m,l,21600r21600,l21600,xe">
              <v:stroke joinstyle="miter"/>
              <v:path gradientshapeok="t" o:connecttype="rect"/>
            </v:shapetype>
            <v:shape id="MSIPCMae104221b09ff47a03c7b82e" o:spid="_x0000_s1028" type="#_x0000_t202" alt="{&quot;HashCode&quot;:-1267603503,&quot;Height&quot;:841.0,&quot;Width&quot;:595.0,&quot;Placement&quot;:&quot;Footer&quot;,&quot;Index&quot;:&quot;OddAndEven&quot;,&quot;Section&quot;:2,&quot;Top&quot;:0.0,&quot;Left&quot;:0.0}" style="position:absolute;margin-left:0;margin-top:805.9pt;width:595.3pt;height:21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LQuWe0mAwAAQgYA&#10;AA4AAAAAAAAAAAAAAAAALgIAAGRycy9lMm9Eb2MueG1sUEsBAi0AFAAGAAgAAAAhAGARxibeAAAA&#10;CwEAAA8AAAAAAAAAAAAAAAAAgAUAAGRycy9kb3ducmV2LnhtbFBLBQYAAAAABAAEAPMAAACLBgAA&#10;AAA=&#10;" o:allowincell="f" filled="f" stroked="f" strokeweight=".5pt">
              <v:textbox inset="20pt,0,,0">
                <w:txbxContent>
                  <w:p w14:paraId="791F1963" w14:textId="689BA0AC" w:rsidR="00FC7D89" w:rsidRPr="003573D3" w:rsidRDefault="00FC7D89" w:rsidP="003573D3">
                    <w:pPr>
                      <w:spacing w:before="0" w:after="0"/>
                      <w:rPr>
                        <w:rFonts w:ascii="Calibri" w:hAnsi="Calibri" w:cs="Calibri"/>
                        <w:color w:val="000000"/>
                        <w:sz w:val="22"/>
                      </w:rPr>
                    </w:pPr>
                    <w:r w:rsidRPr="003573D3">
                      <w:rPr>
                        <w:rFonts w:ascii="Calibri" w:hAnsi="Calibri" w:cs="Calibri"/>
                        <w:color w:val="000000"/>
                        <w:sz w:val="22"/>
                      </w:rPr>
                      <w:t>OFFICIAL</w:t>
                    </w:r>
                  </w:p>
                </w:txbxContent>
              </v:textbox>
              <w10:wrap anchorx="page" anchory="page"/>
            </v:shape>
          </w:pict>
        </mc:Fallback>
      </mc:AlternateContent>
    </w:r>
  </w:p>
  <w:p w14:paraId="485C377E" w14:textId="5EAFD5AC" w:rsidR="00FC7D89" w:rsidRPr="00297281" w:rsidRDefault="00FC7D89" w:rsidP="00C022F9">
    <w:pPr>
      <w:pStyle w:val="Footer"/>
    </w:pP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4D507" w14:textId="2995A374" w:rsidR="00FC7D89" w:rsidRPr="00CB3976" w:rsidRDefault="00FC7D89" w:rsidP="00CB3976">
    <w:pPr>
      <w:pStyle w:val="Spacer"/>
    </w:pPr>
    <w:r>
      <w:rPr>
        <w:noProof/>
        <w:lang w:val="en-US" w:eastAsia="en-US"/>
      </w:rPr>
      <mc:AlternateContent>
        <mc:Choice Requires="wps">
          <w:drawing>
            <wp:anchor distT="0" distB="0" distL="114300" distR="114300" simplePos="0" relativeHeight="251653632" behindDoc="0" locked="0" layoutInCell="0" allowOverlap="1" wp14:anchorId="3CE01963" wp14:editId="458107E9">
              <wp:simplePos x="0" y="0"/>
              <wp:positionH relativeFrom="page">
                <wp:posOffset>0</wp:posOffset>
              </wp:positionH>
              <wp:positionV relativeFrom="page">
                <wp:posOffset>10234930</wp:posOffset>
              </wp:positionV>
              <wp:extent cx="7560310" cy="266700"/>
              <wp:effectExtent l="0" t="0" r="0" b="0"/>
              <wp:wrapNone/>
              <wp:docPr id="6" name="MSIPCMa0ca42c3a6c5d2830e6306e8"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A430D4" w14:textId="08CF1DA9" w:rsidR="00FC7D89" w:rsidRPr="003573D3" w:rsidRDefault="00FC7D89" w:rsidP="003573D3">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E01963" id="_x0000_t202" coordsize="21600,21600" o:spt="202" path="m,l,21600r21600,l21600,xe">
              <v:stroke joinstyle="miter"/>
              <v:path gradientshapeok="t" o:connecttype="rect"/>
            </v:shapetype>
            <v:shape id="MSIPCMa0ca42c3a6c5d2830e6306e8" o:spid="_x0000_s1029" type="#_x0000_t202" alt="{&quot;HashCode&quot;:-1267603503,&quot;Height&quot;:841.0,&quot;Width&quot;:595.0,&quot;Placement&quot;:&quot;Footer&quot;,&quot;Index&quot;:&quot;Primary&quot;,&quot;Section&quot;:2,&quot;Top&quot;:0.0,&quot;Left&quot;:0.0}" style="position:absolute;margin-left:0;margin-top:805.9pt;width:595.3pt;height:21pt;z-index:2516536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BvL39OHgMAAD8GAAAOAAAAAAAA&#10;AAAAAAAAAC4CAABkcnMvZTJvRG9jLnhtbFBLAQItABQABgAIAAAAIQBgEcYm3gAAAAsBAAAPAAAA&#10;AAAAAAAAAAAAAHgFAABkcnMvZG93bnJldi54bWxQSwUGAAAAAAQABADzAAAAgwYAAAAA&#10;" o:allowincell="f" filled="f" stroked="f" strokeweight=".5pt">
              <v:textbox inset="20pt,0,,0">
                <w:txbxContent>
                  <w:p w14:paraId="71A430D4" w14:textId="08CF1DA9" w:rsidR="00FC7D89" w:rsidRPr="003573D3" w:rsidRDefault="00FC7D89" w:rsidP="003573D3">
                    <w:pPr>
                      <w:spacing w:before="0" w:after="0"/>
                      <w:rPr>
                        <w:rFonts w:ascii="Calibri" w:hAnsi="Calibri" w:cs="Calibri"/>
                        <w:color w:val="000000"/>
                        <w:sz w:val="22"/>
                      </w:rPr>
                    </w:pPr>
                  </w:p>
                </w:txbxContent>
              </v:textbox>
              <w10:wrap anchorx="page" anchory="page"/>
            </v:shape>
          </w:pict>
        </mc:Fallback>
      </mc:AlternateContent>
    </w:r>
  </w:p>
  <w:p w14:paraId="7DBD37B8" w14:textId="690FE77E" w:rsidR="00FC7D89" w:rsidRPr="00297281" w:rsidRDefault="00FC7D89" w:rsidP="00C022F9">
    <w:pPr>
      <w:pStyle w:val="Footer"/>
    </w:pPr>
    <w:r w:rsidRPr="00297281">
      <w:tab/>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w:t>
    </w:r>
    <w:r w:rsidRPr="00297281">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97E6" w14:textId="4A1F334A" w:rsidR="00FC7D89" w:rsidRPr="009036D3" w:rsidRDefault="00FC7D89" w:rsidP="00A47634">
    <w:pPr>
      <w:pStyle w:val="Spacer"/>
    </w:pPr>
    <w:r>
      <w:rPr>
        <w:noProof/>
        <w:lang w:val="en-US" w:eastAsia="en-US"/>
      </w:rPr>
      <mc:AlternateContent>
        <mc:Choice Requires="wps">
          <w:drawing>
            <wp:anchor distT="0" distB="0" distL="114300" distR="114300" simplePos="0" relativeHeight="251660800" behindDoc="0" locked="0" layoutInCell="0" allowOverlap="1" wp14:anchorId="29FF7E2B" wp14:editId="7E6B583D">
              <wp:simplePos x="0" y="0"/>
              <wp:positionH relativeFrom="page">
                <wp:posOffset>0</wp:posOffset>
              </wp:positionH>
              <wp:positionV relativeFrom="page">
                <wp:posOffset>10234930</wp:posOffset>
              </wp:positionV>
              <wp:extent cx="7560310" cy="266700"/>
              <wp:effectExtent l="0" t="0" r="0" b="0"/>
              <wp:wrapNone/>
              <wp:docPr id="9" name="MSIPCM3acf49c2a39bb35536218f27" descr="{&quot;HashCode&quot;:-1267603503,&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EBCF0C" w14:textId="0BA864C5" w:rsidR="00FC7D89" w:rsidRPr="003573D3" w:rsidRDefault="00FC7D89" w:rsidP="003573D3">
                          <w:pPr>
                            <w:spacing w:before="0" w:after="0"/>
                            <w:rPr>
                              <w:rFonts w:ascii="Calibri" w:hAnsi="Calibri" w:cs="Calibri"/>
                              <w:color w:val="000000"/>
                              <w:sz w:val="22"/>
                            </w:rPr>
                          </w:pPr>
                          <w:bookmarkStart w:id="1" w:name="_GoBack"/>
                          <w:bookmarkEnd w:id="1"/>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FF7E2B" id="_x0000_t202" coordsize="21600,21600" o:spt="202" path="m,l,21600r21600,l21600,xe">
              <v:stroke joinstyle="miter"/>
              <v:path gradientshapeok="t" o:connecttype="rect"/>
            </v:shapetype>
            <v:shape id="MSIPCM3acf49c2a39bb35536218f27" o:spid="_x0000_s1030" type="#_x0000_t202" alt="{&quot;HashCode&quot;:-1267603503,&quot;Height&quot;:841.0,&quot;Width&quot;:595.0,&quot;Placement&quot;:&quot;Footer&quot;,&quot;Index&quot;:&quot;OddAndEven&quot;,&quot;Section&quot;:3,&quot;Top&quot;:0.0,&quot;Left&quot;:0.0}" style="position:absolute;margin-left:0;margin-top:805.9pt;width:595.3pt;height:21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Ec1cZUjAwAAQgYAAA4A&#10;AAAAAAAAAAAAAAAALgIAAGRycy9lMm9Eb2MueG1sUEsBAi0AFAAGAAgAAAAhAGARxibeAAAACwEA&#10;AA8AAAAAAAAAAAAAAAAAfQUAAGRycy9kb3ducmV2LnhtbFBLBQYAAAAABAAEAPMAAACIBgAAAAA=&#10;" o:allowincell="f" filled="f" stroked="f" strokeweight=".5pt">
              <v:textbox inset="20pt,0,,0">
                <w:txbxContent>
                  <w:p w14:paraId="1EEBCF0C" w14:textId="0BA864C5" w:rsidR="00FC7D89" w:rsidRPr="003573D3" w:rsidRDefault="00FC7D89" w:rsidP="003573D3">
                    <w:pPr>
                      <w:spacing w:before="0" w:after="0"/>
                      <w:rPr>
                        <w:rFonts w:ascii="Calibri" w:hAnsi="Calibri" w:cs="Calibri"/>
                        <w:color w:val="000000"/>
                        <w:sz w:val="22"/>
                      </w:rPr>
                    </w:pPr>
                    <w:bookmarkStart w:id="2" w:name="_GoBack"/>
                    <w:bookmarkEnd w:id="2"/>
                  </w:p>
                </w:txbxContent>
              </v:textbox>
              <w10:wrap anchorx="page" anchory="page"/>
            </v:shape>
          </w:pict>
        </mc:Fallback>
      </mc:AlternateContent>
    </w:r>
  </w:p>
  <w:p w14:paraId="77185C6B" w14:textId="03563D74" w:rsidR="00FC7D89" w:rsidRPr="00297281" w:rsidRDefault="00FC7D89" w:rsidP="00C022F9">
    <w:pPr>
      <w:pStyle w:val="Footer"/>
    </w:pPr>
    <w:r w:rsidRPr="009036D3">
      <w:t xml:space="preserve">Page </w:t>
    </w:r>
    <w:r w:rsidRPr="009036D3">
      <w:rPr>
        <w:rStyle w:val="PageNumber"/>
      </w:rPr>
      <w:fldChar w:fldCharType="begin"/>
    </w:r>
    <w:r w:rsidRPr="009036D3">
      <w:rPr>
        <w:rStyle w:val="PageNumber"/>
      </w:rPr>
      <w:instrText xml:space="preserve"> Page </w:instrText>
    </w:r>
    <w:r w:rsidRPr="009036D3">
      <w:rPr>
        <w:rStyle w:val="PageNumber"/>
      </w:rPr>
      <w:fldChar w:fldCharType="separate"/>
    </w:r>
    <w:r>
      <w:rPr>
        <w:rStyle w:val="PageNumber"/>
      </w:rPr>
      <w:t>16</w:t>
    </w:r>
    <w:r w:rsidRPr="009036D3">
      <w:rPr>
        <w:rStyle w:val="PageNumber"/>
      </w:rPr>
      <w:fldChar w:fldCharType="end"/>
    </w:r>
    <w:r w:rsidRPr="009036D3">
      <w:rPr>
        <w:rStyle w:val="PageNumber"/>
      </w:rPr>
      <w:tab/>
    </w:r>
    <w:r w:rsidRPr="009036D3">
      <w:rPr>
        <w:b/>
        <w:noProof w:val="0"/>
        <w:color w:val="0063A6" w:themeColor="accent1"/>
      </w:rPr>
      <w:fldChar w:fldCharType="begin"/>
    </w:r>
    <w:r w:rsidRPr="009036D3">
      <w:rPr>
        <w:b/>
        <w:color w:val="0063A6" w:themeColor="accent1"/>
      </w:rPr>
      <w:instrText xml:space="preserve"> StyleRef “Title” </w:instrText>
    </w:r>
    <w:r w:rsidRPr="009036D3">
      <w:rPr>
        <w:b/>
        <w:noProof w:val="0"/>
        <w:color w:val="0063A6" w:themeColor="accent1"/>
      </w:rPr>
      <w:fldChar w:fldCharType="separate"/>
    </w:r>
    <w:r w:rsidR="00EC16FD">
      <w:rPr>
        <w:b/>
        <w:color w:val="0063A6" w:themeColor="accent1"/>
      </w:rPr>
      <w:t>Victorian Government Risk Management Framework</w:t>
    </w:r>
    <w:r w:rsidRPr="009036D3">
      <w:rPr>
        <w:b/>
        <w:color w:val="0063A6" w:themeColor="accent1"/>
      </w:rPr>
      <w:fldChar w:fldCharType="end"/>
    </w:r>
    <w:r w:rsidRPr="009036D3">
      <w:rPr>
        <w:b/>
        <w:color w:val="0063A6" w:themeColor="accent1"/>
      </w:rPr>
      <w:t xml:space="preserve"> – </w:t>
    </w:r>
    <w:r w:rsidRPr="00AE6D42">
      <w:rPr>
        <w:noProof w:val="0"/>
      </w:rPr>
      <w:fldChar w:fldCharType="begin"/>
    </w:r>
    <w:r w:rsidRPr="00AE6D42">
      <w:instrText xml:space="preserve"> StyleRef “Subtitle” </w:instrText>
    </w:r>
    <w:r w:rsidRPr="00AE6D42">
      <w:rPr>
        <w:noProof w:val="0"/>
      </w:rPr>
      <w:fldChar w:fldCharType="separate"/>
    </w:r>
    <w:r w:rsidR="00EC16FD">
      <w:t>August 2020</w:t>
    </w:r>
    <w:r w:rsidRPr="00AE6D42">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01D2A" w14:textId="5554F68E" w:rsidR="00FC7D89" w:rsidRDefault="00FC7D89" w:rsidP="00165E66">
    <w:pPr>
      <w:pStyle w:val="Spacer"/>
    </w:pPr>
    <w:r>
      <w:rPr>
        <w:noProof/>
        <w:lang w:val="en-US" w:eastAsia="en-US"/>
      </w:rPr>
      <mc:AlternateContent>
        <mc:Choice Requires="wps">
          <w:drawing>
            <wp:anchor distT="0" distB="0" distL="114300" distR="114300" simplePos="0" relativeHeight="251657728" behindDoc="0" locked="0" layoutInCell="0" allowOverlap="1" wp14:anchorId="3783942E" wp14:editId="5C033BCD">
              <wp:simplePos x="0" y="0"/>
              <wp:positionH relativeFrom="page">
                <wp:posOffset>0</wp:posOffset>
              </wp:positionH>
              <wp:positionV relativeFrom="page">
                <wp:posOffset>10234930</wp:posOffset>
              </wp:positionV>
              <wp:extent cx="7560310" cy="266700"/>
              <wp:effectExtent l="0" t="0" r="0" b="0"/>
              <wp:wrapNone/>
              <wp:docPr id="8" name="MSIPCMb53f46778c7e158f05f092ea"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39ABC7" w14:textId="76F5876F" w:rsidR="00FC7D89" w:rsidRPr="003573D3" w:rsidRDefault="00FC7D89" w:rsidP="003573D3">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783942E" id="_x0000_t202" coordsize="21600,21600" o:spt="202" path="m,l,21600r21600,l21600,xe">
              <v:stroke joinstyle="miter"/>
              <v:path gradientshapeok="t" o:connecttype="rect"/>
            </v:shapetype>
            <v:shape id="MSIPCMb53f46778c7e158f05f092ea" o:spid="_x0000_s1031" type="#_x0000_t202" alt="{&quot;HashCode&quot;:-1267603503,&quot;Height&quot;:841.0,&quot;Width&quot;:595.0,&quot;Placement&quot;:&quot;Footer&quot;,&quot;Index&quot;:&quot;Primary&quot;,&quot;Section&quot;:3,&quot;Top&quot;:0.0,&quot;Left&quot;:0.0}" style="position:absolute;margin-left:0;margin-top:805.9pt;width:595.3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cp45oiIDAAA/BgAADgAA&#10;AAAAAAAAAAAAAAAuAgAAZHJzL2Uyb0RvYy54bWxQSwECLQAUAAYACAAAACEAYBHGJt4AAAALAQAA&#10;DwAAAAAAAAAAAAAAAAB8BQAAZHJzL2Rvd25yZXYueG1sUEsFBgAAAAAEAAQA8wAAAIcGAAAAAA==&#10;" o:allowincell="f" filled="f" stroked="f" strokeweight=".5pt">
              <v:textbox inset="20pt,0,,0">
                <w:txbxContent>
                  <w:p w14:paraId="5439ABC7" w14:textId="76F5876F" w:rsidR="00FC7D89" w:rsidRPr="003573D3" w:rsidRDefault="00FC7D89" w:rsidP="003573D3">
                    <w:pPr>
                      <w:spacing w:before="0" w:after="0"/>
                      <w:rPr>
                        <w:rFonts w:ascii="Calibri" w:hAnsi="Calibri" w:cs="Calibri"/>
                        <w:color w:val="000000"/>
                        <w:sz w:val="22"/>
                      </w:rPr>
                    </w:pPr>
                  </w:p>
                </w:txbxContent>
              </v:textbox>
              <w10:wrap anchorx="page" anchory="page"/>
            </v:shape>
          </w:pict>
        </mc:Fallback>
      </mc:AlternateContent>
    </w:r>
  </w:p>
  <w:p w14:paraId="21ABB37E" w14:textId="10BF5DB1" w:rsidR="00FC7D89" w:rsidRPr="00C022F9" w:rsidRDefault="00FC7D89" w:rsidP="00165E6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EC16FD">
      <w:rPr>
        <w:b/>
        <w:color w:val="0063A6" w:themeColor="accent1"/>
      </w:rPr>
      <w:t>Victorian Government Risk Management Framework</w:t>
    </w:r>
    <w:r w:rsidRPr="00C022F9">
      <w:rPr>
        <w:b/>
        <w:color w:val="0063A6" w:themeColor="accent1"/>
      </w:rPr>
      <w:fldChar w:fldCharType="end"/>
    </w:r>
    <w:r w:rsidRPr="00C022F9">
      <w:rPr>
        <w:b/>
        <w:color w:val="0063A6" w:themeColor="accent1"/>
      </w:rPr>
      <w:t xml:space="preserve"> </w:t>
    </w:r>
    <w:r w:rsidRPr="009036D3">
      <w:rPr>
        <w:b/>
        <w:color w:val="0063A6" w:themeColor="accent1"/>
      </w:rPr>
      <w:t xml:space="preserve">– </w:t>
    </w:r>
    <w:r w:rsidRPr="00AE6D42">
      <w:rPr>
        <w:noProof w:val="0"/>
      </w:rPr>
      <w:fldChar w:fldCharType="begin"/>
    </w:r>
    <w:r w:rsidRPr="00AE6D42">
      <w:instrText xml:space="preserve"> StyleRef “Subtitle” </w:instrText>
    </w:r>
    <w:r w:rsidRPr="00AE6D42">
      <w:rPr>
        <w:noProof w:val="0"/>
      </w:rPr>
      <w:fldChar w:fldCharType="separate"/>
    </w:r>
    <w:r w:rsidR="00EC16FD">
      <w:t>August 2020</w:t>
    </w:r>
    <w:r w:rsidRPr="00AE6D42">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15</w:t>
    </w:r>
    <w:r w:rsidRPr="00DE60CC">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63CE" w14:textId="5E113DE6" w:rsidR="00FC7D89" w:rsidRPr="00014213" w:rsidRDefault="00FC7D89" w:rsidP="00C022F9">
    <w:pPr>
      <w:pStyle w:val="Footer"/>
    </w:pPr>
    <w:r>
      <w:rPr>
        <w:lang w:val="en-US" w:eastAsia="en-US"/>
      </w:rPr>
      <mc:AlternateContent>
        <mc:Choice Requires="wps">
          <w:drawing>
            <wp:anchor distT="0" distB="0" distL="114300" distR="114300" simplePos="0" relativeHeight="251663872" behindDoc="0" locked="0" layoutInCell="0" allowOverlap="1" wp14:anchorId="5680876E" wp14:editId="521AE35B">
              <wp:simplePos x="0" y="0"/>
              <wp:positionH relativeFrom="page">
                <wp:posOffset>0</wp:posOffset>
              </wp:positionH>
              <wp:positionV relativeFrom="page">
                <wp:posOffset>10234930</wp:posOffset>
              </wp:positionV>
              <wp:extent cx="7560310" cy="266700"/>
              <wp:effectExtent l="0" t="0" r="0" b="0"/>
              <wp:wrapNone/>
              <wp:docPr id="12" name="MSIPCM045d4fc2bafe2ddb47d0b43b" descr="{&quot;HashCode&quot;:-1267603503,&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66EB4F" w14:textId="51418660" w:rsidR="00FC7D89" w:rsidRPr="003573D3" w:rsidRDefault="00FC7D89" w:rsidP="003573D3">
                          <w:pPr>
                            <w:spacing w:before="0" w:after="0"/>
                            <w:rPr>
                              <w:rFonts w:ascii="Calibri" w:hAnsi="Calibri" w:cs="Calibri"/>
                              <w:color w:val="000000"/>
                              <w:sz w:val="22"/>
                            </w:rPr>
                          </w:pPr>
                          <w:r w:rsidRPr="003573D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80876E" id="_x0000_t202" coordsize="21600,21600" o:spt="202" path="m,l,21600r21600,l21600,xe">
              <v:stroke joinstyle="miter"/>
              <v:path gradientshapeok="t" o:connecttype="rect"/>
            </v:shapetype>
            <v:shape id="MSIPCM045d4fc2bafe2ddb47d0b43b" o:spid="_x0000_s1032" type="#_x0000_t202" alt="{&quot;HashCode&quot;:-1267603503,&quot;Height&quot;:841.0,&quot;Width&quot;:595.0,&quot;Placement&quot;:&quot;Footer&quot;,&quot;Index&quot;:&quot;OddAndEven&quot;,&quot;Section&quot;:5,&quot;Top&quot;:0.0,&quot;Left&quot;:0.0}" style="position:absolute;margin-left:0;margin-top:805.9pt;width:595.3pt;height:21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7pHZ0SUDAABDBgAA&#10;DgAAAAAAAAAAAAAAAAAuAgAAZHJzL2Uyb0RvYy54bWxQSwECLQAUAAYACAAAACEAYBHGJt4AAAAL&#10;AQAADwAAAAAAAAAAAAAAAAB/BQAAZHJzL2Rvd25yZXYueG1sUEsFBgAAAAAEAAQA8wAAAIoGAAAA&#10;AA==&#10;" o:allowincell="f" filled="f" stroked="f" strokeweight=".5pt">
              <v:textbox inset="20pt,0,,0">
                <w:txbxContent>
                  <w:p w14:paraId="7C66EB4F" w14:textId="51418660" w:rsidR="00FC7D89" w:rsidRPr="003573D3" w:rsidRDefault="00FC7D89" w:rsidP="003573D3">
                    <w:pPr>
                      <w:spacing w:before="0" w:after="0"/>
                      <w:rPr>
                        <w:rFonts w:ascii="Calibri" w:hAnsi="Calibri" w:cs="Calibri"/>
                        <w:color w:val="000000"/>
                        <w:sz w:val="22"/>
                      </w:rPr>
                    </w:pPr>
                    <w:r w:rsidRPr="003573D3">
                      <w:rPr>
                        <w:rFonts w:ascii="Calibri" w:hAnsi="Calibri" w:cs="Calibri"/>
                        <w:color w:val="000000"/>
                        <w:sz w:val="22"/>
                      </w:rPr>
                      <w:t>OFFICIAL</w:t>
                    </w:r>
                  </w:p>
                </w:txbxContent>
              </v:textbox>
              <w10:wrap anchorx="page" anchory="page"/>
            </v:shape>
          </w:pict>
        </mc:Fallback>
      </mc:AlternateContent>
    </w:r>
    <w:r>
      <w:rPr>
        <w:lang w:val="en-US" w:eastAsia="en-US"/>
      </w:rPr>
      <w:drawing>
        <wp:anchor distT="0" distB="0" distL="114300" distR="114300" simplePos="0" relativeHeight="251659776" behindDoc="0" locked="0" layoutInCell="1" allowOverlap="1" wp14:anchorId="4CC2FAA2" wp14:editId="6C910A13">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9FB97" w14:textId="79584F2D" w:rsidR="00FC7D89" w:rsidRDefault="00FC7D89" w:rsidP="00CB3976">
    <w:pPr>
      <w:pStyle w:val="Spacer"/>
    </w:pPr>
    <w:r>
      <w:rPr>
        <w:noProof/>
        <w:lang w:val="en-US" w:eastAsia="en-US"/>
      </w:rPr>
      <mc:AlternateContent>
        <mc:Choice Requires="wps">
          <w:drawing>
            <wp:anchor distT="0" distB="0" distL="114300" distR="114300" simplePos="1" relativeHeight="251661824" behindDoc="0" locked="0" layoutInCell="0" allowOverlap="1" wp14:anchorId="4BE25C92" wp14:editId="133C69F3">
              <wp:simplePos x="0" y="10234930"/>
              <wp:positionH relativeFrom="page">
                <wp:posOffset>0</wp:posOffset>
              </wp:positionH>
              <wp:positionV relativeFrom="page">
                <wp:posOffset>10234930</wp:posOffset>
              </wp:positionV>
              <wp:extent cx="7560310" cy="266700"/>
              <wp:effectExtent l="0" t="0" r="0" b="0"/>
              <wp:wrapNone/>
              <wp:docPr id="11" name="MSIPCM5e364cb592a4bc6e3a80a474" descr="{&quot;HashCode&quot;:-1267603503,&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49EEDD" w14:textId="7EDB9113" w:rsidR="00FC7D89" w:rsidRPr="003573D3" w:rsidRDefault="00FC7D89" w:rsidP="003573D3">
                          <w:pPr>
                            <w:spacing w:before="0" w:after="0"/>
                            <w:rPr>
                              <w:rFonts w:ascii="Calibri" w:hAnsi="Calibri" w:cs="Calibri"/>
                              <w:color w:val="000000"/>
                              <w:sz w:val="22"/>
                            </w:rPr>
                          </w:pPr>
                          <w:r w:rsidRPr="003573D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E25C92" id="_x0000_t202" coordsize="21600,21600" o:spt="202" path="m,l,21600r21600,l21600,xe">
              <v:stroke joinstyle="miter"/>
              <v:path gradientshapeok="t" o:connecttype="rect"/>
            </v:shapetype>
            <v:shape id="MSIPCM5e364cb592a4bc6e3a80a474" o:spid="_x0000_s1033" type="#_x0000_t202" alt="{&quot;HashCode&quot;:-1267603503,&quot;Height&quot;:841.0,&quot;Width&quot;:595.0,&quot;Placement&quot;:&quot;Footer&quot;,&quot;Index&quot;:&quot;Primary&quot;,&quot;Section&quot;:5,&quot;Top&quot;:0.0,&quot;Left&quot;:0.0}" style="position:absolute;margin-left:0;margin-top:805.9pt;width:595.3pt;height:21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CpDFB8jAwAAQAYAAA4A&#10;AAAAAAAAAAAAAAAALgIAAGRycy9lMm9Eb2MueG1sUEsBAi0AFAAGAAgAAAAhAGARxibeAAAACwEA&#10;AA8AAAAAAAAAAAAAAAAAfQUAAGRycy9kb3ducmV2LnhtbFBLBQYAAAAABAAEAPMAAACIBgAAAAA=&#10;" o:allowincell="f" filled="f" stroked="f" strokeweight=".5pt">
              <v:textbox inset="20pt,0,,0">
                <w:txbxContent>
                  <w:p w14:paraId="3549EEDD" w14:textId="7EDB9113" w:rsidR="00FC7D89" w:rsidRPr="003573D3" w:rsidRDefault="00FC7D89" w:rsidP="003573D3">
                    <w:pPr>
                      <w:spacing w:before="0" w:after="0"/>
                      <w:rPr>
                        <w:rFonts w:ascii="Calibri" w:hAnsi="Calibri" w:cs="Calibri"/>
                        <w:color w:val="000000"/>
                        <w:sz w:val="22"/>
                      </w:rPr>
                    </w:pPr>
                    <w:r w:rsidRPr="003573D3">
                      <w:rPr>
                        <w:rFonts w:ascii="Calibri" w:hAnsi="Calibri" w:cs="Calibri"/>
                        <w:color w:val="000000"/>
                        <w:sz w:val="22"/>
                      </w:rPr>
                      <w:t>OFFICIAL</w:t>
                    </w:r>
                  </w:p>
                </w:txbxContent>
              </v:textbox>
              <w10:wrap anchorx="page" anchory="page"/>
            </v:shape>
          </w:pict>
        </mc:Fallback>
      </mc:AlternateContent>
    </w:r>
  </w:p>
  <w:p w14:paraId="42F5B11D" w14:textId="77777777" w:rsidR="00FC7D89" w:rsidRPr="00CB3976" w:rsidRDefault="00FC7D89" w:rsidP="00C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3AB18" w14:textId="77777777" w:rsidR="00FC7D89" w:rsidRDefault="00FC7D89" w:rsidP="002D711A">
      <w:pPr>
        <w:spacing w:after="0" w:line="240" w:lineRule="auto"/>
      </w:pPr>
      <w:r>
        <w:separator/>
      </w:r>
    </w:p>
  </w:footnote>
  <w:footnote w:type="continuationSeparator" w:id="0">
    <w:p w14:paraId="631A1E73" w14:textId="77777777" w:rsidR="00FC7D89" w:rsidRDefault="00FC7D89"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7A8FB" w14:textId="77777777" w:rsidR="00EC16FD" w:rsidRDefault="00EC1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C1294" w14:textId="77777777" w:rsidR="00FC7D89" w:rsidRDefault="00FC7D89">
    <w:pPr>
      <w:pStyle w:val="Header"/>
    </w:pPr>
    <w:r>
      <w:rPr>
        <w:noProof/>
        <w:lang w:val="en-US" w:eastAsia="en-US"/>
      </w:rPr>
      <w:drawing>
        <wp:anchor distT="0" distB="0" distL="114300" distR="114300" simplePos="0" relativeHeight="251651584" behindDoc="1" locked="0" layoutInCell="1" allowOverlap="1" wp14:anchorId="0DC5A027" wp14:editId="18C968B7">
          <wp:simplePos x="0" y="0"/>
          <wp:positionH relativeFrom="column">
            <wp:posOffset>-930303</wp:posOffset>
          </wp:positionH>
          <wp:positionV relativeFrom="page">
            <wp:posOffset>-31805</wp:posOffset>
          </wp:positionV>
          <wp:extent cx="7589520" cy="10725912"/>
          <wp:effectExtent l="0" t="0" r="0" b="0"/>
          <wp:wrapNone/>
          <wp:docPr id="13" nam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9545 DTF Covers A4 Final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10725912"/>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2848" behindDoc="0" locked="0" layoutInCell="1" allowOverlap="1" wp14:anchorId="4BF0BD89" wp14:editId="01C2E8EF">
          <wp:simplePos x="0" y="0"/>
          <wp:positionH relativeFrom="column">
            <wp:posOffset>-909902</wp:posOffset>
          </wp:positionH>
          <wp:positionV relativeFrom="page">
            <wp:posOffset>-264</wp:posOffset>
          </wp:positionV>
          <wp:extent cx="7562088" cy="10698480"/>
          <wp:effectExtent l="0" t="0" r="1270" b="7620"/>
          <wp:wrapNone/>
          <wp:docPr id="14"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4085F" w14:textId="77777777" w:rsidR="00EC16FD" w:rsidRDefault="00EC16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97D8" w14:textId="77777777" w:rsidR="00FC7D89" w:rsidRDefault="00FC7D89">
    <w:pPr>
      <w:pStyle w:val="Header"/>
    </w:pPr>
    <w:r>
      <w:rPr>
        <w:noProof/>
        <w:lang w:val="en-US" w:eastAsia="en-US"/>
      </w:rPr>
      <w:drawing>
        <wp:anchor distT="0" distB="0" distL="114300" distR="114300" simplePos="0" relativeHeight="251652608" behindDoc="0" locked="0" layoutInCell="1" allowOverlap="1" wp14:anchorId="3FE1F9AE" wp14:editId="4684A8D0">
          <wp:simplePos x="0" y="0"/>
          <wp:positionH relativeFrom="column">
            <wp:posOffset>-932815</wp:posOffset>
          </wp:positionH>
          <wp:positionV relativeFrom="page">
            <wp:posOffset>-3546</wp:posOffset>
          </wp:positionV>
          <wp:extent cx="7591245" cy="740985"/>
          <wp:effectExtent l="0" t="0" r="0" b="2540"/>
          <wp:wrapNone/>
          <wp:docPr id="32" name="Header 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61757" w14:textId="77777777" w:rsidR="00FC7D89" w:rsidRDefault="00FC7D89">
    <w:pPr>
      <w:pStyle w:val="Header"/>
    </w:pPr>
    <w:r>
      <w:rPr>
        <w:noProof/>
        <w:lang w:val="en-US" w:eastAsia="en-US"/>
      </w:rPr>
      <w:drawing>
        <wp:anchor distT="0" distB="0" distL="114300" distR="114300" simplePos="0" relativeHeight="251650560" behindDoc="0" locked="0" layoutInCell="1" allowOverlap="1" wp14:anchorId="01E7B251" wp14:editId="6A4D011C">
          <wp:simplePos x="0" y="0"/>
          <wp:positionH relativeFrom="column">
            <wp:posOffset>-931849</wp:posOffset>
          </wp:positionH>
          <wp:positionV relativeFrom="page">
            <wp:posOffset>0</wp:posOffset>
          </wp:positionV>
          <wp:extent cx="7591245" cy="740985"/>
          <wp:effectExtent l="0" t="0" r="0" b="2540"/>
          <wp:wrapNone/>
          <wp:docPr id="33"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7FBE" w14:textId="77777777" w:rsidR="00FC7D89" w:rsidRPr="009036D3" w:rsidRDefault="00FC7D89" w:rsidP="005306A2">
    <w:pPr>
      <w:pStyle w:val="Header"/>
    </w:pPr>
    <w:r w:rsidRPr="009036D3">
      <w:rPr>
        <w:noProof/>
        <w:lang w:val="en-US" w:eastAsia="en-US"/>
      </w:rPr>
      <w:drawing>
        <wp:anchor distT="0" distB="0" distL="114300" distR="114300" simplePos="0" relativeHeight="251656704" behindDoc="0" locked="0" layoutInCell="1" allowOverlap="1" wp14:anchorId="7B9C0EA1" wp14:editId="5F28955B">
          <wp:simplePos x="0" y="0"/>
          <wp:positionH relativeFrom="column">
            <wp:posOffset>-931849</wp:posOffset>
          </wp:positionH>
          <wp:positionV relativeFrom="page">
            <wp:posOffset>0</wp:posOffset>
          </wp:positionV>
          <wp:extent cx="7591245" cy="740985"/>
          <wp:effectExtent l="0" t="0" r="0" b="2540"/>
          <wp:wrapNone/>
          <wp:docPr id="3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A997A" w14:textId="1C199F2B" w:rsidR="00FC7D89" w:rsidRPr="009036D3" w:rsidRDefault="00FC7D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D7BA1" w14:textId="77777777" w:rsidR="00FC7D89" w:rsidRDefault="00FC7D89">
    <w:pPr>
      <w:pStyle w:val="Header"/>
    </w:pPr>
    <w:r>
      <w:rPr>
        <w:noProof/>
        <w:lang w:val="en-US" w:eastAsia="en-US"/>
      </w:rPr>
      <w:drawing>
        <wp:anchor distT="0" distB="0" distL="114300" distR="114300" simplePos="0" relativeHeight="251658752" behindDoc="0" locked="0" layoutInCell="1" allowOverlap="1" wp14:anchorId="68146390" wp14:editId="5974EDF9">
          <wp:simplePos x="0" y="0"/>
          <wp:positionH relativeFrom="column">
            <wp:posOffset>-1038758</wp:posOffset>
          </wp:positionH>
          <wp:positionV relativeFrom="page">
            <wp:posOffset>0</wp:posOffset>
          </wp:positionV>
          <wp:extent cx="7710220" cy="10863072"/>
          <wp:effectExtent l="0" t="0" r="5080" b="0"/>
          <wp:wrapNone/>
          <wp:docPr id="2"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45 DTF Covers A4 Final_Blue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0220" cy="10863072"/>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5680" behindDoc="1" locked="0" layoutInCell="1" allowOverlap="1" wp14:anchorId="36A22817" wp14:editId="75DA4877">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12AD" w14:textId="77777777" w:rsidR="00FC7D89" w:rsidRDefault="00FC7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262E"/>
    <w:multiLevelType w:val="hybridMultilevel"/>
    <w:tmpl w:val="F822F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E12BDD"/>
    <w:multiLevelType w:val="hybridMultilevel"/>
    <w:tmpl w:val="D3F018DC"/>
    <w:lvl w:ilvl="0" w:tplc="0C090001">
      <w:start w:val="1"/>
      <w:numFmt w:val="bullet"/>
      <w:lvlText w:val=""/>
      <w:lvlJc w:val="left"/>
      <w:pPr>
        <w:ind w:left="1512" w:hanging="360"/>
      </w:pPr>
      <w:rPr>
        <w:rFonts w:ascii="Symbol" w:hAnsi="Symbol" w:hint="default"/>
      </w:rPr>
    </w:lvl>
    <w:lvl w:ilvl="1" w:tplc="0C090003">
      <w:start w:val="1"/>
      <w:numFmt w:val="bullet"/>
      <w:lvlText w:val="o"/>
      <w:lvlJc w:val="left"/>
      <w:pPr>
        <w:ind w:left="4471"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 w15:restartNumberingAfterBreak="0">
    <w:nsid w:val="234B2CE8"/>
    <w:multiLevelType w:val="multilevel"/>
    <w:tmpl w:val="D360C500"/>
    <w:lvl w:ilvl="0">
      <w:start w:val="1"/>
      <w:numFmt w:val="decimal"/>
      <w:lvlText w:val="%1."/>
      <w:lvlJc w:val="left"/>
      <w:pPr>
        <w:ind w:left="360" w:hanging="360"/>
      </w:pPr>
      <w:rPr>
        <w:rFonts w:hint="default"/>
      </w:rPr>
    </w:lvl>
    <w:lvl w:ilvl="1">
      <w:start w:val="2"/>
      <w:numFmt w:val="decimal"/>
      <w:isLgl/>
      <w:lvlText w:val="%1.%2"/>
      <w:lvlJc w:val="left"/>
      <w:pPr>
        <w:ind w:left="1086" w:hanging="726"/>
      </w:pPr>
      <w:rPr>
        <w:rFonts w:hint="default"/>
      </w:rPr>
    </w:lvl>
    <w:lvl w:ilvl="2">
      <w:start w:val="1"/>
      <w:numFmt w:val="decimal"/>
      <w:isLgl/>
      <w:lvlText w:val="%1.%2.%3"/>
      <w:lvlJc w:val="left"/>
      <w:pPr>
        <w:ind w:left="1086" w:hanging="72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C02265"/>
    <w:multiLevelType w:val="hybridMultilevel"/>
    <w:tmpl w:val="468600B6"/>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15:restartNumberingAfterBreak="0">
    <w:nsid w:val="290151C8"/>
    <w:multiLevelType w:val="multilevel"/>
    <w:tmpl w:val="27AA0C2E"/>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lowerRoman"/>
      <w:lvlText w:val="(%3)"/>
      <w:lvlJc w:val="right"/>
      <w:pPr>
        <w:tabs>
          <w:tab w:val="num" w:pos="1512"/>
        </w:tabs>
        <w:ind w:left="1512" w:hanging="504"/>
      </w:pPr>
      <w:rPr>
        <w:rFonts w:hint="default"/>
      </w:rPr>
    </w:lvl>
    <w:lvl w:ilvl="3">
      <w:start w:val="1"/>
      <w:numFmt w:val="decimal"/>
      <w:lvlText w:val="%4."/>
      <w:lvlJc w:val="left"/>
      <w:pPr>
        <w:tabs>
          <w:tab w:val="num" w:pos="2582"/>
        </w:tabs>
        <w:ind w:left="2016" w:hanging="504"/>
      </w:pPr>
      <w:rPr>
        <w:rFonts w:hint="default"/>
      </w:rPr>
    </w:lvl>
    <w:lvl w:ilvl="4">
      <w:start w:val="1"/>
      <w:numFmt w:val="lowerLetter"/>
      <w:lvlText w:val="%5."/>
      <w:lvlJc w:val="left"/>
      <w:pPr>
        <w:tabs>
          <w:tab w:val="num" w:pos="3086"/>
        </w:tabs>
        <w:ind w:left="2520" w:hanging="504"/>
      </w:pPr>
      <w:rPr>
        <w:rFonts w:hint="default"/>
      </w:rPr>
    </w:lvl>
    <w:lvl w:ilvl="5">
      <w:start w:val="1"/>
      <w:numFmt w:val="lowerRoman"/>
      <w:lvlText w:val="%6."/>
      <w:lvlJc w:val="right"/>
      <w:pPr>
        <w:tabs>
          <w:tab w:val="num" w:pos="3590"/>
        </w:tabs>
        <w:ind w:left="3024" w:hanging="504"/>
      </w:pPr>
      <w:rPr>
        <w:rFonts w:hint="default"/>
      </w:rPr>
    </w:lvl>
    <w:lvl w:ilvl="6">
      <w:start w:val="1"/>
      <w:numFmt w:val="decimal"/>
      <w:lvlText w:val="%7."/>
      <w:lvlJc w:val="left"/>
      <w:pPr>
        <w:tabs>
          <w:tab w:val="num" w:pos="4094"/>
        </w:tabs>
        <w:ind w:left="3528" w:hanging="504"/>
      </w:pPr>
      <w:rPr>
        <w:rFonts w:hint="default"/>
      </w:rPr>
    </w:lvl>
    <w:lvl w:ilvl="7">
      <w:start w:val="1"/>
      <w:numFmt w:val="lowerLetter"/>
      <w:lvlText w:val="%8."/>
      <w:lvlJc w:val="left"/>
      <w:pPr>
        <w:tabs>
          <w:tab w:val="num" w:pos="4598"/>
        </w:tabs>
        <w:ind w:left="4032" w:hanging="504"/>
      </w:pPr>
      <w:rPr>
        <w:rFonts w:hint="default"/>
      </w:rPr>
    </w:lvl>
    <w:lvl w:ilvl="8">
      <w:start w:val="1"/>
      <w:numFmt w:val="lowerRoman"/>
      <w:lvlText w:val="%9."/>
      <w:lvlJc w:val="right"/>
      <w:pPr>
        <w:tabs>
          <w:tab w:val="num" w:pos="5102"/>
        </w:tabs>
        <w:ind w:left="4536" w:hanging="504"/>
      </w:pPr>
      <w:rPr>
        <w:rFonts w:hint="default"/>
      </w:rPr>
    </w:lvl>
  </w:abstractNum>
  <w:abstractNum w:abstractNumId="6" w15:restartNumberingAfterBreak="0">
    <w:nsid w:val="66551A1C"/>
    <w:multiLevelType w:val="multilevel"/>
    <w:tmpl w:val="8F9AA32A"/>
    <w:lvl w:ilvl="0">
      <w:start w:val="1"/>
      <w:numFmt w:val="bullet"/>
      <w:pStyle w:val="TableBullet0"/>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7"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FD44514"/>
    <w:multiLevelType w:val="multilevel"/>
    <w:tmpl w:val="2152BA1E"/>
    <w:lvl w:ilvl="0">
      <w:start w:val="1"/>
      <w:numFmt w:val="bullet"/>
      <w:pStyle w:val="Bullet1"/>
      <w:lvlText w:val=""/>
      <w:lvlJc w:val="left"/>
      <w:pPr>
        <w:tabs>
          <w:tab w:val="num" w:pos="360"/>
        </w:tabs>
        <w:ind w:left="360" w:hanging="360"/>
      </w:pPr>
      <w:rPr>
        <w:rFonts w:ascii="Symbol" w:hAnsi="Symbol" w:hint="default"/>
        <w:b w:val="0"/>
        <w:i w:val="0"/>
        <w:vanish w:val="0"/>
        <w:color w:val="auto"/>
        <w:sz w:val="18"/>
      </w:rPr>
    </w:lvl>
    <w:lvl w:ilvl="1">
      <w:start w:val="1"/>
      <w:numFmt w:val="bullet"/>
      <w:pStyle w:val="Bullet2"/>
      <w:lvlText w:val="o"/>
      <w:lvlJc w:val="left"/>
      <w:pPr>
        <w:tabs>
          <w:tab w:val="num" w:pos="720"/>
        </w:tabs>
        <w:ind w:left="720" w:hanging="360"/>
      </w:pPr>
      <w:rPr>
        <w:rFonts w:ascii="Courier New" w:hAnsi="Courier New" w:cs="Courier New"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18"/>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num w:numId="1">
    <w:abstractNumId w:val="8"/>
  </w:num>
  <w:num w:numId="2">
    <w:abstractNumId w:val="3"/>
  </w:num>
  <w:num w:numId="3">
    <w:abstractNumId w:val="7"/>
  </w:num>
  <w:num w:numId="4">
    <w:abstractNumId w:val="6"/>
  </w:num>
  <w:num w:numId="5">
    <w:abstractNumId w:val="2"/>
  </w:num>
  <w:num w:numId="6">
    <w:abstractNumId w:val="4"/>
  </w:num>
  <w:num w:numId="7">
    <w:abstractNumId w:val="1"/>
  </w:num>
  <w:num w:numId="8">
    <w:abstractNumId w:val="5"/>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E4F"/>
    <w:rsid w:val="00012F6F"/>
    <w:rsid w:val="00014213"/>
    <w:rsid w:val="00014B55"/>
    <w:rsid w:val="00020E3E"/>
    <w:rsid w:val="00021A14"/>
    <w:rsid w:val="00023BF3"/>
    <w:rsid w:val="00026811"/>
    <w:rsid w:val="0004108E"/>
    <w:rsid w:val="0004185E"/>
    <w:rsid w:val="00046482"/>
    <w:rsid w:val="0004710E"/>
    <w:rsid w:val="00056988"/>
    <w:rsid w:val="00060191"/>
    <w:rsid w:val="00061797"/>
    <w:rsid w:val="0006541D"/>
    <w:rsid w:val="00074D6A"/>
    <w:rsid w:val="00075E6C"/>
    <w:rsid w:val="00081C12"/>
    <w:rsid w:val="00094A9C"/>
    <w:rsid w:val="000A6AC2"/>
    <w:rsid w:val="000B088C"/>
    <w:rsid w:val="000B29AD"/>
    <w:rsid w:val="000C6372"/>
    <w:rsid w:val="000D0FB8"/>
    <w:rsid w:val="000D415E"/>
    <w:rsid w:val="000D4AB8"/>
    <w:rsid w:val="000E392D"/>
    <w:rsid w:val="000E3D05"/>
    <w:rsid w:val="000F4288"/>
    <w:rsid w:val="000F7165"/>
    <w:rsid w:val="00102379"/>
    <w:rsid w:val="00103722"/>
    <w:rsid w:val="001065D6"/>
    <w:rsid w:val="001068D5"/>
    <w:rsid w:val="00121252"/>
    <w:rsid w:val="00123FFA"/>
    <w:rsid w:val="00124609"/>
    <w:rsid w:val="001254CE"/>
    <w:rsid w:val="001422CC"/>
    <w:rsid w:val="001449C0"/>
    <w:rsid w:val="00144B70"/>
    <w:rsid w:val="001567AA"/>
    <w:rsid w:val="001617B6"/>
    <w:rsid w:val="0016401B"/>
    <w:rsid w:val="00165E66"/>
    <w:rsid w:val="00166CDB"/>
    <w:rsid w:val="001705D1"/>
    <w:rsid w:val="00171437"/>
    <w:rsid w:val="00175350"/>
    <w:rsid w:val="00196143"/>
    <w:rsid w:val="001A24FC"/>
    <w:rsid w:val="001B765B"/>
    <w:rsid w:val="001C7BAE"/>
    <w:rsid w:val="001D319B"/>
    <w:rsid w:val="001D5995"/>
    <w:rsid w:val="001D7AD4"/>
    <w:rsid w:val="001E13AE"/>
    <w:rsid w:val="001E31FA"/>
    <w:rsid w:val="001E60A2"/>
    <w:rsid w:val="001E64F6"/>
    <w:rsid w:val="001E7AEB"/>
    <w:rsid w:val="001F7D62"/>
    <w:rsid w:val="00204B82"/>
    <w:rsid w:val="00216B30"/>
    <w:rsid w:val="00221DE0"/>
    <w:rsid w:val="00222BEB"/>
    <w:rsid w:val="00225DA4"/>
    <w:rsid w:val="00225E60"/>
    <w:rsid w:val="0022784D"/>
    <w:rsid w:val="0023202C"/>
    <w:rsid w:val="00237AE9"/>
    <w:rsid w:val="00240946"/>
    <w:rsid w:val="00245043"/>
    <w:rsid w:val="002479B9"/>
    <w:rsid w:val="002772DD"/>
    <w:rsid w:val="00284FA2"/>
    <w:rsid w:val="00292D36"/>
    <w:rsid w:val="00294D1E"/>
    <w:rsid w:val="00297281"/>
    <w:rsid w:val="00297399"/>
    <w:rsid w:val="002B03F1"/>
    <w:rsid w:val="002B4239"/>
    <w:rsid w:val="002B5E2B"/>
    <w:rsid w:val="002B6DAA"/>
    <w:rsid w:val="002B7EEE"/>
    <w:rsid w:val="002D2A3F"/>
    <w:rsid w:val="002D711A"/>
    <w:rsid w:val="002D7336"/>
    <w:rsid w:val="002E3396"/>
    <w:rsid w:val="002F2953"/>
    <w:rsid w:val="00301F6A"/>
    <w:rsid w:val="00304EF3"/>
    <w:rsid w:val="0031149C"/>
    <w:rsid w:val="00312F1A"/>
    <w:rsid w:val="0032334D"/>
    <w:rsid w:val="003368C3"/>
    <w:rsid w:val="00344ECE"/>
    <w:rsid w:val="00346D6E"/>
    <w:rsid w:val="003573D3"/>
    <w:rsid w:val="0036322B"/>
    <w:rsid w:val="0036778F"/>
    <w:rsid w:val="0038771C"/>
    <w:rsid w:val="00391B0A"/>
    <w:rsid w:val="003A430B"/>
    <w:rsid w:val="003A541A"/>
    <w:rsid w:val="003A6923"/>
    <w:rsid w:val="003C2C67"/>
    <w:rsid w:val="003C2D4C"/>
    <w:rsid w:val="003C3B3A"/>
    <w:rsid w:val="003C5BA4"/>
    <w:rsid w:val="003D3A92"/>
    <w:rsid w:val="003E3E26"/>
    <w:rsid w:val="003E774D"/>
    <w:rsid w:val="003F1295"/>
    <w:rsid w:val="003F1958"/>
    <w:rsid w:val="003F5102"/>
    <w:rsid w:val="003F5CA9"/>
    <w:rsid w:val="003F76FC"/>
    <w:rsid w:val="004002EB"/>
    <w:rsid w:val="00407A79"/>
    <w:rsid w:val="0041350C"/>
    <w:rsid w:val="00422DDC"/>
    <w:rsid w:val="004231B5"/>
    <w:rsid w:val="00423475"/>
    <w:rsid w:val="004236C8"/>
    <w:rsid w:val="00427681"/>
    <w:rsid w:val="00430A20"/>
    <w:rsid w:val="00433DB7"/>
    <w:rsid w:val="00443B0D"/>
    <w:rsid w:val="00443BCA"/>
    <w:rsid w:val="00453017"/>
    <w:rsid w:val="00453750"/>
    <w:rsid w:val="00456941"/>
    <w:rsid w:val="00465192"/>
    <w:rsid w:val="004702EA"/>
    <w:rsid w:val="004731E9"/>
    <w:rsid w:val="004763CD"/>
    <w:rsid w:val="0048259C"/>
    <w:rsid w:val="00482D02"/>
    <w:rsid w:val="00484EB3"/>
    <w:rsid w:val="00490369"/>
    <w:rsid w:val="00494D03"/>
    <w:rsid w:val="004964B7"/>
    <w:rsid w:val="004A1A1D"/>
    <w:rsid w:val="004A7163"/>
    <w:rsid w:val="004A7519"/>
    <w:rsid w:val="004A752B"/>
    <w:rsid w:val="004B45C9"/>
    <w:rsid w:val="004B76EB"/>
    <w:rsid w:val="004B7FAB"/>
    <w:rsid w:val="004D01AC"/>
    <w:rsid w:val="004D3518"/>
    <w:rsid w:val="004D62D6"/>
    <w:rsid w:val="004F3F4E"/>
    <w:rsid w:val="00500875"/>
    <w:rsid w:val="00510167"/>
    <w:rsid w:val="00511531"/>
    <w:rsid w:val="00522228"/>
    <w:rsid w:val="005238F1"/>
    <w:rsid w:val="005306A2"/>
    <w:rsid w:val="0053416C"/>
    <w:rsid w:val="0053797C"/>
    <w:rsid w:val="00537B57"/>
    <w:rsid w:val="00541C2F"/>
    <w:rsid w:val="005464B3"/>
    <w:rsid w:val="00563527"/>
    <w:rsid w:val="00564290"/>
    <w:rsid w:val="0058124E"/>
    <w:rsid w:val="00582A9D"/>
    <w:rsid w:val="005875A3"/>
    <w:rsid w:val="00594945"/>
    <w:rsid w:val="00597B64"/>
    <w:rsid w:val="005A13A3"/>
    <w:rsid w:val="005A3416"/>
    <w:rsid w:val="005B27FE"/>
    <w:rsid w:val="005B6C7A"/>
    <w:rsid w:val="005B76DF"/>
    <w:rsid w:val="005B79CB"/>
    <w:rsid w:val="005D28A2"/>
    <w:rsid w:val="005D334E"/>
    <w:rsid w:val="005E027C"/>
    <w:rsid w:val="005E4C16"/>
    <w:rsid w:val="005F61DF"/>
    <w:rsid w:val="0060163A"/>
    <w:rsid w:val="006023F9"/>
    <w:rsid w:val="006050F1"/>
    <w:rsid w:val="00605F19"/>
    <w:rsid w:val="00610559"/>
    <w:rsid w:val="00610CA0"/>
    <w:rsid w:val="00614076"/>
    <w:rsid w:val="006178D3"/>
    <w:rsid w:val="00623644"/>
    <w:rsid w:val="00632499"/>
    <w:rsid w:val="00632F2E"/>
    <w:rsid w:val="006332F6"/>
    <w:rsid w:val="00635CBE"/>
    <w:rsid w:val="006413F2"/>
    <w:rsid w:val="00650E7C"/>
    <w:rsid w:val="0065332D"/>
    <w:rsid w:val="006534B2"/>
    <w:rsid w:val="0065615D"/>
    <w:rsid w:val="00657011"/>
    <w:rsid w:val="006650B5"/>
    <w:rsid w:val="006651B1"/>
    <w:rsid w:val="00665778"/>
    <w:rsid w:val="00670C28"/>
    <w:rsid w:val="00676E5F"/>
    <w:rsid w:val="00687953"/>
    <w:rsid w:val="006A3309"/>
    <w:rsid w:val="006A5B34"/>
    <w:rsid w:val="006C77A9"/>
    <w:rsid w:val="006D4720"/>
    <w:rsid w:val="006D6B53"/>
    <w:rsid w:val="006E6CDF"/>
    <w:rsid w:val="006F37F2"/>
    <w:rsid w:val="006F6693"/>
    <w:rsid w:val="00701D7E"/>
    <w:rsid w:val="0070609F"/>
    <w:rsid w:val="00707FE8"/>
    <w:rsid w:val="00710F93"/>
    <w:rsid w:val="00714AAE"/>
    <w:rsid w:val="00723D21"/>
    <w:rsid w:val="00724962"/>
    <w:rsid w:val="00724A0F"/>
    <w:rsid w:val="007266B9"/>
    <w:rsid w:val="00726D2F"/>
    <w:rsid w:val="00736732"/>
    <w:rsid w:val="00737AC8"/>
    <w:rsid w:val="00746426"/>
    <w:rsid w:val="00750BF9"/>
    <w:rsid w:val="00750CBE"/>
    <w:rsid w:val="007537F2"/>
    <w:rsid w:val="007650D2"/>
    <w:rsid w:val="00766B5A"/>
    <w:rsid w:val="007755D8"/>
    <w:rsid w:val="007770A5"/>
    <w:rsid w:val="007834F2"/>
    <w:rsid w:val="0079013E"/>
    <w:rsid w:val="00790A87"/>
    <w:rsid w:val="00791020"/>
    <w:rsid w:val="007A04D2"/>
    <w:rsid w:val="007A5F82"/>
    <w:rsid w:val="007B4659"/>
    <w:rsid w:val="007B54B3"/>
    <w:rsid w:val="007B67B1"/>
    <w:rsid w:val="007C7117"/>
    <w:rsid w:val="007D5F9E"/>
    <w:rsid w:val="007E3B17"/>
    <w:rsid w:val="007E7AC0"/>
    <w:rsid w:val="007F1A4C"/>
    <w:rsid w:val="007F23EB"/>
    <w:rsid w:val="007F2DCA"/>
    <w:rsid w:val="007F723F"/>
    <w:rsid w:val="008022C3"/>
    <w:rsid w:val="008041E6"/>
    <w:rsid w:val="008065D2"/>
    <w:rsid w:val="00816DAC"/>
    <w:rsid w:val="0082194C"/>
    <w:rsid w:val="008222FF"/>
    <w:rsid w:val="008241FF"/>
    <w:rsid w:val="0082598E"/>
    <w:rsid w:val="008411E9"/>
    <w:rsid w:val="00841617"/>
    <w:rsid w:val="0084200F"/>
    <w:rsid w:val="00843B2C"/>
    <w:rsid w:val="00845939"/>
    <w:rsid w:val="008623BA"/>
    <w:rsid w:val="00863D84"/>
    <w:rsid w:val="008668A8"/>
    <w:rsid w:val="00874A70"/>
    <w:rsid w:val="00880845"/>
    <w:rsid w:val="00880AC4"/>
    <w:rsid w:val="0088257D"/>
    <w:rsid w:val="00885CE3"/>
    <w:rsid w:val="00886961"/>
    <w:rsid w:val="00893F89"/>
    <w:rsid w:val="00897447"/>
    <w:rsid w:val="008A3DFA"/>
    <w:rsid w:val="008A4900"/>
    <w:rsid w:val="008A55FE"/>
    <w:rsid w:val="008A6DD9"/>
    <w:rsid w:val="008B146D"/>
    <w:rsid w:val="008B3419"/>
    <w:rsid w:val="008B42AD"/>
    <w:rsid w:val="008B5666"/>
    <w:rsid w:val="008B61B8"/>
    <w:rsid w:val="008B6844"/>
    <w:rsid w:val="008C75DA"/>
    <w:rsid w:val="008D0281"/>
    <w:rsid w:val="008E183E"/>
    <w:rsid w:val="008E2290"/>
    <w:rsid w:val="008E2348"/>
    <w:rsid w:val="008E4C9D"/>
    <w:rsid w:val="008F6D45"/>
    <w:rsid w:val="00901200"/>
    <w:rsid w:val="009036D3"/>
    <w:rsid w:val="00921EB8"/>
    <w:rsid w:val="00922944"/>
    <w:rsid w:val="00937A10"/>
    <w:rsid w:val="00950606"/>
    <w:rsid w:val="00963D6E"/>
    <w:rsid w:val="00966115"/>
    <w:rsid w:val="00973867"/>
    <w:rsid w:val="009834C0"/>
    <w:rsid w:val="00986AAC"/>
    <w:rsid w:val="00991361"/>
    <w:rsid w:val="00995526"/>
    <w:rsid w:val="009A1DA2"/>
    <w:rsid w:val="009A1FCE"/>
    <w:rsid w:val="009A3704"/>
    <w:rsid w:val="009A4739"/>
    <w:rsid w:val="009A674F"/>
    <w:rsid w:val="009A6D22"/>
    <w:rsid w:val="009A7DCB"/>
    <w:rsid w:val="009A7ED0"/>
    <w:rsid w:val="009B143A"/>
    <w:rsid w:val="009B15BA"/>
    <w:rsid w:val="009B199C"/>
    <w:rsid w:val="009B61F1"/>
    <w:rsid w:val="009B62E0"/>
    <w:rsid w:val="009C3D88"/>
    <w:rsid w:val="009E3858"/>
    <w:rsid w:val="009E467D"/>
    <w:rsid w:val="009E70DD"/>
    <w:rsid w:val="009F2ED9"/>
    <w:rsid w:val="009F3231"/>
    <w:rsid w:val="009F37F3"/>
    <w:rsid w:val="009F5C58"/>
    <w:rsid w:val="00A011FD"/>
    <w:rsid w:val="00A023A0"/>
    <w:rsid w:val="00A1562B"/>
    <w:rsid w:val="00A170F4"/>
    <w:rsid w:val="00A21408"/>
    <w:rsid w:val="00A21CFD"/>
    <w:rsid w:val="00A25B78"/>
    <w:rsid w:val="00A31ACB"/>
    <w:rsid w:val="00A3276A"/>
    <w:rsid w:val="00A375C8"/>
    <w:rsid w:val="00A46BA8"/>
    <w:rsid w:val="00A47634"/>
    <w:rsid w:val="00A612FE"/>
    <w:rsid w:val="00A63F99"/>
    <w:rsid w:val="00A701CD"/>
    <w:rsid w:val="00A94D20"/>
    <w:rsid w:val="00A95464"/>
    <w:rsid w:val="00A96821"/>
    <w:rsid w:val="00AA26B8"/>
    <w:rsid w:val="00AA3EFC"/>
    <w:rsid w:val="00AA3F8F"/>
    <w:rsid w:val="00AA64A9"/>
    <w:rsid w:val="00AB6CC3"/>
    <w:rsid w:val="00AB7C84"/>
    <w:rsid w:val="00AC0AF9"/>
    <w:rsid w:val="00AC0B87"/>
    <w:rsid w:val="00AC2C68"/>
    <w:rsid w:val="00AD3A58"/>
    <w:rsid w:val="00AD7E4E"/>
    <w:rsid w:val="00AE6D42"/>
    <w:rsid w:val="00AF4D58"/>
    <w:rsid w:val="00AF6666"/>
    <w:rsid w:val="00AF6E4F"/>
    <w:rsid w:val="00B01A51"/>
    <w:rsid w:val="00B12284"/>
    <w:rsid w:val="00B25391"/>
    <w:rsid w:val="00B25E27"/>
    <w:rsid w:val="00B35790"/>
    <w:rsid w:val="00B36573"/>
    <w:rsid w:val="00B41423"/>
    <w:rsid w:val="00B42DF4"/>
    <w:rsid w:val="00B43F0F"/>
    <w:rsid w:val="00B470F4"/>
    <w:rsid w:val="00B508D7"/>
    <w:rsid w:val="00B549C2"/>
    <w:rsid w:val="00B678A5"/>
    <w:rsid w:val="00B70021"/>
    <w:rsid w:val="00B70B72"/>
    <w:rsid w:val="00B7458A"/>
    <w:rsid w:val="00B76333"/>
    <w:rsid w:val="00B81B44"/>
    <w:rsid w:val="00B9053B"/>
    <w:rsid w:val="00B92B45"/>
    <w:rsid w:val="00BB0632"/>
    <w:rsid w:val="00BB4D98"/>
    <w:rsid w:val="00BB4EBF"/>
    <w:rsid w:val="00BB59E0"/>
    <w:rsid w:val="00BC2EBC"/>
    <w:rsid w:val="00BC3422"/>
    <w:rsid w:val="00BC6E19"/>
    <w:rsid w:val="00BE35CA"/>
    <w:rsid w:val="00BF4F96"/>
    <w:rsid w:val="00C015B9"/>
    <w:rsid w:val="00C01DDD"/>
    <w:rsid w:val="00C022F9"/>
    <w:rsid w:val="00C032EA"/>
    <w:rsid w:val="00C06EB5"/>
    <w:rsid w:val="00C1145F"/>
    <w:rsid w:val="00C11CD1"/>
    <w:rsid w:val="00C12C2A"/>
    <w:rsid w:val="00C17161"/>
    <w:rsid w:val="00C301B0"/>
    <w:rsid w:val="00C33AD3"/>
    <w:rsid w:val="00C43F06"/>
    <w:rsid w:val="00C51C01"/>
    <w:rsid w:val="00C637E1"/>
    <w:rsid w:val="00C67EAC"/>
    <w:rsid w:val="00C70D50"/>
    <w:rsid w:val="00C72252"/>
    <w:rsid w:val="00C83015"/>
    <w:rsid w:val="00C83F19"/>
    <w:rsid w:val="00C86F77"/>
    <w:rsid w:val="00C907D7"/>
    <w:rsid w:val="00C92338"/>
    <w:rsid w:val="00C93C64"/>
    <w:rsid w:val="00C97C4B"/>
    <w:rsid w:val="00CB3976"/>
    <w:rsid w:val="00CC3EB2"/>
    <w:rsid w:val="00CC4E43"/>
    <w:rsid w:val="00CD0307"/>
    <w:rsid w:val="00CD3D1B"/>
    <w:rsid w:val="00CE2999"/>
    <w:rsid w:val="00CE5B44"/>
    <w:rsid w:val="00CF320C"/>
    <w:rsid w:val="00CF3E5A"/>
    <w:rsid w:val="00D02663"/>
    <w:rsid w:val="00D04DDE"/>
    <w:rsid w:val="00D0633E"/>
    <w:rsid w:val="00D12E74"/>
    <w:rsid w:val="00D2312F"/>
    <w:rsid w:val="00D269C1"/>
    <w:rsid w:val="00D33905"/>
    <w:rsid w:val="00D41B2F"/>
    <w:rsid w:val="00D44953"/>
    <w:rsid w:val="00D47027"/>
    <w:rsid w:val="00D542F3"/>
    <w:rsid w:val="00D54513"/>
    <w:rsid w:val="00D54AAE"/>
    <w:rsid w:val="00D5644B"/>
    <w:rsid w:val="00D56E25"/>
    <w:rsid w:val="00D57E89"/>
    <w:rsid w:val="00D62FD1"/>
    <w:rsid w:val="00D6560D"/>
    <w:rsid w:val="00D65D77"/>
    <w:rsid w:val="00D718D7"/>
    <w:rsid w:val="00D814B7"/>
    <w:rsid w:val="00D90688"/>
    <w:rsid w:val="00D934C0"/>
    <w:rsid w:val="00D96072"/>
    <w:rsid w:val="00DA3AAD"/>
    <w:rsid w:val="00DB312B"/>
    <w:rsid w:val="00DB46AF"/>
    <w:rsid w:val="00DC5654"/>
    <w:rsid w:val="00DC658F"/>
    <w:rsid w:val="00DC674A"/>
    <w:rsid w:val="00DC7F2E"/>
    <w:rsid w:val="00DD178B"/>
    <w:rsid w:val="00DD2512"/>
    <w:rsid w:val="00DE60CC"/>
    <w:rsid w:val="00DE74E2"/>
    <w:rsid w:val="00DF1B89"/>
    <w:rsid w:val="00DF3941"/>
    <w:rsid w:val="00E00FE8"/>
    <w:rsid w:val="00E12CDB"/>
    <w:rsid w:val="00E15026"/>
    <w:rsid w:val="00E21BBB"/>
    <w:rsid w:val="00E22DFB"/>
    <w:rsid w:val="00E251A4"/>
    <w:rsid w:val="00E25B66"/>
    <w:rsid w:val="00E26B32"/>
    <w:rsid w:val="00E407B6"/>
    <w:rsid w:val="00E41EF1"/>
    <w:rsid w:val="00E42942"/>
    <w:rsid w:val="00E42ECE"/>
    <w:rsid w:val="00E53C05"/>
    <w:rsid w:val="00E55C9C"/>
    <w:rsid w:val="00E65A0A"/>
    <w:rsid w:val="00E71BDF"/>
    <w:rsid w:val="00E75CCB"/>
    <w:rsid w:val="00E8245B"/>
    <w:rsid w:val="00E82C21"/>
    <w:rsid w:val="00E82F59"/>
    <w:rsid w:val="00E83CA7"/>
    <w:rsid w:val="00E92192"/>
    <w:rsid w:val="00E95635"/>
    <w:rsid w:val="00E95A71"/>
    <w:rsid w:val="00EA1F8B"/>
    <w:rsid w:val="00EA6D38"/>
    <w:rsid w:val="00EB4B2C"/>
    <w:rsid w:val="00EB7014"/>
    <w:rsid w:val="00EC16FD"/>
    <w:rsid w:val="00EC1DD0"/>
    <w:rsid w:val="00EC20EB"/>
    <w:rsid w:val="00EC3248"/>
    <w:rsid w:val="00EC5CDE"/>
    <w:rsid w:val="00ED03ED"/>
    <w:rsid w:val="00ED487E"/>
    <w:rsid w:val="00EE33A1"/>
    <w:rsid w:val="00EE7A0D"/>
    <w:rsid w:val="00F0222C"/>
    <w:rsid w:val="00F11314"/>
    <w:rsid w:val="00F12312"/>
    <w:rsid w:val="00F17CE1"/>
    <w:rsid w:val="00F2115C"/>
    <w:rsid w:val="00F22ABA"/>
    <w:rsid w:val="00F36B12"/>
    <w:rsid w:val="00F41C64"/>
    <w:rsid w:val="00F47350"/>
    <w:rsid w:val="00F60F9F"/>
    <w:rsid w:val="00F64F08"/>
    <w:rsid w:val="00F70055"/>
    <w:rsid w:val="00F72DDF"/>
    <w:rsid w:val="00F734F5"/>
    <w:rsid w:val="00F73B5B"/>
    <w:rsid w:val="00F73EB2"/>
    <w:rsid w:val="00F77DBA"/>
    <w:rsid w:val="00F83746"/>
    <w:rsid w:val="00F91F5A"/>
    <w:rsid w:val="00F94C26"/>
    <w:rsid w:val="00F966B1"/>
    <w:rsid w:val="00F97D48"/>
    <w:rsid w:val="00FA0311"/>
    <w:rsid w:val="00FA0976"/>
    <w:rsid w:val="00FA3BE9"/>
    <w:rsid w:val="00FA57D2"/>
    <w:rsid w:val="00FB1197"/>
    <w:rsid w:val="00FB504A"/>
    <w:rsid w:val="00FC7D89"/>
    <w:rsid w:val="00FD102E"/>
    <w:rsid w:val="00FD1FD9"/>
    <w:rsid w:val="00FD640F"/>
    <w:rsid w:val="00FD6B4C"/>
    <w:rsid w:val="00FE0553"/>
    <w:rsid w:val="00FE259D"/>
    <w:rsid w:val="00FF1F9A"/>
    <w:rsid w:val="00FF4E99"/>
    <w:rsid w:val="00FF72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DE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iPriority="49"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7399"/>
    <w:pPr>
      <w:spacing w:before="160" w:after="100"/>
    </w:pPr>
    <w:rPr>
      <w:spacing w:val="2"/>
    </w:rPr>
  </w:style>
  <w:style w:type="paragraph" w:styleId="Heading1">
    <w:name w:val="heading 1"/>
    <w:next w:val="Normal"/>
    <w:link w:val="Heading1Char"/>
    <w:qFormat/>
    <w:rsid w:val="00297399"/>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297399"/>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297399"/>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297399"/>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29739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297399"/>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297399"/>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297399"/>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297399"/>
    <w:pPr>
      <w:tabs>
        <w:tab w:val="right" w:leader="dot" w:pos="9000"/>
      </w:tabs>
      <w:ind w:right="432"/>
    </w:pPr>
    <w:rPr>
      <w:sz w:val="24"/>
      <w:szCs w:val="24"/>
    </w:rPr>
  </w:style>
  <w:style w:type="paragraph" w:styleId="TOC2">
    <w:name w:val="toc 2"/>
    <w:next w:val="Normal"/>
    <w:uiPriority w:val="39"/>
    <w:rsid w:val="00297399"/>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297399"/>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297399"/>
    <w:pPr>
      <w:spacing w:after="60" w:line="240" w:lineRule="auto"/>
    </w:pPr>
    <w:rPr>
      <w:sz w:val="16"/>
    </w:rPr>
  </w:style>
  <w:style w:type="paragraph" w:styleId="Index2">
    <w:name w:val="index 2"/>
    <w:basedOn w:val="Normal"/>
    <w:next w:val="Normal"/>
    <w:uiPriority w:val="99"/>
    <w:semiHidden/>
    <w:rsid w:val="00297399"/>
    <w:pPr>
      <w:spacing w:after="0" w:line="240" w:lineRule="auto"/>
      <w:ind w:left="216"/>
    </w:pPr>
    <w:rPr>
      <w:sz w:val="16"/>
      <w:szCs w:val="16"/>
    </w:rPr>
  </w:style>
  <w:style w:type="character" w:styleId="Hyperlink">
    <w:name w:val="Hyperlink"/>
    <w:basedOn w:val="DefaultParagraphFont"/>
    <w:uiPriority w:val="99"/>
    <w:rsid w:val="00297399"/>
    <w:rPr>
      <w:color w:val="53565A" w:themeColor="hyperlink"/>
      <w:u w:val="none"/>
    </w:rPr>
  </w:style>
  <w:style w:type="character" w:customStyle="1" w:styleId="Heading1Char">
    <w:name w:val="Heading 1 Char"/>
    <w:basedOn w:val="DefaultParagraphFont"/>
    <w:link w:val="Heading1"/>
    <w:rsid w:val="00297399"/>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297399"/>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297399"/>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297399"/>
    <w:pPr>
      <w:numPr>
        <w:ilvl w:val="1"/>
      </w:numPr>
    </w:pPr>
  </w:style>
  <w:style w:type="paragraph" w:customStyle="1" w:styleId="Bulletindent">
    <w:name w:val="Bullet indent"/>
    <w:basedOn w:val="Bullet2"/>
    <w:uiPriority w:val="9"/>
    <w:qFormat/>
    <w:rsid w:val="00297399"/>
    <w:pPr>
      <w:numPr>
        <w:ilvl w:val="2"/>
      </w:numPr>
    </w:pPr>
  </w:style>
  <w:style w:type="paragraph" w:customStyle="1" w:styleId="Heading1numbered">
    <w:name w:val="Heading 1 numbered"/>
    <w:basedOn w:val="Heading1"/>
    <w:next w:val="NormalIndent"/>
    <w:uiPriority w:val="8"/>
    <w:qFormat/>
    <w:rsid w:val="00297399"/>
  </w:style>
  <w:style w:type="paragraph" w:customStyle="1" w:styleId="Heading2numbered">
    <w:name w:val="Heading 2 numbered"/>
    <w:basedOn w:val="Heading2"/>
    <w:next w:val="NormalIndent"/>
    <w:uiPriority w:val="8"/>
    <w:qFormat/>
    <w:rsid w:val="00297399"/>
  </w:style>
  <w:style w:type="paragraph" w:customStyle="1" w:styleId="Heading3numbered">
    <w:name w:val="Heading 3 numbered"/>
    <w:basedOn w:val="Heading3"/>
    <w:next w:val="NormalIndent"/>
    <w:uiPriority w:val="8"/>
    <w:qFormat/>
    <w:rsid w:val="00297399"/>
  </w:style>
  <w:style w:type="character" w:customStyle="1" w:styleId="Heading3Char">
    <w:name w:val="Heading 3 Char"/>
    <w:basedOn w:val="DefaultParagraphFont"/>
    <w:link w:val="Heading3"/>
    <w:rsid w:val="00297399"/>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297399"/>
  </w:style>
  <w:style w:type="character" w:customStyle="1" w:styleId="Heading4Char">
    <w:name w:val="Heading 4 Char"/>
    <w:basedOn w:val="DefaultParagraphFont"/>
    <w:link w:val="Heading4"/>
    <w:rsid w:val="00297399"/>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297399"/>
    <w:pPr>
      <w:spacing w:line="252" w:lineRule="auto"/>
      <w:ind w:left="792"/>
    </w:pPr>
  </w:style>
  <w:style w:type="paragraph" w:customStyle="1" w:styleId="NoteNormal">
    <w:name w:val="Note Normal"/>
    <w:basedOn w:val="Normal"/>
    <w:rsid w:val="00297399"/>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297399"/>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297399"/>
    <w:pPr>
      <w:spacing w:after="120" w:line="440" w:lineRule="exact"/>
    </w:pPr>
    <w:rPr>
      <w:rFonts w:asciiTheme="majorHAnsi" w:eastAsia="Times New Roman" w:hAnsiTheme="majorHAnsi" w:cstheme="majorHAnsi"/>
      <w:color w:val="FFFFFF" w:themeColor="background1"/>
      <w:spacing w:val="-2"/>
      <w:sz w:val="40"/>
      <w:szCs w:val="24"/>
    </w:rPr>
  </w:style>
  <w:style w:type="character" w:customStyle="1" w:styleId="SubtitleChar">
    <w:name w:val="Subtitle Char"/>
    <w:basedOn w:val="DefaultParagraphFont"/>
    <w:link w:val="Subtitle"/>
    <w:uiPriority w:val="99"/>
    <w:rsid w:val="00297399"/>
    <w:rPr>
      <w:rFonts w:asciiTheme="majorHAnsi" w:eastAsia="Times New Roman" w:hAnsiTheme="majorHAnsi" w:cstheme="majorHAnsi"/>
      <w:color w:val="FFFFFF" w:themeColor="background1"/>
      <w:spacing w:val="-2"/>
      <w:sz w:val="40"/>
      <w:szCs w:val="24"/>
    </w:rPr>
  </w:style>
  <w:style w:type="paragraph" w:customStyle="1" w:styleId="TertiaryTitle">
    <w:name w:val="Tertiary Title"/>
    <w:next w:val="Normal"/>
    <w:uiPriority w:val="99"/>
    <w:rsid w:val="00A3276A"/>
    <w:pPr>
      <w:spacing w:after="0"/>
    </w:pPr>
    <w:rPr>
      <w:rFonts w:asciiTheme="majorHAnsi" w:eastAsia="Times New Roman" w:hAnsiTheme="majorHAnsi" w:cstheme="majorHAnsi"/>
      <w:color w:val="FFFFFF" w:themeColor="background1"/>
      <w:spacing w:val="-2"/>
      <w:sz w:val="22"/>
      <w:szCs w:val="40"/>
      <w:lang w:eastAsia="en-US"/>
    </w:rPr>
  </w:style>
  <w:style w:type="paragraph" w:styleId="Title">
    <w:name w:val="Title"/>
    <w:next w:val="Subtitle"/>
    <w:link w:val="TitleChar"/>
    <w:uiPriority w:val="99"/>
    <w:rsid w:val="00297399"/>
    <w:pPr>
      <w:spacing w:after="300" w:line="252" w:lineRule="auto"/>
    </w:pPr>
    <w:rPr>
      <w:rFonts w:asciiTheme="majorHAnsi" w:eastAsia="Times New Roman" w:hAnsiTheme="majorHAnsi" w:cstheme="majorHAnsi"/>
      <w:b/>
      <w:color w:val="FFFFFF" w:themeColor="background1"/>
      <w:spacing w:val="-2"/>
      <w:sz w:val="60"/>
      <w:szCs w:val="22"/>
    </w:rPr>
  </w:style>
  <w:style w:type="character" w:customStyle="1" w:styleId="TitleChar">
    <w:name w:val="Title Char"/>
    <w:basedOn w:val="DefaultParagraphFont"/>
    <w:link w:val="Title"/>
    <w:uiPriority w:val="99"/>
    <w:rsid w:val="00297399"/>
    <w:rPr>
      <w:rFonts w:asciiTheme="majorHAnsi" w:eastAsia="Times New Roman" w:hAnsiTheme="majorHAnsi" w:cstheme="majorHAnsi"/>
      <w:b/>
      <w:color w:val="FFFFFF" w:themeColor="background1"/>
      <w:spacing w:val="-2"/>
      <w:sz w:val="60"/>
      <w:szCs w:val="22"/>
    </w:rPr>
  </w:style>
  <w:style w:type="paragraph" w:styleId="BalloonText">
    <w:name w:val="Balloon Text"/>
    <w:basedOn w:val="Normal"/>
    <w:link w:val="BalloonTextChar"/>
    <w:uiPriority w:val="99"/>
    <w:semiHidden/>
    <w:rsid w:val="00297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399"/>
    <w:rPr>
      <w:rFonts w:ascii="Tahoma" w:hAnsi="Tahoma" w:cs="Tahoma"/>
      <w:spacing w:val="2"/>
      <w:sz w:val="16"/>
      <w:szCs w:val="16"/>
    </w:rPr>
  </w:style>
  <w:style w:type="paragraph" w:customStyle="1" w:styleId="Bulletindent2">
    <w:name w:val="Bullet indent 2"/>
    <w:basedOn w:val="Normal"/>
    <w:uiPriority w:val="9"/>
    <w:qFormat/>
    <w:rsid w:val="00297399"/>
    <w:pPr>
      <w:numPr>
        <w:ilvl w:val="3"/>
        <w:numId w:val="1"/>
      </w:numPr>
      <w:spacing w:before="100"/>
      <w:contextualSpacing/>
    </w:pPr>
  </w:style>
  <w:style w:type="paragraph" w:styleId="IndexHeading">
    <w:name w:val="index heading"/>
    <w:basedOn w:val="Normal"/>
    <w:next w:val="Index1"/>
    <w:uiPriority w:val="99"/>
    <w:semiHidden/>
    <w:rsid w:val="00297399"/>
    <w:rPr>
      <w:rFonts w:asciiTheme="majorHAnsi" w:eastAsiaTheme="majorEastAsia" w:hAnsiTheme="majorHAnsi" w:cstheme="majorBidi"/>
      <w:b/>
      <w:bCs/>
    </w:rPr>
  </w:style>
  <w:style w:type="paragraph" w:styleId="Header">
    <w:name w:val="header"/>
    <w:basedOn w:val="Normal"/>
    <w:link w:val="HeaderChar"/>
    <w:uiPriority w:val="99"/>
    <w:rsid w:val="00297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399"/>
    <w:rPr>
      <w:spacing w:val="2"/>
    </w:rPr>
  </w:style>
  <w:style w:type="paragraph" w:styleId="Footer">
    <w:name w:val="footer"/>
    <w:basedOn w:val="Normal"/>
    <w:link w:val="FooterChar"/>
    <w:uiPriority w:val="24"/>
    <w:rsid w:val="00297399"/>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297399"/>
    <w:rPr>
      <w:noProof/>
      <w:spacing w:val="2"/>
      <w:sz w:val="18"/>
      <w:szCs w:val="18"/>
    </w:rPr>
  </w:style>
  <w:style w:type="character" w:styleId="PageNumber">
    <w:name w:val="page number"/>
    <w:uiPriority w:val="49"/>
    <w:semiHidden/>
    <w:rsid w:val="00297399"/>
    <w:rPr>
      <w:rFonts w:asciiTheme="minorHAnsi" w:hAnsiTheme="minorHAnsi"/>
      <w:b w:val="0"/>
      <w:color w:val="000000" w:themeColor="text1"/>
    </w:rPr>
  </w:style>
  <w:style w:type="paragraph" w:styleId="TOCHeading">
    <w:name w:val="TOC Heading"/>
    <w:basedOn w:val="Heading1"/>
    <w:next w:val="Normal"/>
    <w:uiPriority w:val="39"/>
    <w:rsid w:val="00EC1DD0"/>
    <w:pPr>
      <w:spacing w:before="0" w:after="480"/>
      <w:outlineLvl w:val="9"/>
    </w:pPr>
    <w:rPr>
      <w:spacing w:val="2"/>
    </w:rPr>
  </w:style>
  <w:style w:type="paragraph" w:customStyle="1" w:styleId="NormalTight">
    <w:name w:val="Normal Tight"/>
    <w:uiPriority w:val="99"/>
    <w:semiHidden/>
    <w:rsid w:val="00297399"/>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297399"/>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297399"/>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297399"/>
    <w:pPr>
      <w:spacing w:before="5800"/>
      <w:ind w:right="1382"/>
    </w:pPr>
  </w:style>
  <w:style w:type="paragraph" w:styleId="TOC4">
    <w:name w:val="toc 4"/>
    <w:basedOn w:val="TOC1"/>
    <w:next w:val="Normal"/>
    <w:uiPriority w:val="39"/>
    <w:rsid w:val="00297399"/>
    <w:pPr>
      <w:ind w:left="450" w:hanging="450"/>
    </w:pPr>
    <w:rPr>
      <w:noProof/>
      <w:lang w:eastAsia="en-US"/>
    </w:rPr>
  </w:style>
  <w:style w:type="paragraph" w:styleId="TOC5">
    <w:name w:val="toc 5"/>
    <w:basedOn w:val="TOC2"/>
    <w:next w:val="Normal"/>
    <w:uiPriority w:val="39"/>
    <w:rsid w:val="00297399"/>
    <w:pPr>
      <w:ind w:left="1080" w:hanging="634"/>
    </w:pPr>
    <w:rPr>
      <w:lang w:eastAsia="en-US"/>
    </w:rPr>
  </w:style>
  <w:style w:type="paragraph" w:styleId="TOC6">
    <w:name w:val="toc 6"/>
    <w:basedOn w:val="TOC3"/>
    <w:next w:val="Normal"/>
    <w:uiPriority w:val="39"/>
    <w:rsid w:val="00297399"/>
    <w:pPr>
      <w:ind w:left="1800" w:hanging="720"/>
    </w:pPr>
    <w:rPr>
      <w:lang w:eastAsia="en-US"/>
    </w:rPr>
  </w:style>
  <w:style w:type="table" w:customStyle="1" w:styleId="DTFtexttable">
    <w:name w:val="DTF text table"/>
    <w:basedOn w:val="TableGrid"/>
    <w:uiPriority w:val="99"/>
    <w:rsid w:val="00297399"/>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297399"/>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297399"/>
    <w:pPr>
      <w:spacing w:before="60" w:after="60" w:line="264" w:lineRule="auto"/>
    </w:pPr>
    <w:rPr>
      <w:sz w:val="17"/>
    </w:rPr>
  </w:style>
  <w:style w:type="paragraph" w:customStyle="1" w:styleId="Tabletextright">
    <w:name w:val="Table text right"/>
    <w:basedOn w:val="Tabletext"/>
    <w:uiPriority w:val="5"/>
    <w:qFormat/>
    <w:rsid w:val="00297399"/>
    <w:pPr>
      <w:jc w:val="right"/>
    </w:pPr>
  </w:style>
  <w:style w:type="paragraph" w:customStyle="1" w:styleId="Listnumindent2">
    <w:name w:val="List num indent 2"/>
    <w:basedOn w:val="Normal"/>
    <w:uiPriority w:val="9"/>
    <w:qFormat/>
    <w:rsid w:val="00297399"/>
    <w:pPr>
      <w:spacing w:before="100"/>
      <w:contextualSpacing/>
    </w:pPr>
  </w:style>
  <w:style w:type="paragraph" w:customStyle="1" w:styleId="Listnumindent">
    <w:name w:val="List num indent"/>
    <w:basedOn w:val="Normal"/>
    <w:uiPriority w:val="9"/>
    <w:qFormat/>
    <w:rsid w:val="00297399"/>
    <w:pPr>
      <w:spacing w:before="100"/>
    </w:pPr>
  </w:style>
  <w:style w:type="paragraph" w:customStyle="1" w:styleId="Listnum">
    <w:name w:val="List num"/>
    <w:basedOn w:val="Normal"/>
    <w:qFormat/>
    <w:rsid w:val="00297399"/>
  </w:style>
  <w:style w:type="paragraph" w:customStyle="1" w:styleId="Listnum2">
    <w:name w:val="List num 2"/>
    <w:basedOn w:val="Normal"/>
    <w:qFormat/>
    <w:rsid w:val="00297399"/>
  </w:style>
  <w:style w:type="paragraph" w:customStyle="1" w:styleId="Tabletextcentred">
    <w:name w:val="Table text centred"/>
    <w:basedOn w:val="Tabletext"/>
    <w:uiPriority w:val="5"/>
    <w:qFormat/>
    <w:rsid w:val="00297399"/>
    <w:pPr>
      <w:jc w:val="center"/>
    </w:pPr>
  </w:style>
  <w:style w:type="paragraph" w:customStyle="1" w:styleId="Tableheader">
    <w:name w:val="Table header"/>
    <w:basedOn w:val="Tabletext"/>
    <w:uiPriority w:val="5"/>
    <w:qFormat/>
    <w:rsid w:val="00297399"/>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297399"/>
    <w:pPr>
      <w:numPr>
        <w:numId w:val="2"/>
      </w:numPr>
    </w:pPr>
  </w:style>
  <w:style w:type="paragraph" w:customStyle="1" w:styleId="Tabledash">
    <w:name w:val="Table dash"/>
    <w:basedOn w:val="Tablebullet"/>
    <w:uiPriority w:val="6"/>
    <w:rsid w:val="00297399"/>
    <w:pPr>
      <w:numPr>
        <w:ilvl w:val="1"/>
      </w:numPr>
    </w:pPr>
  </w:style>
  <w:style w:type="paragraph" w:customStyle="1" w:styleId="Tabletextindent">
    <w:name w:val="Table text indent"/>
    <w:basedOn w:val="Tabletext"/>
    <w:uiPriority w:val="5"/>
    <w:qFormat/>
    <w:rsid w:val="00297399"/>
    <w:pPr>
      <w:ind w:left="288"/>
    </w:pPr>
  </w:style>
  <w:style w:type="paragraph" w:styleId="ListParagraph">
    <w:name w:val="List Paragraph"/>
    <w:basedOn w:val="Normal"/>
    <w:uiPriority w:val="34"/>
    <w:qFormat/>
    <w:rsid w:val="00297399"/>
    <w:pPr>
      <w:ind w:left="720"/>
      <w:contextualSpacing/>
    </w:pPr>
  </w:style>
  <w:style w:type="paragraph" w:customStyle="1" w:styleId="Numpara">
    <w:name w:val="Num para"/>
    <w:basedOn w:val="ListParagraph"/>
    <w:uiPriority w:val="2"/>
    <w:qFormat/>
    <w:rsid w:val="00297399"/>
    <w:pPr>
      <w:numPr>
        <w:numId w:val="3"/>
      </w:numPr>
      <w:tabs>
        <w:tab w:val="left" w:pos="540"/>
      </w:tabs>
      <w:ind w:left="504" w:hanging="504"/>
    </w:pPr>
  </w:style>
  <w:style w:type="paragraph" w:styleId="FootnoteText">
    <w:name w:val="footnote text"/>
    <w:basedOn w:val="Normal"/>
    <w:link w:val="FootnoteTextChar"/>
    <w:uiPriority w:val="49"/>
    <w:rsid w:val="009A7ED0"/>
    <w:pPr>
      <w:tabs>
        <w:tab w:val="left" w:pos="360"/>
      </w:tabs>
      <w:spacing w:before="0" w:after="0" w:line="240" w:lineRule="auto"/>
      <w:ind w:left="360" w:hanging="360"/>
    </w:pPr>
    <w:rPr>
      <w:sz w:val="17"/>
    </w:rPr>
  </w:style>
  <w:style w:type="character" w:customStyle="1" w:styleId="FootnoteTextChar">
    <w:name w:val="Footnote Text Char"/>
    <w:basedOn w:val="DefaultParagraphFont"/>
    <w:link w:val="FootnoteText"/>
    <w:uiPriority w:val="49"/>
    <w:rsid w:val="009A7ED0"/>
    <w:rPr>
      <w:spacing w:val="2"/>
      <w:sz w:val="17"/>
    </w:rPr>
  </w:style>
  <w:style w:type="character" w:styleId="FootnoteReference">
    <w:name w:val="footnote reference"/>
    <w:basedOn w:val="DefaultParagraphFont"/>
    <w:uiPriority w:val="49"/>
    <w:semiHidden/>
    <w:rsid w:val="00297399"/>
    <w:rPr>
      <w:vertAlign w:val="superscript"/>
    </w:rPr>
  </w:style>
  <w:style w:type="table" w:customStyle="1" w:styleId="DTFtexttableindent">
    <w:name w:val="DTF text table indent"/>
    <w:basedOn w:val="DTFtexttable"/>
    <w:uiPriority w:val="99"/>
    <w:rsid w:val="00297399"/>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297399"/>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Numparaindent">
    <w:name w:val="Num para indent"/>
    <w:basedOn w:val="Numpara"/>
    <w:uiPriority w:val="9"/>
    <w:qFormat/>
    <w:rsid w:val="00297399"/>
    <w:pPr>
      <w:numPr>
        <w:numId w:val="0"/>
      </w:numPr>
      <w:tabs>
        <w:tab w:val="clear" w:pos="540"/>
      </w:tabs>
    </w:pPr>
  </w:style>
  <w:style w:type="paragraph" w:customStyle="1" w:styleId="NoteNormalindent">
    <w:name w:val="Note Normal indent"/>
    <w:basedOn w:val="NoteNormal"/>
    <w:uiPriority w:val="9"/>
    <w:rsid w:val="00297399"/>
    <w:pPr>
      <w:ind w:left="792"/>
    </w:pPr>
  </w:style>
  <w:style w:type="paragraph" w:customStyle="1" w:styleId="Tablenum1">
    <w:name w:val="Table num 1"/>
    <w:basedOn w:val="Normal"/>
    <w:uiPriority w:val="6"/>
    <w:rsid w:val="00297399"/>
    <w:pPr>
      <w:numPr>
        <w:ilvl w:val="2"/>
        <w:numId w:val="2"/>
      </w:numPr>
      <w:spacing w:before="60" w:after="60"/>
    </w:pPr>
    <w:rPr>
      <w:sz w:val="17"/>
    </w:rPr>
  </w:style>
  <w:style w:type="paragraph" w:customStyle="1" w:styleId="Tablenum2">
    <w:name w:val="Table num 2"/>
    <w:basedOn w:val="Normal"/>
    <w:uiPriority w:val="6"/>
    <w:rsid w:val="00297399"/>
    <w:pPr>
      <w:numPr>
        <w:ilvl w:val="3"/>
        <w:numId w:val="2"/>
      </w:numPr>
      <w:spacing w:before="60" w:after="60"/>
    </w:pPr>
    <w:rPr>
      <w:sz w:val="17"/>
    </w:rPr>
  </w:style>
  <w:style w:type="paragraph" w:styleId="Caption">
    <w:name w:val="caption"/>
    <w:basedOn w:val="Normal"/>
    <w:next w:val="Normal"/>
    <w:uiPriority w:val="35"/>
    <w:rsid w:val="00297399"/>
    <w:pPr>
      <w:spacing w:before="0" w:after="200" w:line="240" w:lineRule="auto"/>
    </w:pPr>
    <w:rPr>
      <w:b/>
      <w:bCs/>
      <w:color w:val="383834" w:themeColor="background2" w:themeShade="40"/>
      <w:sz w:val="18"/>
      <w:szCs w:val="18"/>
    </w:rPr>
  </w:style>
  <w:style w:type="paragraph" w:customStyle="1" w:styleId="Tablechartdiagramheading">
    <w:name w:val="Table/chart/diagram heading"/>
    <w:uiPriority w:val="4"/>
    <w:qFormat/>
    <w:rsid w:val="00297399"/>
    <w:pPr>
      <w:tabs>
        <w:tab w:val="left" w:pos="1080"/>
      </w:tabs>
      <w:spacing w:before="160" w:after="100"/>
    </w:pPr>
    <w:rPr>
      <w:b/>
      <w:bCs/>
      <w:color w:val="0063A6" w:themeColor="accent1"/>
      <w:spacing w:val="2"/>
      <w:sz w:val="18"/>
      <w:szCs w:val="18"/>
    </w:rPr>
  </w:style>
  <w:style w:type="character" w:styleId="PlaceholderText">
    <w:name w:val="Placeholder Text"/>
    <w:basedOn w:val="DefaultParagraphFont"/>
    <w:uiPriority w:val="99"/>
    <w:semiHidden/>
    <w:rsid w:val="00297399"/>
    <w:rPr>
      <w:color w:val="808080"/>
    </w:rPr>
  </w:style>
  <w:style w:type="paragraph" w:customStyle="1" w:styleId="TableText0">
    <w:name w:val="Table Text"/>
    <w:basedOn w:val="Normal"/>
    <w:uiPriority w:val="15"/>
    <w:qFormat/>
    <w:rsid w:val="00297399"/>
    <w:pPr>
      <w:spacing w:before="20" w:after="20" w:line="240" w:lineRule="auto"/>
    </w:pPr>
    <w:rPr>
      <w:rFonts w:ascii="Calibri" w:eastAsia="Times New Roman" w:hAnsi="Calibri" w:cs="Calibri"/>
      <w:spacing w:val="0"/>
      <w:szCs w:val="22"/>
    </w:rPr>
  </w:style>
  <w:style w:type="paragraph" w:customStyle="1" w:styleId="TableBullet0">
    <w:name w:val="Table Bullet"/>
    <w:basedOn w:val="TableText0"/>
    <w:uiPriority w:val="10"/>
    <w:qFormat/>
    <w:rsid w:val="00297399"/>
    <w:pPr>
      <w:numPr>
        <w:numId w:val="4"/>
      </w:numPr>
      <w:spacing w:before="0" w:after="0"/>
    </w:pPr>
  </w:style>
  <w:style w:type="paragraph" w:customStyle="1" w:styleId="TableBulletDash">
    <w:name w:val="Table Bullet Dash"/>
    <w:basedOn w:val="Normal"/>
    <w:uiPriority w:val="10"/>
    <w:rsid w:val="00297399"/>
    <w:pPr>
      <w:numPr>
        <w:ilvl w:val="1"/>
        <w:numId w:val="4"/>
      </w:numPr>
      <w:spacing w:before="0" w:after="0" w:line="240" w:lineRule="auto"/>
    </w:pPr>
    <w:rPr>
      <w:rFonts w:ascii="Calibri" w:eastAsia="Times New Roman" w:hAnsi="Calibri" w:cs="Calibri"/>
      <w:spacing w:val="0"/>
      <w:szCs w:val="22"/>
    </w:rPr>
  </w:style>
  <w:style w:type="table" w:customStyle="1" w:styleId="TableGrid1">
    <w:name w:val="Table Grid1"/>
    <w:basedOn w:val="TableNormal"/>
    <w:next w:val="TableGrid"/>
    <w:rsid w:val="00297399"/>
    <w:pPr>
      <w:spacing w:after="0" w:line="240" w:lineRule="auto"/>
    </w:pPr>
    <w:rPr>
      <w:rFonts w:ascii="Calibri" w:eastAsia="Times New Roman" w:hAnsi="Calibri" w:cs="Times New Roman"/>
    </w:rPr>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paragraph" w:customStyle="1" w:styleId="TableHeaderMinutes">
    <w:name w:val="Table Header Minutes"/>
    <w:basedOn w:val="Tableheader"/>
    <w:rsid w:val="009A7ED0"/>
    <w:pPr>
      <w:keepLines w:val="0"/>
      <w:spacing w:before="40" w:after="40" w:line="240" w:lineRule="auto"/>
    </w:pPr>
    <w:rPr>
      <w:rFonts w:ascii="Calibri" w:eastAsia="Times New Roman" w:hAnsi="Calibri" w:cs="Calibri"/>
      <w:b/>
      <w:bCs/>
      <w:color w:val="auto"/>
      <w:spacing w:val="0"/>
      <w:sz w:val="18"/>
      <w:szCs w:val="17"/>
      <w:lang w:eastAsia="en-AU"/>
    </w:rPr>
  </w:style>
  <w:style w:type="paragraph" w:customStyle="1" w:styleId="Heading3NoNum">
    <w:name w:val="Heading 3 NoNum"/>
    <w:basedOn w:val="Heading3"/>
    <w:next w:val="Normal"/>
    <w:uiPriority w:val="4"/>
    <w:qFormat/>
    <w:rsid w:val="005B6C7A"/>
    <w:pPr>
      <w:widowControl w:val="0"/>
      <w:spacing w:before="200" w:line="216" w:lineRule="auto"/>
      <w:ind w:left="794"/>
    </w:pPr>
    <w:rPr>
      <w:rFonts w:ascii="Calibri" w:eastAsia="Times New Roman" w:hAnsi="Calibri" w:cs="Calibri"/>
      <w:bCs w:val="0"/>
      <w:color w:val="4D4D4D"/>
      <w:spacing w:val="0"/>
      <w:sz w:val="26"/>
      <w:lang w:eastAsia="en-US"/>
    </w:rPr>
  </w:style>
  <w:style w:type="paragraph" w:customStyle="1" w:styleId="Heading4NoNum">
    <w:name w:val="Heading 4 NoNum"/>
    <w:basedOn w:val="Heading4"/>
    <w:uiPriority w:val="4"/>
    <w:qFormat/>
    <w:rsid w:val="005B6C7A"/>
    <w:pPr>
      <w:widowControl w:val="0"/>
      <w:spacing w:before="160" w:after="120" w:line="228" w:lineRule="auto"/>
      <w:ind w:left="794"/>
    </w:pPr>
    <w:rPr>
      <w:rFonts w:ascii="Calibri" w:eastAsia="Times New Roman" w:hAnsi="Calibri" w:cs="Calibri"/>
      <w:bCs w:val="0"/>
      <w:iCs w:val="0"/>
      <w:color w:val="4D4D4D"/>
      <w:spacing w:val="0"/>
      <w:sz w:val="22"/>
      <w:szCs w:val="22"/>
      <w:lang w:eastAsia="en-US"/>
    </w:rPr>
  </w:style>
  <w:style w:type="character" w:styleId="CommentReference">
    <w:name w:val="annotation reference"/>
    <w:basedOn w:val="DefaultParagraphFont"/>
    <w:uiPriority w:val="99"/>
    <w:semiHidden/>
    <w:unhideWhenUsed/>
    <w:rsid w:val="0016401B"/>
    <w:rPr>
      <w:sz w:val="16"/>
      <w:szCs w:val="16"/>
    </w:rPr>
  </w:style>
  <w:style w:type="paragraph" w:styleId="CommentText">
    <w:name w:val="annotation text"/>
    <w:basedOn w:val="Normal"/>
    <w:link w:val="CommentTextChar"/>
    <w:uiPriority w:val="99"/>
    <w:unhideWhenUsed/>
    <w:rsid w:val="0016401B"/>
    <w:pPr>
      <w:spacing w:line="240" w:lineRule="auto"/>
    </w:pPr>
  </w:style>
  <w:style w:type="character" w:customStyle="1" w:styleId="CommentTextChar">
    <w:name w:val="Comment Text Char"/>
    <w:basedOn w:val="DefaultParagraphFont"/>
    <w:link w:val="CommentText"/>
    <w:uiPriority w:val="99"/>
    <w:rsid w:val="0016401B"/>
    <w:rPr>
      <w:spacing w:val="2"/>
    </w:rPr>
  </w:style>
  <w:style w:type="paragraph" w:styleId="CommentSubject">
    <w:name w:val="annotation subject"/>
    <w:basedOn w:val="CommentText"/>
    <w:next w:val="CommentText"/>
    <w:link w:val="CommentSubjectChar"/>
    <w:uiPriority w:val="99"/>
    <w:semiHidden/>
    <w:unhideWhenUsed/>
    <w:rsid w:val="0016401B"/>
    <w:rPr>
      <w:b/>
      <w:bCs/>
    </w:rPr>
  </w:style>
  <w:style w:type="character" w:customStyle="1" w:styleId="CommentSubjectChar">
    <w:name w:val="Comment Subject Char"/>
    <w:basedOn w:val="CommentTextChar"/>
    <w:link w:val="CommentSubject"/>
    <w:uiPriority w:val="99"/>
    <w:semiHidden/>
    <w:rsid w:val="0016401B"/>
    <w:rPr>
      <w:b/>
      <w:bCs/>
      <w:spacing w:val="2"/>
    </w:rPr>
  </w:style>
  <w:style w:type="paragraph" w:styleId="NormalWeb">
    <w:name w:val="Normal (Web)"/>
    <w:basedOn w:val="Normal"/>
    <w:uiPriority w:val="99"/>
    <w:semiHidden/>
    <w:unhideWhenUsed/>
    <w:rsid w:val="008B3419"/>
    <w:pPr>
      <w:spacing w:before="100" w:beforeAutospacing="1" w:afterAutospacing="1" w:line="240" w:lineRule="auto"/>
    </w:pPr>
    <w:rPr>
      <w:rFonts w:ascii="Times New Roman" w:eastAsia="Times New Roman" w:hAnsi="Times New Roman" w:cs="Times New Roman"/>
      <w:spacing w:val="0"/>
      <w:sz w:val="24"/>
      <w:szCs w:val="24"/>
    </w:rPr>
  </w:style>
  <w:style w:type="paragraph" w:styleId="Revision">
    <w:name w:val="Revision"/>
    <w:hidden/>
    <w:uiPriority w:val="99"/>
    <w:semiHidden/>
    <w:rsid w:val="00FD102E"/>
    <w:pPr>
      <w:spacing w:after="0" w:line="240" w:lineRule="auto"/>
    </w:pPr>
    <w:rPr>
      <w:spacing w:val="2"/>
    </w:rPr>
  </w:style>
  <w:style w:type="paragraph" w:customStyle="1" w:styleId="m2760615129593542768msolistparagraph">
    <w:name w:val="m_2760615129593542768msolistparagraph"/>
    <w:basedOn w:val="Normal"/>
    <w:rsid w:val="00537B57"/>
    <w:pPr>
      <w:spacing w:before="100" w:beforeAutospacing="1" w:afterAutospacing="1" w:line="240" w:lineRule="auto"/>
    </w:pPr>
    <w:rPr>
      <w:rFonts w:ascii="Times New Roman" w:eastAsia="Times New Roman" w:hAnsi="Times New Roman" w:cs="Times New Roman"/>
      <w:spacing w:val="0"/>
      <w:sz w:val="24"/>
      <w:szCs w:val="24"/>
      <w:lang w:val="en-US" w:eastAsia="en-US"/>
    </w:rPr>
  </w:style>
  <w:style w:type="paragraph" w:customStyle="1" w:styleId="Listnum3">
    <w:name w:val="List num 3"/>
    <w:basedOn w:val="Normal"/>
    <w:rsid w:val="00B01A51"/>
    <w:pPr>
      <w:tabs>
        <w:tab w:val="num" w:pos="1512"/>
      </w:tabs>
      <w:spacing w:before="0" w:after="0" w:line="240" w:lineRule="auto"/>
      <w:ind w:left="1512" w:hanging="504"/>
    </w:pPr>
    <w:rPr>
      <w:rFonts w:eastAsia="Times New Roman" w:cs="Times New Roman"/>
      <w:color w:val="000000" w:themeColor="text1"/>
      <w:lang w:eastAsia="en-US"/>
    </w:rPr>
  </w:style>
  <w:style w:type="paragraph" w:customStyle="1" w:styleId="Default">
    <w:name w:val="Default"/>
    <w:rsid w:val="00FC7D89"/>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468508">
      <w:bodyDiv w:val="1"/>
      <w:marLeft w:val="0"/>
      <w:marRight w:val="0"/>
      <w:marTop w:val="0"/>
      <w:marBottom w:val="0"/>
      <w:divBdr>
        <w:top w:val="none" w:sz="0" w:space="0" w:color="auto"/>
        <w:left w:val="none" w:sz="0" w:space="0" w:color="auto"/>
        <w:bottom w:val="none" w:sz="0" w:space="0" w:color="auto"/>
        <w:right w:val="none" w:sz="0" w:space="0" w:color="auto"/>
      </w:divBdr>
    </w:div>
    <w:div w:id="261455750">
      <w:bodyDiv w:val="1"/>
      <w:marLeft w:val="0"/>
      <w:marRight w:val="0"/>
      <w:marTop w:val="0"/>
      <w:marBottom w:val="0"/>
      <w:divBdr>
        <w:top w:val="none" w:sz="0" w:space="0" w:color="auto"/>
        <w:left w:val="none" w:sz="0" w:space="0" w:color="auto"/>
        <w:bottom w:val="none" w:sz="0" w:space="0" w:color="auto"/>
        <w:right w:val="none" w:sz="0" w:space="0" w:color="auto"/>
      </w:divBdr>
      <w:divsChild>
        <w:div w:id="1652102606">
          <w:marLeft w:val="173"/>
          <w:marRight w:val="58"/>
          <w:marTop w:val="60"/>
          <w:marBottom w:val="0"/>
          <w:divBdr>
            <w:top w:val="none" w:sz="0" w:space="0" w:color="auto"/>
            <w:left w:val="none" w:sz="0" w:space="0" w:color="auto"/>
            <w:bottom w:val="none" w:sz="0" w:space="0" w:color="auto"/>
            <w:right w:val="none" w:sz="0" w:space="0" w:color="auto"/>
          </w:divBdr>
        </w:div>
        <w:div w:id="428349921">
          <w:marLeft w:val="173"/>
          <w:marRight w:val="58"/>
          <w:marTop w:val="40"/>
          <w:marBottom w:val="0"/>
          <w:divBdr>
            <w:top w:val="none" w:sz="0" w:space="0" w:color="auto"/>
            <w:left w:val="none" w:sz="0" w:space="0" w:color="auto"/>
            <w:bottom w:val="none" w:sz="0" w:space="0" w:color="auto"/>
            <w:right w:val="none" w:sz="0" w:space="0" w:color="auto"/>
          </w:divBdr>
        </w:div>
        <w:div w:id="807361617">
          <w:marLeft w:val="173"/>
          <w:marRight w:val="58"/>
          <w:marTop w:val="40"/>
          <w:marBottom w:val="0"/>
          <w:divBdr>
            <w:top w:val="none" w:sz="0" w:space="0" w:color="auto"/>
            <w:left w:val="none" w:sz="0" w:space="0" w:color="auto"/>
            <w:bottom w:val="none" w:sz="0" w:space="0" w:color="auto"/>
            <w:right w:val="none" w:sz="0" w:space="0" w:color="auto"/>
          </w:divBdr>
        </w:div>
        <w:div w:id="646590945">
          <w:marLeft w:val="173"/>
          <w:marRight w:val="58"/>
          <w:marTop w:val="40"/>
          <w:marBottom w:val="0"/>
          <w:divBdr>
            <w:top w:val="none" w:sz="0" w:space="0" w:color="auto"/>
            <w:left w:val="none" w:sz="0" w:space="0" w:color="auto"/>
            <w:bottom w:val="none" w:sz="0" w:space="0" w:color="auto"/>
            <w:right w:val="none" w:sz="0" w:space="0" w:color="auto"/>
          </w:divBdr>
        </w:div>
      </w:divsChild>
    </w:div>
    <w:div w:id="398525087">
      <w:bodyDiv w:val="1"/>
      <w:marLeft w:val="0"/>
      <w:marRight w:val="0"/>
      <w:marTop w:val="0"/>
      <w:marBottom w:val="0"/>
      <w:divBdr>
        <w:top w:val="none" w:sz="0" w:space="0" w:color="auto"/>
        <w:left w:val="none" w:sz="0" w:space="0" w:color="auto"/>
        <w:bottom w:val="none" w:sz="0" w:space="0" w:color="auto"/>
        <w:right w:val="none" w:sz="0" w:space="0" w:color="auto"/>
      </w:divBdr>
    </w:div>
    <w:div w:id="511722782">
      <w:bodyDiv w:val="1"/>
      <w:marLeft w:val="0"/>
      <w:marRight w:val="0"/>
      <w:marTop w:val="0"/>
      <w:marBottom w:val="0"/>
      <w:divBdr>
        <w:top w:val="none" w:sz="0" w:space="0" w:color="auto"/>
        <w:left w:val="none" w:sz="0" w:space="0" w:color="auto"/>
        <w:bottom w:val="none" w:sz="0" w:space="0" w:color="auto"/>
        <w:right w:val="none" w:sz="0" w:space="0" w:color="auto"/>
      </w:divBdr>
    </w:div>
    <w:div w:id="613943538">
      <w:bodyDiv w:val="1"/>
      <w:marLeft w:val="0"/>
      <w:marRight w:val="0"/>
      <w:marTop w:val="0"/>
      <w:marBottom w:val="0"/>
      <w:divBdr>
        <w:top w:val="none" w:sz="0" w:space="0" w:color="auto"/>
        <w:left w:val="none" w:sz="0" w:space="0" w:color="auto"/>
        <w:bottom w:val="none" w:sz="0" w:space="0" w:color="auto"/>
        <w:right w:val="none" w:sz="0" w:space="0" w:color="auto"/>
      </w:divBdr>
    </w:div>
    <w:div w:id="1035809020">
      <w:bodyDiv w:val="1"/>
      <w:marLeft w:val="0"/>
      <w:marRight w:val="0"/>
      <w:marTop w:val="0"/>
      <w:marBottom w:val="0"/>
      <w:divBdr>
        <w:top w:val="none" w:sz="0" w:space="0" w:color="auto"/>
        <w:left w:val="none" w:sz="0" w:space="0" w:color="auto"/>
        <w:bottom w:val="none" w:sz="0" w:space="0" w:color="auto"/>
        <w:right w:val="none" w:sz="0" w:space="0" w:color="auto"/>
      </w:divBdr>
      <w:divsChild>
        <w:div w:id="1814062983">
          <w:marLeft w:val="173"/>
          <w:marRight w:val="58"/>
          <w:marTop w:val="60"/>
          <w:marBottom w:val="0"/>
          <w:divBdr>
            <w:top w:val="none" w:sz="0" w:space="0" w:color="auto"/>
            <w:left w:val="none" w:sz="0" w:space="0" w:color="auto"/>
            <w:bottom w:val="none" w:sz="0" w:space="0" w:color="auto"/>
            <w:right w:val="none" w:sz="0" w:space="0" w:color="auto"/>
          </w:divBdr>
        </w:div>
        <w:div w:id="1767771768">
          <w:marLeft w:val="173"/>
          <w:marRight w:val="58"/>
          <w:marTop w:val="60"/>
          <w:marBottom w:val="0"/>
          <w:divBdr>
            <w:top w:val="none" w:sz="0" w:space="0" w:color="auto"/>
            <w:left w:val="none" w:sz="0" w:space="0" w:color="auto"/>
            <w:bottom w:val="none" w:sz="0" w:space="0" w:color="auto"/>
            <w:right w:val="none" w:sz="0" w:space="0" w:color="auto"/>
          </w:divBdr>
        </w:div>
        <w:div w:id="1558052932">
          <w:marLeft w:val="173"/>
          <w:marRight w:val="58"/>
          <w:marTop w:val="60"/>
          <w:marBottom w:val="0"/>
          <w:divBdr>
            <w:top w:val="none" w:sz="0" w:space="0" w:color="auto"/>
            <w:left w:val="none" w:sz="0" w:space="0" w:color="auto"/>
            <w:bottom w:val="none" w:sz="0" w:space="0" w:color="auto"/>
            <w:right w:val="none" w:sz="0" w:space="0" w:color="auto"/>
          </w:divBdr>
        </w:div>
        <w:div w:id="1645502275">
          <w:marLeft w:val="173"/>
          <w:marRight w:val="58"/>
          <w:marTop w:val="60"/>
          <w:marBottom w:val="0"/>
          <w:divBdr>
            <w:top w:val="none" w:sz="0" w:space="0" w:color="auto"/>
            <w:left w:val="none" w:sz="0" w:space="0" w:color="auto"/>
            <w:bottom w:val="none" w:sz="0" w:space="0" w:color="auto"/>
            <w:right w:val="none" w:sz="0" w:space="0" w:color="auto"/>
          </w:divBdr>
        </w:div>
      </w:divsChild>
    </w:div>
    <w:div w:id="1045299312">
      <w:bodyDiv w:val="1"/>
      <w:marLeft w:val="0"/>
      <w:marRight w:val="0"/>
      <w:marTop w:val="0"/>
      <w:marBottom w:val="0"/>
      <w:divBdr>
        <w:top w:val="none" w:sz="0" w:space="0" w:color="auto"/>
        <w:left w:val="none" w:sz="0" w:space="0" w:color="auto"/>
        <w:bottom w:val="none" w:sz="0" w:space="0" w:color="auto"/>
        <w:right w:val="none" w:sz="0" w:space="0" w:color="auto"/>
      </w:divBdr>
    </w:div>
    <w:div w:id="1359814322">
      <w:bodyDiv w:val="1"/>
      <w:marLeft w:val="0"/>
      <w:marRight w:val="0"/>
      <w:marTop w:val="0"/>
      <w:marBottom w:val="0"/>
      <w:divBdr>
        <w:top w:val="none" w:sz="0" w:space="0" w:color="auto"/>
        <w:left w:val="none" w:sz="0" w:space="0" w:color="auto"/>
        <w:bottom w:val="none" w:sz="0" w:space="0" w:color="auto"/>
        <w:right w:val="none" w:sz="0" w:space="0" w:color="auto"/>
      </w:divBdr>
    </w:div>
    <w:div w:id="1412241959">
      <w:bodyDiv w:val="1"/>
      <w:marLeft w:val="0"/>
      <w:marRight w:val="0"/>
      <w:marTop w:val="0"/>
      <w:marBottom w:val="0"/>
      <w:divBdr>
        <w:top w:val="none" w:sz="0" w:space="0" w:color="auto"/>
        <w:left w:val="none" w:sz="0" w:space="0" w:color="auto"/>
        <w:bottom w:val="none" w:sz="0" w:space="0" w:color="auto"/>
        <w:right w:val="none" w:sz="0" w:space="0" w:color="auto"/>
      </w:divBdr>
      <w:divsChild>
        <w:div w:id="435054392">
          <w:marLeft w:val="173"/>
          <w:marRight w:val="58"/>
          <w:marTop w:val="40"/>
          <w:marBottom w:val="0"/>
          <w:divBdr>
            <w:top w:val="none" w:sz="0" w:space="0" w:color="auto"/>
            <w:left w:val="none" w:sz="0" w:space="0" w:color="auto"/>
            <w:bottom w:val="none" w:sz="0" w:space="0" w:color="auto"/>
            <w:right w:val="none" w:sz="0" w:space="0" w:color="auto"/>
          </w:divBdr>
        </w:div>
        <w:div w:id="1664772945">
          <w:marLeft w:val="173"/>
          <w:marRight w:val="58"/>
          <w:marTop w:val="40"/>
          <w:marBottom w:val="0"/>
          <w:divBdr>
            <w:top w:val="none" w:sz="0" w:space="0" w:color="auto"/>
            <w:left w:val="none" w:sz="0" w:space="0" w:color="auto"/>
            <w:bottom w:val="none" w:sz="0" w:space="0" w:color="auto"/>
            <w:right w:val="none" w:sz="0" w:space="0" w:color="auto"/>
          </w:divBdr>
        </w:div>
        <w:div w:id="585959186">
          <w:marLeft w:val="173"/>
          <w:marRight w:val="58"/>
          <w:marTop w:val="40"/>
          <w:marBottom w:val="0"/>
          <w:divBdr>
            <w:top w:val="none" w:sz="0" w:space="0" w:color="auto"/>
            <w:left w:val="none" w:sz="0" w:space="0" w:color="auto"/>
            <w:bottom w:val="none" w:sz="0" w:space="0" w:color="auto"/>
            <w:right w:val="none" w:sz="0" w:space="0" w:color="auto"/>
          </w:divBdr>
        </w:div>
        <w:div w:id="132334859">
          <w:marLeft w:val="173"/>
          <w:marRight w:val="58"/>
          <w:marTop w:val="40"/>
          <w:marBottom w:val="0"/>
          <w:divBdr>
            <w:top w:val="none" w:sz="0" w:space="0" w:color="auto"/>
            <w:left w:val="none" w:sz="0" w:space="0" w:color="auto"/>
            <w:bottom w:val="none" w:sz="0" w:space="0" w:color="auto"/>
            <w:right w:val="none" w:sz="0" w:space="0" w:color="auto"/>
          </w:divBdr>
        </w:div>
        <w:div w:id="1943490038">
          <w:marLeft w:val="173"/>
          <w:marRight w:val="58"/>
          <w:marTop w:val="40"/>
          <w:marBottom w:val="0"/>
          <w:divBdr>
            <w:top w:val="none" w:sz="0" w:space="0" w:color="auto"/>
            <w:left w:val="none" w:sz="0" w:space="0" w:color="auto"/>
            <w:bottom w:val="none" w:sz="0" w:space="0" w:color="auto"/>
            <w:right w:val="none" w:sz="0" w:space="0" w:color="auto"/>
          </w:divBdr>
        </w:div>
        <w:div w:id="438842305">
          <w:marLeft w:val="173"/>
          <w:marRight w:val="58"/>
          <w:marTop w:val="40"/>
          <w:marBottom w:val="0"/>
          <w:divBdr>
            <w:top w:val="none" w:sz="0" w:space="0" w:color="auto"/>
            <w:left w:val="none" w:sz="0" w:space="0" w:color="auto"/>
            <w:bottom w:val="none" w:sz="0" w:space="0" w:color="auto"/>
            <w:right w:val="none" w:sz="0" w:space="0" w:color="auto"/>
          </w:divBdr>
        </w:div>
        <w:div w:id="766580815">
          <w:marLeft w:val="173"/>
          <w:marRight w:val="58"/>
          <w:marTop w:val="40"/>
          <w:marBottom w:val="0"/>
          <w:divBdr>
            <w:top w:val="none" w:sz="0" w:space="0" w:color="auto"/>
            <w:left w:val="none" w:sz="0" w:space="0" w:color="auto"/>
            <w:bottom w:val="none" w:sz="0" w:space="0" w:color="auto"/>
            <w:right w:val="none" w:sz="0" w:space="0" w:color="auto"/>
          </w:divBdr>
        </w:div>
        <w:div w:id="772632932">
          <w:marLeft w:val="173"/>
          <w:marRight w:val="58"/>
          <w:marTop w:val="40"/>
          <w:marBottom w:val="0"/>
          <w:divBdr>
            <w:top w:val="none" w:sz="0" w:space="0" w:color="auto"/>
            <w:left w:val="none" w:sz="0" w:space="0" w:color="auto"/>
            <w:bottom w:val="none" w:sz="0" w:space="0" w:color="auto"/>
            <w:right w:val="none" w:sz="0" w:space="0" w:color="auto"/>
          </w:divBdr>
        </w:div>
        <w:div w:id="63722347">
          <w:marLeft w:val="173"/>
          <w:marRight w:val="58"/>
          <w:marTop w:val="40"/>
          <w:marBottom w:val="0"/>
          <w:divBdr>
            <w:top w:val="none" w:sz="0" w:space="0" w:color="auto"/>
            <w:left w:val="none" w:sz="0" w:space="0" w:color="auto"/>
            <w:bottom w:val="none" w:sz="0" w:space="0" w:color="auto"/>
            <w:right w:val="none" w:sz="0" w:space="0" w:color="auto"/>
          </w:divBdr>
        </w:div>
      </w:divsChild>
    </w:div>
    <w:div w:id="1616598586">
      <w:bodyDiv w:val="1"/>
      <w:marLeft w:val="0"/>
      <w:marRight w:val="0"/>
      <w:marTop w:val="0"/>
      <w:marBottom w:val="0"/>
      <w:divBdr>
        <w:top w:val="none" w:sz="0" w:space="0" w:color="auto"/>
        <w:left w:val="none" w:sz="0" w:space="0" w:color="auto"/>
        <w:bottom w:val="none" w:sz="0" w:space="0" w:color="auto"/>
        <w:right w:val="none" w:sz="0" w:space="0" w:color="auto"/>
      </w:divBdr>
    </w:div>
    <w:div w:id="2034454083">
      <w:bodyDiv w:val="1"/>
      <w:marLeft w:val="0"/>
      <w:marRight w:val="0"/>
      <w:marTop w:val="0"/>
      <w:marBottom w:val="0"/>
      <w:divBdr>
        <w:top w:val="none" w:sz="0" w:space="0" w:color="auto"/>
        <w:left w:val="none" w:sz="0" w:space="0" w:color="auto"/>
        <w:bottom w:val="none" w:sz="0" w:space="0" w:color="auto"/>
        <w:right w:val="none" w:sz="0" w:space="0" w:color="auto"/>
      </w:divBdr>
      <w:divsChild>
        <w:div w:id="839740689">
          <w:marLeft w:val="173"/>
          <w:marRight w:val="58"/>
          <w:marTop w:val="40"/>
          <w:marBottom w:val="0"/>
          <w:divBdr>
            <w:top w:val="none" w:sz="0" w:space="0" w:color="auto"/>
            <w:left w:val="none" w:sz="0" w:space="0" w:color="auto"/>
            <w:bottom w:val="none" w:sz="0" w:space="0" w:color="auto"/>
            <w:right w:val="none" w:sz="0" w:space="0" w:color="auto"/>
          </w:divBdr>
        </w:div>
        <w:div w:id="821315626">
          <w:marLeft w:val="173"/>
          <w:marRight w:val="58"/>
          <w:marTop w:val="40"/>
          <w:marBottom w:val="0"/>
          <w:divBdr>
            <w:top w:val="none" w:sz="0" w:space="0" w:color="auto"/>
            <w:left w:val="none" w:sz="0" w:space="0" w:color="auto"/>
            <w:bottom w:val="none" w:sz="0" w:space="0" w:color="auto"/>
            <w:right w:val="none" w:sz="0" w:space="0" w:color="auto"/>
          </w:divBdr>
        </w:div>
        <w:div w:id="999384077">
          <w:marLeft w:val="173"/>
          <w:marRight w:val="58"/>
          <w:marTop w:val="40"/>
          <w:marBottom w:val="0"/>
          <w:divBdr>
            <w:top w:val="none" w:sz="0" w:space="0" w:color="auto"/>
            <w:left w:val="none" w:sz="0" w:space="0" w:color="auto"/>
            <w:bottom w:val="none" w:sz="0" w:space="0" w:color="auto"/>
            <w:right w:val="none" w:sz="0" w:space="0" w:color="auto"/>
          </w:divBdr>
        </w:div>
        <w:div w:id="1121152518">
          <w:marLeft w:val="173"/>
          <w:marRight w:val="58"/>
          <w:marTop w:val="40"/>
          <w:marBottom w:val="0"/>
          <w:divBdr>
            <w:top w:val="none" w:sz="0" w:space="0" w:color="auto"/>
            <w:left w:val="none" w:sz="0" w:space="0" w:color="auto"/>
            <w:bottom w:val="none" w:sz="0" w:space="0" w:color="auto"/>
            <w:right w:val="none" w:sz="0" w:space="0" w:color="auto"/>
          </w:divBdr>
        </w:div>
        <w:div w:id="1461996245">
          <w:marLeft w:val="173"/>
          <w:marRight w:val="58"/>
          <w:marTop w:val="40"/>
          <w:marBottom w:val="0"/>
          <w:divBdr>
            <w:top w:val="none" w:sz="0" w:space="0" w:color="auto"/>
            <w:left w:val="none" w:sz="0" w:space="0" w:color="auto"/>
            <w:bottom w:val="none" w:sz="0" w:space="0" w:color="auto"/>
            <w:right w:val="none" w:sz="0" w:space="0" w:color="auto"/>
          </w:divBdr>
        </w:div>
        <w:div w:id="717246675">
          <w:marLeft w:val="173"/>
          <w:marRight w:val="58"/>
          <w:marTop w:val="40"/>
          <w:marBottom w:val="0"/>
          <w:divBdr>
            <w:top w:val="none" w:sz="0" w:space="0" w:color="auto"/>
            <w:left w:val="none" w:sz="0" w:space="0" w:color="auto"/>
            <w:bottom w:val="none" w:sz="0" w:space="0" w:color="auto"/>
            <w:right w:val="none" w:sz="0" w:space="0" w:color="auto"/>
          </w:divBdr>
        </w:div>
        <w:div w:id="1845516357">
          <w:marLeft w:val="173"/>
          <w:marRight w:val="58"/>
          <w:marTop w:val="40"/>
          <w:marBottom w:val="0"/>
          <w:divBdr>
            <w:top w:val="none" w:sz="0" w:space="0" w:color="auto"/>
            <w:left w:val="none" w:sz="0" w:space="0" w:color="auto"/>
            <w:bottom w:val="none" w:sz="0" w:space="0" w:color="auto"/>
            <w:right w:val="none" w:sz="0" w:space="0" w:color="auto"/>
          </w:divBdr>
        </w:div>
        <w:div w:id="240720081">
          <w:marLeft w:val="173"/>
          <w:marRight w:val="58"/>
          <w:marTop w:val="40"/>
          <w:marBottom w:val="0"/>
          <w:divBdr>
            <w:top w:val="none" w:sz="0" w:space="0" w:color="auto"/>
            <w:left w:val="none" w:sz="0" w:space="0" w:color="auto"/>
            <w:bottom w:val="none" w:sz="0" w:space="0" w:color="auto"/>
            <w:right w:val="none" w:sz="0" w:space="0" w:color="auto"/>
          </w:divBdr>
        </w:div>
        <w:div w:id="1327325434">
          <w:marLeft w:val="173"/>
          <w:marRight w:val="58"/>
          <w:marTop w:val="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mation@dtf.vic.gov.au" TargetMode="Externa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hyperlink" Target="http://www.asd.gov.a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Ppolicy@dtf.vic.gov.au"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yperlink" Target="https://www.cert.gov.au/" TargetMode="Externa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file:///\\pvfdtf001\DTF_DATA02$\TRIM\Corpcom_CSS\COMMUNICATIONS\Formatting\www.dtf.vic.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24" Type="http://schemas.openxmlformats.org/officeDocument/2006/relationships/footer" Target="footer5.xml"/><Relationship Id="rId32" Type="http://schemas.openxmlformats.org/officeDocument/2006/relationships/hyperlink" Target="http://www.nationalsecurity.gov.au/Pages/default.aspx" TargetMode="External"/><Relationship Id="rId37" Type="http://schemas.openxmlformats.org/officeDocument/2006/relationships/header" Target="header8.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yperlink" Target="http://www.cybersmart.gov.au/" TargetMode="Externa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hyperlink" Target="http://www.emv.vic.gov.au/policies/emmv/" TargetMode="External"/><Relationship Id="rId4" Type="http://schemas.openxmlformats.org/officeDocument/2006/relationships/styles" Target="styles.xml"/><Relationship Id="rId9" Type="http://schemas.openxmlformats.org/officeDocument/2006/relationships/hyperlink" Target="http://creativecommons.org/licenses/by/3.0/au/" TargetMode="External"/><Relationship Id="rId14" Type="http://schemas.openxmlformats.org/officeDocument/2006/relationships/hyperlink" Target="http://www.dtf.vic.gov.au" TargetMode="Externa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yperlink" Target="https://www.emv.vic.gov.au/publications/victorian-emergency-management-reform-white-paper-dec-2012" TargetMode="External"/><Relationship Id="rId35" Type="http://schemas.openxmlformats.org/officeDocument/2006/relationships/hyperlink" Target="http://www.staysmartonline.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Corporate\Reports.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DDEE4-453A-4426-9919-DEE44DE430ED}">
  <ds:schemaRefs>
    <ds:schemaRef ds:uri="http://www.w3.org/2001/XMLSchema"/>
  </ds:schemaRefs>
</ds:datastoreItem>
</file>

<file path=customXml/itemProps2.xml><?xml version="1.0" encoding="utf-8"?>
<ds:datastoreItem xmlns:ds="http://schemas.openxmlformats.org/officeDocument/2006/customXml" ds:itemID="{DE023BB6-78F0-4C9D-9D23-7F2E26A2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Reports.dotx</Template>
  <TotalTime>0</TotalTime>
  <Pages>24</Pages>
  <Words>7207</Words>
  <Characters>41086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2020-09-20T23:27:00Z</dcterms:created>
  <dcterms:modified xsi:type="dcterms:W3CDTF">2020-09-20T23:27:00Z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b6b9a3e2-4801-4784-8f1b-60e11fc34ca7</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Craig.Vukman@dtf.vic.gov.au</vt:lpwstr>
  </property>
  <property fmtid="{D5CDD505-2E9C-101B-9397-08002B2CF9AE}" pid="7" name="MSIP_Label_7158ebbd-6c5e-441f-bfc9-4eb8c11e3978_SetDate">
    <vt:lpwstr>2019-08-27T02:22:56.6427681Z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ies>
</file>