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96AF8" w14:textId="313820F4" w:rsidR="00045296" w:rsidRPr="00691C09" w:rsidRDefault="00192278" w:rsidP="00691C09">
      <w:pPr>
        <w:pStyle w:val="Title"/>
      </w:pPr>
      <w:bookmarkStart w:id="0" w:name="_Toc442780672"/>
      <w:r>
        <w:t xml:space="preserve">Summary of </w:t>
      </w:r>
      <w:r w:rsidR="00F16411">
        <w:t>Treasury Management</w:t>
      </w:r>
      <w:r w:rsidR="00E364A1">
        <w:t>, including Central Banking System</w:t>
      </w:r>
      <w:r>
        <w:t xml:space="preserve"> (February 2021)</w:t>
      </w:r>
    </w:p>
    <w:p w14:paraId="3015F26A" w14:textId="4E50C7ED" w:rsidR="00353340" w:rsidRDefault="000A0918" w:rsidP="00043296">
      <w:r>
        <w:t xml:space="preserve">This document provides a </w:t>
      </w:r>
      <w:r w:rsidR="008C400E">
        <w:t>summ</w:t>
      </w:r>
      <w:r>
        <w:t>ar</w:t>
      </w:r>
      <w:r w:rsidR="007667B6">
        <w:t>y comparison of the differences between</w:t>
      </w:r>
      <w:r>
        <w:t xml:space="preserve"> </w:t>
      </w:r>
      <w:r w:rsidR="004B1D32">
        <w:t xml:space="preserve">the current </w:t>
      </w:r>
      <w:r w:rsidR="005B3D0A">
        <w:t xml:space="preserve">2018 </w:t>
      </w:r>
      <w:r>
        <w:t xml:space="preserve">Standing Directions </w:t>
      </w:r>
      <w:bookmarkEnd w:id="0"/>
      <w:r w:rsidR="00AE3FA1">
        <w:t xml:space="preserve">and </w:t>
      </w:r>
      <w:r w:rsidR="008C400E">
        <w:t xml:space="preserve">the </w:t>
      </w:r>
      <w:r w:rsidR="004B1D32">
        <w:t>revisions to those</w:t>
      </w:r>
      <w:r w:rsidR="008C400E">
        <w:t xml:space="preserve"> </w:t>
      </w:r>
      <w:r w:rsidR="00AE3FA1">
        <w:t xml:space="preserve">Standing Directions </w:t>
      </w:r>
      <w:r w:rsidR="00F16411">
        <w:t xml:space="preserve">relating to Treasury Management (SD 3.7.2) </w:t>
      </w:r>
      <w:r w:rsidR="004B1D32">
        <w:t xml:space="preserve">which come into operation on 1 February </w:t>
      </w:r>
      <w:r w:rsidR="00AE3FA1">
        <w:t>202</w:t>
      </w:r>
      <w:r w:rsidR="004B1D32">
        <w:t>1</w:t>
      </w:r>
      <w:r w:rsidR="008C400E">
        <w:t xml:space="preserve"> (Directions)</w:t>
      </w:r>
      <w:r w:rsidR="0093417C" w:rsidRPr="001118B7">
        <w:t>.</w:t>
      </w:r>
      <w:r w:rsidR="00CC0AF1">
        <w:t xml:space="preserve"> </w:t>
      </w:r>
      <w:r w:rsidR="003B7CCA">
        <w:t>The c</w:t>
      </w:r>
      <w:r w:rsidR="00B45BC5">
        <w:t xml:space="preserve">ompliance </w:t>
      </w:r>
      <w:r w:rsidR="00285E62">
        <w:t xml:space="preserve">date for </w:t>
      </w:r>
      <w:r w:rsidR="003B7CCA">
        <w:t xml:space="preserve">the changes to the CBS provisions of the </w:t>
      </w:r>
      <w:r w:rsidR="008C400E">
        <w:t>Directions</w:t>
      </w:r>
      <w:r w:rsidR="00917C36">
        <w:t xml:space="preserve"> </w:t>
      </w:r>
      <w:r w:rsidR="00CC0AF1">
        <w:t>is 30 June 2022</w:t>
      </w:r>
      <w:r w:rsidR="00C100DA">
        <w:t xml:space="preserve"> </w:t>
      </w:r>
      <w:r w:rsidR="008C400E">
        <w:t xml:space="preserve">with </w:t>
      </w:r>
      <w:r w:rsidR="00C100DA">
        <w:t xml:space="preserve">additional </w:t>
      </w:r>
      <w:r w:rsidR="00356718">
        <w:t>time</w:t>
      </w:r>
      <w:r w:rsidR="008C400E">
        <w:t>lines</w:t>
      </w:r>
      <w:r w:rsidR="00356718">
        <w:t xml:space="preserve"> for the </w:t>
      </w:r>
      <w:r w:rsidR="002B4DCE">
        <w:t xml:space="preserve">establishment of CBS bank accounts and </w:t>
      </w:r>
      <w:r w:rsidR="008C400E">
        <w:t>transition</w:t>
      </w:r>
      <w:r w:rsidR="002B4DCE">
        <w:t xml:space="preserve"> to the </w:t>
      </w:r>
      <w:r w:rsidR="00356718">
        <w:t xml:space="preserve">new Banking and Financial Services </w:t>
      </w:r>
      <w:r w:rsidR="008C400E">
        <w:t>C</w:t>
      </w:r>
      <w:r w:rsidR="00356718">
        <w:t>ontract (SPC)</w:t>
      </w:r>
      <w:r w:rsidR="00CC0AF1">
        <w:t xml:space="preserve">. </w:t>
      </w:r>
      <w:r w:rsidR="009B7E02" w:rsidRPr="001118B7">
        <w:t xml:space="preserve">For full details, refer to the </w:t>
      </w:r>
      <w:r w:rsidR="004B1D32">
        <w:t>revised</w:t>
      </w:r>
      <w:r w:rsidR="009B7E02" w:rsidRPr="001118B7">
        <w:t xml:space="preserve"> </w:t>
      </w:r>
      <w:r w:rsidR="004B1D32">
        <w:t>D</w:t>
      </w:r>
      <w:r w:rsidR="009B7E02" w:rsidRPr="001118B7">
        <w:t xml:space="preserve">irections </w:t>
      </w:r>
      <w:r w:rsidR="00F16411">
        <w:t xml:space="preserve">(including SD 1.4 Transitional arrangements) </w:t>
      </w:r>
      <w:r w:rsidR="009B7E02" w:rsidRPr="001118B7">
        <w:t xml:space="preserve">or the related </w:t>
      </w:r>
      <w:r w:rsidR="004B1D32">
        <w:t>I</w:t>
      </w:r>
      <w:r w:rsidR="009B7E02" w:rsidRPr="001118B7">
        <w:t xml:space="preserve">nstructions and </w:t>
      </w:r>
      <w:r w:rsidR="004B1D32">
        <w:t>G</w:t>
      </w:r>
      <w:r w:rsidR="004B1D32" w:rsidRPr="001118B7">
        <w:t xml:space="preserve">uidance </w:t>
      </w:r>
      <w:r w:rsidR="009B7E02" w:rsidRPr="001118B7">
        <w:t>at</w:t>
      </w:r>
      <w:r w:rsidR="009B7E02" w:rsidRPr="001118B7">
        <w:rPr>
          <w:color w:val="0063A6" w:themeColor="accent1"/>
        </w:rPr>
        <w:t xml:space="preserve">: </w:t>
      </w:r>
      <w:hyperlink r:id="rId9" w:history="1">
        <w:r w:rsidR="009B7E02" w:rsidRPr="001118B7">
          <w:rPr>
            <w:color w:val="0063A6" w:themeColor="accent1"/>
          </w:rPr>
          <w:t>www.dtf.vic.gov.au/financial-management-government</w:t>
        </w:r>
      </w:hyperlink>
    </w:p>
    <w:p w14:paraId="35E34361" w14:textId="6756B75C" w:rsidR="00237B36" w:rsidRDefault="00237B36" w:rsidP="00043296">
      <w:pPr>
        <w:rPr>
          <w:noProof/>
        </w:rPr>
      </w:pPr>
    </w:p>
    <w:tbl>
      <w:tblPr>
        <w:tblStyle w:val="TableGrid"/>
        <w:tblW w:w="9129" w:type="dxa"/>
        <w:tblLook w:val="04A0" w:firstRow="1" w:lastRow="0" w:firstColumn="1" w:lastColumn="0" w:noHBand="0" w:noVBand="1"/>
      </w:tblPr>
      <w:tblGrid>
        <w:gridCol w:w="2892"/>
        <w:gridCol w:w="3261"/>
        <w:gridCol w:w="2976"/>
      </w:tblGrid>
      <w:tr w:rsidR="002D3114" w:rsidRPr="00AD746C" w14:paraId="042B838E" w14:textId="77777777" w:rsidTr="002D31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70A33306" w14:textId="0A8662D0" w:rsidR="00237B36" w:rsidRPr="00AD746C" w:rsidRDefault="00237B36" w:rsidP="000F364B">
            <w:pPr>
              <w:spacing w:before="80" w:after="80"/>
              <w:rPr>
                <w:b/>
                <w:bCs/>
                <w:noProof/>
              </w:rPr>
            </w:pPr>
            <w:r w:rsidRPr="00AD746C">
              <w:rPr>
                <w:b/>
                <w:bCs/>
                <w:noProof/>
              </w:rPr>
              <w:t>SD Section (202</w:t>
            </w:r>
            <w:r w:rsidR="005B2BB6">
              <w:rPr>
                <w:b/>
                <w:bCs/>
                <w:noProof/>
              </w:rPr>
              <w:t>1</w:t>
            </w:r>
            <w:r w:rsidR="005B3D0A">
              <w:rPr>
                <w:b/>
                <w:bCs/>
                <w:noProof/>
              </w:rPr>
              <w:t xml:space="preserve"> update</w:t>
            </w:r>
            <w:r w:rsidRPr="00AD746C">
              <w:rPr>
                <w:b/>
                <w:bCs/>
                <w:noProof/>
              </w:rPr>
              <w:t>)</w:t>
            </w:r>
          </w:p>
        </w:tc>
        <w:tc>
          <w:tcPr>
            <w:tcW w:w="3261" w:type="dxa"/>
          </w:tcPr>
          <w:p w14:paraId="3FE95003" w14:textId="0AB18638" w:rsidR="00237B36" w:rsidRPr="00AD746C" w:rsidRDefault="00192278" w:rsidP="000F364B">
            <w:pPr>
              <w:spacing w:before="80" w:after="80"/>
              <w:cnfStyle w:val="100000000000" w:firstRow="1" w:lastRow="0" w:firstColumn="0" w:lastColumn="0" w:oddVBand="0" w:evenVBand="0" w:oddHBand="0" w:evenHBand="0" w:firstRowFirstColumn="0" w:firstRowLastColumn="0" w:lastRowFirstColumn="0" w:lastRowLastColumn="0"/>
              <w:rPr>
                <w:b/>
                <w:bCs/>
                <w:noProof/>
              </w:rPr>
            </w:pPr>
            <w:r>
              <w:rPr>
                <w:b/>
                <w:bCs/>
                <w:noProof/>
              </w:rPr>
              <w:t xml:space="preserve">Current </w:t>
            </w:r>
            <w:r w:rsidR="00237B36" w:rsidRPr="00AD746C">
              <w:rPr>
                <w:b/>
                <w:bCs/>
                <w:noProof/>
              </w:rPr>
              <w:t>S</w:t>
            </w:r>
            <w:r w:rsidR="00AD746C">
              <w:rPr>
                <w:b/>
                <w:bCs/>
                <w:noProof/>
              </w:rPr>
              <w:t>tanding Directions</w:t>
            </w:r>
            <w:r w:rsidR="00237B36" w:rsidRPr="00AD746C">
              <w:rPr>
                <w:b/>
                <w:bCs/>
                <w:noProof/>
              </w:rPr>
              <w:t xml:space="preserve"> </w:t>
            </w:r>
            <w:r>
              <w:rPr>
                <w:b/>
                <w:bCs/>
                <w:noProof/>
              </w:rPr>
              <w:t xml:space="preserve"> </w:t>
            </w:r>
            <w:r w:rsidR="006B6E2B">
              <w:rPr>
                <w:b/>
                <w:bCs/>
                <w:noProof/>
              </w:rPr>
              <w:t>(</w:t>
            </w:r>
            <w:r>
              <w:rPr>
                <w:b/>
                <w:bCs/>
                <w:noProof/>
              </w:rPr>
              <w:t>Updated February 2021</w:t>
            </w:r>
            <w:r w:rsidR="006B6E2B">
              <w:rPr>
                <w:b/>
                <w:bCs/>
                <w:noProof/>
              </w:rPr>
              <w:t>)</w:t>
            </w:r>
          </w:p>
        </w:tc>
        <w:tc>
          <w:tcPr>
            <w:tcW w:w="2976" w:type="dxa"/>
          </w:tcPr>
          <w:p w14:paraId="74AF4D0B" w14:textId="4BA9F27F" w:rsidR="00237B36" w:rsidRPr="00AD746C" w:rsidRDefault="00192278" w:rsidP="000F364B">
            <w:pPr>
              <w:spacing w:before="80" w:after="80"/>
              <w:cnfStyle w:val="100000000000" w:firstRow="1" w:lastRow="0" w:firstColumn="0" w:lastColumn="0" w:oddVBand="0" w:evenVBand="0" w:oddHBand="0" w:evenHBand="0" w:firstRowFirstColumn="0" w:firstRowLastColumn="0" w:lastRowFirstColumn="0" w:lastRowLastColumn="0"/>
              <w:rPr>
                <w:b/>
                <w:bCs/>
                <w:noProof/>
              </w:rPr>
            </w:pPr>
            <w:r>
              <w:rPr>
                <w:b/>
                <w:bCs/>
                <w:noProof/>
              </w:rPr>
              <w:t xml:space="preserve">Previous </w:t>
            </w:r>
            <w:r w:rsidR="00AD746C" w:rsidRPr="00AD746C">
              <w:rPr>
                <w:b/>
                <w:bCs/>
                <w:noProof/>
              </w:rPr>
              <w:t>S</w:t>
            </w:r>
            <w:r w:rsidR="00AD746C">
              <w:rPr>
                <w:b/>
                <w:bCs/>
                <w:noProof/>
              </w:rPr>
              <w:t>tanding Directions</w:t>
            </w:r>
            <w:r w:rsidR="006B6E2B">
              <w:rPr>
                <w:b/>
                <w:bCs/>
                <w:noProof/>
              </w:rPr>
              <w:t xml:space="preserve"> (Update</w:t>
            </w:r>
            <w:r>
              <w:rPr>
                <w:b/>
                <w:bCs/>
                <w:noProof/>
              </w:rPr>
              <w:t>d December 2019</w:t>
            </w:r>
            <w:r w:rsidR="006B6E2B">
              <w:rPr>
                <w:b/>
                <w:bCs/>
                <w:noProof/>
              </w:rPr>
              <w:t>)</w:t>
            </w:r>
          </w:p>
        </w:tc>
      </w:tr>
      <w:tr w:rsidR="00284B96" w:rsidRPr="000F364B" w14:paraId="57DF2E7F" w14:textId="77777777" w:rsidTr="00192278">
        <w:tc>
          <w:tcPr>
            <w:cnfStyle w:val="001000000000" w:firstRow="0" w:lastRow="0" w:firstColumn="1" w:lastColumn="0" w:oddVBand="0" w:evenVBand="0" w:oddHBand="0" w:evenHBand="0" w:firstRowFirstColumn="0" w:firstRowLastColumn="0" w:lastRowFirstColumn="0" w:lastRowLastColumn="0"/>
            <w:tcW w:w="2892" w:type="dxa"/>
            <w:shd w:val="clear" w:color="auto" w:fill="auto"/>
          </w:tcPr>
          <w:p w14:paraId="212EB2CD" w14:textId="06A48E1D" w:rsidR="005329D8" w:rsidRPr="001F084D" w:rsidRDefault="005329D8" w:rsidP="005329D8">
            <w:pPr>
              <w:spacing w:before="80" w:after="80"/>
            </w:pPr>
            <w:r>
              <w:rPr>
                <w:noProof/>
              </w:rPr>
              <w:t>3.7.2.1 SPC arrangements</w:t>
            </w:r>
          </w:p>
        </w:tc>
        <w:tc>
          <w:tcPr>
            <w:tcW w:w="3261" w:type="dxa"/>
          </w:tcPr>
          <w:p w14:paraId="71ECA262" w14:textId="77777777" w:rsidR="005329D8" w:rsidRDefault="005329D8" w:rsidP="005329D8">
            <w:pPr>
              <w:spacing w:before="80" w:after="80"/>
              <w:jc w:val="left"/>
              <w:cnfStyle w:val="000000000000" w:firstRow="0" w:lastRow="0" w:firstColumn="0" w:lastColumn="0" w:oddVBand="0" w:evenVBand="0" w:oddHBand="0" w:evenHBand="0" w:firstRowFirstColumn="0" w:firstRowLastColumn="0" w:lastRowFirstColumn="0" w:lastRowLastColumn="0"/>
              <w:rPr>
                <w:noProof/>
              </w:rPr>
            </w:pPr>
            <w:r>
              <w:rPr>
                <w:noProof/>
              </w:rPr>
              <w:t>This is a new direction that requires:</w:t>
            </w:r>
          </w:p>
          <w:p w14:paraId="1E1E7E1E" w14:textId="2D80C607" w:rsidR="005329D8" w:rsidRDefault="005329D8" w:rsidP="005329D8">
            <w:pPr>
              <w:spacing w:before="80" w:after="80"/>
              <w:jc w:val="left"/>
              <w:cnfStyle w:val="000000000000" w:firstRow="0" w:lastRow="0" w:firstColumn="0" w:lastColumn="0" w:oddVBand="0" w:evenVBand="0" w:oddHBand="0" w:evenHBand="0" w:firstRowFirstColumn="0" w:firstRowLastColumn="0" w:lastRowFirstColumn="0" w:lastRowLastColumn="0"/>
            </w:pPr>
            <w:r>
              <w:rPr>
                <w:noProof/>
              </w:rPr>
              <w:t>-</w:t>
            </w:r>
            <w:r w:rsidR="00E40DA3">
              <w:rPr>
                <w:noProof/>
              </w:rPr>
              <w:t xml:space="preserve"> </w:t>
            </w:r>
            <w:r>
              <w:rPr>
                <w:noProof/>
              </w:rPr>
              <w:t xml:space="preserve">All agency bank accounts (CBS accounts) </w:t>
            </w:r>
            <w:r>
              <w:t>to be</w:t>
            </w:r>
            <w:r w:rsidRPr="00FA5A86">
              <w:t xml:space="preserve"> provided to the Agency under the SPC</w:t>
            </w:r>
            <w:r w:rsidR="000E7468">
              <w:t>.  This includes transactional bank accounts</w:t>
            </w:r>
          </w:p>
          <w:p w14:paraId="28D7D0D1" w14:textId="77777777" w:rsidR="005329D8" w:rsidRDefault="005329D8" w:rsidP="000A5702">
            <w:pPr>
              <w:spacing w:before="80" w:after="80"/>
              <w:jc w:val="left"/>
              <w:cnfStyle w:val="000000000000" w:firstRow="0" w:lastRow="0" w:firstColumn="0" w:lastColumn="0" w:oddVBand="0" w:evenVBand="0" w:oddHBand="0" w:evenHBand="0" w:firstRowFirstColumn="0" w:firstRowLastColumn="0" w:lastRowFirstColumn="0" w:lastRowLastColumn="0"/>
            </w:pPr>
            <w:r>
              <w:t>-</w:t>
            </w:r>
            <w:r w:rsidRPr="00FA5A86">
              <w:t xml:space="preserve"> </w:t>
            </w:r>
            <w:r>
              <w:t xml:space="preserve">All </w:t>
            </w:r>
            <w:r w:rsidRPr="00FA5A86">
              <w:t xml:space="preserve">products or services available to the Agency under the SPC </w:t>
            </w:r>
            <w:r>
              <w:t xml:space="preserve">to be </w:t>
            </w:r>
            <w:r w:rsidRPr="00FA5A86">
              <w:t>provided to the Agency under the SPC</w:t>
            </w:r>
          </w:p>
          <w:p w14:paraId="178E1820" w14:textId="4F55C79E" w:rsidR="004E3241" w:rsidRDefault="004E3241" w:rsidP="000A5702">
            <w:pPr>
              <w:spacing w:before="80" w:after="80"/>
              <w:jc w:val="left"/>
              <w:cnfStyle w:val="000000000000" w:firstRow="0" w:lastRow="0" w:firstColumn="0" w:lastColumn="0" w:oddVBand="0" w:evenVBand="0" w:oddHBand="0" w:evenHBand="0" w:firstRowFirstColumn="0" w:firstRowLastColumn="0" w:lastRowFirstColumn="0" w:lastRowLastColumn="0"/>
              <w:rPr>
                <w:noProof/>
              </w:rPr>
            </w:pPr>
          </w:p>
        </w:tc>
        <w:tc>
          <w:tcPr>
            <w:tcW w:w="2976" w:type="dxa"/>
          </w:tcPr>
          <w:p w14:paraId="5037F4D6" w14:textId="0DB3B19E" w:rsidR="004148E6" w:rsidRDefault="004148E6" w:rsidP="004148E6">
            <w:pPr>
              <w:spacing w:before="80" w:after="80"/>
              <w:jc w:val="left"/>
              <w:cnfStyle w:val="000000000000" w:firstRow="0" w:lastRow="0" w:firstColumn="0" w:lastColumn="0" w:oddVBand="0" w:evenVBand="0" w:oddHBand="0" w:evenHBand="0" w:firstRowFirstColumn="0" w:firstRowLastColumn="0" w:lastRowFirstColumn="0" w:lastRowLastColumn="0"/>
              <w:rPr>
                <w:b/>
                <w:bCs/>
                <w:i/>
                <w:iCs/>
                <w:noProof/>
              </w:rPr>
            </w:pPr>
            <w:r>
              <w:rPr>
                <w:noProof/>
              </w:rPr>
              <w:t>Transactional accounts can be kept outside of the SPC (CBS).</w:t>
            </w:r>
          </w:p>
          <w:p w14:paraId="41403933" w14:textId="066ED989" w:rsidR="004148E6" w:rsidRDefault="004148E6" w:rsidP="000A5702">
            <w:pPr>
              <w:spacing w:before="80" w:after="80"/>
              <w:jc w:val="left"/>
              <w:cnfStyle w:val="000000000000" w:firstRow="0" w:lastRow="0" w:firstColumn="0" w:lastColumn="0" w:oddVBand="0" w:evenVBand="0" w:oddHBand="0" w:evenHBand="0" w:firstRowFirstColumn="0" w:firstRowLastColumn="0" w:lastRowFirstColumn="0" w:lastRowLastColumn="0"/>
            </w:pPr>
          </w:p>
        </w:tc>
      </w:tr>
      <w:tr w:rsidR="002D3114" w:rsidRPr="000F364B" w14:paraId="595960CC" w14:textId="77777777" w:rsidTr="002D31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3584A320" w14:textId="330B09BB" w:rsidR="005329D8" w:rsidRPr="001F084D" w:rsidRDefault="005329D8" w:rsidP="005329D8">
            <w:pPr>
              <w:spacing w:before="80" w:after="80"/>
            </w:pPr>
            <w:r>
              <w:rPr>
                <w:noProof/>
              </w:rPr>
              <w:t xml:space="preserve">3.7.2.2 </w:t>
            </w:r>
            <w:r w:rsidRPr="0074173F">
              <w:rPr>
                <w:noProof/>
              </w:rPr>
              <w:t xml:space="preserve">Central Banking System and </w:t>
            </w:r>
            <w:r>
              <w:rPr>
                <w:noProof/>
              </w:rPr>
              <w:t>e</w:t>
            </w:r>
            <w:r w:rsidRPr="0074173F">
              <w:rPr>
                <w:noProof/>
              </w:rPr>
              <w:t xml:space="preserve">ligible </w:t>
            </w:r>
            <w:r>
              <w:rPr>
                <w:noProof/>
              </w:rPr>
              <w:t>f</w:t>
            </w:r>
            <w:r w:rsidRPr="0074173F">
              <w:rPr>
                <w:noProof/>
              </w:rPr>
              <w:t xml:space="preserve">inancial </w:t>
            </w:r>
            <w:r>
              <w:rPr>
                <w:noProof/>
              </w:rPr>
              <w:t>a</w:t>
            </w:r>
            <w:r w:rsidRPr="0074173F">
              <w:rPr>
                <w:noProof/>
              </w:rPr>
              <w:t>sset</w:t>
            </w:r>
          </w:p>
        </w:tc>
        <w:tc>
          <w:tcPr>
            <w:tcW w:w="3261" w:type="dxa"/>
          </w:tcPr>
          <w:p w14:paraId="26EF85FD" w14:textId="6364248A" w:rsidR="001F7E64" w:rsidRDefault="001F7E64" w:rsidP="000A5702">
            <w:pPr>
              <w:spacing w:before="80" w:after="160"/>
              <w:jc w:val="left"/>
              <w:cnfStyle w:val="000000010000" w:firstRow="0" w:lastRow="0" w:firstColumn="0" w:lastColumn="0" w:oddVBand="0" w:evenVBand="0" w:oddHBand="0" w:evenHBand="1" w:firstRowFirstColumn="0" w:firstRowLastColumn="0" w:lastRowFirstColumn="0" w:lastRowLastColumn="0"/>
              <w:rPr>
                <w:noProof/>
              </w:rPr>
            </w:pPr>
            <w:r>
              <w:rPr>
                <w:noProof/>
              </w:rPr>
              <w:t>Direction 3.7.2.1 in 2018 is now 3.7.2.2 in 2020</w:t>
            </w:r>
          </w:p>
          <w:p w14:paraId="70376353" w14:textId="15FD0683" w:rsidR="000E7468" w:rsidRDefault="005329D8" w:rsidP="00034116">
            <w:pPr>
              <w:spacing w:before="80" w:after="80"/>
              <w:jc w:val="left"/>
              <w:cnfStyle w:val="000000010000" w:firstRow="0" w:lastRow="0" w:firstColumn="0" w:lastColumn="0" w:oddVBand="0" w:evenVBand="0" w:oddHBand="0" w:evenHBand="1" w:firstRowFirstColumn="0" w:firstRowLastColumn="0" w:lastRowFirstColumn="0" w:lastRowLastColumn="0"/>
              <w:rPr>
                <w:noProof/>
              </w:rPr>
            </w:pPr>
            <w:r>
              <w:rPr>
                <w:noProof/>
              </w:rPr>
              <w:t>All eligible financial assets</w:t>
            </w:r>
            <w:r w:rsidR="000E7468">
              <w:rPr>
                <w:noProof/>
              </w:rPr>
              <w:t xml:space="preserve"> (including working capital funds)</w:t>
            </w:r>
            <w:r>
              <w:rPr>
                <w:noProof/>
              </w:rPr>
              <w:t xml:space="preserve"> must be </w:t>
            </w:r>
            <w:r w:rsidRPr="0074173F">
              <w:rPr>
                <w:noProof/>
              </w:rPr>
              <w:t>deposited in the Central Banking System</w:t>
            </w:r>
            <w:r w:rsidR="00E40DA3">
              <w:rPr>
                <w:noProof/>
              </w:rPr>
              <w:t xml:space="preserve"> </w:t>
            </w:r>
            <w:r>
              <w:rPr>
                <w:noProof/>
              </w:rPr>
              <w:t>(account in the new SPC)</w:t>
            </w:r>
            <w:r w:rsidR="000E7468">
              <w:rPr>
                <w:noProof/>
              </w:rPr>
              <w:t>.</w:t>
            </w:r>
          </w:p>
          <w:p w14:paraId="1D89D359" w14:textId="77777777" w:rsidR="00D2141A" w:rsidRDefault="00D2141A" w:rsidP="00034116">
            <w:pPr>
              <w:spacing w:before="80" w:after="80"/>
              <w:jc w:val="left"/>
              <w:cnfStyle w:val="000000010000" w:firstRow="0" w:lastRow="0" w:firstColumn="0" w:lastColumn="0" w:oddVBand="0" w:evenVBand="0" w:oddHBand="0" w:evenHBand="1" w:firstRowFirstColumn="0" w:firstRowLastColumn="0" w:lastRowFirstColumn="0" w:lastRowLastColumn="0"/>
              <w:rPr>
                <w:noProof/>
              </w:rPr>
            </w:pPr>
          </w:p>
          <w:p w14:paraId="02284D7E" w14:textId="7C5BF510" w:rsidR="005329D8" w:rsidRDefault="000E7468" w:rsidP="005329D8">
            <w:pPr>
              <w:spacing w:before="80" w:after="80"/>
              <w:jc w:val="left"/>
              <w:cnfStyle w:val="000000010000" w:firstRow="0" w:lastRow="0" w:firstColumn="0" w:lastColumn="0" w:oddVBand="0" w:evenVBand="0" w:oddHBand="0" w:evenHBand="1" w:firstRowFirstColumn="0" w:firstRowLastColumn="0" w:lastRowFirstColumn="0" w:lastRowLastColumn="0"/>
              <w:rPr>
                <w:noProof/>
              </w:rPr>
            </w:pPr>
            <w:r>
              <w:rPr>
                <w:noProof/>
              </w:rPr>
              <w:t>E</w:t>
            </w:r>
            <w:r w:rsidR="005329D8">
              <w:rPr>
                <w:noProof/>
              </w:rPr>
              <w:t>xempt funds (</w:t>
            </w:r>
            <w:r w:rsidR="005329D8" w:rsidRPr="0074173F">
              <w:rPr>
                <w:noProof/>
              </w:rPr>
              <w:t xml:space="preserve">from </w:t>
            </w:r>
            <w:r w:rsidR="005329D8">
              <w:rPr>
                <w:noProof/>
              </w:rPr>
              <w:t>t</w:t>
            </w:r>
            <w:r w:rsidR="005329D8" w:rsidRPr="0074173F">
              <w:rPr>
                <w:noProof/>
              </w:rPr>
              <w:t>hird-parties, non-government, or long-term investments</w:t>
            </w:r>
            <w:r w:rsidR="005329D8">
              <w:rPr>
                <w:noProof/>
              </w:rPr>
              <w:t>) must be invested with TCV or VFMC</w:t>
            </w:r>
            <w:r>
              <w:rPr>
                <w:noProof/>
              </w:rPr>
              <w:t>.</w:t>
            </w:r>
          </w:p>
          <w:p w14:paraId="6ED56BF5" w14:textId="0C9B8DAB" w:rsidR="00B55926" w:rsidRDefault="00B55926" w:rsidP="005329D8">
            <w:pPr>
              <w:spacing w:before="80" w:after="80"/>
              <w:jc w:val="left"/>
              <w:cnfStyle w:val="000000010000" w:firstRow="0" w:lastRow="0" w:firstColumn="0" w:lastColumn="0" w:oddVBand="0" w:evenVBand="0" w:oddHBand="0" w:evenHBand="1" w:firstRowFirstColumn="0" w:firstRowLastColumn="0" w:lastRowFirstColumn="0" w:lastRowLastColumn="0"/>
              <w:rPr>
                <w:noProof/>
              </w:rPr>
            </w:pPr>
          </w:p>
          <w:p w14:paraId="46968FBE" w14:textId="1261BB81" w:rsidR="00B55926" w:rsidRDefault="00B55926" w:rsidP="005329D8">
            <w:pPr>
              <w:spacing w:before="80" w:after="80"/>
              <w:jc w:val="left"/>
              <w:cnfStyle w:val="000000010000" w:firstRow="0" w:lastRow="0" w:firstColumn="0" w:lastColumn="0" w:oddVBand="0" w:evenVBand="0" w:oddHBand="0" w:evenHBand="1" w:firstRowFirstColumn="0" w:firstRowLastColumn="0" w:lastRowFirstColumn="0" w:lastRowLastColumn="0"/>
              <w:rPr>
                <w:noProof/>
              </w:rPr>
            </w:pPr>
            <w:r w:rsidRPr="00D1500C">
              <w:rPr>
                <w:noProof/>
              </w:rPr>
              <w:t>Long-term investment</w:t>
            </w:r>
            <w:r w:rsidR="00497467">
              <w:rPr>
                <w:noProof/>
              </w:rPr>
              <w:t xml:space="preserve"> funds</w:t>
            </w:r>
            <w:r w:rsidRPr="00D1500C">
              <w:rPr>
                <w:noProof/>
              </w:rPr>
              <w:t xml:space="preserve"> do not include funds that have been put aside to meet accrual obligations such as lon</w:t>
            </w:r>
            <w:r w:rsidR="0044377F" w:rsidRPr="00D1500C">
              <w:rPr>
                <w:noProof/>
              </w:rPr>
              <w:t>g</w:t>
            </w:r>
            <w:r w:rsidRPr="00D1500C">
              <w:rPr>
                <w:noProof/>
              </w:rPr>
              <w:t xml:space="preserve"> service leave.</w:t>
            </w:r>
          </w:p>
          <w:p w14:paraId="5FA410C0" w14:textId="77777777" w:rsidR="005329D8" w:rsidRDefault="005329D8" w:rsidP="000A5702">
            <w:pPr>
              <w:spacing w:before="80" w:after="80"/>
              <w:jc w:val="left"/>
              <w:cnfStyle w:val="000000010000" w:firstRow="0" w:lastRow="0" w:firstColumn="0" w:lastColumn="0" w:oddVBand="0" w:evenVBand="0" w:oddHBand="0" w:evenHBand="1" w:firstRowFirstColumn="0" w:firstRowLastColumn="0" w:lastRowFirstColumn="0" w:lastRowLastColumn="0"/>
              <w:rPr>
                <w:noProof/>
              </w:rPr>
            </w:pPr>
            <w:r w:rsidRPr="0074173F">
              <w:rPr>
                <w:noProof/>
              </w:rPr>
              <w:t>A rolling</w:t>
            </w:r>
            <w:r>
              <w:rPr>
                <w:noProof/>
              </w:rPr>
              <w:t xml:space="preserve"> </w:t>
            </w:r>
            <w:r w:rsidRPr="0074173F">
              <w:rPr>
                <w:noProof/>
              </w:rPr>
              <w:t>(12 month) cash</w:t>
            </w:r>
            <w:r>
              <w:rPr>
                <w:noProof/>
              </w:rPr>
              <w:t>-</w:t>
            </w:r>
            <w:r w:rsidRPr="0074173F">
              <w:rPr>
                <w:noProof/>
              </w:rPr>
              <w:t>flow forecast</w:t>
            </w:r>
            <w:r w:rsidR="000E7468">
              <w:rPr>
                <w:noProof/>
              </w:rPr>
              <w:t xml:space="preserve"> </w:t>
            </w:r>
            <w:r w:rsidRPr="0074173F">
              <w:rPr>
                <w:noProof/>
              </w:rPr>
              <w:t xml:space="preserve">must be </w:t>
            </w:r>
            <w:r>
              <w:rPr>
                <w:noProof/>
              </w:rPr>
              <w:t>povided to DTF on request.</w:t>
            </w:r>
            <w:r w:rsidRPr="0074173F">
              <w:rPr>
                <w:noProof/>
              </w:rPr>
              <w:t xml:space="preserve"> </w:t>
            </w:r>
          </w:p>
          <w:p w14:paraId="3C72C6E3" w14:textId="13528424" w:rsidR="004E3241" w:rsidRDefault="004E3241" w:rsidP="000A5702">
            <w:pPr>
              <w:spacing w:before="80" w:after="80"/>
              <w:jc w:val="left"/>
              <w:cnfStyle w:val="000000010000" w:firstRow="0" w:lastRow="0" w:firstColumn="0" w:lastColumn="0" w:oddVBand="0" w:evenVBand="0" w:oddHBand="0" w:evenHBand="1" w:firstRowFirstColumn="0" w:firstRowLastColumn="0" w:lastRowFirstColumn="0" w:lastRowLastColumn="0"/>
              <w:rPr>
                <w:noProof/>
              </w:rPr>
            </w:pPr>
          </w:p>
        </w:tc>
        <w:tc>
          <w:tcPr>
            <w:tcW w:w="2976" w:type="dxa"/>
          </w:tcPr>
          <w:p w14:paraId="314073E5" w14:textId="77777777" w:rsidR="001F7E64" w:rsidRDefault="001F7E64" w:rsidP="005329D8">
            <w:pPr>
              <w:spacing w:before="80" w:after="80"/>
              <w:jc w:val="left"/>
              <w:cnfStyle w:val="000000010000" w:firstRow="0" w:lastRow="0" w:firstColumn="0" w:lastColumn="0" w:oddVBand="0" w:evenVBand="0" w:oddHBand="0" w:evenHBand="1" w:firstRowFirstColumn="0" w:firstRowLastColumn="0" w:lastRowFirstColumn="0" w:lastRowLastColumn="0"/>
              <w:rPr>
                <w:noProof/>
              </w:rPr>
            </w:pPr>
          </w:p>
          <w:p w14:paraId="5EB4F086" w14:textId="77777777" w:rsidR="001F7E64" w:rsidRDefault="001F7E64" w:rsidP="005329D8">
            <w:pPr>
              <w:spacing w:before="80" w:after="80"/>
              <w:jc w:val="left"/>
              <w:cnfStyle w:val="000000010000" w:firstRow="0" w:lastRow="0" w:firstColumn="0" w:lastColumn="0" w:oddVBand="0" w:evenVBand="0" w:oddHBand="0" w:evenHBand="1" w:firstRowFirstColumn="0" w:firstRowLastColumn="0" w:lastRowFirstColumn="0" w:lastRowLastColumn="0"/>
              <w:rPr>
                <w:noProof/>
              </w:rPr>
            </w:pPr>
          </w:p>
          <w:p w14:paraId="136B599A" w14:textId="5C525C8A" w:rsidR="004148E6" w:rsidRDefault="005329D8" w:rsidP="005329D8">
            <w:pPr>
              <w:spacing w:before="80" w:after="80"/>
              <w:jc w:val="left"/>
              <w:cnfStyle w:val="000000010000" w:firstRow="0" w:lastRow="0" w:firstColumn="0" w:lastColumn="0" w:oddVBand="0" w:evenVBand="0" w:oddHBand="0" w:evenHBand="1" w:firstRowFirstColumn="0" w:firstRowLastColumn="0" w:lastRowFirstColumn="0" w:lastRowLastColumn="0"/>
              <w:rPr>
                <w:noProof/>
              </w:rPr>
            </w:pPr>
            <w:r w:rsidRPr="0074173F">
              <w:rPr>
                <w:noProof/>
              </w:rPr>
              <w:t xml:space="preserve">Agency </w:t>
            </w:r>
            <w:r>
              <w:rPr>
                <w:noProof/>
              </w:rPr>
              <w:t xml:space="preserve">funds must be </w:t>
            </w:r>
            <w:r w:rsidRPr="0074173F">
              <w:rPr>
                <w:noProof/>
              </w:rPr>
              <w:t>deposited within the Central Banking System</w:t>
            </w:r>
          </w:p>
          <w:p w14:paraId="0CE88AE2" w14:textId="6BD0AF73" w:rsidR="005329D8" w:rsidRDefault="004148E6" w:rsidP="005329D8">
            <w:pPr>
              <w:spacing w:before="80" w:after="80"/>
              <w:jc w:val="left"/>
              <w:cnfStyle w:val="000000010000" w:firstRow="0" w:lastRow="0" w:firstColumn="0" w:lastColumn="0" w:oddVBand="0" w:evenVBand="0" w:oddHBand="0" w:evenHBand="1" w:firstRowFirstColumn="0" w:firstRowLastColumn="0" w:lastRowFirstColumn="0" w:lastRowLastColumn="0"/>
              <w:rPr>
                <w:b/>
                <w:bCs/>
                <w:i/>
                <w:iCs/>
                <w:noProof/>
              </w:rPr>
            </w:pPr>
            <w:r>
              <w:rPr>
                <w:noProof/>
              </w:rPr>
              <w:t xml:space="preserve">Working Capital funds can be kept in a transactional account outside of </w:t>
            </w:r>
            <w:r w:rsidR="00034116">
              <w:rPr>
                <w:noProof/>
              </w:rPr>
              <w:t xml:space="preserve">the </w:t>
            </w:r>
            <w:r>
              <w:rPr>
                <w:noProof/>
              </w:rPr>
              <w:t>CBS.</w:t>
            </w:r>
            <w:r w:rsidR="005329D8">
              <w:rPr>
                <w:noProof/>
              </w:rPr>
              <w:t xml:space="preserve"> </w:t>
            </w:r>
          </w:p>
          <w:p w14:paraId="1A44B827" w14:textId="6C89E18C" w:rsidR="000E7468" w:rsidRDefault="00E828D6" w:rsidP="000A5702">
            <w:pPr>
              <w:spacing w:before="80" w:after="80"/>
              <w:jc w:val="left"/>
              <w:cnfStyle w:val="000000010000" w:firstRow="0" w:lastRow="0" w:firstColumn="0" w:lastColumn="0" w:oddVBand="0" w:evenVBand="0" w:oddHBand="0" w:evenHBand="1" w:firstRowFirstColumn="0" w:firstRowLastColumn="0" w:lastRowFirstColumn="0" w:lastRowLastColumn="0"/>
              <w:rPr>
                <w:noProof/>
              </w:rPr>
            </w:pPr>
            <w:r w:rsidRPr="00A2530B" w:rsidDel="00EA2B85">
              <w:rPr>
                <w:noProof/>
              </w:rPr>
              <w:t>E</w:t>
            </w:r>
            <w:r w:rsidRPr="00A2530B" w:rsidDel="005329D8">
              <w:rPr>
                <w:noProof/>
              </w:rPr>
              <w:t xml:space="preserve">xempt funds (from third-parties, non-government, or long-term investments) </w:t>
            </w:r>
            <w:r w:rsidRPr="00A2530B" w:rsidDel="00943EA5">
              <w:rPr>
                <w:noProof/>
              </w:rPr>
              <w:t>must be invested with TCV or VFMC</w:t>
            </w:r>
          </w:p>
        </w:tc>
      </w:tr>
    </w:tbl>
    <w:p w14:paraId="20F5E77C" w14:textId="77777777" w:rsidR="005E6261" w:rsidRDefault="005E6261">
      <w:r>
        <w:br w:type="page"/>
      </w:r>
    </w:p>
    <w:tbl>
      <w:tblPr>
        <w:tblStyle w:val="TableGrid"/>
        <w:tblW w:w="9129" w:type="dxa"/>
        <w:tblLook w:val="04A0" w:firstRow="1" w:lastRow="0" w:firstColumn="1" w:lastColumn="0" w:noHBand="0" w:noVBand="1"/>
      </w:tblPr>
      <w:tblGrid>
        <w:gridCol w:w="2892"/>
        <w:gridCol w:w="3261"/>
        <w:gridCol w:w="2976"/>
      </w:tblGrid>
      <w:tr w:rsidR="005B2BB6" w14:paraId="00B40198" w14:textId="77777777" w:rsidTr="005B2B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374A68C0" w14:textId="69A19906" w:rsidR="005B2BB6" w:rsidRPr="000F364B" w:rsidRDefault="005B2BB6" w:rsidP="005B2BB6">
            <w:pPr>
              <w:spacing w:before="80" w:after="80"/>
              <w:rPr>
                <w:noProof/>
              </w:rPr>
            </w:pPr>
            <w:r w:rsidRPr="00AD746C">
              <w:rPr>
                <w:b/>
                <w:bCs/>
                <w:noProof/>
              </w:rPr>
              <w:lastRenderedPageBreak/>
              <w:t>SD Section (202</w:t>
            </w:r>
            <w:r>
              <w:rPr>
                <w:b/>
                <w:bCs/>
                <w:noProof/>
              </w:rPr>
              <w:t>1 update</w:t>
            </w:r>
            <w:r w:rsidRPr="00AD746C">
              <w:rPr>
                <w:b/>
                <w:bCs/>
                <w:noProof/>
              </w:rPr>
              <w:t>)</w:t>
            </w:r>
          </w:p>
        </w:tc>
        <w:tc>
          <w:tcPr>
            <w:tcW w:w="3261" w:type="dxa"/>
          </w:tcPr>
          <w:p w14:paraId="3CA14D71" w14:textId="5F1D4A15" w:rsidR="005B2BB6" w:rsidRPr="0090676C" w:rsidRDefault="005B2BB6" w:rsidP="005B2BB6">
            <w:pPr>
              <w:spacing w:before="80" w:after="80"/>
              <w:cnfStyle w:val="100000000000" w:firstRow="1" w:lastRow="0" w:firstColumn="0" w:lastColumn="0" w:oddVBand="0" w:evenVBand="0" w:oddHBand="0" w:evenHBand="0" w:firstRowFirstColumn="0" w:firstRowLastColumn="0" w:lastRowFirstColumn="0" w:lastRowLastColumn="0"/>
              <w:rPr>
                <w:noProof/>
              </w:rPr>
            </w:pPr>
            <w:r>
              <w:rPr>
                <w:b/>
                <w:bCs/>
                <w:noProof/>
              </w:rPr>
              <w:t xml:space="preserve">Current </w:t>
            </w:r>
            <w:r w:rsidRPr="00AD746C">
              <w:rPr>
                <w:b/>
                <w:bCs/>
                <w:noProof/>
              </w:rPr>
              <w:t>S</w:t>
            </w:r>
            <w:r>
              <w:rPr>
                <w:b/>
                <w:bCs/>
                <w:noProof/>
              </w:rPr>
              <w:t>tanding Directions</w:t>
            </w:r>
            <w:r w:rsidRPr="00AD746C">
              <w:rPr>
                <w:b/>
                <w:bCs/>
                <w:noProof/>
              </w:rPr>
              <w:t xml:space="preserve"> </w:t>
            </w:r>
            <w:r>
              <w:rPr>
                <w:b/>
                <w:bCs/>
                <w:noProof/>
              </w:rPr>
              <w:t xml:space="preserve"> (Updated February 2021)</w:t>
            </w:r>
          </w:p>
        </w:tc>
        <w:tc>
          <w:tcPr>
            <w:tcW w:w="2976" w:type="dxa"/>
          </w:tcPr>
          <w:p w14:paraId="1324AAAA" w14:textId="4C03D3A8" w:rsidR="005B2BB6" w:rsidRPr="000F364B" w:rsidRDefault="005B2BB6" w:rsidP="005B2BB6">
            <w:pPr>
              <w:spacing w:before="80" w:after="80"/>
              <w:cnfStyle w:val="100000000000" w:firstRow="1" w:lastRow="0" w:firstColumn="0" w:lastColumn="0" w:oddVBand="0" w:evenVBand="0" w:oddHBand="0" w:evenHBand="0" w:firstRowFirstColumn="0" w:firstRowLastColumn="0" w:lastRowFirstColumn="0" w:lastRowLastColumn="0"/>
              <w:rPr>
                <w:noProof/>
              </w:rPr>
            </w:pPr>
            <w:r>
              <w:rPr>
                <w:b/>
                <w:bCs/>
                <w:noProof/>
              </w:rPr>
              <w:t xml:space="preserve">Previous </w:t>
            </w:r>
            <w:r w:rsidRPr="00AD746C">
              <w:rPr>
                <w:b/>
                <w:bCs/>
                <w:noProof/>
              </w:rPr>
              <w:t>S</w:t>
            </w:r>
            <w:r>
              <w:rPr>
                <w:b/>
                <w:bCs/>
                <w:noProof/>
              </w:rPr>
              <w:t>tanding Directions (Updated December 2019)</w:t>
            </w:r>
          </w:p>
        </w:tc>
      </w:tr>
      <w:tr w:rsidR="005B3D0A" w14:paraId="0C4DC8D0" w14:textId="77777777" w:rsidTr="005B2BB6">
        <w:tc>
          <w:tcPr>
            <w:cnfStyle w:val="001000000000" w:firstRow="0" w:lastRow="0" w:firstColumn="1" w:lastColumn="0" w:oddVBand="0" w:evenVBand="0" w:oddHBand="0" w:evenHBand="0" w:firstRowFirstColumn="0" w:firstRowLastColumn="0" w:lastRowFirstColumn="0" w:lastRowLastColumn="0"/>
            <w:tcW w:w="2892" w:type="dxa"/>
            <w:shd w:val="clear" w:color="auto" w:fill="FFFFFF" w:themeFill="background1"/>
          </w:tcPr>
          <w:p w14:paraId="05693E0D" w14:textId="77777777" w:rsidR="005B3D0A" w:rsidRDefault="005B3D0A" w:rsidP="005B3D0A">
            <w:pPr>
              <w:spacing w:before="80" w:after="80"/>
              <w:rPr>
                <w:noProof/>
              </w:rPr>
            </w:pPr>
            <w:r>
              <w:rPr>
                <w:noProof/>
              </w:rPr>
              <w:t>1.6 Definitions and interpretations</w:t>
            </w:r>
          </w:p>
          <w:p w14:paraId="317E33D8" w14:textId="77777777" w:rsidR="005B3D0A" w:rsidRDefault="005B3D0A" w:rsidP="005B3D0A">
            <w:pPr>
              <w:spacing w:before="80" w:after="80"/>
              <w:rPr>
                <w:noProof/>
              </w:rPr>
            </w:pPr>
          </w:p>
          <w:p w14:paraId="172492A7" w14:textId="5D831B45" w:rsidR="005B3D0A" w:rsidRDefault="005B3D0A" w:rsidP="005B3D0A">
            <w:pPr>
              <w:spacing w:before="80" w:after="80"/>
              <w:rPr>
                <w:noProof/>
              </w:rPr>
            </w:pPr>
          </w:p>
        </w:tc>
        <w:tc>
          <w:tcPr>
            <w:tcW w:w="3261" w:type="dxa"/>
          </w:tcPr>
          <w:p w14:paraId="2E002C0F" w14:textId="77777777" w:rsidR="005B3D0A" w:rsidRDefault="005B3D0A" w:rsidP="005B3D0A">
            <w:pPr>
              <w:spacing w:before="80" w:after="80"/>
              <w:jc w:val="left"/>
              <w:cnfStyle w:val="000000000000" w:firstRow="0" w:lastRow="0" w:firstColumn="0" w:lastColumn="0" w:oddVBand="0" w:evenVBand="0" w:oddHBand="0" w:evenHBand="0" w:firstRowFirstColumn="0" w:firstRowLastColumn="0" w:lastRowFirstColumn="0" w:lastRowLastColumn="0"/>
              <w:rPr>
                <w:noProof/>
              </w:rPr>
            </w:pPr>
            <w:r>
              <w:rPr>
                <w:noProof/>
              </w:rPr>
              <w:t xml:space="preserve">The following are new definitions to help classify </w:t>
            </w:r>
            <w:r w:rsidRPr="0090676C">
              <w:rPr>
                <w:i/>
                <w:iCs/>
                <w:noProof/>
              </w:rPr>
              <w:t>Fina</w:t>
            </w:r>
            <w:r>
              <w:rPr>
                <w:i/>
                <w:iCs/>
                <w:noProof/>
              </w:rPr>
              <w:t>n</w:t>
            </w:r>
            <w:r w:rsidRPr="0090676C">
              <w:rPr>
                <w:i/>
                <w:iCs/>
                <w:noProof/>
              </w:rPr>
              <w:t>cial Asset</w:t>
            </w:r>
            <w:r>
              <w:rPr>
                <w:i/>
                <w:iCs/>
                <w:noProof/>
              </w:rPr>
              <w:t>s</w:t>
            </w:r>
            <w:r>
              <w:rPr>
                <w:noProof/>
              </w:rPr>
              <w:t>:</w:t>
            </w:r>
          </w:p>
          <w:p w14:paraId="57A70A33" w14:textId="77777777" w:rsidR="005B3D0A" w:rsidRDefault="005B3D0A" w:rsidP="005B3D0A">
            <w:pPr>
              <w:spacing w:before="80" w:after="80"/>
              <w:jc w:val="left"/>
              <w:cnfStyle w:val="000000000000" w:firstRow="0" w:lastRow="0" w:firstColumn="0" w:lastColumn="0" w:oddVBand="0" w:evenVBand="0" w:oddHBand="0" w:evenHBand="0" w:firstRowFirstColumn="0" w:firstRowLastColumn="0" w:lastRowFirstColumn="0" w:lastRowLastColumn="0"/>
              <w:rPr>
                <w:noProof/>
              </w:rPr>
            </w:pPr>
            <w:r>
              <w:rPr>
                <w:noProof/>
              </w:rPr>
              <w:t xml:space="preserve"> </w:t>
            </w:r>
            <w:r w:rsidRPr="0090676C">
              <w:rPr>
                <w:noProof/>
              </w:rPr>
              <w:t>-</w:t>
            </w:r>
            <w:r>
              <w:rPr>
                <w:noProof/>
              </w:rPr>
              <w:t xml:space="preserve"> l</w:t>
            </w:r>
            <w:r w:rsidRPr="0090676C">
              <w:rPr>
                <w:noProof/>
              </w:rPr>
              <w:t>ong-term invesment funds</w:t>
            </w:r>
          </w:p>
          <w:p w14:paraId="3E3F1CB2" w14:textId="77777777" w:rsidR="005B3D0A" w:rsidRDefault="005B3D0A" w:rsidP="005B3D0A">
            <w:pPr>
              <w:spacing w:before="80" w:after="80"/>
              <w:jc w:val="left"/>
              <w:cnfStyle w:val="000000000000" w:firstRow="0" w:lastRow="0" w:firstColumn="0" w:lastColumn="0" w:oddVBand="0" w:evenVBand="0" w:oddHBand="0" w:evenHBand="0" w:firstRowFirstColumn="0" w:firstRowLastColumn="0" w:lastRowFirstColumn="0" w:lastRowLastColumn="0"/>
              <w:rPr>
                <w:noProof/>
              </w:rPr>
            </w:pPr>
            <w:r>
              <w:rPr>
                <w:noProof/>
              </w:rPr>
              <w:t xml:space="preserve"> - non-government source funds</w:t>
            </w:r>
          </w:p>
          <w:p w14:paraId="163CAE29" w14:textId="77777777" w:rsidR="005B3D0A" w:rsidRDefault="005B3D0A" w:rsidP="005B3D0A">
            <w:pPr>
              <w:spacing w:before="80" w:after="80"/>
              <w:jc w:val="left"/>
              <w:cnfStyle w:val="000000000000" w:firstRow="0" w:lastRow="0" w:firstColumn="0" w:lastColumn="0" w:oddVBand="0" w:evenVBand="0" w:oddHBand="0" w:evenHBand="0" w:firstRowFirstColumn="0" w:firstRowLastColumn="0" w:lastRowFirstColumn="0" w:lastRowLastColumn="0"/>
              <w:rPr>
                <w:noProof/>
              </w:rPr>
            </w:pPr>
            <w:r>
              <w:rPr>
                <w:noProof/>
              </w:rPr>
              <w:t xml:space="preserve"> </w:t>
            </w:r>
            <w:r w:rsidRPr="0090676C">
              <w:rPr>
                <w:noProof/>
              </w:rPr>
              <w:t>-</w:t>
            </w:r>
            <w:r>
              <w:rPr>
                <w:noProof/>
              </w:rPr>
              <w:t xml:space="preserve"> own source revenue</w:t>
            </w:r>
          </w:p>
          <w:p w14:paraId="30F2180A" w14:textId="77777777" w:rsidR="005B3D0A" w:rsidRDefault="005B3D0A" w:rsidP="005B3D0A">
            <w:pPr>
              <w:spacing w:before="80" w:after="80"/>
              <w:jc w:val="left"/>
              <w:cnfStyle w:val="000000000000" w:firstRow="0" w:lastRow="0" w:firstColumn="0" w:lastColumn="0" w:oddVBand="0" w:evenVBand="0" w:oddHBand="0" w:evenHBand="0" w:firstRowFirstColumn="0" w:firstRowLastColumn="0" w:lastRowFirstColumn="0" w:lastRowLastColumn="0"/>
              <w:rPr>
                <w:noProof/>
              </w:rPr>
            </w:pPr>
            <w:r>
              <w:rPr>
                <w:noProof/>
              </w:rPr>
              <w:t xml:space="preserve"> </w:t>
            </w:r>
            <w:r w:rsidRPr="0090676C">
              <w:rPr>
                <w:noProof/>
              </w:rPr>
              <w:t>-</w:t>
            </w:r>
            <w:r>
              <w:rPr>
                <w:noProof/>
              </w:rPr>
              <w:t xml:space="preserve"> State funds</w:t>
            </w:r>
          </w:p>
          <w:p w14:paraId="5290F380" w14:textId="77777777" w:rsidR="005B3D0A" w:rsidRDefault="005B3D0A" w:rsidP="005B3D0A">
            <w:pPr>
              <w:spacing w:before="80" w:after="80"/>
              <w:jc w:val="left"/>
              <w:cnfStyle w:val="000000000000" w:firstRow="0" w:lastRow="0" w:firstColumn="0" w:lastColumn="0" w:oddVBand="0" w:evenVBand="0" w:oddHBand="0" w:evenHBand="0" w:firstRowFirstColumn="0" w:firstRowLastColumn="0" w:lastRowFirstColumn="0" w:lastRowLastColumn="0"/>
              <w:rPr>
                <w:noProof/>
              </w:rPr>
            </w:pPr>
            <w:r>
              <w:rPr>
                <w:noProof/>
              </w:rPr>
              <w:t xml:space="preserve"> </w:t>
            </w:r>
            <w:r w:rsidRPr="0090676C">
              <w:rPr>
                <w:noProof/>
              </w:rPr>
              <w:t>-</w:t>
            </w:r>
            <w:r>
              <w:rPr>
                <w:noProof/>
              </w:rPr>
              <w:t xml:space="preserve"> third-party funds</w:t>
            </w:r>
          </w:p>
          <w:p w14:paraId="1DDA545D" w14:textId="77777777" w:rsidR="005B3D0A" w:rsidRDefault="005B3D0A" w:rsidP="005B3D0A">
            <w:pPr>
              <w:spacing w:before="80" w:after="80"/>
              <w:jc w:val="left"/>
              <w:cnfStyle w:val="000000000000" w:firstRow="0" w:lastRow="0" w:firstColumn="0" w:lastColumn="0" w:oddVBand="0" w:evenVBand="0" w:oddHBand="0" w:evenHBand="0" w:firstRowFirstColumn="0" w:firstRowLastColumn="0" w:lastRowFirstColumn="0" w:lastRowLastColumn="0"/>
              <w:rPr>
                <w:noProof/>
              </w:rPr>
            </w:pPr>
            <w:r>
              <w:rPr>
                <w:noProof/>
              </w:rPr>
              <w:t xml:space="preserve"> </w:t>
            </w:r>
            <w:r w:rsidRPr="0090676C">
              <w:rPr>
                <w:noProof/>
              </w:rPr>
              <w:t>-</w:t>
            </w:r>
            <w:r>
              <w:rPr>
                <w:noProof/>
              </w:rPr>
              <w:t xml:space="preserve"> working capital</w:t>
            </w:r>
          </w:p>
          <w:p w14:paraId="5BE3259C" w14:textId="77777777" w:rsidR="005B3D0A" w:rsidRDefault="005B3D0A" w:rsidP="005B3D0A">
            <w:pPr>
              <w:spacing w:before="80" w:after="80"/>
              <w:jc w:val="left"/>
              <w:cnfStyle w:val="000000000000" w:firstRow="0" w:lastRow="0" w:firstColumn="0" w:lastColumn="0" w:oddVBand="0" w:evenVBand="0" w:oddHBand="0" w:evenHBand="0" w:firstRowFirstColumn="0" w:firstRowLastColumn="0" w:lastRowFirstColumn="0" w:lastRowLastColumn="0"/>
              <w:rPr>
                <w:noProof/>
              </w:rPr>
            </w:pPr>
            <w:r>
              <w:rPr>
                <w:noProof/>
              </w:rPr>
              <w:t>The following definitions have been added or amended:</w:t>
            </w:r>
          </w:p>
          <w:p w14:paraId="3426C9DC" w14:textId="77777777" w:rsidR="005B3D0A" w:rsidRDefault="005B3D0A" w:rsidP="005B3D0A">
            <w:pPr>
              <w:spacing w:before="80" w:after="80"/>
              <w:jc w:val="left"/>
              <w:cnfStyle w:val="000000000000" w:firstRow="0" w:lastRow="0" w:firstColumn="0" w:lastColumn="0" w:oddVBand="0" w:evenVBand="0" w:oddHBand="0" w:evenHBand="0" w:firstRowFirstColumn="0" w:firstRowLastColumn="0" w:lastRowFirstColumn="0" w:lastRowLastColumn="0"/>
              <w:rPr>
                <w:noProof/>
              </w:rPr>
            </w:pPr>
            <w:r w:rsidRPr="0090676C">
              <w:rPr>
                <w:noProof/>
              </w:rPr>
              <w:t xml:space="preserve"> </w:t>
            </w:r>
            <w:r>
              <w:rPr>
                <w:noProof/>
              </w:rPr>
              <w:t>- bank account</w:t>
            </w:r>
          </w:p>
          <w:p w14:paraId="4F1ABDE2" w14:textId="77777777" w:rsidR="005B3D0A" w:rsidRDefault="005B3D0A" w:rsidP="005B3D0A">
            <w:pPr>
              <w:spacing w:before="80" w:after="80"/>
              <w:jc w:val="left"/>
              <w:cnfStyle w:val="000000000000" w:firstRow="0" w:lastRow="0" w:firstColumn="0" w:lastColumn="0" w:oddVBand="0" w:evenVBand="0" w:oddHBand="0" w:evenHBand="0" w:firstRowFirstColumn="0" w:firstRowLastColumn="0" w:lastRowFirstColumn="0" w:lastRowLastColumn="0"/>
              <w:rPr>
                <w:noProof/>
              </w:rPr>
            </w:pPr>
            <w:r>
              <w:rPr>
                <w:noProof/>
              </w:rPr>
              <w:t xml:space="preserve"> - Central Banking System (CBS)</w:t>
            </w:r>
          </w:p>
          <w:p w14:paraId="4FF37372" w14:textId="77777777" w:rsidR="005B3D0A" w:rsidRDefault="005B3D0A" w:rsidP="005B3D0A">
            <w:pPr>
              <w:spacing w:before="80" w:after="80"/>
              <w:jc w:val="left"/>
              <w:cnfStyle w:val="000000000000" w:firstRow="0" w:lastRow="0" w:firstColumn="0" w:lastColumn="0" w:oddVBand="0" w:evenVBand="0" w:oddHBand="0" w:evenHBand="0" w:firstRowFirstColumn="0" w:firstRowLastColumn="0" w:lastRowFirstColumn="0" w:lastRowLastColumn="0"/>
              <w:rPr>
                <w:noProof/>
              </w:rPr>
            </w:pPr>
            <w:r>
              <w:rPr>
                <w:noProof/>
              </w:rPr>
              <w:t xml:space="preserve"> - SPC</w:t>
            </w:r>
          </w:p>
          <w:p w14:paraId="49A0CF47" w14:textId="77777777" w:rsidR="005B3D0A" w:rsidRPr="0090676C" w:rsidRDefault="005B3D0A" w:rsidP="005B3D0A">
            <w:pPr>
              <w:spacing w:before="80" w:after="80"/>
              <w:jc w:val="left"/>
              <w:cnfStyle w:val="000000000000" w:firstRow="0" w:lastRow="0" w:firstColumn="0" w:lastColumn="0" w:oddVBand="0" w:evenVBand="0" w:oddHBand="0" w:evenHBand="0" w:firstRowFirstColumn="0" w:firstRowLastColumn="0" w:lastRowFirstColumn="0" w:lastRowLastColumn="0"/>
              <w:rPr>
                <w:noProof/>
              </w:rPr>
            </w:pPr>
            <w:r>
              <w:rPr>
                <w:noProof/>
              </w:rPr>
              <w:t xml:space="preserve"> - new SPC</w:t>
            </w:r>
          </w:p>
          <w:p w14:paraId="711ADCF1" w14:textId="4715D9C1" w:rsidR="005B3D0A" w:rsidRDefault="005B3D0A" w:rsidP="005B3D0A">
            <w:pPr>
              <w:spacing w:before="80" w:after="80"/>
              <w:jc w:val="left"/>
              <w:cnfStyle w:val="000000000000" w:firstRow="0" w:lastRow="0" w:firstColumn="0" w:lastColumn="0" w:oddVBand="0" w:evenVBand="0" w:oddHBand="0" w:evenHBand="0" w:firstRowFirstColumn="0" w:firstRowLastColumn="0" w:lastRowFirstColumn="0" w:lastRowLastColumn="0"/>
              <w:rPr>
                <w:noProof/>
              </w:rPr>
            </w:pPr>
          </w:p>
        </w:tc>
        <w:tc>
          <w:tcPr>
            <w:tcW w:w="2976" w:type="dxa"/>
          </w:tcPr>
          <w:p w14:paraId="2E9B064F" w14:textId="687880DA" w:rsidR="005B3D0A" w:rsidRDefault="005B3D0A" w:rsidP="005B3D0A">
            <w:pPr>
              <w:spacing w:before="80" w:after="80"/>
              <w:jc w:val="left"/>
              <w:cnfStyle w:val="000000000000" w:firstRow="0" w:lastRow="0" w:firstColumn="0" w:lastColumn="0" w:oddVBand="0" w:evenVBand="0" w:oddHBand="0" w:evenHBand="0" w:firstRowFirstColumn="0" w:firstRowLastColumn="0" w:lastRowFirstColumn="0" w:lastRowLastColumn="0"/>
              <w:rPr>
                <w:noProof/>
              </w:rPr>
            </w:pPr>
          </w:p>
        </w:tc>
      </w:tr>
      <w:tr w:rsidR="00490C9D" w:rsidRPr="008F10D7" w14:paraId="0A311E6E" w14:textId="77777777" w:rsidTr="008F10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58B40D2D" w14:textId="2679379D" w:rsidR="00490C9D" w:rsidRDefault="00490C9D" w:rsidP="00490C9D">
            <w:pPr>
              <w:spacing w:before="80" w:after="80"/>
              <w:rPr>
                <w:noProof/>
              </w:rPr>
            </w:pPr>
            <w:r w:rsidRPr="00490C9D">
              <w:rPr>
                <w:noProof/>
              </w:rPr>
              <w:t>1.4 Transition arrangements</w:t>
            </w:r>
          </w:p>
        </w:tc>
        <w:tc>
          <w:tcPr>
            <w:tcW w:w="3261" w:type="dxa"/>
          </w:tcPr>
          <w:p w14:paraId="49C237ED" w14:textId="77777777" w:rsidR="00490C9D" w:rsidRDefault="00490C9D" w:rsidP="008F10D7">
            <w:pPr>
              <w:spacing w:before="80" w:after="80"/>
              <w:jc w:val="left"/>
              <w:cnfStyle w:val="000000010000" w:firstRow="0" w:lastRow="0" w:firstColumn="0" w:lastColumn="0" w:oddVBand="0" w:evenVBand="0" w:oddHBand="0" w:evenHBand="1" w:firstRowFirstColumn="0" w:firstRowLastColumn="0" w:lastRowFirstColumn="0" w:lastRowLastColumn="0"/>
              <w:rPr>
                <w:noProof/>
              </w:rPr>
            </w:pPr>
            <w:r>
              <w:rPr>
                <w:noProof/>
              </w:rPr>
              <w:t>The SPC is estimated to be finalised by 1 July 2021.</w:t>
            </w:r>
          </w:p>
          <w:p w14:paraId="3AE86201" w14:textId="77777777" w:rsidR="00490C9D" w:rsidRDefault="00490C9D" w:rsidP="008F10D7">
            <w:pPr>
              <w:spacing w:before="80" w:after="80"/>
              <w:jc w:val="left"/>
              <w:cnfStyle w:val="000000010000" w:firstRow="0" w:lastRow="0" w:firstColumn="0" w:lastColumn="0" w:oddVBand="0" w:evenVBand="0" w:oddHBand="0" w:evenHBand="1" w:firstRowFirstColumn="0" w:firstRowLastColumn="0" w:lastRowFirstColumn="0" w:lastRowLastColumn="0"/>
              <w:rPr>
                <w:noProof/>
              </w:rPr>
            </w:pPr>
            <w:r>
              <w:rPr>
                <w:noProof/>
              </w:rPr>
              <w:t xml:space="preserve">Six months after the commencement of the SPC, the responsible body  must: </w:t>
            </w:r>
          </w:p>
          <w:p w14:paraId="00049137" w14:textId="77777777" w:rsidR="00490C9D" w:rsidRDefault="00490C9D" w:rsidP="008F10D7">
            <w:pPr>
              <w:spacing w:before="80" w:after="80"/>
              <w:jc w:val="left"/>
              <w:cnfStyle w:val="000000010000" w:firstRow="0" w:lastRow="0" w:firstColumn="0" w:lastColumn="0" w:oddVBand="0" w:evenVBand="0" w:oddHBand="0" w:evenHBand="1" w:firstRowFirstColumn="0" w:firstRowLastColumn="0" w:lastRowFirstColumn="0" w:lastRowLastColumn="0"/>
              <w:rPr>
                <w:noProof/>
              </w:rPr>
            </w:pPr>
            <w:r>
              <w:rPr>
                <w:noProof/>
              </w:rPr>
              <w:t>- establish a CBS bank account and move all eligible financial assets into the CBS, including working capital funds, and;</w:t>
            </w:r>
          </w:p>
          <w:p w14:paraId="4A439E15" w14:textId="77777777" w:rsidR="00490C9D" w:rsidRDefault="00490C9D" w:rsidP="008F10D7">
            <w:pPr>
              <w:spacing w:before="80" w:after="80"/>
              <w:jc w:val="left"/>
              <w:cnfStyle w:val="000000010000" w:firstRow="0" w:lastRow="0" w:firstColumn="0" w:lastColumn="0" w:oddVBand="0" w:evenVBand="0" w:oddHBand="0" w:evenHBand="1" w:firstRowFirstColumn="0" w:firstRowLastColumn="0" w:lastRowFirstColumn="0" w:lastRowLastColumn="0"/>
              <w:rPr>
                <w:noProof/>
              </w:rPr>
            </w:pPr>
            <w:r>
              <w:rPr>
                <w:noProof/>
              </w:rPr>
              <w:t>- ensure financial assets that are exempt from the CBS are invested with Treasury Corporation of Victoria (TCV) or Victorian Funds Management Corporation (VFMC)</w:t>
            </w:r>
          </w:p>
          <w:p w14:paraId="1F1460D3" w14:textId="77777777" w:rsidR="00490C9D" w:rsidRDefault="00490C9D" w:rsidP="008F10D7">
            <w:pPr>
              <w:spacing w:before="80" w:after="80"/>
              <w:jc w:val="left"/>
              <w:cnfStyle w:val="000000010000" w:firstRow="0" w:lastRow="0" w:firstColumn="0" w:lastColumn="0" w:oddVBand="0" w:evenVBand="0" w:oddHBand="0" w:evenHBand="1" w:firstRowFirstColumn="0" w:firstRowLastColumn="0" w:lastRowFirstColumn="0" w:lastRowLastColumn="0"/>
              <w:rPr>
                <w:noProof/>
              </w:rPr>
            </w:pPr>
            <w:r>
              <w:rPr>
                <w:noProof/>
              </w:rPr>
              <w:t xml:space="preserve">Agencies can apply for extensions but a transition plan must be approved by DTF within 3 months of the commencement of the SPC </w:t>
            </w:r>
          </w:p>
          <w:p w14:paraId="6BD35425" w14:textId="77777777" w:rsidR="00490C9D" w:rsidRDefault="00490C9D" w:rsidP="008F10D7">
            <w:pPr>
              <w:spacing w:before="80" w:after="80"/>
              <w:jc w:val="left"/>
              <w:cnfStyle w:val="000000010000" w:firstRow="0" w:lastRow="0" w:firstColumn="0" w:lastColumn="0" w:oddVBand="0" w:evenVBand="0" w:oddHBand="0" w:evenHBand="1" w:firstRowFirstColumn="0" w:firstRowLastColumn="0" w:lastRowFirstColumn="0" w:lastRowLastColumn="0"/>
              <w:rPr>
                <w:noProof/>
              </w:rPr>
            </w:pPr>
            <w:r>
              <w:rPr>
                <w:noProof/>
              </w:rPr>
              <w:t>12 months after the commencement of the SPC, the responsible body must ensure that all products or services available to the Agency under the SPC are provided to the Agency under the SPC</w:t>
            </w:r>
          </w:p>
          <w:p w14:paraId="27003A4D" w14:textId="77777777" w:rsidR="00490C9D" w:rsidRDefault="00490C9D" w:rsidP="008F10D7">
            <w:pPr>
              <w:spacing w:before="80" w:after="80"/>
              <w:jc w:val="left"/>
              <w:cnfStyle w:val="000000010000" w:firstRow="0" w:lastRow="0" w:firstColumn="0" w:lastColumn="0" w:oddVBand="0" w:evenVBand="0" w:oddHBand="0" w:evenHBand="1" w:firstRowFirstColumn="0" w:firstRowLastColumn="0" w:lastRowFirstColumn="0" w:lastRowLastColumn="0"/>
              <w:rPr>
                <w:noProof/>
              </w:rPr>
            </w:pPr>
            <w:r>
              <w:rPr>
                <w:noProof/>
              </w:rPr>
              <w:t>Agencies can apply for extensions but a transition plan must be approved by DTF within 6 months of the commencement of the SPC</w:t>
            </w:r>
          </w:p>
          <w:p w14:paraId="0E6A5E4D" w14:textId="07281026" w:rsidR="00490C9D" w:rsidRDefault="00490C9D" w:rsidP="008F10D7">
            <w:pPr>
              <w:spacing w:before="80" w:after="80"/>
              <w:jc w:val="left"/>
              <w:cnfStyle w:val="000000010000" w:firstRow="0" w:lastRow="0" w:firstColumn="0" w:lastColumn="0" w:oddVBand="0" w:evenVBand="0" w:oddHBand="0" w:evenHBand="1" w:firstRowFirstColumn="0" w:firstRowLastColumn="0" w:lastRowFirstColumn="0" w:lastRowLastColumn="0"/>
              <w:rPr>
                <w:noProof/>
              </w:rPr>
            </w:pPr>
          </w:p>
        </w:tc>
        <w:tc>
          <w:tcPr>
            <w:tcW w:w="2976" w:type="dxa"/>
          </w:tcPr>
          <w:p w14:paraId="2474666D" w14:textId="77777777" w:rsidR="00490C9D" w:rsidRDefault="00490C9D" w:rsidP="008F10D7">
            <w:pPr>
              <w:spacing w:before="80" w:after="80"/>
              <w:jc w:val="left"/>
              <w:cnfStyle w:val="000000010000" w:firstRow="0" w:lastRow="0" w:firstColumn="0" w:lastColumn="0" w:oddVBand="0" w:evenVBand="0" w:oddHBand="0" w:evenHBand="1" w:firstRowFirstColumn="0" w:firstRowLastColumn="0" w:lastRowFirstColumn="0" w:lastRowLastColumn="0"/>
              <w:rPr>
                <w:noProof/>
              </w:rPr>
            </w:pPr>
            <w:r>
              <w:rPr>
                <w:noProof/>
              </w:rPr>
              <w:t>Agencies must deposit financial assets into a CBS bank account by:</w:t>
            </w:r>
          </w:p>
          <w:p w14:paraId="208A1A86" w14:textId="77777777" w:rsidR="00490C9D" w:rsidRDefault="00490C9D" w:rsidP="008F10D7">
            <w:pPr>
              <w:spacing w:before="80" w:after="80"/>
              <w:jc w:val="left"/>
              <w:cnfStyle w:val="000000010000" w:firstRow="0" w:lastRow="0" w:firstColumn="0" w:lastColumn="0" w:oddVBand="0" w:evenVBand="0" w:oddHBand="0" w:evenHBand="1" w:firstRowFirstColumn="0" w:firstRowLastColumn="0" w:lastRowFirstColumn="0" w:lastRowLastColumn="0"/>
              <w:rPr>
                <w:noProof/>
              </w:rPr>
            </w:pPr>
            <w:r>
              <w:rPr>
                <w:noProof/>
              </w:rPr>
              <w:t xml:space="preserve"> - 14 February 2019, or;</w:t>
            </w:r>
          </w:p>
          <w:p w14:paraId="21B0797B" w14:textId="6D283F9F" w:rsidR="00490C9D" w:rsidRDefault="00490C9D" w:rsidP="008F10D7">
            <w:pPr>
              <w:spacing w:before="80" w:after="80"/>
              <w:jc w:val="left"/>
              <w:cnfStyle w:val="000000010000" w:firstRow="0" w:lastRow="0" w:firstColumn="0" w:lastColumn="0" w:oddVBand="0" w:evenVBand="0" w:oddHBand="0" w:evenHBand="1" w:firstRowFirstColumn="0" w:firstRowLastColumn="0" w:lastRowFirstColumn="0" w:lastRowLastColumn="0"/>
              <w:rPr>
                <w:noProof/>
              </w:rPr>
            </w:pPr>
            <w:r>
              <w:rPr>
                <w:noProof/>
              </w:rPr>
              <w:t xml:space="preserve"> -  A date agreed in consultation with DTF</w:t>
            </w:r>
          </w:p>
        </w:tc>
      </w:tr>
      <w:tr w:rsidR="005B3D0A" w:rsidRPr="00AD746C" w14:paraId="64F42987" w14:textId="77777777" w:rsidTr="008F10D7">
        <w:tc>
          <w:tcPr>
            <w:cnfStyle w:val="001000000000" w:firstRow="0" w:lastRow="0" w:firstColumn="1" w:lastColumn="0" w:oddVBand="0" w:evenVBand="0" w:oddHBand="0" w:evenHBand="0" w:firstRowFirstColumn="0" w:firstRowLastColumn="0" w:lastRowFirstColumn="0" w:lastRowLastColumn="0"/>
            <w:tcW w:w="2892" w:type="dxa"/>
            <w:shd w:val="clear" w:color="auto" w:fill="FFFFFF" w:themeFill="background1"/>
          </w:tcPr>
          <w:p w14:paraId="42C1F54C" w14:textId="425961BD" w:rsidR="005B3D0A" w:rsidRPr="000A5702" w:rsidRDefault="005B3D0A" w:rsidP="005B3D0A">
            <w:pPr>
              <w:spacing w:before="80" w:after="80"/>
            </w:pPr>
            <w:r w:rsidRPr="001F084D">
              <w:t>1.2.2</w:t>
            </w:r>
            <w:r>
              <w:t xml:space="preserve"> </w:t>
            </w:r>
            <w:r w:rsidRPr="001F084D">
              <w:t>Exemptions from using the CBS and the SPC</w:t>
            </w:r>
          </w:p>
        </w:tc>
        <w:tc>
          <w:tcPr>
            <w:tcW w:w="3261" w:type="dxa"/>
          </w:tcPr>
          <w:p w14:paraId="2DF7AF5F" w14:textId="77777777" w:rsidR="005B3D0A" w:rsidRDefault="005B3D0A" w:rsidP="005B3D0A">
            <w:pPr>
              <w:spacing w:before="80" w:after="80"/>
              <w:jc w:val="left"/>
              <w:cnfStyle w:val="000000000000" w:firstRow="0" w:lastRow="0" w:firstColumn="0" w:lastColumn="0" w:oddVBand="0" w:evenVBand="0" w:oddHBand="0" w:evenHBand="0" w:firstRowFirstColumn="0" w:firstRowLastColumn="0" w:lastRowFirstColumn="0" w:lastRowLastColumn="0"/>
              <w:rPr>
                <w:noProof/>
              </w:rPr>
            </w:pPr>
            <w:r>
              <w:rPr>
                <w:noProof/>
              </w:rPr>
              <w:t>PNFCs and PFCs must now participate</w:t>
            </w:r>
            <w:r>
              <w:t xml:space="preserve"> in the CBS (with a bank account under the new SPC) unless an e</w:t>
            </w:r>
            <w:r>
              <w:rPr>
                <w:noProof/>
              </w:rPr>
              <w:t>xemption is granted by the Assistant Treasurer under Direction 1.5.</w:t>
            </w:r>
          </w:p>
          <w:p w14:paraId="25EC445F" w14:textId="38B5B543" w:rsidR="005B3D0A" w:rsidRPr="00AD746C" w:rsidRDefault="005B3D0A" w:rsidP="005B3D0A">
            <w:pPr>
              <w:spacing w:before="80" w:after="80"/>
              <w:jc w:val="left"/>
              <w:cnfStyle w:val="000000000000" w:firstRow="0" w:lastRow="0" w:firstColumn="0" w:lastColumn="0" w:oddVBand="0" w:evenVBand="0" w:oddHBand="0" w:evenHBand="0" w:firstRowFirstColumn="0" w:firstRowLastColumn="0" w:lastRowFirstColumn="0" w:lastRowLastColumn="0"/>
              <w:rPr>
                <w:b/>
                <w:bCs/>
                <w:noProof/>
                <w:color w:val="FFFFFF" w:themeColor="background1"/>
              </w:rPr>
            </w:pPr>
          </w:p>
        </w:tc>
        <w:tc>
          <w:tcPr>
            <w:tcW w:w="2976" w:type="dxa"/>
          </w:tcPr>
          <w:p w14:paraId="7407A93B" w14:textId="082DD346" w:rsidR="005B3D0A" w:rsidRPr="00AD746C" w:rsidRDefault="005B3D0A" w:rsidP="005B3D0A">
            <w:pPr>
              <w:spacing w:before="80" w:after="80"/>
              <w:jc w:val="left"/>
              <w:cnfStyle w:val="000000000000" w:firstRow="0" w:lastRow="0" w:firstColumn="0" w:lastColumn="0" w:oddVBand="0" w:evenVBand="0" w:oddHBand="0" w:evenHBand="0" w:firstRowFirstColumn="0" w:firstRowLastColumn="0" w:lastRowFirstColumn="0" w:lastRowLastColumn="0"/>
              <w:rPr>
                <w:b/>
                <w:bCs/>
                <w:noProof/>
                <w:color w:val="FFFFFF" w:themeColor="background1"/>
              </w:rPr>
            </w:pPr>
            <w:r>
              <w:t>PFCs and PNFCs were exempt from</w:t>
            </w:r>
            <w:r w:rsidRPr="001F084D">
              <w:t xml:space="preserve"> </w:t>
            </w:r>
            <w:r>
              <w:t>mandatory participation in the CBS (the old SPC)</w:t>
            </w:r>
          </w:p>
        </w:tc>
      </w:tr>
    </w:tbl>
    <w:p w14:paraId="1DECFA19" w14:textId="77777777" w:rsidR="00490C9D" w:rsidRDefault="00490C9D">
      <w:r>
        <w:br w:type="page"/>
      </w:r>
    </w:p>
    <w:tbl>
      <w:tblPr>
        <w:tblStyle w:val="TableGrid"/>
        <w:tblW w:w="9129" w:type="dxa"/>
        <w:tblLook w:val="04A0" w:firstRow="1" w:lastRow="0" w:firstColumn="1" w:lastColumn="0" w:noHBand="0" w:noVBand="1"/>
      </w:tblPr>
      <w:tblGrid>
        <w:gridCol w:w="2892"/>
        <w:gridCol w:w="3261"/>
        <w:gridCol w:w="2976"/>
      </w:tblGrid>
      <w:tr w:rsidR="00490C9D" w14:paraId="28A95F74" w14:textId="77777777" w:rsidTr="00EF07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25B39D40" w14:textId="2409902E" w:rsidR="00490C9D" w:rsidRPr="000F364B" w:rsidRDefault="00490C9D" w:rsidP="00EF074B">
            <w:pPr>
              <w:spacing w:before="80" w:after="80"/>
              <w:rPr>
                <w:noProof/>
              </w:rPr>
            </w:pPr>
            <w:r w:rsidRPr="00AD746C">
              <w:rPr>
                <w:b/>
                <w:bCs/>
                <w:noProof/>
              </w:rPr>
              <w:lastRenderedPageBreak/>
              <w:t>SD Section (202</w:t>
            </w:r>
            <w:r>
              <w:rPr>
                <w:b/>
                <w:bCs/>
                <w:noProof/>
              </w:rPr>
              <w:t>1 update</w:t>
            </w:r>
            <w:r w:rsidRPr="00AD746C">
              <w:rPr>
                <w:b/>
                <w:bCs/>
                <w:noProof/>
              </w:rPr>
              <w:t>)</w:t>
            </w:r>
          </w:p>
        </w:tc>
        <w:tc>
          <w:tcPr>
            <w:tcW w:w="3261" w:type="dxa"/>
          </w:tcPr>
          <w:p w14:paraId="76A4724B" w14:textId="77777777" w:rsidR="00490C9D" w:rsidRPr="0090676C" w:rsidRDefault="00490C9D" w:rsidP="00EF074B">
            <w:pPr>
              <w:spacing w:before="80" w:after="80"/>
              <w:cnfStyle w:val="100000000000" w:firstRow="1" w:lastRow="0" w:firstColumn="0" w:lastColumn="0" w:oddVBand="0" w:evenVBand="0" w:oddHBand="0" w:evenHBand="0" w:firstRowFirstColumn="0" w:firstRowLastColumn="0" w:lastRowFirstColumn="0" w:lastRowLastColumn="0"/>
              <w:rPr>
                <w:noProof/>
              </w:rPr>
            </w:pPr>
            <w:r>
              <w:rPr>
                <w:b/>
                <w:bCs/>
                <w:noProof/>
              </w:rPr>
              <w:t xml:space="preserve">Current </w:t>
            </w:r>
            <w:r w:rsidRPr="00AD746C">
              <w:rPr>
                <w:b/>
                <w:bCs/>
                <w:noProof/>
              </w:rPr>
              <w:t>S</w:t>
            </w:r>
            <w:r>
              <w:rPr>
                <w:b/>
                <w:bCs/>
                <w:noProof/>
              </w:rPr>
              <w:t>tanding Directions</w:t>
            </w:r>
            <w:r w:rsidRPr="00AD746C">
              <w:rPr>
                <w:b/>
                <w:bCs/>
                <w:noProof/>
              </w:rPr>
              <w:t xml:space="preserve"> </w:t>
            </w:r>
            <w:r>
              <w:rPr>
                <w:b/>
                <w:bCs/>
                <w:noProof/>
              </w:rPr>
              <w:t xml:space="preserve"> (Updated February 2021)</w:t>
            </w:r>
          </w:p>
        </w:tc>
        <w:tc>
          <w:tcPr>
            <w:tcW w:w="2976" w:type="dxa"/>
          </w:tcPr>
          <w:p w14:paraId="1DC1A37B" w14:textId="77777777" w:rsidR="00490C9D" w:rsidRPr="000F364B" w:rsidRDefault="00490C9D" w:rsidP="00EF074B">
            <w:pPr>
              <w:spacing w:before="80" w:after="80"/>
              <w:cnfStyle w:val="100000000000" w:firstRow="1" w:lastRow="0" w:firstColumn="0" w:lastColumn="0" w:oddVBand="0" w:evenVBand="0" w:oddHBand="0" w:evenHBand="0" w:firstRowFirstColumn="0" w:firstRowLastColumn="0" w:lastRowFirstColumn="0" w:lastRowLastColumn="0"/>
              <w:rPr>
                <w:noProof/>
              </w:rPr>
            </w:pPr>
            <w:r>
              <w:rPr>
                <w:b/>
                <w:bCs/>
                <w:noProof/>
              </w:rPr>
              <w:t xml:space="preserve">Previous </w:t>
            </w:r>
            <w:r w:rsidRPr="00AD746C">
              <w:rPr>
                <w:b/>
                <w:bCs/>
                <w:noProof/>
              </w:rPr>
              <w:t>S</w:t>
            </w:r>
            <w:r>
              <w:rPr>
                <w:b/>
                <w:bCs/>
                <w:noProof/>
              </w:rPr>
              <w:t>tanding Directions (Updated December 2019)</w:t>
            </w:r>
          </w:p>
        </w:tc>
      </w:tr>
      <w:tr w:rsidR="005B3D0A" w:rsidRPr="00AD746C" w14:paraId="65779F96" w14:textId="77777777" w:rsidTr="008F10D7">
        <w:tc>
          <w:tcPr>
            <w:cnfStyle w:val="001000000000" w:firstRow="0" w:lastRow="0" w:firstColumn="1" w:lastColumn="0" w:oddVBand="0" w:evenVBand="0" w:oddHBand="0" w:evenHBand="0" w:firstRowFirstColumn="0" w:firstRowLastColumn="0" w:lastRowFirstColumn="0" w:lastRowLastColumn="0"/>
            <w:tcW w:w="2892" w:type="dxa"/>
          </w:tcPr>
          <w:p w14:paraId="101824F8" w14:textId="66CFC47A" w:rsidR="005B3D0A" w:rsidRPr="001F084D" w:rsidRDefault="005B3D0A" w:rsidP="005B3D0A">
            <w:pPr>
              <w:spacing w:before="80" w:after="80"/>
            </w:pPr>
            <w:r>
              <w:rPr>
                <w:noProof/>
              </w:rPr>
              <w:t>3.7.2.3 Treasury management policy</w:t>
            </w:r>
          </w:p>
        </w:tc>
        <w:tc>
          <w:tcPr>
            <w:tcW w:w="3261" w:type="dxa"/>
            <w:shd w:val="clear" w:color="auto" w:fill="E3EBF4" w:themeFill="accent3" w:themeFillTint="33"/>
          </w:tcPr>
          <w:p w14:paraId="4BB179D3" w14:textId="77777777" w:rsidR="005B3D0A" w:rsidRDefault="005B3D0A" w:rsidP="005B3D0A">
            <w:pPr>
              <w:spacing w:before="80" w:after="80"/>
              <w:jc w:val="left"/>
              <w:cnfStyle w:val="000000000000" w:firstRow="0" w:lastRow="0" w:firstColumn="0" w:lastColumn="0" w:oddVBand="0" w:evenVBand="0" w:oddHBand="0" w:evenHBand="0" w:firstRowFirstColumn="0" w:firstRowLastColumn="0" w:lastRowFirstColumn="0" w:lastRowLastColumn="0"/>
              <w:rPr>
                <w:noProof/>
              </w:rPr>
            </w:pPr>
            <w:r w:rsidRPr="002B27B8">
              <w:rPr>
                <w:noProof/>
              </w:rPr>
              <w:t>Agencies must establish and maintain policies and procedures to manage treasury and investment risks</w:t>
            </w:r>
            <w:r>
              <w:rPr>
                <w:noProof/>
              </w:rPr>
              <w:t xml:space="preserve"> only if they have:</w:t>
            </w:r>
          </w:p>
          <w:p w14:paraId="729B7701" w14:textId="77777777" w:rsidR="005B3D0A" w:rsidRDefault="005B3D0A" w:rsidP="005B3D0A">
            <w:pPr>
              <w:spacing w:before="80" w:after="80"/>
              <w:jc w:val="left"/>
              <w:cnfStyle w:val="000000000000" w:firstRow="0" w:lastRow="0" w:firstColumn="0" w:lastColumn="0" w:oddVBand="0" w:evenVBand="0" w:oddHBand="0" w:evenHBand="0" w:firstRowFirstColumn="0" w:firstRowLastColumn="0" w:lastRowFirstColumn="0" w:lastRowLastColumn="0"/>
              <w:rPr>
                <w:noProof/>
              </w:rPr>
            </w:pPr>
            <w:r>
              <w:rPr>
                <w:noProof/>
              </w:rPr>
              <w:t xml:space="preserve"> - borrowings with TCV</w:t>
            </w:r>
          </w:p>
          <w:p w14:paraId="51315C05" w14:textId="77777777" w:rsidR="005B3D0A" w:rsidRDefault="005B3D0A" w:rsidP="005B3D0A">
            <w:pPr>
              <w:spacing w:before="80" w:after="80"/>
              <w:jc w:val="left"/>
              <w:cnfStyle w:val="000000000000" w:firstRow="0" w:lastRow="0" w:firstColumn="0" w:lastColumn="0" w:oddVBand="0" w:evenVBand="0" w:oddHBand="0" w:evenHBand="0" w:firstRowFirstColumn="0" w:firstRowLastColumn="0" w:lastRowFirstColumn="0" w:lastRowLastColumn="0"/>
              <w:rPr>
                <w:noProof/>
              </w:rPr>
            </w:pPr>
            <w:r>
              <w:rPr>
                <w:noProof/>
              </w:rPr>
              <w:t xml:space="preserve"> - financial assets outside of the CBS</w:t>
            </w:r>
          </w:p>
          <w:p w14:paraId="6DA412FD" w14:textId="5DA31C5A" w:rsidR="005B3D0A" w:rsidRDefault="005B3D0A" w:rsidP="005B3D0A">
            <w:pPr>
              <w:spacing w:before="80" w:after="80"/>
              <w:jc w:val="left"/>
              <w:cnfStyle w:val="000000000000" w:firstRow="0" w:lastRow="0" w:firstColumn="0" w:lastColumn="0" w:oddVBand="0" w:evenVBand="0" w:oddHBand="0" w:evenHBand="0" w:firstRowFirstColumn="0" w:firstRowLastColumn="0" w:lastRowFirstColumn="0" w:lastRowLastColumn="0"/>
              <w:rPr>
                <w:noProof/>
              </w:rPr>
            </w:pPr>
            <w:r>
              <w:rPr>
                <w:noProof/>
              </w:rPr>
              <w:t xml:space="preserve"> - known risk exposures</w:t>
            </w:r>
          </w:p>
          <w:p w14:paraId="0FE85A3A" w14:textId="3E8B013A" w:rsidR="005E6261" w:rsidRDefault="005B3D0A" w:rsidP="005B3D0A">
            <w:pPr>
              <w:spacing w:before="80" w:after="80"/>
              <w:jc w:val="left"/>
              <w:cnfStyle w:val="000000000000" w:firstRow="0" w:lastRow="0" w:firstColumn="0" w:lastColumn="0" w:oddVBand="0" w:evenVBand="0" w:oddHBand="0" w:evenHBand="0" w:firstRowFirstColumn="0" w:firstRowLastColumn="0" w:lastRowFirstColumn="0" w:lastRowLastColumn="0"/>
              <w:rPr>
                <w:noProof/>
              </w:rPr>
            </w:pPr>
            <w:r>
              <w:rPr>
                <w:noProof/>
              </w:rPr>
              <w:t>Agencies must report at least annually to DTF on any Financial Assets that have been provided an exemption to invest outside of the CBS, TCV or VFMC under Direction 1.5.</w:t>
            </w:r>
          </w:p>
          <w:p w14:paraId="094EF4F2" w14:textId="512FD66F" w:rsidR="005B3D0A" w:rsidRDefault="005B3D0A" w:rsidP="005B3D0A">
            <w:pPr>
              <w:spacing w:before="80" w:after="80"/>
              <w:jc w:val="left"/>
              <w:cnfStyle w:val="000000000000" w:firstRow="0" w:lastRow="0" w:firstColumn="0" w:lastColumn="0" w:oddVBand="0" w:evenVBand="0" w:oddHBand="0" w:evenHBand="0" w:firstRowFirstColumn="0" w:firstRowLastColumn="0" w:lastRowFirstColumn="0" w:lastRowLastColumn="0"/>
              <w:rPr>
                <w:noProof/>
              </w:rPr>
            </w:pPr>
          </w:p>
        </w:tc>
        <w:tc>
          <w:tcPr>
            <w:tcW w:w="2976" w:type="dxa"/>
            <w:shd w:val="clear" w:color="auto" w:fill="E3EBF4" w:themeFill="accent3" w:themeFillTint="33"/>
          </w:tcPr>
          <w:p w14:paraId="351799E4" w14:textId="4A7978AF" w:rsidR="005B3D0A" w:rsidRDefault="005B3D0A" w:rsidP="005B3D0A">
            <w:pPr>
              <w:spacing w:before="80" w:after="80"/>
              <w:jc w:val="left"/>
              <w:cnfStyle w:val="000000000000" w:firstRow="0" w:lastRow="0" w:firstColumn="0" w:lastColumn="0" w:oddVBand="0" w:evenVBand="0" w:oddHBand="0" w:evenHBand="0" w:firstRowFirstColumn="0" w:firstRowLastColumn="0" w:lastRowFirstColumn="0" w:lastRowLastColumn="0"/>
            </w:pPr>
            <w:r>
              <w:rPr>
                <w:noProof/>
              </w:rPr>
              <w:t>Agencies</w:t>
            </w:r>
            <w:r w:rsidRPr="002B27B8">
              <w:rPr>
                <w:noProof/>
              </w:rPr>
              <w:t xml:space="preserve"> must establish and maintain policies and procedures to </w:t>
            </w:r>
            <w:r>
              <w:rPr>
                <w:noProof/>
              </w:rPr>
              <w:t>manage</w:t>
            </w:r>
            <w:r w:rsidRPr="002B27B8">
              <w:rPr>
                <w:noProof/>
              </w:rPr>
              <w:t xml:space="preserve"> treasury and investment risks</w:t>
            </w:r>
          </w:p>
        </w:tc>
      </w:tr>
    </w:tbl>
    <w:p w14:paraId="1D8321FA" w14:textId="77777777" w:rsidR="004C2549" w:rsidRPr="002D3114" w:rsidRDefault="004C2549" w:rsidP="002D3114">
      <w:pPr>
        <w:spacing w:before="0" w:after="0" w:line="240" w:lineRule="auto"/>
        <w:rPr>
          <w:sz w:val="12"/>
          <w:szCs w:val="12"/>
        </w:rPr>
      </w:pPr>
    </w:p>
    <w:sectPr w:rsidR="004C2549" w:rsidRPr="002D3114" w:rsidSect="006577FC">
      <w:headerReference w:type="default" r:id="rId10"/>
      <w:footerReference w:type="default" r:id="rId11"/>
      <w:type w:val="continuous"/>
      <w:pgSz w:w="11906" w:h="16838" w:code="9"/>
      <w:pgMar w:top="2160" w:right="1440" w:bottom="1350" w:left="1440" w:header="70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AE74E" w14:textId="77777777" w:rsidR="006018F7" w:rsidRDefault="006018F7" w:rsidP="002D711A">
      <w:pPr>
        <w:spacing w:after="0" w:line="240" w:lineRule="auto"/>
      </w:pPr>
      <w:r>
        <w:separator/>
      </w:r>
    </w:p>
  </w:endnote>
  <w:endnote w:type="continuationSeparator" w:id="0">
    <w:p w14:paraId="05DAEAA1" w14:textId="77777777" w:rsidR="006018F7" w:rsidRDefault="006018F7"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A6F53" w14:textId="1E584B99" w:rsidR="00F74E37" w:rsidRDefault="00F74E37">
    <w:pPr>
      <w:pStyle w:val="Footer"/>
    </w:pPr>
    <w:r>
      <mc:AlternateContent>
        <mc:Choice Requires="wps">
          <w:drawing>
            <wp:anchor distT="0" distB="0" distL="114300" distR="114300" simplePos="0" relativeHeight="251663360" behindDoc="0" locked="0" layoutInCell="0" allowOverlap="1" wp14:anchorId="3C58FA65" wp14:editId="6CF09C49">
              <wp:simplePos x="0" y="0"/>
              <wp:positionH relativeFrom="page">
                <wp:posOffset>0</wp:posOffset>
              </wp:positionH>
              <wp:positionV relativeFrom="page">
                <wp:posOffset>10234930</wp:posOffset>
              </wp:positionV>
              <wp:extent cx="7560310" cy="266700"/>
              <wp:effectExtent l="0" t="0" r="0" b="0"/>
              <wp:wrapNone/>
              <wp:docPr id="1" name="MSIPCM67dc42e88433c421d2ba139b"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E6F02F" w14:textId="397CE59C" w:rsidR="00F74E37" w:rsidRPr="00F74E37" w:rsidRDefault="00F74E37" w:rsidP="00F74E37">
                          <w:pPr>
                            <w:spacing w:before="0" w:after="0"/>
                            <w:rPr>
                              <w:rFonts w:ascii="Calibri" w:hAnsi="Calibri" w:cs="Calibri"/>
                              <w:color w:val="000000"/>
                              <w:sz w:val="22"/>
                            </w:rPr>
                          </w:pPr>
                          <w:r w:rsidRPr="00F74E37">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C58FA65" id="_x0000_t202" coordsize="21600,21600" o:spt="202" path="m,l,21600r21600,l21600,xe">
              <v:stroke joinstyle="miter"/>
              <v:path gradientshapeok="t" o:connecttype="rect"/>
            </v:shapetype>
            <v:shape id="MSIPCM67dc42e88433c421d2ba139b"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AV+hBOsgIAAEgFAAAO&#10;AAAAAAAAAAAAAAAAAC4CAABkcnMvZTJvRG9jLnhtbFBLAQItABQABgAIAAAAIQBgEcYm3gAAAAsB&#10;AAAPAAAAAAAAAAAAAAAAAAwFAABkcnMvZG93bnJldi54bWxQSwUGAAAAAAQABADzAAAAFwYAAAAA&#10;" o:allowincell="f" filled="f" stroked="f" strokeweight=".5pt">
              <v:textbox inset="20pt,0,,0">
                <w:txbxContent>
                  <w:p w14:paraId="34E6F02F" w14:textId="397CE59C" w:rsidR="00F74E37" w:rsidRPr="00F74E37" w:rsidRDefault="00F74E37" w:rsidP="00F74E37">
                    <w:pPr>
                      <w:spacing w:before="0" w:after="0"/>
                      <w:rPr>
                        <w:rFonts w:ascii="Calibri" w:hAnsi="Calibri" w:cs="Calibri"/>
                        <w:color w:val="000000"/>
                        <w:sz w:val="22"/>
                      </w:rPr>
                    </w:pPr>
                    <w:r w:rsidRPr="00F74E37">
                      <w:rPr>
                        <w:rFonts w:ascii="Calibri" w:hAnsi="Calibri" w:cs="Calibri"/>
                        <w:color w:val="000000"/>
                        <w:sz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6AB1B" w14:textId="77777777" w:rsidR="006018F7" w:rsidRDefault="006018F7" w:rsidP="002D711A">
      <w:pPr>
        <w:spacing w:after="0" w:line="240" w:lineRule="auto"/>
      </w:pPr>
      <w:r>
        <w:separator/>
      </w:r>
    </w:p>
  </w:footnote>
  <w:footnote w:type="continuationSeparator" w:id="0">
    <w:p w14:paraId="22016322" w14:textId="77777777" w:rsidR="006018F7" w:rsidRDefault="006018F7"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52BC1" w14:textId="77777777" w:rsidR="009837CE" w:rsidRPr="0041689E" w:rsidRDefault="009837CE">
    <w:pPr>
      <w:pStyle w:val="Header"/>
    </w:pPr>
    <w:r>
      <w:rPr>
        <w:noProof/>
      </w:rPr>
      <w:drawing>
        <wp:anchor distT="0" distB="0" distL="114300" distR="114300" simplePos="0" relativeHeight="251659264" behindDoc="0" locked="0" layoutInCell="1" allowOverlap="1" wp14:anchorId="05538D62" wp14:editId="7163AE5B">
          <wp:simplePos x="0" y="0"/>
          <wp:positionH relativeFrom="column">
            <wp:posOffset>-319405</wp:posOffset>
          </wp:positionH>
          <wp:positionV relativeFrom="page">
            <wp:posOffset>299085</wp:posOffset>
          </wp:positionV>
          <wp:extent cx="1380490" cy="4114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8" behindDoc="0" locked="0" layoutInCell="1" allowOverlap="1" wp14:anchorId="1824DD62" wp14:editId="594DCA0C">
          <wp:simplePos x="0" y="0"/>
          <wp:positionH relativeFrom="column">
            <wp:posOffset>-914400</wp:posOffset>
          </wp:positionH>
          <wp:positionV relativeFrom="page">
            <wp:posOffset>125095</wp:posOffset>
          </wp:positionV>
          <wp:extent cx="7589520" cy="740410"/>
          <wp:effectExtent l="0" t="0" r="0" b="2540"/>
          <wp:wrapNone/>
          <wp:docPr id="8"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E504CAB"/>
    <w:multiLevelType w:val="hybridMultilevel"/>
    <w:tmpl w:val="12BE42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6845E7"/>
    <w:multiLevelType w:val="hybridMultilevel"/>
    <w:tmpl w:val="D56AC5D0"/>
    <w:lvl w:ilvl="0" w:tplc="75A47E82">
      <w:start w:val="1"/>
      <w:numFmt w:val="bullet"/>
      <w:lvlText w:val="-"/>
      <w:lvlJc w:val="left"/>
      <w:pPr>
        <w:ind w:left="413" w:hanging="360"/>
      </w:pPr>
      <w:rPr>
        <w:rFonts w:ascii="Arial" w:eastAsiaTheme="minorHAnsi" w:hAnsi="Arial" w:cs="Arial" w:hint="default"/>
      </w:rPr>
    </w:lvl>
    <w:lvl w:ilvl="1" w:tplc="0C090003" w:tentative="1">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3" w15:restartNumberingAfterBreak="0">
    <w:nsid w:val="10210378"/>
    <w:multiLevelType w:val="hybridMultilevel"/>
    <w:tmpl w:val="8320C3C2"/>
    <w:lvl w:ilvl="0" w:tplc="7308845E">
      <w:start w:val="1"/>
      <w:numFmt w:val="bullet"/>
      <w:lvlText w:val="-"/>
      <w:lvlJc w:val="left"/>
      <w:pPr>
        <w:ind w:left="413" w:hanging="360"/>
      </w:pPr>
      <w:rPr>
        <w:rFonts w:ascii="Arial" w:eastAsiaTheme="minorHAnsi" w:hAnsi="Arial" w:cs="Arial" w:hint="default"/>
      </w:rPr>
    </w:lvl>
    <w:lvl w:ilvl="1" w:tplc="0C090003" w:tentative="1">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4" w15:restartNumberingAfterBreak="0">
    <w:nsid w:val="19FB787F"/>
    <w:multiLevelType w:val="multilevel"/>
    <w:tmpl w:val="D5B0791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B070C94"/>
    <w:multiLevelType w:val="hybridMultilevel"/>
    <w:tmpl w:val="F5EE50E8"/>
    <w:lvl w:ilvl="0" w:tplc="A6520B46">
      <w:start w:val="1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20634B"/>
    <w:multiLevelType w:val="hybridMultilevel"/>
    <w:tmpl w:val="CF047706"/>
    <w:lvl w:ilvl="0" w:tplc="5EBEF968">
      <w:start w:val="1"/>
      <w:numFmt w:val="bullet"/>
      <w:lvlText w:val="-"/>
      <w:lvlJc w:val="left"/>
      <w:pPr>
        <w:ind w:left="413" w:hanging="360"/>
      </w:pPr>
      <w:rPr>
        <w:rFonts w:ascii="Arial" w:eastAsiaTheme="minorHAnsi" w:hAnsi="Arial" w:cs="Arial" w:hint="default"/>
      </w:rPr>
    </w:lvl>
    <w:lvl w:ilvl="1" w:tplc="0C090003" w:tentative="1">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7" w15:restartNumberingAfterBreak="0">
    <w:nsid w:val="24F632A8"/>
    <w:multiLevelType w:val="hybridMultilevel"/>
    <w:tmpl w:val="0E2E818E"/>
    <w:lvl w:ilvl="0" w:tplc="8DC43E78">
      <w:start w:val="1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D0420C1"/>
    <w:multiLevelType w:val="hybridMultilevel"/>
    <w:tmpl w:val="77020C0E"/>
    <w:lvl w:ilvl="0" w:tplc="4E36FC16">
      <w:start w:val="1"/>
      <w:numFmt w:val="bullet"/>
      <w:lvlText w:val="-"/>
      <w:lvlJc w:val="left"/>
      <w:pPr>
        <w:ind w:left="413" w:hanging="360"/>
      </w:pPr>
      <w:rPr>
        <w:rFonts w:ascii="Arial" w:eastAsiaTheme="minorHAnsi" w:hAnsi="Arial" w:cs="Arial" w:hint="default"/>
      </w:rPr>
    </w:lvl>
    <w:lvl w:ilvl="1" w:tplc="0C090003" w:tentative="1">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10" w15:restartNumberingAfterBreak="0">
    <w:nsid w:val="43BB1A35"/>
    <w:multiLevelType w:val="hybridMultilevel"/>
    <w:tmpl w:val="A81EF4A4"/>
    <w:lvl w:ilvl="0" w:tplc="64940F06">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F554EB"/>
    <w:multiLevelType w:val="hybridMultilevel"/>
    <w:tmpl w:val="9C34135A"/>
    <w:lvl w:ilvl="0" w:tplc="699E2898">
      <w:start w:val="1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3" w15:restartNumberingAfterBreak="0">
    <w:nsid w:val="64BE1971"/>
    <w:multiLevelType w:val="hybridMultilevel"/>
    <w:tmpl w:val="EA020E96"/>
    <w:lvl w:ilvl="0" w:tplc="2736CF72">
      <w:start w:val="1"/>
      <w:numFmt w:val="bullet"/>
      <w:lvlText w:val="-"/>
      <w:lvlJc w:val="left"/>
      <w:pPr>
        <w:ind w:left="413" w:hanging="360"/>
      </w:pPr>
      <w:rPr>
        <w:rFonts w:ascii="Arial" w:eastAsiaTheme="minorHAnsi" w:hAnsi="Arial" w:cs="Arial" w:hint="default"/>
      </w:rPr>
    </w:lvl>
    <w:lvl w:ilvl="1" w:tplc="0C090003" w:tentative="1">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14" w15:restartNumberingAfterBreak="0">
    <w:nsid w:val="72376D64"/>
    <w:multiLevelType w:val="hybridMultilevel"/>
    <w:tmpl w:val="1958B358"/>
    <w:lvl w:ilvl="0" w:tplc="A9F48F40">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EE7423F"/>
    <w:multiLevelType w:val="hybridMultilevel"/>
    <w:tmpl w:val="4D4E2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12"/>
  </w:num>
  <w:num w:numId="2">
    <w:abstractNumId w:val="12"/>
  </w:num>
  <w:num w:numId="3">
    <w:abstractNumId w:val="12"/>
  </w:num>
  <w:num w:numId="4">
    <w:abstractNumId w:val="18"/>
  </w:num>
  <w:num w:numId="5">
    <w:abstractNumId w:val="12"/>
  </w:num>
  <w:num w:numId="6">
    <w:abstractNumId w:val="12"/>
  </w:num>
  <w:num w:numId="7">
    <w:abstractNumId w:val="12"/>
  </w:num>
  <w:num w:numId="8">
    <w:abstractNumId w:val="12"/>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8"/>
  </w:num>
  <w:num w:numId="18">
    <w:abstractNumId w:val="8"/>
  </w:num>
  <w:num w:numId="19">
    <w:abstractNumId w:val="16"/>
  </w:num>
  <w:num w:numId="20">
    <w:abstractNumId w:val="15"/>
  </w:num>
  <w:num w:numId="21">
    <w:abstractNumId w:val="0"/>
  </w:num>
  <w:num w:numId="22">
    <w:abstractNumId w:val="0"/>
  </w:num>
  <w:num w:numId="23">
    <w:abstractNumId w:val="0"/>
  </w:num>
  <w:num w:numId="24">
    <w:abstractNumId w:val="16"/>
  </w:num>
  <w:num w:numId="25">
    <w:abstractNumId w:val="18"/>
  </w:num>
  <w:num w:numId="26">
    <w:abstractNumId w:val="8"/>
  </w:num>
  <w:num w:numId="27">
    <w:abstractNumId w:val="8"/>
  </w:num>
  <w:num w:numId="28">
    <w:abstractNumId w:val="17"/>
  </w:num>
  <w:num w:numId="29">
    <w:abstractNumId w:val="1"/>
  </w:num>
  <w:num w:numId="30">
    <w:abstractNumId w:val="4"/>
  </w:num>
  <w:num w:numId="31">
    <w:abstractNumId w:val="3"/>
  </w:num>
  <w:num w:numId="32">
    <w:abstractNumId w:val="13"/>
  </w:num>
  <w:num w:numId="33">
    <w:abstractNumId w:val="2"/>
  </w:num>
  <w:num w:numId="34">
    <w:abstractNumId w:val="6"/>
  </w:num>
  <w:num w:numId="35">
    <w:abstractNumId w:val="10"/>
  </w:num>
  <w:num w:numId="36">
    <w:abstractNumId w:val="9"/>
  </w:num>
  <w:num w:numId="37">
    <w:abstractNumId w:val="14"/>
  </w:num>
  <w:num w:numId="38">
    <w:abstractNumId w:val="5"/>
  </w:num>
  <w:num w:numId="39">
    <w:abstractNumId w:val="7"/>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434C4"/>
    <w:rsid w:val="00006534"/>
    <w:rsid w:val="00012F6F"/>
    <w:rsid w:val="00014213"/>
    <w:rsid w:val="00014B55"/>
    <w:rsid w:val="00020E3E"/>
    <w:rsid w:val="00023BF3"/>
    <w:rsid w:val="00026811"/>
    <w:rsid w:val="00034116"/>
    <w:rsid w:val="00040510"/>
    <w:rsid w:val="00043296"/>
    <w:rsid w:val="0004356D"/>
    <w:rsid w:val="00045296"/>
    <w:rsid w:val="00046325"/>
    <w:rsid w:val="00047B0D"/>
    <w:rsid w:val="000551F5"/>
    <w:rsid w:val="000606E7"/>
    <w:rsid w:val="00070C5E"/>
    <w:rsid w:val="00075E6C"/>
    <w:rsid w:val="00077504"/>
    <w:rsid w:val="00077A73"/>
    <w:rsid w:val="00090171"/>
    <w:rsid w:val="000A0918"/>
    <w:rsid w:val="000A5702"/>
    <w:rsid w:val="000B29AD"/>
    <w:rsid w:val="000C6372"/>
    <w:rsid w:val="000D593F"/>
    <w:rsid w:val="000E392D"/>
    <w:rsid w:val="000E619B"/>
    <w:rsid w:val="000E7468"/>
    <w:rsid w:val="000F364B"/>
    <w:rsid w:val="000F4288"/>
    <w:rsid w:val="000F7165"/>
    <w:rsid w:val="00102379"/>
    <w:rsid w:val="00103F75"/>
    <w:rsid w:val="001065D6"/>
    <w:rsid w:val="001118B7"/>
    <w:rsid w:val="00121252"/>
    <w:rsid w:val="00121A23"/>
    <w:rsid w:val="00124609"/>
    <w:rsid w:val="001254CE"/>
    <w:rsid w:val="00126AF9"/>
    <w:rsid w:val="00134CEA"/>
    <w:rsid w:val="001422CC"/>
    <w:rsid w:val="00147484"/>
    <w:rsid w:val="001617B6"/>
    <w:rsid w:val="00165E66"/>
    <w:rsid w:val="00172A28"/>
    <w:rsid w:val="00184FCA"/>
    <w:rsid w:val="00192278"/>
    <w:rsid w:val="001A3DD1"/>
    <w:rsid w:val="001B2BA7"/>
    <w:rsid w:val="001B392E"/>
    <w:rsid w:val="001C7BAE"/>
    <w:rsid w:val="001D24BD"/>
    <w:rsid w:val="001D53D3"/>
    <w:rsid w:val="001D717E"/>
    <w:rsid w:val="001E31FA"/>
    <w:rsid w:val="001E64F6"/>
    <w:rsid w:val="001F7E64"/>
    <w:rsid w:val="00200BB3"/>
    <w:rsid w:val="0022252D"/>
    <w:rsid w:val="00222BEB"/>
    <w:rsid w:val="00225E60"/>
    <w:rsid w:val="00227C39"/>
    <w:rsid w:val="0023202C"/>
    <w:rsid w:val="00236203"/>
    <w:rsid w:val="00237B36"/>
    <w:rsid w:val="00241030"/>
    <w:rsid w:val="00245043"/>
    <w:rsid w:val="00246687"/>
    <w:rsid w:val="00257760"/>
    <w:rsid w:val="00284B96"/>
    <w:rsid w:val="002851DF"/>
    <w:rsid w:val="00285E62"/>
    <w:rsid w:val="00292D36"/>
    <w:rsid w:val="00297281"/>
    <w:rsid w:val="002B27B8"/>
    <w:rsid w:val="002B4DCE"/>
    <w:rsid w:val="002C5126"/>
    <w:rsid w:val="002C54E0"/>
    <w:rsid w:val="002D3114"/>
    <w:rsid w:val="002D6FDC"/>
    <w:rsid w:val="002D711A"/>
    <w:rsid w:val="002D7336"/>
    <w:rsid w:val="002E3396"/>
    <w:rsid w:val="0031149C"/>
    <w:rsid w:val="00327F7F"/>
    <w:rsid w:val="00345F9A"/>
    <w:rsid w:val="00353340"/>
    <w:rsid w:val="00353A75"/>
    <w:rsid w:val="00355324"/>
    <w:rsid w:val="00356718"/>
    <w:rsid w:val="00373C63"/>
    <w:rsid w:val="0038771C"/>
    <w:rsid w:val="00387758"/>
    <w:rsid w:val="00392A8F"/>
    <w:rsid w:val="0039405B"/>
    <w:rsid w:val="003A1C92"/>
    <w:rsid w:val="003A541A"/>
    <w:rsid w:val="003A6923"/>
    <w:rsid w:val="003B7CCA"/>
    <w:rsid w:val="003C2C67"/>
    <w:rsid w:val="003C2EA2"/>
    <w:rsid w:val="003C4B3A"/>
    <w:rsid w:val="003C5BA4"/>
    <w:rsid w:val="003D6F07"/>
    <w:rsid w:val="003E3E26"/>
    <w:rsid w:val="003E76BE"/>
    <w:rsid w:val="003F0C1B"/>
    <w:rsid w:val="003F1295"/>
    <w:rsid w:val="003F2E4C"/>
    <w:rsid w:val="003F3733"/>
    <w:rsid w:val="003F4CEF"/>
    <w:rsid w:val="003F76FC"/>
    <w:rsid w:val="004002EB"/>
    <w:rsid w:val="00404270"/>
    <w:rsid w:val="00405C57"/>
    <w:rsid w:val="004148E6"/>
    <w:rsid w:val="0041689E"/>
    <w:rsid w:val="0041712D"/>
    <w:rsid w:val="00420E60"/>
    <w:rsid w:val="004226C6"/>
    <w:rsid w:val="004236C8"/>
    <w:rsid w:val="00427681"/>
    <w:rsid w:val="00433DB7"/>
    <w:rsid w:val="0044242B"/>
    <w:rsid w:val="0044377F"/>
    <w:rsid w:val="00453750"/>
    <w:rsid w:val="00456941"/>
    <w:rsid w:val="004669E3"/>
    <w:rsid w:val="004702EA"/>
    <w:rsid w:val="00472C82"/>
    <w:rsid w:val="004816ED"/>
    <w:rsid w:val="00482D02"/>
    <w:rsid w:val="00485266"/>
    <w:rsid w:val="00490C9D"/>
    <w:rsid w:val="00497467"/>
    <w:rsid w:val="004A31E2"/>
    <w:rsid w:val="004A7519"/>
    <w:rsid w:val="004B1D32"/>
    <w:rsid w:val="004B41CA"/>
    <w:rsid w:val="004C2549"/>
    <w:rsid w:val="004D3518"/>
    <w:rsid w:val="004D62D6"/>
    <w:rsid w:val="004E3241"/>
    <w:rsid w:val="00513F0F"/>
    <w:rsid w:val="00514490"/>
    <w:rsid w:val="005329D8"/>
    <w:rsid w:val="0053416C"/>
    <w:rsid w:val="005346C2"/>
    <w:rsid w:val="00541C2F"/>
    <w:rsid w:val="00553F86"/>
    <w:rsid w:val="00554235"/>
    <w:rsid w:val="00563527"/>
    <w:rsid w:val="0058124E"/>
    <w:rsid w:val="00582869"/>
    <w:rsid w:val="00584301"/>
    <w:rsid w:val="005875A3"/>
    <w:rsid w:val="005A3416"/>
    <w:rsid w:val="005A575F"/>
    <w:rsid w:val="005B27FE"/>
    <w:rsid w:val="005B2BB6"/>
    <w:rsid w:val="005B3D0A"/>
    <w:rsid w:val="005C3E6D"/>
    <w:rsid w:val="005C7906"/>
    <w:rsid w:val="005E0556"/>
    <w:rsid w:val="005E40C8"/>
    <w:rsid w:val="005E6261"/>
    <w:rsid w:val="005F331D"/>
    <w:rsid w:val="005F61DF"/>
    <w:rsid w:val="006018F7"/>
    <w:rsid w:val="006023F9"/>
    <w:rsid w:val="00610559"/>
    <w:rsid w:val="006163E3"/>
    <w:rsid w:val="00631BDA"/>
    <w:rsid w:val="006332F6"/>
    <w:rsid w:val="006361E7"/>
    <w:rsid w:val="00641096"/>
    <w:rsid w:val="00645755"/>
    <w:rsid w:val="00652625"/>
    <w:rsid w:val="006534B2"/>
    <w:rsid w:val="0065615D"/>
    <w:rsid w:val="00657011"/>
    <w:rsid w:val="006576F1"/>
    <w:rsid w:val="006577FC"/>
    <w:rsid w:val="006650B5"/>
    <w:rsid w:val="006651B1"/>
    <w:rsid w:val="00665778"/>
    <w:rsid w:val="006738C4"/>
    <w:rsid w:val="00682DCE"/>
    <w:rsid w:val="00691C09"/>
    <w:rsid w:val="00695DE2"/>
    <w:rsid w:val="00697110"/>
    <w:rsid w:val="006A5B34"/>
    <w:rsid w:val="006A5F5B"/>
    <w:rsid w:val="006B6E2B"/>
    <w:rsid w:val="006C01F2"/>
    <w:rsid w:val="006C77A9"/>
    <w:rsid w:val="006D0A55"/>
    <w:rsid w:val="006F5103"/>
    <w:rsid w:val="006F6693"/>
    <w:rsid w:val="00707FE8"/>
    <w:rsid w:val="00724962"/>
    <w:rsid w:val="00724A0F"/>
    <w:rsid w:val="0073072C"/>
    <w:rsid w:val="007320B4"/>
    <w:rsid w:val="00732162"/>
    <w:rsid w:val="00736732"/>
    <w:rsid w:val="0074173F"/>
    <w:rsid w:val="00750CBE"/>
    <w:rsid w:val="007667B6"/>
    <w:rsid w:val="00766B5A"/>
    <w:rsid w:val="007834F2"/>
    <w:rsid w:val="00791020"/>
    <w:rsid w:val="00797C22"/>
    <w:rsid w:val="007A5F82"/>
    <w:rsid w:val="007B75A4"/>
    <w:rsid w:val="007E13B5"/>
    <w:rsid w:val="007E5CA6"/>
    <w:rsid w:val="007F1A4C"/>
    <w:rsid w:val="008022C3"/>
    <w:rsid w:val="008041E6"/>
    <w:rsid w:val="008065D2"/>
    <w:rsid w:val="0082194C"/>
    <w:rsid w:val="008220C4"/>
    <w:rsid w:val="008222FF"/>
    <w:rsid w:val="008241FF"/>
    <w:rsid w:val="00836E02"/>
    <w:rsid w:val="008411E9"/>
    <w:rsid w:val="0084200F"/>
    <w:rsid w:val="00843917"/>
    <w:rsid w:val="00843B2C"/>
    <w:rsid w:val="00846E20"/>
    <w:rsid w:val="008471C4"/>
    <w:rsid w:val="008607FE"/>
    <w:rsid w:val="008A4900"/>
    <w:rsid w:val="008C400E"/>
    <w:rsid w:val="008D0281"/>
    <w:rsid w:val="008E13A8"/>
    <w:rsid w:val="008E1F90"/>
    <w:rsid w:val="008E3C4E"/>
    <w:rsid w:val="008F10D7"/>
    <w:rsid w:val="008F6D45"/>
    <w:rsid w:val="0090676C"/>
    <w:rsid w:val="00917C36"/>
    <w:rsid w:val="0093417C"/>
    <w:rsid w:val="009374A9"/>
    <w:rsid w:val="00943EA5"/>
    <w:rsid w:val="00952128"/>
    <w:rsid w:val="009670DB"/>
    <w:rsid w:val="009758B8"/>
    <w:rsid w:val="009834C0"/>
    <w:rsid w:val="009837CE"/>
    <w:rsid w:val="00984C95"/>
    <w:rsid w:val="00986AAC"/>
    <w:rsid w:val="009A1DA2"/>
    <w:rsid w:val="009A3704"/>
    <w:rsid w:val="009A4739"/>
    <w:rsid w:val="009A674F"/>
    <w:rsid w:val="009B199C"/>
    <w:rsid w:val="009B54C8"/>
    <w:rsid w:val="009B61F1"/>
    <w:rsid w:val="009B62E0"/>
    <w:rsid w:val="009B7706"/>
    <w:rsid w:val="009B7E02"/>
    <w:rsid w:val="009C3D88"/>
    <w:rsid w:val="009E3858"/>
    <w:rsid w:val="009E70DD"/>
    <w:rsid w:val="009E78D2"/>
    <w:rsid w:val="009F2ED9"/>
    <w:rsid w:val="009F3231"/>
    <w:rsid w:val="009F5C58"/>
    <w:rsid w:val="00A023A0"/>
    <w:rsid w:val="00A03779"/>
    <w:rsid w:val="00A12F38"/>
    <w:rsid w:val="00A1562B"/>
    <w:rsid w:val="00A170F4"/>
    <w:rsid w:val="00A2559E"/>
    <w:rsid w:val="00A25FD9"/>
    <w:rsid w:val="00A302B7"/>
    <w:rsid w:val="00A31A21"/>
    <w:rsid w:val="00A430D5"/>
    <w:rsid w:val="00A46BA8"/>
    <w:rsid w:val="00A47634"/>
    <w:rsid w:val="00A612FE"/>
    <w:rsid w:val="00A61C8B"/>
    <w:rsid w:val="00A728AF"/>
    <w:rsid w:val="00A84C47"/>
    <w:rsid w:val="00AA26B8"/>
    <w:rsid w:val="00AA6FB5"/>
    <w:rsid w:val="00AB3FE2"/>
    <w:rsid w:val="00AC66CC"/>
    <w:rsid w:val="00AD3322"/>
    <w:rsid w:val="00AD746C"/>
    <w:rsid w:val="00AD7E4E"/>
    <w:rsid w:val="00AE0BEF"/>
    <w:rsid w:val="00AE3FA1"/>
    <w:rsid w:val="00AF34DE"/>
    <w:rsid w:val="00AF4D58"/>
    <w:rsid w:val="00AF6666"/>
    <w:rsid w:val="00B06C0A"/>
    <w:rsid w:val="00B10154"/>
    <w:rsid w:val="00B45BC5"/>
    <w:rsid w:val="00B55926"/>
    <w:rsid w:val="00B742BA"/>
    <w:rsid w:val="00B81B44"/>
    <w:rsid w:val="00B85FE2"/>
    <w:rsid w:val="00B9053B"/>
    <w:rsid w:val="00BA4EA2"/>
    <w:rsid w:val="00BB3C9C"/>
    <w:rsid w:val="00BB438E"/>
    <w:rsid w:val="00BC193F"/>
    <w:rsid w:val="00BC3422"/>
    <w:rsid w:val="00BD5FCF"/>
    <w:rsid w:val="00BE3F30"/>
    <w:rsid w:val="00C015B9"/>
    <w:rsid w:val="00C022F9"/>
    <w:rsid w:val="00C032EA"/>
    <w:rsid w:val="00C0378B"/>
    <w:rsid w:val="00C06EB5"/>
    <w:rsid w:val="00C100DA"/>
    <w:rsid w:val="00C1145F"/>
    <w:rsid w:val="00C14FF7"/>
    <w:rsid w:val="00C159B4"/>
    <w:rsid w:val="00C33AAA"/>
    <w:rsid w:val="00C55F6C"/>
    <w:rsid w:val="00C637E1"/>
    <w:rsid w:val="00C70D50"/>
    <w:rsid w:val="00C8243E"/>
    <w:rsid w:val="00C907D7"/>
    <w:rsid w:val="00C92338"/>
    <w:rsid w:val="00CA46B8"/>
    <w:rsid w:val="00CA7C3A"/>
    <w:rsid w:val="00CB0E26"/>
    <w:rsid w:val="00CC0AF1"/>
    <w:rsid w:val="00CC2DB2"/>
    <w:rsid w:val="00CD0307"/>
    <w:rsid w:val="00CD1A36"/>
    <w:rsid w:val="00CD3D1B"/>
    <w:rsid w:val="00CD68A5"/>
    <w:rsid w:val="00CE62B3"/>
    <w:rsid w:val="00CF4E06"/>
    <w:rsid w:val="00CF7DCA"/>
    <w:rsid w:val="00D02DEF"/>
    <w:rsid w:val="00D0336A"/>
    <w:rsid w:val="00D1500C"/>
    <w:rsid w:val="00D211E9"/>
    <w:rsid w:val="00D2141A"/>
    <w:rsid w:val="00D2312F"/>
    <w:rsid w:val="00D269C1"/>
    <w:rsid w:val="00D434C4"/>
    <w:rsid w:val="00D44953"/>
    <w:rsid w:val="00D53AD9"/>
    <w:rsid w:val="00D542F3"/>
    <w:rsid w:val="00D543E5"/>
    <w:rsid w:val="00D5644B"/>
    <w:rsid w:val="00D56E25"/>
    <w:rsid w:val="00D71896"/>
    <w:rsid w:val="00D718D7"/>
    <w:rsid w:val="00D72A4E"/>
    <w:rsid w:val="00D73212"/>
    <w:rsid w:val="00D814B7"/>
    <w:rsid w:val="00D90688"/>
    <w:rsid w:val="00DA3721"/>
    <w:rsid w:val="00DA3AAD"/>
    <w:rsid w:val="00DB312B"/>
    <w:rsid w:val="00DC5654"/>
    <w:rsid w:val="00DC63BB"/>
    <w:rsid w:val="00DC658F"/>
    <w:rsid w:val="00DE41C8"/>
    <w:rsid w:val="00DE60CC"/>
    <w:rsid w:val="00DF661A"/>
    <w:rsid w:val="00E26B32"/>
    <w:rsid w:val="00E31444"/>
    <w:rsid w:val="00E31660"/>
    <w:rsid w:val="00E31AD8"/>
    <w:rsid w:val="00E364A1"/>
    <w:rsid w:val="00E407B6"/>
    <w:rsid w:val="00E40DA3"/>
    <w:rsid w:val="00E41EF1"/>
    <w:rsid w:val="00E42942"/>
    <w:rsid w:val="00E468A6"/>
    <w:rsid w:val="00E619F9"/>
    <w:rsid w:val="00E71BDF"/>
    <w:rsid w:val="00E828D6"/>
    <w:rsid w:val="00E83CA7"/>
    <w:rsid w:val="00EA2B85"/>
    <w:rsid w:val="00EB55A6"/>
    <w:rsid w:val="00EC171D"/>
    <w:rsid w:val="00ED487E"/>
    <w:rsid w:val="00EE091C"/>
    <w:rsid w:val="00EE51DA"/>
    <w:rsid w:val="00EE7A0D"/>
    <w:rsid w:val="00EF0D21"/>
    <w:rsid w:val="00F16411"/>
    <w:rsid w:val="00F17CE1"/>
    <w:rsid w:val="00F2115C"/>
    <w:rsid w:val="00F22ABA"/>
    <w:rsid w:val="00F259BD"/>
    <w:rsid w:val="00F36B12"/>
    <w:rsid w:val="00F417C3"/>
    <w:rsid w:val="00F60F9F"/>
    <w:rsid w:val="00F64F08"/>
    <w:rsid w:val="00F734F5"/>
    <w:rsid w:val="00F74E37"/>
    <w:rsid w:val="00F966B1"/>
    <w:rsid w:val="00F97D48"/>
    <w:rsid w:val="00F97EF2"/>
    <w:rsid w:val="00FA0311"/>
    <w:rsid w:val="00FC42E5"/>
    <w:rsid w:val="00FD640F"/>
    <w:rsid w:val="00FD665F"/>
    <w:rsid w:val="00FD6B4C"/>
    <w:rsid w:val="00FD6BE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CCE0D7"/>
  <w15:docId w15:val="{45EE19A7-E1F9-497D-B24F-6B689A9C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DD1"/>
    <w:pPr>
      <w:spacing w:before="160" w:after="100"/>
    </w:pPr>
    <w:rPr>
      <w:spacing w:val="2"/>
    </w:rPr>
  </w:style>
  <w:style w:type="paragraph" w:styleId="Heading1">
    <w:name w:val="heading 1"/>
    <w:next w:val="Normal"/>
    <w:link w:val="Heading1Char"/>
    <w:qFormat/>
    <w:rsid w:val="00200BB3"/>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EC171D"/>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7B75A4"/>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200BB3"/>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EC171D"/>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EC171D"/>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8"/>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1A3DD1"/>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6738C4"/>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691C09"/>
    <w:pPr>
      <w:spacing w:after="40" w:line="252" w:lineRule="auto"/>
    </w:pPr>
    <w:rPr>
      <w:rFonts w:asciiTheme="majorHAnsi" w:eastAsia="Times New Roman" w:hAnsiTheme="majorHAnsi" w:cstheme="majorHAnsi"/>
      <w:b/>
      <w:color w:val="0063A6" w:themeColor="accent1"/>
      <w:spacing w:val="-2"/>
      <w:sz w:val="52"/>
      <w:szCs w:val="52"/>
    </w:rPr>
  </w:style>
  <w:style w:type="character" w:customStyle="1" w:styleId="TitleChar">
    <w:name w:val="Title Char"/>
    <w:basedOn w:val="DefaultParagraphFont"/>
    <w:link w:val="Title"/>
    <w:uiPriority w:val="97"/>
    <w:rsid w:val="00691C09"/>
    <w:rPr>
      <w:rFonts w:asciiTheme="majorHAnsi" w:eastAsia="Times New Roman" w:hAnsiTheme="majorHAnsi" w:cstheme="majorHAnsi"/>
      <w:b/>
      <w:color w:val="0063A6" w:themeColor="accent1"/>
      <w:spacing w:val="-2"/>
      <w:sz w:val="52"/>
      <w:szCs w:val="5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F417C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line="264" w:lineRule="auto"/>
    </w:pPr>
    <w:rPr>
      <w:sz w:val="17"/>
    </w:r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34"/>
    <w:semiHidden/>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3C2EA2"/>
    <w:pPr>
      <w:spacing w:before="0" w:after="0" w:line="240" w:lineRule="auto"/>
    </w:pPr>
    <w:rPr>
      <w:sz w:val="17"/>
    </w:r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rPr>
      <w:sz w:val="17"/>
    </w:rPr>
  </w:style>
  <w:style w:type="paragraph" w:customStyle="1" w:styleId="Tablenum2">
    <w:name w:val="Table num 2"/>
    <w:basedOn w:val="Normal"/>
    <w:uiPriority w:val="6"/>
    <w:rsid w:val="00EF0D21"/>
    <w:pPr>
      <w:numPr>
        <w:ilvl w:val="3"/>
        <w:numId w:val="27"/>
      </w:numPr>
    </w:pPr>
    <w:rPr>
      <w:sz w:val="17"/>
    </w:r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383834" w:themeColor="background2" w:themeShade="40"/>
      <w:sz w:val="18"/>
      <w:szCs w:val="18"/>
    </w:rPr>
  </w:style>
  <w:style w:type="character" w:styleId="CommentReference">
    <w:name w:val="annotation reference"/>
    <w:basedOn w:val="DefaultParagraphFont"/>
    <w:uiPriority w:val="99"/>
    <w:semiHidden/>
    <w:unhideWhenUsed/>
    <w:rsid w:val="00917C36"/>
    <w:rPr>
      <w:sz w:val="16"/>
      <w:szCs w:val="16"/>
    </w:rPr>
  </w:style>
  <w:style w:type="paragraph" w:styleId="CommentText">
    <w:name w:val="annotation text"/>
    <w:basedOn w:val="Normal"/>
    <w:link w:val="CommentTextChar"/>
    <w:uiPriority w:val="99"/>
    <w:semiHidden/>
    <w:unhideWhenUsed/>
    <w:rsid w:val="00917C36"/>
    <w:pPr>
      <w:spacing w:line="240" w:lineRule="auto"/>
    </w:pPr>
  </w:style>
  <w:style w:type="character" w:customStyle="1" w:styleId="CommentTextChar">
    <w:name w:val="Comment Text Char"/>
    <w:basedOn w:val="DefaultParagraphFont"/>
    <w:link w:val="CommentText"/>
    <w:uiPriority w:val="99"/>
    <w:semiHidden/>
    <w:rsid w:val="00917C36"/>
    <w:rPr>
      <w:spacing w:val="2"/>
    </w:rPr>
  </w:style>
  <w:style w:type="paragraph" w:styleId="CommentSubject">
    <w:name w:val="annotation subject"/>
    <w:basedOn w:val="CommentText"/>
    <w:next w:val="CommentText"/>
    <w:link w:val="CommentSubjectChar"/>
    <w:uiPriority w:val="99"/>
    <w:semiHidden/>
    <w:unhideWhenUsed/>
    <w:rsid w:val="00917C36"/>
    <w:rPr>
      <w:b/>
      <w:bCs/>
    </w:rPr>
  </w:style>
  <w:style w:type="character" w:customStyle="1" w:styleId="CommentSubjectChar">
    <w:name w:val="Comment Subject Char"/>
    <w:basedOn w:val="CommentTextChar"/>
    <w:link w:val="CommentSubject"/>
    <w:uiPriority w:val="99"/>
    <w:semiHidden/>
    <w:rsid w:val="00917C36"/>
    <w:rPr>
      <w:b/>
      <w:bCs/>
      <w:spacing w:val="2"/>
    </w:rPr>
  </w:style>
  <w:style w:type="paragraph" w:styleId="Revision">
    <w:name w:val="Revision"/>
    <w:hidden/>
    <w:uiPriority w:val="99"/>
    <w:semiHidden/>
    <w:rsid w:val="00917C36"/>
    <w:pPr>
      <w:spacing w:after="0" w:line="240" w:lineRule="auto"/>
    </w:pPr>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dtf.vic.gov.au/financial-management-government/standing-directions-2018-under-financial-management-act-199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Corporate\Portrait.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34D24FA-3F13-428C-AB5A-6362E9C3689D}">
  <ds:schemaRefs>
    <ds:schemaRef ds:uri="http://schemas.openxmlformats.org/officeDocument/2006/bibliography"/>
  </ds:schemaRefs>
</ds:datastoreItem>
</file>

<file path=customXml/itemProps2.xml><?xml version="1.0" encoding="utf-8"?>
<ds:datastoreItem xmlns:ds="http://schemas.openxmlformats.org/officeDocument/2006/customXml" ds:itemID="{4D651F38-81D2-40B9-98BE-F54F3230AA7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Portrait.dotx</Template>
  <TotalTime>14</TotalTime>
  <Pages>3</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Madson (DTF)</dc:creator>
  <cp:lastModifiedBy>Jonathan Kovac (DTF)</cp:lastModifiedBy>
  <cp:revision>4</cp:revision>
  <cp:lastPrinted>2016-02-09T01:59:00Z</cp:lastPrinted>
  <dcterms:created xsi:type="dcterms:W3CDTF">2021-02-10T04:53:00Z</dcterms:created>
  <dcterms:modified xsi:type="dcterms:W3CDTF">2021-02-10T05:06:00Z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2021-02-10T05:06:06Z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
  </property>
  <property fmtid="{D5CDD505-2E9C-101B-9397-08002B2CF9AE}" pid="10" name="MSIP_Label_7158ebbd-6c5e-441f-bfc9-4eb8c11e3978_ContentBits">
    <vt:lpwstr>2</vt:lpwstr>
  </property>
</Properties>
</file>