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07DE" w14:textId="27204AB4" w:rsidR="007A3CA7" w:rsidRPr="001C0F2B" w:rsidRDefault="00476539" w:rsidP="004F7170">
      <w:pPr>
        <w:pStyle w:val="Title"/>
        <w:jc w:val="both"/>
      </w:pPr>
      <w:r>
        <w:rPr>
          <w:noProof/>
          <w:lang w:eastAsia="en-AU"/>
        </w:rPr>
        <mc:AlternateContent>
          <mc:Choice Requires="wps">
            <w:drawing>
              <wp:anchor distT="0" distB="0" distL="114300" distR="114300" simplePos="0" relativeHeight="251659263" behindDoc="1" locked="0" layoutInCell="1" allowOverlap="1" wp14:anchorId="3E98774E" wp14:editId="44E567D8">
                <wp:simplePos x="0" y="0"/>
                <wp:positionH relativeFrom="column">
                  <wp:posOffset>-952500</wp:posOffset>
                </wp:positionH>
                <wp:positionV relativeFrom="paragraph">
                  <wp:posOffset>-457200</wp:posOffset>
                </wp:positionV>
                <wp:extent cx="8039100" cy="1895475"/>
                <wp:effectExtent l="38100" t="57150" r="38100" b="47625"/>
                <wp:wrapNone/>
                <wp:docPr id="7" name="Rectangle 7"/>
                <wp:cNvGraphicFramePr/>
                <a:graphic xmlns:a="http://schemas.openxmlformats.org/drawingml/2006/main">
                  <a:graphicData uri="http://schemas.microsoft.com/office/word/2010/wordprocessingShape">
                    <wps:wsp>
                      <wps:cNvSpPr/>
                      <wps:spPr>
                        <a:xfrm>
                          <a:off x="0" y="0"/>
                          <a:ext cx="8039100" cy="1895475"/>
                        </a:xfrm>
                        <a:prstGeom prst="rect">
                          <a:avLst/>
                        </a:prstGeom>
                        <a:solidFill>
                          <a:schemeClr val="accent1">
                            <a:alpha val="27059"/>
                          </a:schemeClr>
                        </a:solidFill>
                        <a:ln>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DA969" id="Rectangle 7" o:spid="_x0000_s1026" style="position:absolute;margin-left:-75pt;margin-top:-36pt;width:633pt;height:149.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vK+QIAAIkGAAAOAAAAZHJzL2Uyb0RvYy54bWysVclu2zAQvRfoPxC8N5K8JLYROTASuCiQ&#10;NkGSImeaoiwCFMkO6a1f3yEpy2nSBSjqA81l5s3Mm0WXV/tWka0AJ40uaXGWUyI0N5XU65J+fVp+&#10;mFDiPNMVU0aLkh6Eo1fz9+8ud3YmBqYxqhJAEES72c6WtPHezrLM8Ua0zJ0ZKzQ+1gZa5vEI66wC&#10;tkP0VmWDPD/PdgYqC4YL5/D2Jj3SecSva8H9XV074YkqKfrm4wpxXYU1m1+y2RqYbSTv3GD/4EXL&#10;pEajPdQN84xsQL6BaiUH40ztz7hpM1PXkosYA0ZT5K+ieWyYFTEWJMfZnib3/2D5l+2jvQekYWfd&#10;zOE2RLGvoQ3/6B/ZR7IOPVli7wnHy0k+nBY5csrxrZhMx6OLcaAzO6lbcP6jMC0Jm5ICZiOSxLa3&#10;zifRo0iw5oyS1VIqFQ+hAsS1ArJlmDvGudC+SOrKNixdDy7y8bSzGmsmaEQffgJTOkBqE8CT3XQj&#10;YoUkZ9A+mhDDKohy1gpgnd8GfGO6GlmC0SkIMFhULBUU1nZkCcS24wlZSBgBTcl14x/kmoDEruAN&#10;enGgpJJYh3/BKiajSY6/LsQjUIrw5K6zwyo6+5l5ATIQxpVgEOlaia1QT6Qp6flw3EMFFYQ5ZT3u&#10;/EGJ6LF+EDWRFeZ5EEF6ct+mwzWsEuka4U8GjgmMzqoAGJBrDL7HTvn8DXZKVCcfVFO2euX8T44l&#10;5V4jWsbM9cqt1CbR88q6wiLrLCf5I0mJmsDSylSHeyBYADHpzvKlxAK/Zc7fM8DxgU2BI9Hf4VIr&#10;syup6XaUNAa+/+o+yGNX4yslOxxHJXXfNgwEJeqTxn6fFqNRmF/xMBpfDPAAL19WL1/0pr02WAQF&#10;Dl/L4zbIe3Xc1mDaZ5yci2AVn5jmaBurxsPxcO3TmMTZy8ViEcVwZlnmb/Wj5QE8sBoa+Gn/zMB2&#10;3eJxQHwxx9HFZq+aPckGTW0WG29qGSfBideOb5x3sXC6vgsD9eU5Sp2+IPMfAAAA//8DAFBLAwQU&#10;AAYACAAAACEAcv5nhOIAAAANAQAADwAAAGRycy9kb3ducmV2LnhtbEyPQUvDQBCF74L/YRnBi7Sb&#10;RBJLzKaoqCD0YrV43WbHJG12NmQ3bfrvnZ7s7XvM4817xXKynTjg4FtHCuJ5BAKpcqalWsH319ts&#10;AcIHTUZ3jlDBCT0sy+urQufGHekTD+tQCw4hn2sFTQh9LqWvGrTaz12PxLdfN1gdWA61NIM+crjt&#10;ZBJFmbS6Jf7Q6B5fGqz269EqmFZ376/7j51P3Wb0/en5B1e7e6Vub6anRxABp/BvhnN9rg4ld9q6&#10;kYwXnYJZnEY8JjA9JAxnSxxnTFsFSZKlIMtCXq4o/wAAAP//AwBQSwECLQAUAAYACAAAACEAtoM4&#10;kv4AAADhAQAAEwAAAAAAAAAAAAAAAAAAAAAAW0NvbnRlbnRfVHlwZXNdLnhtbFBLAQItABQABgAI&#10;AAAAIQA4/SH/1gAAAJQBAAALAAAAAAAAAAAAAAAAAC8BAABfcmVscy8ucmVsc1BLAQItABQABgAI&#10;AAAAIQB5RNvK+QIAAIkGAAAOAAAAAAAAAAAAAAAAAC4CAABkcnMvZTJvRG9jLnhtbFBLAQItABQA&#10;BgAIAAAAIQBy/meE4gAAAA0BAAAPAAAAAAAAAAAAAAAAAFMFAABkcnMvZG93bnJldi54bWxQSwUG&#10;AAAAAAQABADzAAAAYgYAAAAA&#10;" fillcolor="#4f81bd [3204]" stroked="f" strokeweight="2pt">
                <v:fill opacity="17733f"/>
              </v:rect>
            </w:pict>
          </mc:Fallback>
        </mc:AlternateContent>
      </w:r>
      <w:r w:rsidR="004F7170">
        <w:rPr>
          <w:noProof/>
          <w:lang w:eastAsia="en-AU"/>
        </w:rPr>
        <mc:AlternateContent>
          <mc:Choice Requires="wps">
            <w:drawing>
              <wp:anchor distT="0" distB="0" distL="114300" distR="114300" simplePos="0" relativeHeight="251661312" behindDoc="0" locked="0" layoutInCell="1" allowOverlap="1" wp14:anchorId="74733CF9" wp14:editId="03F70C8E">
                <wp:simplePos x="0" y="0"/>
                <wp:positionH relativeFrom="column">
                  <wp:posOffset>-238125</wp:posOffset>
                </wp:positionH>
                <wp:positionV relativeFrom="paragraph">
                  <wp:posOffset>962025</wp:posOffset>
                </wp:positionV>
                <wp:extent cx="1400175" cy="495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rgbClr val="008080">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0EB75" w14:textId="0E2C2A1C" w:rsidR="007617FD" w:rsidRPr="007617FD" w:rsidRDefault="007617FD" w:rsidP="004F7170">
                            <w:pPr>
                              <w:jc w:val="center"/>
                              <w:rPr>
                                <w:i/>
                                <w:sz w:val="14"/>
                              </w:rPr>
                            </w:pPr>
                            <w:r w:rsidRPr="007617FD">
                              <w:rPr>
                                <w:i/>
                                <w:sz w:val="14"/>
                              </w:rPr>
                              <w:t xml:space="preserve">Specialising in facilitation, </w:t>
                            </w:r>
                            <w:r w:rsidR="002D5BF8" w:rsidRPr="007617FD">
                              <w:rPr>
                                <w:i/>
                                <w:sz w:val="14"/>
                              </w:rPr>
                              <w:t>training,</w:t>
                            </w:r>
                            <w:r w:rsidRPr="007617FD">
                              <w:rPr>
                                <w:i/>
                                <w:sz w:val="14"/>
                              </w:rPr>
                              <w:t xml:space="preserve"> and strategy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3CF9" id="_x0000_t202" coordsize="21600,21600" o:spt="202" path="m,l,21600r21600,l21600,xe">
                <v:stroke joinstyle="miter"/>
                <v:path gradientshapeok="t" o:connecttype="rect"/>
              </v:shapetype>
              <v:shape id="Text Box 8" o:spid="_x0000_s1026" type="#_x0000_t202" style="position:absolute;left:0;text-align:left;margin-left:-18.75pt;margin-top:75.75pt;width:110.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1lhwIAAIMFAAAOAAAAZHJzL2Uyb0RvYy54bWysVNtu2zAMfR+wfxD0vtppk16MOkXWIsOA&#10;oC2WDn1WZCkWJouapMTOvn6U7FzQ7aXDEEChxMPbMcnbu67RZCucV2BKOjrLKRGGQ6XMuqTfX+af&#10;rinxgZmKaTCipDvh6d3044fb1hbiHGrQlXAEnRhftLakdQi2yDLPa9EwfwZWGFRKcA0LeHXrrHKs&#10;Re+Nzs7z/DJrwVXWARfe4+tDr6TT5F9KwcOTlF4EokuKuYV0unSu4plNb1mxdszWig9psH/IomHK&#10;YNCDqwcWGNk49YerRnEHHmQ449BkIKXiItWA1YzyN9Usa2ZFqgXJ8fZAk/9/bvnjdmmfHQndZ+jw&#10;A0ZCWusLj4+xnk66Jv5jpgT1SOHuQJvoAuHRaJzno6sJJRx145vJRZ54zY7W1vnwRUBDolBSh58l&#10;scW2Cx8wIkL3kBjMg1bVXGmdLm69uteObFn8hPk1/npbbWs2vMas0Yfvob186kMb0pb08mLSmxqI&#10;znsbbWIQkVplSOZYf5LCTouI0eabkERViYaUWWxScciNcS5MSAxiLgkdURJDvcdwwB+zeo9xXwda&#10;pMhgwsG4UQZcIi7N1jHt6sc+Zdnjkb6TuqMYulU39MUKqh22i4N+krzlc4XfdMF8eGYORwc7BNdB&#10;eMJDakDWYZAoqcH9+tt7xGNHo5aSFkexpP7nhjlBif5qsNdvRuNxnN10GU+uzvHiTjWrU43ZNPeA&#10;rTLCxWN5EiM+6L0oHTSvuDVmMSqqmOEYu6RhL96HfkHg1uFiNksgnFbLwsIsLY+uI72xY1+6V+bs&#10;0NYBB+IR9kPLijfd3WOjpYHZJoBUqfUjwT2rA/E46amDh60UV8npPaGOu3P6GwAA//8DAFBLAwQU&#10;AAYACAAAACEAu678QuEAAAALAQAADwAAAGRycy9kb3ducmV2LnhtbEyPQU/CQBCF7yb+h82YeIMt&#10;xQqUbokB9eAJ0Au3pTu21e5s6S6l/nuHk97m5X158162Gmwjeux87UjBZByBQCqcqalU8PH+MpqD&#10;8EGT0Y0jVPCDHlb57U2mU+MutMN+H0rBIeRTraAKoU2l9EWFVvuxa5HY+3Sd1YFlV0rT6QuH20bG&#10;UfQora6JP1S6xXWFxff+bBVsXtez7WHQz+XD4tRvdl+naBu/KXV/NzwtQQQcwh8M1/pcHXLudHRn&#10;Ml40CkbTWcIoG8mEjysxn/K6o4I4XiQg80z+35D/AgAA//8DAFBLAQItABQABgAIAAAAIQC2gziS&#10;/gAAAOEBAAATAAAAAAAAAAAAAAAAAAAAAABbQ29udGVudF9UeXBlc10ueG1sUEsBAi0AFAAGAAgA&#10;AAAhADj9If/WAAAAlAEAAAsAAAAAAAAAAAAAAAAALwEAAF9yZWxzLy5yZWxzUEsBAi0AFAAGAAgA&#10;AAAhACle/WWHAgAAgwUAAA4AAAAAAAAAAAAAAAAALgIAAGRycy9lMm9Eb2MueG1sUEsBAi0AFAAG&#10;AAgAAAAhALuu/ELhAAAACwEAAA8AAAAAAAAAAAAAAAAA4QQAAGRycy9kb3ducmV2LnhtbFBLBQYA&#10;AAAABAAEAPMAAADvBQAAAAA=&#10;" fillcolor="teal" stroked="f" strokeweight=".5pt">
                <v:fill opacity="0"/>
                <v:textbox>
                  <w:txbxContent>
                    <w:p w14:paraId="04F0EB75" w14:textId="0E2C2A1C" w:rsidR="007617FD" w:rsidRPr="007617FD" w:rsidRDefault="007617FD" w:rsidP="004F7170">
                      <w:pPr>
                        <w:jc w:val="center"/>
                        <w:rPr>
                          <w:i/>
                          <w:sz w:val="14"/>
                        </w:rPr>
                      </w:pPr>
                      <w:r w:rsidRPr="007617FD">
                        <w:rPr>
                          <w:i/>
                          <w:sz w:val="14"/>
                        </w:rPr>
                        <w:t xml:space="preserve">Specialising in facilitation, </w:t>
                      </w:r>
                      <w:r w:rsidR="002D5BF8" w:rsidRPr="007617FD">
                        <w:rPr>
                          <w:i/>
                          <w:sz w:val="14"/>
                        </w:rPr>
                        <w:t>training,</w:t>
                      </w:r>
                      <w:r w:rsidRPr="007617FD">
                        <w:rPr>
                          <w:i/>
                          <w:sz w:val="14"/>
                        </w:rPr>
                        <w:t xml:space="preserve"> and strategy development</w:t>
                      </w:r>
                    </w:p>
                  </w:txbxContent>
                </v:textbox>
              </v:shape>
            </w:pict>
          </mc:Fallback>
        </mc:AlternateContent>
      </w:r>
      <w:r w:rsidR="004F7170">
        <w:rPr>
          <w:noProof/>
          <w:lang w:eastAsia="en-AU"/>
        </w:rPr>
        <w:drawing>
          <wp:inline distT="0" distB="0" distL="0" distR="0" wp14:anchorId="37A94CDF" wp14:editId="34E172FC">
            <wp:extent cx="876300" cy="9980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khauser &amp; associates - logo - sans text.eps"/>
                    <pic:cNvPicPr/>
                  </pic:nvPicPr>
                  <pic:blipFill>
                    <a:blip r:embed="rId7"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876753" cy="998524"/>
                    </a:xfrm>
                    <a:prstGeom prst="rect">
                      <a:avLst/>
                    </a:prstGeom>
                    <a:solidFill>
                      <a:srgbClr val="008080">
                        <a:alpha val="0"/>
                      </a:srgbClr>
                    </a:solidFill>
                  </pic:spPr>
                </pic:pic>
              </a:graphicData>
            </a:graphic>
          </wp:inline>
        </w:drawing>
      </w:r>
      <w:r w:rsidR="007617FD">
        <w:t xml:space="preserve">                         </w:t>
      </w:r>
      <w:r w:rsidR="00A91E84">
        <w:t>Rae Fankhauser</w:t>
      </w:r>
    </w:p>
    <w:p w14:paraId="08E7C6DD" w14:textId="77777777" w:rsidR="007A3CA7" w:rsidRPr="001C0F2B" w:rsidRDefault="007617FD" w:rsidP="004F7170">
      <w:pPr>
        <w:pStyle w:val="Title"/>
        <w:jc w:val="both"/>
      </w:pPr>
      <w:r>
        <w:t xml:space="preserve">                   </w:t>
      </w:r>
      <w:r w:rsidR="004F7170">
        <w:t xml:space="preserve"> </w:t>
      </w:r>
      <w:r w:rsidR="00A91E84">
        <w:t>Fankhauser &amp; Associates</w:t>
      </w:r>
    </w:p>
    <w:p w14:paraId="3EC4BF63" w14:textId="77777777" w:rsidR="00F456ED" w:rsidRPr="001C0F2B" w:rsidRDefault="000C660C" w:rsidP="001C0F2B">
      <w:pPr>
        <w:pStyle w:val="Subtitle"/>
      </w:pPr>
      <w:r w:rsidRPr="001C0F2B">
        <w:t>Accredited Investment Management Facilitator</w:t>
      </w:r>
    </w:p>
    <w:p w14:paraId="1CEF0E29" w14:textId="77777777" w:rsidR="008F499A" w:rsidRPr="001C0F2B" w:rsidRDefault="008F499A" w:rsidP="001C0F2B">
      <w:pPr>
        <w:pStyle w:val="Heading1"/>
      </w:pPr>
      <w:r w:rsidRPr="001C0F2B">
        <w:t xml:space="preserve">Organisation Overview </w:t>
      </w:r>
    </w:p>
    <w:p w14:paraId="19FF0287" w14:textId="01AC0863" w:rsidR="007A3CA7" w:rsidRPr="00190A70" w:rsidRDefault="00190A70" w:rsidP="001C0F2B">
      <w:r w:rsidRPr="0079220D">
        <w:t xml:space="preserve">Fankhauser and Associates have been operating in the government and corporate environment for </w:t>
      </w:r>
      <w:r>
        <w:t>twenty</w:t>
      </w:r>
      <w:r w:rsidR="003A583C">
        <w:t xml:space="preserve">-five </w:t>
      </w:r>
      <w:r w:rsidRPr="0079220D">
        <w:t>years and have undertaken projects across a broad range of activities. Over this period the company has delivered</w:t>
      </w:r>
      <w:r w:rsidR="00272FB1">
        <w:t xml:space="preserve"> investment management facilitation and training services, </w:t>
      </w:r>
      <w:r w:rsidRPr="0079220D">
        <w:t xml:space="preserve">business </w:t>
      </w:r>
      <w:r>
        <w:t xml:space="preserve">strategy and </w:t>
      </w:r>
      <w:r w:rsidRPr="0079220D">
        <w:t>analysis and information design services in the fields of</w:t>
      </w:r>
      <w:r>
        <w:t xml:space="preserve"> </w:t>
      </w:r>
      <w:r w:rsidRPr="0079220D">
        <w:t>information arc</w:t>
      </w:r>
      <w:r w:rsidR="00272FB1">
        <w:t xml:space="preserve">hitecture, online </w:t>
      </w:r>
      <w:r w:rsidR="004B5F78">
        <w:t>communication,</w:t>
      </w:r>
      <w:r w:rsidRPr="0079220D">
        <w:t xml:space="preserve"> and content management</w:t>
      </w:r>
      <w:r>
        <w:t>.</w:t>
      </w:r>
      <w:r w:rsidR="00E96541">
        <w:t xml:space="preserve"> Driving value for government</w:t>
      </w:r>
      <w:r w:rsidR="002772B3">
        <w:t>, non-government</w:t>
      </w:r>
      <w:r w:rsidR="00E96541">
        <w:t xml:space="preserve"> and </w:t>
      </w:r>
      <w:r w:rsidR="002772B3">
        <w:t>commercial</w:t>
      </w:r>
      <w:r w:rsidR="00E96541">
        <w:t xml:space="preserve"> organisations is inherent in our approach to all our services.</w:t>
      </w:r>
    </w:p>
    <w:p w14:paraId="6710C165" w14:textId="77777777" w:rsidR="008F499A" w:rsidRPr="001C0F2B" w:rsidRDefault="008F499A" w:rsidP="001C0F2B">
      <w:pPr>
        <w:pStyle w:val="Heading1"/>
      </w:pPr>
      <w:r w:rsidRPr="001C0F2B">
        <w:t>Facilitator Profile</w:t>
      </w:r>
    </w:p>
    <w:p w14:paraId="08D81D0E" w14:textId="19AFC522" w:rsidR="00C40D3B" w:rsidRDefault="00190A70" w:rsidP="00190A70">
      <w:r>
        <w:t xml:space="preserve">Rae Fankhauser has delivered </w:t>
      </w:r>
      <w:r w:rsidR="004B5F78">
        <w:t>more than</w:t>
      </w:r>
      <w:r>
        <w:t xml:space="preserve"> </w:t>
      </w:r>
      <w:r w:rsidR="003A583C">
        <w:t>2</w:t>
      </w:r>
      <w:r>
        <w:t>00 Accredited Facilitator Training programs on behalf of the Department of Treasury and Finance (DTF) as well as longer programs for government departments and agencies interstate and in New Zealan</w:t>
      </w:r>
      <w:r w:rsidR="002772B3">
        <w:t xml:space="preserve">d. Her company is the endorsed </w:t>
      </w:r>
      <w:r>
        <w:t>provider of Investment Management training for DTF (Victoria).</w:t>
      </w:r>
      <w:r w:rsidR="00272FB1">
        <w:t xml:space="preserve">  </w:t>
      </w:r>
    </w:p>
    <w:p w14:paraId="65DF61FF" w14:textId="2B59FAB0" w:rsidR="00190A70" w:rsidRDefault="00190A70" w:rsidP="00190A70">
      <w:r>
        <w:t>Rae Fankhauser has facilitated more than</w:t>
      </w:r>
      <w:r w:rsidR="00641FBF">
        <w:t xml:space="preserve"> 5</w:t>
      </w:r>
      <w:r w:rsidRPr="000A3430">
        <w:t xml:space="preserve">00 workshops across the </w:t>
      </w:r>
      <w:r w:rsidR="00E96541">
        <w:t xml:space="preserve">full </w:t>
      </w:r>
      <w:r w:rsidRPr="000A3430">
        <w:t xml:space="preserve">workshop suite within the Investment Management Standard - Problem definition, Benefits Definition, </w:t>
      </w:r>
      <w:r w:rsidR="003A583C">
        <w:t>Response Definition</w:t>
      </w:r>
      <w:r>
        <w:t xml:space="preserve">, </w:t>
      </w:r>
      <w:r w:rsidRPr="000A3430">
        <w:t xml:space="preserve">Solution definition, </w:t>
      </w:r>
      <w:r>
        <w:t>Program</w:t>
      </w:r>
      <w:r w:rsidRPr="000A3430">
        <w:t xml:space="preserve"> and Organisational Logic</w:t>
      </w:r>
      <w:r>
        <w:t xml:space="preserve"> workshops</w:t>
      </w:r>
      <w:r w:rsidRPr="000A3430">
        <w:t xml:space="preserve">. </w:t>
      </w:r>
      <w:r w:rsidR="00C40D3B">
        <w:t>Rae brings</w:t>
      </w:r>
      <w:r w:rsidR="002772B3">
        <w:t xml:space="preserve"> experience </w:t>
      </w:r>
      <w:r w:rsidR="00C40D3B">
        <w:t>across the full gamut of investment types from small and large infrastructure and asset investments to complex and challenging policy development and service innovation and improvement initiatives and programs.</w:t>
      </w:r>
    </w:p>
    <w:p w14:paraId="45BF7184" w14:textId="49C6AE82" w:rsidR="00190A70" w:rsidRPr="000A3430" w:rsidRDefault="00190A70" w:rsidP="00190A70">
      <w:r w:rsidRPr="000A3430">
        <w:t xml:space="preserve">At the heart of each of these </w:t>
      </w:r>
      <w:r w:rsidR="004B5F78" w:rsidRPr="000A3430">
        <w:t>2-hour</w:t>
      </w:r>
      <w:r w:rsidRPr="000A3430">
        <w:t xml:space="preserve"> workshops i</w:t>
      </w:r>
      <w:r w:rsidR="002772B3">
        <w:t>s a commitment to intelligent, challenging</w:t>
      </w:r>
      <w:r w:rsidRPr="000A3430">
        <w:t xml:space="preserve"> discussion with</w:t>
      </w:r>
      <w:r>
        <w:t xml:space="preserve"> a focus on strategic, evidence-</w:t>
      </w:r>
      <w:r w:rsidRPr="000A3430">
        <w:t xml:space="preserve">based decisions about investments. </w:t>
      </w:r>
      <w:r w:rsidR="00E96541">
        <w:t>The discussion and outputs validate that:</w:t>
      </w:r>
    </w:p>
    <w:p w14:paraId="5C72B4C9" w14:textId="3CD3E3CA" w:rsidR="00190A70" w:rsidRPr="000A3430" w:rsidRDefault="00190A70" w:rsidP="00E96541">
      <w:pPr>
        <w:numPr>
          <w:ilvl w:val="0"/>
          <w:numId w:val="19"/>
        </w:numPr>
        <w:spacing w:line="240" w:lineRule="auto"/>
      </w:pPr>
      <w:r w:rsidRPr="000A3430">
        <w:t xml:space="preserve">Investment proposals are clear, </w:t>
      </w:r>
      <w:r w:rsidR="004B5F78" w:rsidRPr="000A3430">
        <w:t>compelling,</w:t>
      </w:r>
      <w:r w:rsidRPr="000A3430">
        <w:t xml:space="preserve"> and evidence-based</w:t>
      </w:r>
    </w:p>
    <w:p w14:paraId="378E6913" w14:textId="77777777" w:rsidR="00190A70" w:rsidRPr="000A3430" w:rsidRDefault="00190A70" w:rsidP="00E96541">
      <w:pPr>
        <w:numPr>
          <w:ilvl w:val="0"/>
          <w:numId w:val="19"/>
        </w:numPr>
        <w:spacing w:line="240" w:lineRule="auto"/>
      </w:pPr>
      <w:r w:rsidRPr="000A3430">
        <w:t>Benefits are clearly articulated and how they will be measured understood early</w:t>
      </w:r>
    </w:p>
    <w:p w14:paraId="6D61C083" w14:textId="37D2AF65" w:rsidR="00190A70" w:rsidRPr="000A3430" w:rsidRDefault="00190A70" w:rsidP="00E96541">
      <w:pPr>
        <w:numPr>
          <w:ilvl w:val="0"/>
          <w:numId w:val="19"/>
        </w:numPr>
        <w:spacing w:line="240" w:lineRule="auto"/>
      </w:pPr>
      <w:r w:rsidRPr="000A3430">
        <w:t xml:space="preserve">Interventions are strategic, </w:t>
      </w:r>
      <w:r w:rsidR="004B5F78" w:rsidRPr="000A3430">
        <w:t>realistic,</w:t>
      </w:r>
      <w:r w:rsidRPr="000A3430">
        <w:t xml:space="preserve"> and feasible</w:t>
      </w:r>
    </w:p>
    <w:p w14:paraId="5A234DC9" w14:textId="77777777" w:rsidR="00190A70" w:rsidRDefault="00190A70" w:rsidP="00E96541">
      <w:pPr>
        <w:numPr>
          <w:ilvl w:val="0"/>
          <w:numId w:val="19"/>
        </w:numPr>
        <w:spacing w:line="240" w:lineRule="auto"/>
      </w:pPr>
      <w:r w:rsidRPr="000A3430">
        <w:t>Solutions are robust and smart and there is a clear understanding of the scope of the solution that is likely to be required to respond to the business need and produce the benefits that are sought.</w:t>
      </w:r>
    </w:p>
    <w:p w14:paraId="176BFCF3" w14:textId="26C87F3C" w:rsidR="00272FB1" w:rsidRPr="00E96541" w:rsidRDefault="00E96541" w:rsidP="00272FB1">
      <w:r>
        <w:t>Clients include all Victorian government departments, numerous</w:t>
      </w:r>
      <w:r w:rsidR="002772B3">
        <w:t xml:space="preserve"> agencies and State A</w:t>
      </w:r>
      <w:r>
        <w:t xml:space="preserve">uthorities, </w:t>
      </w:r>
      <w:r w:rsidR="004B5F78">
        <w:t>Commonwealth and State government departments, corporate organisations</w:t>
      </w:r>
      <w:r w:rsidR="00272FB1">
        <w:t xml:space="preserve"> </w:t>
      </w:r>
      <w:r w:rsidR="002772B3">
        <w:t>many New Zealand government departments</w:t>
      </w:r>
      <w:r w:rsidR="00272FB1">
        <w:t xml:space="preserve"> and agencies</w:t>
      </w:r>
      <w:r w:rsidR="002772B3">
        <w:t>,</w:t>
      </w:r>
      <w:r w:rsidR="00272FB1">
        <w:t xml:space="preserve"> local </w:t>
      </w:r>
      <w:proofErr w:type="gramStart"/>
      <w:r w:rsidR="00272FB1">
        <w:t>councils</w:t>
      </w:r>
      <w:proofErr w:type="gramEnd"/>
      <w:r w:rsidR="00272FB1">
        <w:t xml:space="preserve"> and major universities.</w:t>
      </w:r>
    </w:p>
    <w:p w14:paraId="24D3C375" w14:textId="77777777" w:rsidR="00F56981" w:rsidRDefault="00F56981">
      <w:pPr>
        <w:rPr>
          <w:rFonts w:asciiTheme="majorHAnsi" w:eastAsiaTheme="majorEastAsia" w:hAnsiTheme="majorHAnsi" w:cstheme="majorBidi"/>
          <w:b/>
          <w:bCs/>
          <w:color w:val="365F91" w:themeColor="accent1" w:themeShade="BF"/>
          <w:sz w:val="28"/>
          <w:szCs w:val="28"/>
        </w:rPr>
      </w:pPr>
    </w:p>
    <w:p w14:paraId="2B67335A" w14:textId="77777777" w:rsidR="00F97CD7" w:rsidRDefault="00F97CD7">
      <w:pPr>
        <w:rPr>
          <w:rFonts w:asciiTheme="majorHAnsi" w:eastAsiaTheme="majorEastAsia" w:hAnsiTheme="majorHAnsi" w:cstheme="majorBidi"/>
          <w:b/>
          <w:bCs/>
          <w:color w:val="365F91" w:themeColor="accent1" w:themeShade="BF"/>
          <w:sz w:val="28"/>
          <w:szCs w:val="28"/>
        </w:rPr>
      </w:pPr>
      <w:r>
        <w:br w:type="page"/>
      </w:r>
    </w:p>
    <w:p w14:paraId="6AFE166D" w14:textId="5EC44A67" w:rsidR="00E50972" w:rsidRPr="001C0F2B" w:rsidRDefault="008F499A" w:rsidP="001C0F2B">
      <w:pPr>
        <w:pStyle w:val="Heading1"/>
      </w:pPr>
      <w:r w:rsidRPr="001C0F2B">
        <w:lastRenderedPageBreak/>
        <w:t xml:space="preserve">About Investment Management </w:t>
      </w:r>
    </w:p>
    <w:p w14:paraId="30AF32E8" w14:textId="77777777" w:rsidR="001C0F2B" w:rsidRDefault="001B06A1" w:rsidP="001C0F2B">
      <w:pPr>
        <w:rPr>
          <w:rFonts w:cstheme="minorHAnsi"/>
        </w:rPr>
      </w:pPr>
      <w:r w:rsidRPr="001C0F2B">
        <w:rPr>
          <w:rFonts w:cstheme="minorHAnsi"/>
        </w:rPr>
        <w:t>The Investment Management Standard (IMS) is a collection of simple, commonsense ideas and practices that help organisation to direct resources to deliver the best outcomes.</w:t>
      </w:r>
    </w:p>
    <w:p w14:paraId="63D808E8" w14:textId="44A08D76" w:rsidR="00874CDC" w:rsidRDefault="001B06A1" w:rsidP="00422181">
      <w:pPr>
        <w:rPr>
          <w:rFonts w:cstheme="minorHAnsi"/>
        </w:rPr>
      </w:pPr>
      <w:r w:rsidRPr="001C0F2B">
        <w:rPr>
          <w:rFonts w:cstheme="minorHAnsi"/>
        </w:rPr>
        <w:t xml:space="preserve">The </w:t>
      </w:r>
      <w:r w:rsidR="00422181">
        <w:rPr>
          <w:rFonts w:cstheme="minorHAnsi"/>
        </w:rPr>
        <w:t>Investment Management St</w:t>
      </w:r>
      <w:r w:rsidRPr="001C0F2B">
        <w:rPr>
          <w:rFonts w:cstheme="minorHAnsi"/>
        </w:rPr>
        <w:t>andard has been evolving since 2004 as a response to investment practices that were increasingly complex but failed to focus on the real need for an investment or the benefits that would be delivered. Its uses have expanded to the point that it is now a system that can support the primary investment decision-making functions of any organisation on multiple levels, from a decision about a single investment initiative to whole-of-organisation decisions that refocu</w:t>
      </w:r>
      <w:r w:rsidR="001C0F2B" w:rsidRPr="001C0F2B">
        <w:rPr>
          <w:rFonts w:cstheme="minorHAnsi"/>
        </w:rPr>
        <w:t xml:space="preserve">s the organisation’s direction. </w:t>
      </w:r>
      <w:r w:rsidR="00F608FD" w:rsidRPr="001C0F2B">
        <w:rPr>
          <w:rFonts w:cstheme="minorHAnsi"/>
        </w:rPr>
        <w:t xml:space="preserve">For more information on </w:t>
      </w:r>
      <w:r w:rsidR="00022B3F" w:rsidRPr="001C0F2B">
        <w:rPr>
          <w:rFonts w:cstheme="minorHAnsi"/>
        </w:rPr>
        <w:t>how</w:t>
      </w:r>
      <w:r w:rsidR="00751BCF" w:rsidRPr="001C0F2B">
        <w:rPr>
          <w:rFonts w:cstheme="minorHAnsi"/>
        </w:rPr>
        <w:t xml:space="preserve"> IMS can be used to </w:t>
      </w:r>
      <w:r w:rsidRPr="001C0F2B">
        <w:rPr>
          <w:rFonts w:cstheme="minorHAnsi"/>
        </w:rPr>
        <w:t>aid</w:t>
      </w:r>
      <w:r w:rsidR="00751BCF" w:rsidRPr="001C0F2B">
        <w:rPr>
          <w:rFonts w:cstheme="minorHAnsi"/>
        </w:rPr>
        <w:t xml:space="preserve"> your organisation</w:t>
      </w:r>
      <w:r w:rsidR="00F608FD" w:rsidRPr="001C0F2B">
        <w:rPr>
          <w:rFonts w:cstheme="minorHAnsi"/>
        </w:rPr>
        <w:t xml:space="preserve"> </w:t>
      </w:r>
      <w:r w:rsidR="005A4434" w:rsidRPr="001C0F2B">
        <w:rPr>
          <w:rFonts w:cstheme="minorHAnsi"/>
        </w:rPr>
        <w:t xml:space="preserve">go to </w:t>
      </w:r>
      <w:hyperlink r:id="rId8" w:history="1">
        <w:r w:rsidR="00874CDC" w:rsidRPr="00D329E1">
          <w:rPr>
            <w:rStyle w:val="Hyperlink"/>
            <w:rFonts w:cstheme="minorHAnsi"/>
          </w:rPr>
          <w:t>Investment Management Standard</w:t>
        </w:r>
      </w:hyperlink>
      <w:r w:rsidR="00874CDC">
        <w:rPr>
          <w:rFonts w:cstheme="minorHAnsi"/>
        </w:rPr>
        <w:t xml:space="preserve"> </w:t>
      </w:r>
      <w:r w:rsidR="00D329E1">
        <w:rPr>
          <w:rFonts w:cstheme="minorHAnsi"/>
        </w:rPr>
        <w:t>.</w:t>
      </w:r>
    </w:p>
    <w:p w14:paraId="17E0A85C" w14:textId="725AED53" w:rsidR="00422181" w:rsidRPr="00422181" w:rsidRDefault="00422181" w:rsidP="001C0F2B">
      <w:pPr>
        <w:rPr>
          <w:rFonts w:cstheme="minorHAnsi"/>
        </w:rPr>
      </w:pPr>
      <w:r w:rsidRPr="00422181">
        <w:rPr>
          <w:rFonts w:cstheme="minorHAnsi"/>
        </w:rPr>
        <w:t xml:space="preserve">In times of economic constraint, the use of IMS is vital. Government, </w:t>
      </w:r>
      <w:r w:rsidR="002D5BF8" w:rsidRPr="00422181">
        <w:rPr>
          <w:rFonts w:cstheme="minorHAnsi"/>
        </w:rPr>
        <w:t>community,</w:t>
      </w:r>
      <w:r w:rsidRPr="00422181">
        <w:rPr>
          <w:rFonts w:cstheme="minorHAnsi"/>
        </w:rPr>
        <w:t xml:space="preserve"> and shareholders all need certainty that the right investments are being selected and resources allocated in a strategic and cost-effective way that will deliver the needed benefits within the required timeframe. </w:t>
      </w:r>
    </w:p>
    <w:p w14:paraId="492B7D97" w14:textId="46DE0813" w:rsidR="001B06A1" w:rsidRPr="001C0F2B" w:rsidRDefault="00A0042A" w:rsidP="00F97CD7">
      <w:pPr>
        <w:pStyle w:val="Heading1"/>
      </w:pPr>
      <w:r w:rsidRPr="001C0F2B">
        <w:t>Costs</w:t>
      </w:r>
    </w:p>
    <w:tbl>
      <w:tblPr>
        <w:tblStyle w:val="GridTable3-Accent1"/>
        <w:tblW w:w="5001" w:type="pct"/>
        <w:tblLook w:val="04A0" w:firstRow="1" w:lastRow="0" w:firstColumn="1" w:lastColumn="0" w:noHBand="0" w:noVBand="1"/>
      </w:tblPr>
      <w:tblGrid>
        <w:gridCol w:w="2976"/>
        <w:gridCol w:w="5516"/>
        <w:gridCol w:w="1976"/>
      </w:tblGrid>
      <w:tr w:rsidR="001C0F2B" w:rsidRPr="001C0F2B" w14:paraId="243AAD5A" w14:textId="77777777" w:rsidTr="002D5BF8">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2628" w:type="dxa"/>
            <w:vMerge w:val="restart"/>
            <w:shd w:val="clear" w:color="auto" w:fill="548DD4" w:themeFill="text2" w:themeFillTint="99"/>
          </w:tcPr>
          <w:p w14:paraId="247DE126" w14:textId="77777777" w:rsidR="001C0F2B" w:rsidRPr="002D5BF8" w:rsidRDefault="001C0F2B" w:rsidP="002D5BF8">
            <w:pPr>
              <w:pStyle w:val="TableText"/>
              <w:jc w:val="left"/>
              <w:rPr>
                <w:color w:val="FFFFFF" w:themeColor="background1"/>
              </w:rPr>
            </w:pPr>
            <w:r w:rsidRPr="002D5BF8">
              <w:rPr>
                <w:color w:val="FFFFFF" w:themeColor="background1"/>
              </w:rPr>
              <w:t>Service</w:t>
            </w:r>
          </w:p>
        </w:tc>
        <w:tc>
          <w:tcPr>
            <w:tcW w:w="6616" w:type="dxa"/>
            <w:gridSpan w:val="2"/>
            <w:shd w:val="clear" w:color="auto" w:fill="DBE5F1" w:themeFill="accent1" w:themeFillTint="33"/>
          </w:tcPr>
          <w:p w14:paraId="0C3339BD" w14:textId="77777777" w:rsidR="001C0F2B" w:rsidRPr="001C0F2B" w:rsidRDefault="001C0F2B" w:rsidP="000579AF">
            <w:pPr>
              <w:pStyle w:val="TableText"/>
              <w:cnfStyle w:val="100000000000" w:firstRow="1" w:lastRow="0" w:firstColumn="0" w:lastColumn="0" w:oddVBand="0" w:evenVBand="0" w:oddHBand="0" w:evenHBand="0" w:firstRowFirstColumn="0" w:firstRowLastColumn="0" w:lastRowFirstColumn="0" w:lastRowLastColumn="0"/>
            </w:pPr>
            <w:r w:rsidRPr="001C0F2B">
              <w:t>Cost (inc. GST)</w:t>
            </w:r>
          </w:p>
        </w:tc>
      </w:tr>
      <w:tr w:rsidR="001C0F2B" w:rsidRPr="001C0F2B" w14:paraId="4FDA3F3F" w14:textId="77777777" w:rsidTr="002D5BF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548DD4" w:themeFill="text2" w:themeFillTint="99"/>
          </w:tcPr>
          <w:p w14:paraId="7A19172E" w14:textId="77777777" w:rsidR="001C0F2B" w:rsidRPr="001C0F2B" w:rsidRDefault="001C0F2B" w:rsidP="000579AF">
            <w:pPr>
              <w:pStyle w:val="TableText"/>
            </w:pPr>
          </w:p>
        </w:tc>
        <w:tc>
          <w:tcPr>
            <w:tcW w:w="4871" w:type="dxa"/>
          </w:tcPr>
          <w:p w14:paraId="2F9B3679" w14:textId="77777777" w:rsidR="001C0F2B" w:rsidRPr="001C0F2B" w:rsidRDefault="001C0F2B" w:rsidP="000579AF">
            <w:pPr>
              <w:pStyle w:val="TableText"/>
              <w:cnfStyle w:val="000000100000" w:firstRow="0" w:lastRow="0" w:firstColumn="0" w:lastColumn="0" w:oddVBand="0" w:evenVBand="0" w:oddHBand="1" w:evenHBand="0" w:firstRowFirstColumn="0" w:firstRowLastColumn="0" w:lastRowFirstColumn="0" w:lastRowLastColumn="0"/>
            </w:pPr>
            <w:r w:rsidRPr="001C0F2B">
              <w:t>Per Workshop</w:t>
            </w:r>
          </w:p>
        </w:tc>
        <w:tc>
          <w:tcPr>
            <w:tcW w:w="1745" w:type="dxa"/>
          </w:tcPr>
          <w:p w14:paraId="7085960C" w14:textId="77777777" w:rsidR="001C0F2B" w:rsidRPr="001C0F2B" w:rsidRDefault="001C0F2B" w:rsidP="000579AF">
            <w:pPr>
              <w:pStyle w:val="TableText"/>
              <w:cnfStyle w:val="000000100000" w:firstRow="0" w:lastRow="0" w:firstColumn="0" w:lastColumn="0" w:oddVBand="0" w:evenVBand="0" w:oddHBand="1" w:evenHBand="0" w:firstRowFirstColumn="0" w:firstRowLastColumn="0" w:lastRowFirstColumn="0" w:lastRowLastColumn="0"/>
            </w:pPr>
            <w:r w:rsidRPr="001C0F2B">
              <w:t>Package</w:t>
            </w:r>
          </w:p>
        </w:tc>
      </w:tr>
      <w:tr w:rsidR="001C0F2B" w:rsidRPr="001C0F2B" w14:paraId="172CF273" w14:textId="77777777" w:rsidTr="002D5BF8">
        <w:tc>
          <w:tcPr>
            <w:cnfStyle w:val="001000000000" w:firstRow="0" w:lastRow="0" w:firstColumn="1" w:lastColumn="0" w:oddVBand="0" w:evenVBand="0" w:oddHBand="0" w:evenHBand="0" w:firstRowFirstColumn="0" w:firstRowLastColumn="0" w:lastRowFirstColumn="0" w:lastRowLastColumn="0"/>
            <w:tcW w:w="9244" w:type="dxa"/>
            <w:gridSpan w:val="3"/>
            <w:shd w:val="clear" w:color="auto" w:fill="548DD4" w:themeFill="text2" w:themeFillTint="99"/>
          </w:tcPr>
          <w:p w14:paraId="02B93B84" w14:textId="77777777" w:rsidR="001C0F2B" w:rsidRPr="001C0F2B" w:rsidRDefault="001C0F2B" w:rsidP="002D5BF8">
            <w:pPr>
              <w:pStyle w:val="TableText"/>
              <w:jc w:val="left"/>
            </w:pPr>
            <w:r w:rsidRPr="002D5BF8">
              <w:rPr>
                <w:color w:val="FFFFFF" w:themeColor="background1"/>
              </w:rPr>
              <w:t xml:space="preserve">Shape new Investments </w:t>
            </w:r>
          </w:p>
        </w:tc>
      </w:tr>
      <w:tr w:rsidR="001C0F2B" w:rsidRPr="001C0F2B" w14:paraId="2426DD7B" w14:textId="77777777" w:rsidTr="003A583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628" w:type="dxa"/>
            <w:vMerge w:val="restart"/>
          </w:tcPr>
          <w:p w14:paraId="325DE1CC" w14:textId="77777777" w:rsidR="001C0F2B" w:rsidRPr="001C0F2B" w:rsidRDefault="001C0F2B" w:rsidP="000579AF">
            <w:pPr>
              <w:pStyle w:val="TableText"/>
            </w:pPr>
            <w:r w:rsidRPr="001C0F2B">
              <w:t>Problem Definition</w:t>
            </w:r>
          </w:p>
          <w:p w14:paraId="56AC2C8B" w14:textId="77777777" w:rsidR="001C0F2B" w:rsidRPr="001C0F2B" w:rsidRDefault="001C0F2B" w:rsidP="000579AF">
            <w:pPr>
              <w:pStyle w:val="TableText"/>
            </w:pPr>
            <w:r w:rsidRPr="001C0F2B">
              <w:t>Benefit Definition</w:t>
            </w:r>
          </w:p>
          <w:p w14:paraId="2635BDBE" w14:textId="77777777" w:rsidR="001C0F2B" w:rsidRPr="001C0F2B" w:rsidRDefault="001C0F2B" w:rsidP="000579AF">
            <w:pPr>
              <w:pStyle w:val="TableText"/>
            </w:pPr>
            <w:r w:rsidRPr="001C0F2B">
              <w:t>Strategic Response</w:t>
            </w:r>
          </w:p>
          <w:p w14:paraId="76BCF56A" w14:textId="77777777" w:rsidR="001C0F2B" w:rsidRPr="001C0F2B" w:rsidRDefault="001C0F2B" w:rsidP="000579AF">
            <w:pPr>
              <w:pStyle w:val="TableText"/>
            </w:pPr>
            <w:r w:rsidRPr="001C0F2B">
              <w:t>Solution Definition</w:t>
            </w:r>
          </w:p>
        </w:tc>
        <w:tc>
          <w:tcPr>
            <w:tcW w:w="4871" w:type="dxa"/>
          </w:tcPr>
          <w:p w14:paraId="4A1FEA14" w14:textId="35761320" w:rsidR="001C0F2B" w:rsidRPr="001C0F2B" w:rsidRDefault="004B5F78" w:rsidP="00A91E84">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val="restart"/>
          </w:tcPr>
          <w:p w14:paraId="4563E3CC" w14:textId="59E154CB" w:rsidR="001C0F2B" w:rsidRPr="001C0F2B" w:rsidRDefault="001C0F2B" w:rsidP="00A91E84">
            <w:pPr>
              <w:pStyle w:val="TableText"/>
              <w:cnfStyle w:val="000000100000" w:firstRow="0" w:lastRow="0" w:firstColumn="0" w:lastColumn="0" w:oddVBand="0" w:evenVBand="0" w:oddHBand="1" w:evenHBand="0" w:firstRowFirstColumn="0" w:firstRowLastColumn="0" w:lastRowFirstColumn="0" w:lastRowLastColumn="0"/>
            </w:pPr>
            <w:r w:rsidRPr="001C0F2B">
              <w:t>$</w:t>
            </w:r>
            <w:r w:rsidR="004B5F78">
              <w:t>8,400</w:t>
            </w:r>
          </w:p>
        </w:tc>
      </w:tr>
      <w:tr w:rsidR="00641FBF" w:rsidRPr="001C0F2B" w14:paraId="05660928" w14:textId="77777777" w:rsidTr="003A583C">
        <w:trPr>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020B7F65" w14:textId="77777777" w:rsidR="00641FBF" w:rsidRPr="001C0F2B" w:rsidRDefault="00641FBF" w:rsidP="00641FBF">
            <w:pPr>
              <w:pStyle w:val="TableText"/>
            </w:pPr>
          </w:p>
        </w:tc>
        <w:tc>
          <w:tcPr>
            <w:tcW w:w="4871" w:type="dxa"/>
          </w:tcPr>
          <w:p w14:paraId="0E22F2A7" w14:textId="789D3D14" w:rsidR="00641FBF" w:rsidRPr="001C0F2B" w:rsidRDefault="00641FBF" w:rsidP="00641FBF">
            <w:pPr>
              <w:pStyle w:val="TableText"/>
              <w:cnfStyle w:val="000000000000" w:firstRow="0" w:lastRow="0" w:firstColumn="0" w:lastColumn="0" w:oddVBand="0" w:evenVBand="0" w:oddHBand="0" w:evenHBand="0" w:firstRowFirstColumn="0" w:firstRowLastColumn="0" w:lastRowFirstColumn="0" w:lastRowLastColumn="0"/>
            </w:pPr>
            <w:r>
              <w:t>$</w:t>
            </w:r>
            <w:r w:rsidR="004B5F78">
              <w:t>2100</w:t>
            </w:r>
          </w:p>
        </w:tc>
        <w:tc>
          <w:tcPr>
            <w:tcW w:w="1745" w:type="dxa"/>
            <w:vMerge/>
          </w:tcPr>
          <w:p w14:paraId="6DC3A38B" w14:textId="77777777" w:rsidR="00641FBF" w:rsidRPr="001C0F2B" w:rsidRDefault="00641FBF" w:rsidP="00641FBF">
            <w:pPr>
              <w:pStyle w:val="TableText"/>
              <w:cnfStyle w:val="000000000000" w:firstRow="0" w:lastRow="0" w:firstColumn="0" w:lastColumn="0" w:oddVBand="0" w:evenVBand="0" w:oddHBand="0" w:evenHBand="0" w:firstRowFirstColumn="0" w:firstRowLastColumn="0" w:lastRowFirstColumn="0" w:lastRowLastColumn="0"/>
            </w:pPr>
          </w:p>
        </w:tc>
      </w:tr>
      <w:tr w:rsidR="00641FBF" w:rsidRPr="001C0F2B" w14:paraId="51289691" w14:textId="77777777" w:rsidTr="003A583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3679E82C" w14:textId="77777777" w:rsidR="00641FBF" w:rsidRPr="001C0F2B" w:rsidRDefault="00641FBF" w:rsidP="00641FBF">
            <w:pPr>
              <w:pStyle w:val="TableText"/>
            </w:pPr>
          </w:p>
        </w:tc>
        <w:tc>
          <w:tcPr>
            <w:tcW w:w="4871" w:type="dxa"/>
          </w:tcPr>
          <w:p w14:paraId="7DCCB300" w14:textId="64D4ACC9" w:rsidR="00641FBF" w:rsidRPr="001C0F2B" w:rsidRDefault="00641FBF" w:rsidP="00641FBF">
            <w:pPr>
              <w:pStyle w:val="TableText"/>
              <w:cnfStyle w:val="000000100000" w:firstRow="0" w:lastRow="0" w:firstColumn="0" w:lastColumn="0" w:oddVBand="0" w:evenVBand="0" w:oddHBand="1" w:evenHBand="0" w:firstRowFirstColumn="0" w:firstRowLastColumn="0" w:lastRowFirstColumn="0" w:lastRowLastColumn="0"/>
            </w:pPr>
            <w:r>
              <w:t>$</w:t>
            </w:r>
            <w:r w:rsidR="004B5F78">
              <w:t>2100</w:t>
            </w:r>
          </w:p>
        </w:tc>
        <w:tc>
          <w:tcPr>
            <w:tcW w:w="1745" w:type="dxa"/>
            <w:vMerge/>
          </w:tcPr>
          <w:p w14:paraId="30FC1118" w14:textId="77777777" w:rsidR="00641FBF" w:rsidRPr="001C0F2B" w:rsidRDefault="00641FBF" w:rsidP="00641FBF">
            <w:pPr>
              <w:pStyle w:val="TableText"/>
              <w:cnfStyle w:val="000000100000" w:firstRow="0" w:lastRow="0" w:firstColumn="0" w:lastColumn="0" w:oddVBand="0" w:evenVBand="0" w:oddHBand="1" w:evenHBand="0" w:firstRowFirstColumn="0" w:firstRowLastColumn="0" w:lastRowFirstColumn="0" w:lastRowLastColumn="0"/>
            </w:pPr>
          </w:p>
        </w:tc>
      </w:tr>
      <w:tr w:rsidR="00641FBF" w:rsidRPr="001C0F2B" w14:paraId="40AC272A" w14:textId="77777777" w:rsidTr="003A583C">
        <w:trPr>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1D251225" w14:textId="77777777" w:rsidR="00641FBF" w:rsidRPr="001C0F2B" w:rsidRDefault="00641FBF" w:rsidP="00641FBF">
            <w:pPr>
              <w:pStyle w:val="TableText"/>
            </w:pPr>
          </w:p>
        </w:tc>
        <w:tc>
          <w:tcPr>
            <w:tcW w:w="4871" w:type="dxa"/>
          </w:tcPr>
          <w:p w14:paraId="3235C446" w14:textId="61BA8326" w:rsidR="00641FBF" w:rsidRPr="001C0F2B" w:rsidRDefault="00641FBF" w:rsidP="00641FBF">
            <w:pPr>
              <w:pStyle w:val="TableText"/>
              <w:cnfStyle w:val="000000000000" w:firstRow="0" w:lastRow="0" w:firstColumn="0" w:lastColumn="0" w:oddVBand="0" w:evenVBand="0" w:oddHBand="0" w:evenHBand="0" w:firstRowFirstColumn="0" w:firstRowLastColumn="0" w:lastRowFirstColumn="0" w:lastRowLastColumn="0"/>
            </w:pPr>
            <w:r>
              <w:t>$</w:t>
            </w:r>
            <w:r w:rsidR="004B5F78">
              <w:t>2100</w:t>
            </w:r>
          </w:p>
        </w:tc>
        <w:tc>
          <w:tcPr>
            <w:tcW w:w="1745" w:type="dxa"/>
            <w:vMerge/>
          </w:tcPr>
          <w:p w14:paraId="53B7790F" w14:textId="77777777" w:rsidR="00641FBF" w:rsidRPr="001C0F2B" w:rsidRDefault="00641FBF" w:rsidP="00641FBF">
            <w:pPr>
              <w:pStyle w:val="TableText"/>
              <w:cnfStyle w:val="000000000000" w:firstRow="0" w:lastRow="0" w:firstColumn="0" w:lastColumn="0" w:oddVBand="0" w:evenVBand="0" w:oddHBand="0" w:evenHBand="0" w:firstRowFirstColumn="0" w:firstRowLastColumn="0" w:lastRowFirstColumn="0" w:lastRowLastColumn="0"/>
            </w:pPr>
          </w:p>
        </w:tc>
      </w:tr>
      <w:tr w:rsidR="00641FBF" w:rsidRPr="001C0F2B" w14:paraId="41FFBAAD" w14:textId="77777777" w:rsidTr="002D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4" w:type="dxa"/>
            <w:gridSpan w:val="3"/>
            <w:shd w:val="clear" w:color="auto" w:fill="548DD4" w:themeFill="text2" w:themeFillTint="99"/>
          </w:tcPr>
          <w:p w14:paraId="2767539F" w14:textId="77777777" w:rsidR="00641FBF" w:rsidRPr="001C0F2B" w:rsidRDefault="00641FBF" w:rsidP="002D5BF8">
            <w:pPr>
              <w:pStyle w:val="TableText"/>
              <w:jc w:val="left"/>
            </w:pPr>
            <w:r w:rsidRPr="002D5BF8">
              <w:rPr>
                <w:color w:val="FFFFFF" w:themeColor="background1"/>
              </w:rPr>
              <w:t>Prioritise investment proposals</w:t>
            </w:r>
            <w:r w:rsidRPr="002D5BF8">
              <w:rPr>
                <w:color w:val="FFFFFF" w:themeColor="background1"/>
                <w:u w:val="single"/>
                <w:lang w:eastAsia="en-AU"/>
              </w:rPr>
              <w:t xml:space="preserve"> </w:t>
            </w:r>
          </w:p>
        </w:tc>
      </w:tr>
      <w:tr w:rsidR="004B5F78" w:rsidRPr="001C0F2B" w14:paraId="7099236D" w14:textId="77777777" w:rsidTr="003A583C">
        <w:trPr>
          <w:trHeight w:val="184"/>
        </w:trPr>
        <w:tc>
          <w:tcPr>
            <w:cnfStyle w:val="001000000000" w:firstRow="0" w:lastRow="0" w:firstColumn="1" w:lastColumn="0" w:oddVBand="0" w:evenVBand="0" w:oddHBand="0" w:evenHBand="0" w:firstRowFirstColumn="0" w:firstRowLastColumn="0" w:lastRowFirstColumn="0" w:lastRowLastColumn="0"/>
            <w:tcW w:w="2628" w:type="dxa"/>
            <w:vMerge w:val="restart"/>
          </w:tcPr>
          <w:p w14:paraId="0AA9565E" w14:textId="77777777" w:rsidR="004B5F78" w:rsidRPr="001C0F2B" w:rsidRDefault="004B5F78" w:rsidP="004B5F78">
            <w:pPr>
              <w:pStyle w:val="TableText"/>
            </w:pPr>
            <w:r w:rsidRPr="001C0F2B">
              <w:t>Problem Definition (Program)</w:t>
            </w:r>
          </w:p>
          <w:p w14:paraId="1D630D9F" w14:textId="77777777" w:rsidR="004B5F78" w:rsidRPr="001C0F2B" w:rsidRDefault="004B5F78" w:rsidP="004B5F78">
            <w:pPr>
              <w:pStyle w:val="TableText"/>
            </w:pPr>
            <w:r w:rsidRPr="001C0F2B">
              <w:t>Benefit definition (Program)</w:t>
            </w:r>
          </w:p>
          <w:p w14:paraId="7C0E4C73" w14:textId="77777777" w:rsidR="004B5F78" w:rsidRPr="001C0F2B" w:rsidRDefault="004B5F78" w:rsidP="004B5F78">
            <w:pPr>
              <w:pStyle w:val="TableText"/>
            </w:pPr>
            <w:r w:rsidRPr="001C0F2B">
              <w:t>Strategic Response</w:t>
            </w:r>
          </w:p>
          <w:p w14:paraId="4B97C0C0" w14:textId="77777777" w:rsidR="004B5F78" w:rsidRPr="001C0F2B" w:rsidRDefault="004B5F78" w:rsidP="004B5F78">
            <w:pPr>
              <w:pStyle w:val="TableText"/>
            </w:pPr>
            <w:r w:rsidRPr="001C0F2B">
              <w:t>Solution Definition (Program)</w:t>
            </w:r>
          </w:p>
          <w:p w14:paraId="17CA7206" w14:textId="77777777" w:rsidR="004B5F78" w:rsidRPr="001C0F2B" w:rsidRDefault="004B5F78" w:rsidP="004B5F78">
            <w:pPr>
              <w:pStyle w:val="TableText"/>
            </w:pPr>
            <w:r w:rsidRPr="001C0F2B">
              <w:t>Investment Prioritisation (Optional)</w:t>
            </w:r>
          </w:p>
        </w:tc>
        <w:tc>
          <w:tcPr>
            <w:tcW w:w="4871" w:type="dxa"/>
          </w:tcPr>
          <w:p w14:paraId="4C8515B6" w14:textId="7B7A5F98"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t>$2100</w:t>
            </w:r>
          </w:p>
        </w:tc>
        <w:tc>
          <w:tcPr>
            <w:tcW w:w="1745" w:type="dxa"/>
            <w:vMerge w:val="restart"/>
          </w:tcPr>
          <w:p w14:paraId="289ED68A" w14:textId="4F8D5F93"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rsidRPr="001C0F2B">
              <w:t>$</w:t>
            </w:r>
            <w:r>
              <w:t>8,400</w:t>
            </w:r>
          </w:p>
        </w:tc>
      </w:tr>
      <w:tr w:rsidR="004B5F78" w:rsidRPr="001C0F2B" w14:paraId="4AE032C4" w14:textId="77777777" w:rsidTr="003A583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628" w:type="dxa"/>
            <w:vMerge/>
          </w:tcPr>
          <w:p w14:paraId="3DF10EC0" w14:textId="77777777" w:rsidR="004B5F78" w:rsidRPr="001C0F2B" w:rsidRDefault="004B5F78" w:rsidP="004B5F78">
            <w:pPr>
              <w:pStyle w:val="TableText"/>
            </w:pPr>
          </w:p>
        </w:tc>
        <w:tc>
          <w:tcPr>
            <w:tcW w:w="4871" w:type="dxa"/>
          </w:tcPr>
          <w:p w14:paraId="63CFA2DB" w14:textId="719631B9"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tcPr>
          <w:p w14:paraId="2FA793DC" w14:textId="77777777"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p>
        </w:tc>
      </w:tr>
      <w:tr w:rsidR="004B5F78" w:rsidRPr="001C0F2B" w14:paraId="27D5CD61" w14:textId="77777777" w:rsidTr="003A583C">
        <w:trPr>
          <w:trHeight w:val="184"/>
        </w:trPr>
        <w:tc>
          <w:tcPr>
            <w:cnfStyle w:val="001000000000" w:firstRow="0" w:lastRow="0" w:firstColumn="1" w:lastColumn="0" w:oddVBand="0" w:evenVBand="0" w:oddHBand="0" w:evenHBand="0" w:firstRowFirstColumn="0" w:firstRowLastColumn="0" w:lastRowFirstColumn="0" w:lastRowLastColumn="0"/>
            <w:tcW w:w="2628" w:type="dxa"/>
            <w:vMerge/>
          </w:tcPr>
          <w:p w14:paraId="16086CDC" w14:textId="77777777" w:rsidR="004B5F78" w:rsidRPr="001C0F2B" w:rsidRDefault="004B5F78" w:rsidP="004B5F78">
            <w:pPr>
              <w:pStyle w:val="TableText"/>
            </w:pPr>
          </w:p>
        </w:tc>
        <w:tc>
          <w:tcPr>
            <w:tcW w:w="4871" w:type="dxa"/>
          </w:tcPr>
          <w:p w14:paraId="5C44FDBA" w14:textId="211BC27D"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t>$2100</w:t>
            </w:r>
          </w:p>
        </w:tc>
        <w:tc>
          <w:tcPr>
            <w:tcW w:w="1745" w:type="dxa"/>
            <w:vMerge/>
          </w:tcPr>
          <w:p w14:paraId="5DC69F30" w14:textId="77777777"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p>
        </w:tc>
      </w:tr>
      <w:tr w:rsidR="004B5F78" w:rsidRPr="001C0F2B" w14:paraId="70B62F3B" w14:textId="77777777" w:rsidTr="003A583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628" w:type="dxa"/>
            <w:vMerge/>
          </w:tcPr>
          <w:p w14:paraId="5034CD04" w14:textId="77777777" w:rsidR="004B5F78" w:rsidRPr="001C0F2B" w:rsidRDefault="004B5F78" w:rsidP="004B5F78">
            <w:pPr>
              <w:pStyle w:val="TableText"/>
            </w:pPr>
          </w:p>
        </w:tc>
        <w:tc>
          <w:tcPr>
            <w:tcW w:w="4871" w:type="dxa"/>
          </w:tcPr>
          <w:p w14:paraId="14A9F6EF" w14:textId="5B913706"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tcPr>
          <w:p w14:paraId="5772F88D" w14:textId="77777777"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p>
        </w:tc>
      </w:tr>
      <w:tr w:rsidR="004B5F78" w:rsidRPr="001C0F2B" w14:paraId="696E7548" w14:textId="77777777" w:rsidTr="003A583C">
        <w:trPr>
          <w:trHeight w:val="184"/>
        </w:trPr>
        <w:tc>
          <w:tcPr>
            <w:cnfStyle w:val="001000000000" w:firstRow="0" w:lastRow="0" w:firstColumn="1" w:lastColumn="0" w:oddVBand="0" w:evenVBand="0" w:oddHBand="0" w:evenHBand="0" w:firstRowFirstColumn="0" w:firstRowLastColumn="0" w:lastRowFirstColumn="0" w:lastRowLastColumn="0"/>
            <w:tcW w:w="2628" w:type="dxa"/>
            <w:vMerge/>
          </w:tcPr>
          <w:p w14:paraId="183EEDDC" w14:textId="77777777" w:rsidR="004B5F78" w:rsidRPr="001C0F2B" w:rsidRDefault="004B5F78" w:rsidP="004B5F78">
            <w:pPr>
              <w:pStyle w:val="TableText"/>
            </w:pPr>
          </w:p>
        </w:tc>
        <w:tc>
          <w:tcPr>
            <w:tcW w:w="4871" w:type="dxa"/>
          </w:tcPr>
          <w:p w14:paraId="4137DB7A" w14:textId="1DA15B30" w:rsidR="004B5F78" w:rsidRDefault="004B5F78" w:rsidP="004B5F78">
            <w:pPr>
              <w:cnfStyle w:val="000000000000" w:firstRow="0" w:lastRow="0" w:firstColumn="0" w:lastColumn="0" w:oddVBand="0" w:evenVBand="0" w:oddHBand="0" w:evenHBand="0" w:firstRowFirstColumn="0" w:firstRowLastColumn="0" w:lastRowFirstColumn="0" w:lastRowLastColumn="0"/>
            </w:pPr>
            <w:r>
              <w:t>$2100</w:t>
            </w:r>
          </w:p>
        </w:tc>
        <w:tc>
          <w:tcPr>
            <w:tcW w:w="1745" w:type="dxa"/>
            <w:vMerge/>
          </w:tcPr>
          <w:p w14:paraId="16EBA6E6" w14:textId="77777777"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p>
        </w:tc>
      </w:tr>
      <w:tr w:rsidR="00641FBF" w:rsidRPr="001C0F2B" w14:paraId="1823CDA0" w14:textId="77777777" w:rsidTr="002D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4" w:type="dxa"/>
            <w:gridSpan w:val="3"/>
            <w:shd w:val="clear" w:color="auto" w:fill="548DD4" w:themeFill="text2" w:themeFillTint="99"/>
          </w:tcPr>
          <w:p w14:paraId="4D96400B" w14:textId="77777777" w:rsidR="00641FBF" w:rsidRPr="001C0F2B" w:rsidRDefault="00641FBF" w:rsidP="002D5BF8">
            <w:pPr>
              <w:pStyle w:val="TableText"/>
              <w:jc w:val="left"/>
            </w:pPr>
            <w:r w:rsidRPr="002D5BF8">
              <w:rPr>
                <w:color w:val="FFFFFF" w:themeColor="background1"/>
              </w:rPr>
              <w:t>Develop new policy</w:t>
            </w:r>
          </w:p>
        </w:tc>
      </w:tr>
      <w:tr w:rsidR="004B5F78" w:rsidRPr="001C0F2B" w14:paraId="015BFD8F" w14:textId="77777777" w:rsidTr="003A583C">
        <w:trPr>
          <w:trHeight w:val="184"/>
        </w:trPr>
        <w:tc>
          <w:tcPr>
            <w:cnfStyle w:val="001000000000" w:firstRow="0" w:lastRow="0" w:firstColumn="1" w:lastColumn="0" w:oddVBand="0" w:evenVBand="0" w:oddHBand="0" w:evenHBand="0" w:firstRowFirstColumn="0" w:firstRowLastColumn="0" w:lastRowFirstColumn="0" w:lastRowLastColumn="0"/>
            <w:tcW w:w="2628" w:type="dxa"/>
            <w:vMerge w:val="restart"/>
          </w:tcPr>
          <w:p w14:paraId="30942E9F" w14:textId="77777777" w:rsidR="004B5F78" w:rsidRPr="001C0F2B" w:rsidRDefault="004B5F78" w:rsidP="004B5F78">
            <w:pPr>
              <w:pStyle w:val="TableText"/>
            </w:pPr>
            <w:r w:rsidRPr="001C0F2B">
              <w:t>Problem Definition (Program)</w:t>
            </w:r>
          </w:p>
          <w:p w14:paraId="3FCD45C8" w14:textId="77777777" w:rsidR="004B5F78" w:rsidRPr="001C0F2B" w:rsidRDefault="004B5F78" w:rsidP="004B5F78">
            <w:pPr>
              <w:pStyle w:val="TableText"/>
            </w:pPr>
            <w:r w:rsidRPr="001C0F2B">
              <w:t>Benefit definition (Program)</w:t>
            </w:r>
          </w:p>
          <w:p w14:paraId="40FAD017" w14:textId="77777777" w:rsidR="004B5F78" w:rsidRPr="001C0F2B" w:rsidRDefault="004B5F78" w:rsidP="004B5F78">
            <w:pPr>
              <w:pStyle w:val="TableText"/>
            </w:pPr>
            <w:r w:rsidRPr="001C0F2B">
              <w:t>Strategic Response</w:t>
            </w:r>
          </w:p>
          <w:p w14:paraId="710DD24D" w14:textId="77777777" w:rsidR="004B5F78" w:rsidRPr="001C0F2B" w:rsidRDefault="004B5F78" w:rsidP="004B5F78">
            <w:pPr>
              <w:pStyle w:val="TableText"/>
            </w:pPr>
            <w:r w:rsidRPr="001C0F2B">
              <w:t>Solution Definition (Program)</w:t>
            </w:r>
          </w:p>
        </w:tc>
        <w:tc>
          <w:tcPr>
            <w:tcW w:w="4871" w:type="dxa"/>
          </w:tcPr>
          <w:p w14:paraId="3A49CCE8" w14:textId="55F7286F"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t>$2100</w:t>
            </w:r>
          </w:p>
        </w:tc>
        <w:tc>
          <w:tcPr>
            <w:tcW w:w="1745" w:type="dxa"/>
            <w:vMerge w:val="restart"/>
          </w:tcPr>
          <w:p w14:paraId="3C46C0B7" w14:textId="5B0DF2DD"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rsidRPr="001C0F2B">
              <w:t>$</w:t>
            </w:r>
            <w:r>
              <w:t>8,400</w:t>
            </w:r>
          </w:p>
        </w:tc>
      </w:tr>
      <w:tr w:rsidR="004B5F78" w:rsidRPr="001C0F2B" w14:paraId="6075D3AF" w14:textId="77777777" w:rsidTr="003A583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411AF898" w14:textId="77777777" w:rsidR="004B5F78" w:rsidRPr="001C0F2B" w:rsidRDefault="004B5F78" w:rsidP="004B5F78">
            <w:pPr>
              <w:pStyle w:val="TableText"/>
            </w:pPr>
          </w:p>
        </w:tc>
        <w:tc>
          <w:tcPr>
            <w:tcW w:w="4871" w:type="dxa"/>
          </w:tcPr>
          <w:p w14:paraId="42BFA80D" w14:textId="25BBE5F0"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tcPr>
          <w:p w14:paraId="4D9ECEF1" w14:textId="77777777"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p>
        </w:tc>
      </w:tr>
      <w:tr w:rsidR="004B5F78" w:rsidRPr="001C0F2B" w14:paraId="316AE456" w14:textId="77777777" w:rsidTr="003A583C">
        <w:trPr>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2346BC23" w14:textId="77777777" w:rsidR="004B5F78" w:rsidRPr="001C0F2B" w:rsidRDefault="004B5F78" w:rsidP="004B5F78">
            <w:pPr>
              <w:pStyle w:val="TableText"/>
            </w:pPr>
          </w:p>
        </w:tc>
        <w:tc>
          <w:tcPr>
            <w:tcW w:w="4871" w:type="dxa"/>
          </w:tcPr>
          <w:p w14:paraId="6BAC6334" w14:textId="6D95C1A7"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t>$2100</w:t>
            </w:r>
          </w:p>
        </w:tc>
        <w:tc>
          <w:tcPr>
            <w:tcW w:w="1745" w:type="dxa"/>
            <w:vMerge/>
          </w:tcPr>
          <w:p w14:paraId="4F66AF96" w14:textId="77777777"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p>
        </w:tc>
      </w:tr>
      <w:tr w:rsidR="004B5F78" w:rsidRPr="001C0F2B" w14:paraId="7FAF9733" w14:textId="77777777" w:rsidTr="00E423A5">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548DD4" w:themeFill="text2" w:themeFillTint="99"/>
          </w:tcPr>
          <w:p w14:paraId="6CC67EB9" w14:textId="77777777" w:rsidR="004B5F78" w:rsidRPr="001C0F2B" w:rsidRDefault="004B5F78" w:rsidP="004B5F78">
            <w:pPr>
              <w:pStyle w:val="TableText"/>
            </w:pPr>
          </w:p>
        </w:tc>
        <w:tc>
          <w:tcPr>
            <w:tcW w:w="4871" w:type="dxa"/>
            <w:shd w:val="clear" w:color="auto" w:fill="C6D9F1" w:themeFill="text2" w:themeFillTint="33"/>
          </w:tcPr>
          <w:p w14:paraId="15F863FD" w14:textId="34F9DEF0"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tcPr>
          <w:p w14:paraId="7520A039" w14:textId="77777777"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p>
        </w:tc>
      </w:tr>
      <w:tr w:rsidR="00641FBF" w:rsidRPr="001C0F2B" w14:paraId="0E6FF9A6" w14:textId="77777777" w:rsidTr="002D5BF8">
        <w:tc>
          <w:tcPr>
            <w:cnfStyle w:val="001000000000" w:firstRow="0" w:lastRow="0" w:firstColumn="1" w:lastColumn="0" w:oddVBand="0" w:evenVBand="0" w:oddHBand="0" w:evenHBand="0" w:firstRowFirstColumn="0" w:firstRowLastColumn="0" w:lastRowFirstColumn="0" w:lastRowLastColumn="0"/>
            <w:tcW w:w="9244" w:type="dxa"/>
            <w:gridSpan w:val="3"/>
            <w:shd w:val="clear" w:color="auto" w:fill="548DD4" w:themeFill="text2" w:themeFillTint="99"/>
          </w:tcPr>
          <w:p w14:paraId="0E488055" w14:textId="77777777" w:rsidR="00641FBF" w:rsidRPr="001C0F2B" w:rsidRDefault="00641FBF" w:rsidP="002D5BF8">
            <w:pPr>
              <w:pStyle w:val="TableText"/>
              <w:jc w:val="left"/>
            </w:pPr>
            <w:r w:rsidRPr="002D5BF8">
              <w:rPr>
                <w:color w:val="FFFFFF" w:themeColor="background1"/>
              </w:rPr>
              <w:t xml:space="preserve">Re-focus an organisation to </w:t>
            </w:r>
            <w:hyperlink r:id="rId9" w:tgtFrame="_top" w:tooltip="Clarify an organisation's role and improve its effectiveness" w:history="1">
              <w:r w:rsidRPr="002D5BF8">
                <w:rPr>
                  <w:color w:val="FFFFFF" w:themeColor="background1"/>
                </w:rPr>
                <w:t>improve its effectiveness</w:t>
              </w:r>
            </w:hyperlink>
          </w:p>
        </w:tc>
      </w:tr>
      <w:tr w:rsidR="004B5F78" w:rsidRPr="001C0F2B" w14:paraId="370393B5" w14:textId="77777777" w:rsidTr="003A583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628" w:type="dxa"/>
            <w:vMerge w:val="restart"/>
          </w:tcPr>
          <w:p w14:paraId="78C914B1" w14:textId="77777777" w:rsidR="004B5F78" w:rsidRPr="001C0F2B" w:rsidRDefault="004B5F78" w:rsidP="004B5F78">
            <w:pPr>
              <w:pStyle w:val="TableText"/>
            </w:pPr>
            <w:r w:rsidRPr="001C0F2B">
              <w:t>Organisational Expectation</w:t>
            </w:r>
          </w:p>
          <w:p w14:paraId="552BBDC4" w14:textId="77777777" w:rsidR="004B5F78" w:rsidRPr="001C0F2B" w:rsidRDefault="004B5F78" w:rsidP="004B5F78">
            <w:pPr>
              <w:pStyle w:val="TableText"/>
            </w:pPr>
            <w:r w:rsidRPr="001C0F2B">
              <w:t>Current Effectiveness</w:t>
            </w:r>
          </w:p>
          <w:p w14:paraId="0A1BDE99" w14:textId="77777777" w:rsidR="004B5F78" w:rsidRPr="001C0F2B" w:rsidRDefault="004B5F78" w:rsidP="004B5F78">
            <w:pPr>
              <w:pStyle w:val="TableText"/>
            </w:pPr>
            <w:r w:rsidRPr="001C0F2B">
              <w:t>Potential Changes</w:t>
            </w:r>
          </w:p>
          <w:p w14:paraId="6A37579D" w14:textId="77777777" w:rsidR="004B5F78" w:rsidRPr="001C0F2B" w:rsidRDefault="004B5F78" w:rsidP="004B5F78">
            <w:pPr>
              <w:pStyle w:val="TableText"/>
            </w:pPr>
            <w:r w:rsidRPr="001C0F2B">
              <w:t>Intended Changes</w:t>
            </w:r>
          </w:p>
        </w:tc>
        <w:tc>
          <w:tcPr>
            <w:tcW w:w="4871" w:type="dxa"/>
          </w:tcPr>
          <w:p w14:paraId="68291F8A" w14:textId="320E3AA1"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val="restart"/>
          </w:tcPr>
          <w:p w14:paraId="0CABD47E" w14:textId="27EF17BE"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rsidRPr="001C0F2B">
              <w:t>$</w:t>
            </w:r>
            <w:r>
              <w:t>8,400</w:t>
            </w:r>
          </w:p>
        </w:tc>
      </w:tr>
      <w:tr w:rsidR="004B5F78" w:rsidRPr="001C0F2B" w14:paraId="5A6EEAA4" w14:textId="77777777" w:rsidTr="003A583C">
        <w:trPr>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1F46477F" w14:textId="77777777" w:rsidR="004B5F78" w:rsidRPr="001C0F2B" w:rsidRDefault="004B5F78" w:rsidP="004B5F78">
            <w:pPr>
              <w:pStyle w:val="TableText"/>
            </w:pPr>
          </w:p>
        </w:tc>
        <w:tc>
          <w:tcPr>
            <w:tcW w:w="4871" w:type="dxa"/>
          </w:tcPr>
          <w:p w14:paraId="66318436" w14:textId="07B32EED"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t>$2100</w:t>
            </w:r>
          </w:p>
        </w:tc>
        <w:tc>
          <w:tcPr>
            <w:tcW w:w="1745" w:type="dxa"/>
            <w:vMerge/>
          </w:tcPr>
          <w:p w14:paraId="14AA0AD9" w14:textId="77777777"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p>
        </w:tc>
      </w:tr>
      <w:tr w:rsidR="004B5F78" w:rsidRPr="001C0F2B" w14:paraId="0D049883" w14:textId="77777777" w:rsidTr="003A583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6C2C7E2D" w14:textId="77777777" w:rsidR="004B5F78" w:rsidRPr="001C0F2B" w:rsidRDefault="004B5F78" w:rsidP="004B5F78">
            <w:pPr>
              <w:pStyle w:val="TableText"/>
            </w:pPr>
          </w:p>
        </w:tc>
        <w:tc>
          <w:tcPr>
            <w:tcW w:w="4871" w:type="dxa"/>
          </w:tcPr>
          <w:p w14:paraId="01F17412" w14:textId="49E91869"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tcPr>
          <w:p w14:paraId="26FE836C" w14:textId="77777777"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p>
        </w:tc>
      </w:tr>
      <w:tr w:rsidR="004B5F78" w:rsidRPr="001C0F2B" w14:paraId="4871D931" w14:textId="77777777" w:rsidTr="003A583C">
        <w:trPr>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045B8EA5" w14:textId="77777777" w:rsidR="004B5F78" w:rsidRPr="001C0F2B" w:rsidRDefault="004B5F78" w:rsidP="004B5F78">
            <w:pPr>
              <w:pStyle w:val="TableText"/>
            </w:pPr>
          </w:p>
        </w:tc>
        <w:tc>
          <w:tcPr>
            <w:tcW w:w="4871" w:type="dxa"/>
          </w:tcPr>
          <w:p w14:paraId="477BF422" w14:textId="3AE16BEC"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t>$2100</w:t>
            </w:r>
          </w:p>
        </w:tc>
        <w:tc>
          <w:tcPr>
            <w:tcW w:w="1745" w:type="dxa"/>
            <w:vMerge/>
          </w:tcPr>
          <w:p w14:paraId="79518BEC" w14:textId="77777777"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p>
        </w:tc>
      </w:tr>
      <w:tr w:rsidR="00641FBF" w:rsidRPr="001C0F2B" w14:paraId="44AA66A6" w14:textId="77777777" w:rsidTr="002D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4" w:type="dxa"/>
            <w:gridSpan w:val="3"/>
            <w:shd w:val="clear" w:color="auto" w:fill="548DD4" w:themeFill="text2" w:themeFillTint="99"/>
          </w:tcPr>
          <w:p w14:paraId="52A5FB66" w14:textId="77777777" w:rsidR="00641FBF" w:rsidRPr="001C0F2B" w:rsidRDefault="00641FBF" w:rsidP="002D5BF8">
            <w:pPr>
              <w:pStyle w:val="TableText"/>
              <w:jc w:val="left"/>
            </w:pPr>
            <w:r w:rsidRPr="002D5BF8">
              <w:rPr>
                <w:color w:val="FFFFFF" w:themeColor="background1"/>
              </w:rPr>
              <w:t>Monitor an organisation’s outcomes</w:t>
            </w:r>
          </w:p>
        </w:tc>
      </w:tr>
      <w:tr w:rsidR="004B5F78" w:rsidRPr="001C0F2B" w14:paraId="62A4ABE4" w14:textId="77777777" w:rsidTr="003A583C">
        <w:trPr>
          <w:trHeight w:val="184"/>
        </w:trPr>
        <w:tc>
          <w:tcPr>
            <w:cnfStyle w:val="001000000000" w:firstRow="0" w:lastRow="0" w:firstColumn="1" w:lastColumn="0" w:oddVBand="0" w:evenVBand="0" w:oddHBand="0" w:evenHBand="0" w:firstRowFirstColumn="0" w:firstRowLastColumn="0" w:lastRowFirstColumn="0" w:lastRowLastColumn="0"/>
            <w:tcW w:w="2628" w:type="dxa"/>
            <w:vMerge w:val="restart"/>
          </w:tcPr>
          <w:p w14:paraId="5830CC0A" w14:textId="77777777" w:rsidR="004B5F78" w:rsidRPr="001C0F2B" w:rsidRDefault="004B5F78" w:rsidP="004B5F78">
            <w:pPr>
              <w:pStyle w:val="TableText"/>
            </w:pPr>
            <w:r w:rsidRPr="001C0F2B">
              <w:t>Organisational Expectation</w:t>
            </w:r>
          </w:p>
          <w:p w14:paraId="63107E63" w14:textId="77777777" w:rsidR="004B5F78" w:rsidRPr="001C0F2B" w:rsidRDefault="004B5F78" w:rsidP="004B5F78">
            <w:pPr>
              <w:pStyle w:val="TableText"/>
            </w:pPr>
            <w:r w:rsidRPr="001C0F2B">
              <w:t>Benefit Definition (Organisation)</w:t>
            </w:r>
          </w:p>
          <w:p w14:paraId="0ACD853E" w14:textId="77777777" w:rsidR="004B5F78" w:rsidRPr="001C0F2B" w:rsidRDefault="004B5F78" w:rsidP="004B5F78">
            <w:pPr>
              <w:pStyle w:val="TableText"/>
            </w:pPr>
            <w:r w:rsidRPr="001C0F2B">
              <w:t>Benefit Validation (Organisation)</w:t>
            </w:r>
          </w:p>
          <w:p w14:paraId="097D56DF" w14:textId="77777777" w:rsidR="004B5F78" w:rsidRPr="001C0F2B" w:rsidRDefault="004B5F78" w:rsidP="004B5F78">
            <w:pPr>
              <w:pStyle w:val="TableText"/>
            </w:pPr>
            <w:r w:rsidRPr="001C0F2B">
              <w:t xml:space="preserve">Organisational Effectiveness </w:t>
            </w:r>
          </w:p>
        </w:tc>
        <w:tc>
          <w:tcPr>
            <w:tcW w:w="4871" w:type="dxa"/>
          </w:tcPr>
          <w:p w14:paraId="287A5718" w14:textId="6070C46F"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t>$2100</w:t>
            </w:r>
          </w:p>
        </w:tc>
        <w:tc>
          <w:tcPr>
            <w:tcW w:w="1745" w:type="dxa"/>
            <w:vMerge w:val="restart"/>
          </w:tcPr>
          <w:p w14:paraId="786C0264" w14:textId="21C917B4"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rsidRPr="001C0F2B">
              <w:t>$</w:t>
            </w:r>
            <w:r>
              <w:t>8,400</w:t>
            </w:r>
          </w:p>
        </w:tc>
      </w:tr>
      <w:tr w:rsidR="004B5F78" w:rsidRPr="001C0F2B" w14:paraId="1952E58A" w14:textId="77777777" w:rsidTr="003A583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62632384" w14:textId="77777777" w:rsidR="004B5F78" w:rsidRPr="001C0F2B" w:rsidRDefault="004B5F78" w:rsidP="004B5F78">
            <w:pPr>
              <w:pStyle w:val="TableText"/>
            </w:pPr>
          </w:p>
        </w:tc>
        <w:tc>
          <w:tcPr>
            <w:tcW w:w="4871" w:type="dxa"/>
          </w:tcPr>
          <w:p w14:paraId="1056690E" w14:textId="0A21706D"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tcPr>
          <w:p w14:paraId="5E08F95A" w14:textId="77777777"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p>
        </w:tc>
      </w:tr>
      <w:tr w:rsidR="004B5F78" w:rsidRPr="001C0F2B" w14:paraId="26748597" w14:textId="77777777" w:rsidTr="003A583C">
        <w:trPr>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1C3C8B91" w14:textId="77777777" w:rsidR="004B5F78" w:rsidRPr="001C0F2B" w:rsidRDefault="004B5F78" w:rsidP="004B5F78">
            <w:pPr>
              <w:pStyle w:val="TableText"/>
            </w:pPr>
          </w:p>
        </w:tc>
        <w:tc>
          <w:tcPr>
            <w:tcW w:w="4871" w:type="dxa"/>
          </w:tcPr>
          <w:p w14:paraId="59C30880" w14:textId="773F06F1"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r>
              <w:t>$2100</w:t>
            </w:r>
          </w:p>
        </w:tc>
        <w:tc>
          <w:tcPr>
            <w:tcW w:w="1745" w:type="dxa"/>
            <w:vMerge/>
          </w:tcPr>
          <w:p w14:paraId="2A29F3A3" w14:textId="77777777" w:rsidR="004B5F78" w:rsidRPr="001C0F2B" w:rsidRDefault="004B5F78" w:rsidP="004B5F78">
            <w:pPr>
              <w:pStyle w:val="TableText"/>
              <w:cnfStyle w:val="000000000000" w:firstRow="0" w:lastRow="0" w:firstColumn="0" w:lastColumn="0" w:oddVBand="0" w:evenVBand="0" w:oddHBand="0" w:evenHBand="0" w:firstRowFirstColumn="0" w:firstRowLastColumn="0" w:lastRowFirstColumn="0" w:lastRowLastColumn="0"/>
            </w:pPr>
          </w:p>
        </w:tc>
      </w:tr>
      <w:tr w:rsidR="004B5F78" w:rsidRPr="001C0F2B" w14:paraId="1664D96F" w14:textId="77777777" w:rsidTr="003A583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8" w:type="dxa"/>
            <w:vMerge/>
          </w:tcPr>
          <w:p w14:paraId="5F35AF5F" w14:textId="77777777" w:rsidR="004B5F78" w:rsidRPr="001C0F2B" w:rsidRDefault="004B5F78" w:rsidP="004B5F78">
            <w:pPr>
              <w:pStyle w:val="TableText"/>
            </w:pPr>
          </w:p>
        </w:tc>
        <w:tc>
          <w:tcPr>
            <w:tcW w:w="4871" w:type="dxa"/>
          </w:tcPr>
          <w:p w14:paraId="2995AE39" w14:textId="1451F00E"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r>
              <w:t>$2100</w:t>
            </w:r>
          </w:p>
        </w:tc>
        <w:tc>
          <w:tcPr>
            <w:tcW w:w="1745" w:type="dxa"/>
            <w:vMerge/>
          </w:tcPr>
          <w:p w14:paraId="6E498AF5" w14:textId="77777777" w:rsidR="004B5F78" w:rsidRPr="001C0F2B" w:rsidRDefault="004B5F78" w:rsidP="004B5F78">
            <w:pPr>
              <w:pStyle w:val="TableText"/>
              <w:cnfStyle w:val="000000100000" w:firstRow="0" w:lastRow="0" w:firstColumn="0" w:lastColumn="0" w:oddVBand="0" w:evenVBand="0" w:oddHBand="1" w:evenHBand="0" w:firstRowFirstColumn="0" w:firstRowLastColumn="0" w:lastRowFirstColumn="0" w:lastRowLastColumn="0"/>
            </w:pPr>
          </w:p>
        </w:tc>
      </w:tr>
    </w:tbl>
    <w:p w14:paraId="35F637B0" w14:textId="77777777" w:rsidR="000579AF" w:rsidRDefault="006D2D22" w:rsidP="000579AF">
      <w:pPr>
        <w:pStyle w:val="Heading1"/>
      </w:pPr>
      <w:r w:rsidRPr="001C0F2B">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90A70" w14:paraId="24A80C94" w14:textId="77777777" w:rsidTr="00F97CD7">
        <w:tc>
          <w:tcPr>
            <w:tcW w:w="46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shd w:val="clear" w:color="auto" w:fill="auto"/>
          </w:tcPr>
          <w:p w14:paraId="41C335E7" w14:textId="77777777" w:rsidR="00190A70" w:rsidRPr="001C0F2B" w:rsidRDefault="00190A70" w:rsidP="00190A70">
            <w:pPr>
              <w:pStyle w:val="NoSpacing"/>
              <w:rPr>
                <w:sz w:val="32"/>
                <w:szCs w:val="24"/>
              </w:rPr>
            </w:pPr>
            <w:r>
              <w:t>Fankhauser &amp; Associates</w:t>
            </w:r>
          </w:p>
          <w:p w14:paraId="78F7A606" w14:textId="77777777" w:rsidR="00190A70" w:rsidRPr="001C0F2B" w:rsidRDefault="00190A70" w:rsidP="00190A70">
            <w:pPr>
              <w:pStyle w:val="NoSpacing"/>
            </w:pPr>
            <w:r>
              <w:t>Rae Fankhauser</w:t>
            </w:r>
          </w:p>
          <w:p w14:paraId="4FA91C7B" w14:textId="77777777" w:rsidR="00190A70" w:rsidRPr="001C0F2B" w:rsidRDefault="00190A70" w:rsidP="00190A70">
            <w:pPr>
              <w:pStyle w:val="NoSpacing"/>
            </w:pPr>
            <w:r>
              <w:t>39 Williams Rd., Park Orchards Vic 3114</w:t>
            </w:r>
          </w:p>
          <w:p w14:paraId="25B66E88" w14:textId="4E790138" w:rsidR="00190A70" w:rsidRPr="001C0F2B" w:rsidRDefault="00190A70" w:rsidP="00190A70">
            <w:pPr>
              <w:pStyle w:val="NoSpacing"/>
            </w:pPr>
            <w:r w:rsidRPr="001C0F2B">
              <w:t>Mob:</w:t>
            </w:r>
            <w:r>
              <w:t>+</w:t>
            </w:r>
            <w:r w:rsidRPr="001C0F2B">
              <w:t xml:space="preserve"> </w:t>
            </w:r>
            <w:r>
              <w:t>61 4 08386566</w:t>
            </w:r>
          </w:p>
          <w:p w14:paraId="62BB14B2" w14:textId="292D6B45" w:rsidR="00190A70" w:rsidRDefault="00190A70" w:rsidP="00190A70">
            <w:pPr>
              <w:pStyle w:val="NoSpacing"/>
            </w:pPr>
            <w:r w:rsidRPr="001C0F2B">
              <w:t xml:space="preserve">Email: </w:t>
            </w:r>
            <w:hyperlink r:id="rId10" w:history="1">
              <w:r w:rsidRPr="002A032F">
                <w:rPr>
                  <w:rStyle w:val="Hyperlink"/>
                </w:rPr>
                <w:t>rae@fankhauser.com.au</w:t>
              </w:r>
            </w:hyperlink>
            <w:r>
              <w:t xml:space="preserve"> </w:t>
            </w:r>
          </w:p>
          <w:p w14:paraId="3E15E0D5" w14:textId="5D16AEE5" w:rsidR="00190A70" w:rsidRDefault="00190A70" w:rsidP="00F56981">
            <w:pPr>
              <w:pStyle w:val="NoSpacing"/>
            </w:pPr>
            <w:r>
              <w:t xml:space="preserve">Web: </w:t>
            </w:r>
            <w:hyperlink r:id="rId11" w:history="1">
              <w:r w:rsidR="003E1C50" w:rsidRPr="003E1C50">
                <w:rPr>
                  <w:rStyle w:val="Hyperlink"/>
                </w:rPr>
                <w:t>https://facilitatortrainin</w:t>
              </w:r>
              <w:r w:rsidR="003E1C50" w:rsidRPr="003E1C50">
                <w:rPr>
                  <w:rStyle w:val="Hyperlink"/>
                </w:rPr>
                <w:t>g</w:t>
              </w:r>
              <w:r w:rsidR="003E1C50" w:rsidRPr="003E1C50">
                <w:rPr>
                  <w:rStyle w:val="Hyperlink"/>
                </w:rPr>
                <w:t>.com.au/</w:t>
              </w:r>
            </w:hyperlink>
          </w:p>
        </w:tc>
        <w:tc>
          <w:tcPr>
            <w:tcW w:w="46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85F21FE" w14:textId="2672FA51" w:rsidR="00190A70" w:rsidRDefault="000E6460" w:rsidP="00190A70">
            <w:pPr>
              <w:pStyle w:val="NoSpacing"/>
            </w:pPr>
            <w:r>
              <w:rPr>
                <w:noProof/>
                <w:lang w:eastAsia="en-AU"/>
              </w:rPr>
              <w:drawing>
                <wp:anchor distT="0" distB="0" distL="114300" distR="114300" simplePos="0" relativeHeight="251660800" behindDoc="0" locked="0" layoutInCell="1" allowOverlap="1" wp14:anchorId="182C4873" wp14:editId="473C8566">
                  <wp:simplePos x="0" y="0"/>
                  <wp:positionH relativeFrom="margin">
                    <wp:posOffset>1228090</wp:posOffset>
                  </wp:positionH>
                  <wp:positionV relativeFrom="margin">
                    <wp:posOffset>-30479</wp:posOffset>
                  </wp:positionV>
                  <wp:extent cx="1323729" cy="1360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986" t="21383" r="9986"/>
                          <a:stretch/>
                        </pic:blipFill>
                        <pic:spPr bwMode="auto">
                          <a:xfrm>
                            <a:off x="0" y="0"/>
                            <a:ext cx="1324507" cy="13609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DF7548B" w14:textId="77777777" w:rsidR="00190A70" w:rsidRPr="00C647E3" w:rsidRDefault="00190A70" w:rsidP="00F97CD7"/>
    <w:sectPr w:rsidR="00190A70" w:rsidRPr="00C647E3" w:rsidSect="002048BB">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FF60" w14:textId="77777777" w:rsidR="002048BB" w:rsidRDefault="002048BB" w:rsidP="007A3CA7">
      <w:pPr>
        <w:spacing w:after="0" w:line="240" w:lineRule="auto"/>
      </w:pPr>
      <w:r>
        <w:separator/>
      </w:r>
    </w:p>
  </w:endnote>
  <w:endnote w:type="continuationSeparator" w:id="0">
    <w:p w14:paraId="507F7D76" w14:textId="77777777" w:rsidR="002048BB" w:rsidRDefault="002048BB" w:rsidP="007A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3373" w14:textId="77777777" w:rsidR="002048BB" w:rsidRDefault="002048BB" w:rsidP="007A3CA7">
      <w:pPr>
        <w:spacing w:after="0" w:line="240" w:lineRule="auto"/>
      </w:pPr>
      <w:r>
        <w:separator/>
      </w:r>
    </w:p>
  </w:footnote>
  <w:footnote w:type="continuationSeparator" w:id="0">
    <w:p w14:paraId="2945C5A4" w14:textId="77777777" w:rsidR="002048BB" w:rsidRDefault="002048BB" w:rsidP="007A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EA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029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42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42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C2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C1D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E0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F66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44A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6D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C1F"/>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744056"/>
    <w:multiLevelType w:val="hybridMultilevel"/>
    <w:tmpl w:val="EAA08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F850A3"/>
    <w:multiLevelType w:val="hybridMultilevel"/>
    <w:tmpl w:val="3B7C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9C72DE"/>
    <w:multiLevelType w:val="hybridMultilevel"/>
    <w:tmpl w:val="EFCC1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FF463F"/>
    <w:multiLevelType w:val="hybridMultilevel"/>
    <w:tmpl w:val="4C888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C7264E"/>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354D3B"/>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451035"/>
    <w:multiLevelType w:val="hybridMultilevel"/>
    <w:tmpl w:val="E32E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2A7FF5"/>
    <w:multiLevelType w:val="hybridMultilevel"/>
    <w:tmpl w:val="3B883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19659312">
    <w:abstractNumId w:val="13"/>
  </w:num>
  <w:num w:numId="2" w16cid:durableId="852840346">
    <w:abstractNumId w:val="14"/>
  </w:num>
  <w:num w:numId="3" w16cid:durableId="1875384895">
    <w:abstractNumId w:val="15"/>
  </w:num>
  <w:num w:numId="4" w16cid:durableId="1073048969">
    <w:abstractNumId w:val="12"/>
  </w:num>
  <w:num w:numId="5" w16cid:durableId="52970317">
    <w:abstractNumId w:val="16"/>
  </w:num>
  <w:num w:numId="6" w16cid:durableId="1964071744">
    <w:abstractNumId w:val="10"/>
  </w:num>
  <w:num w:numId="7" w16cid:durableId="186138521">
    <w:abstractNumId w:val="9"/>
  </w:num>
  <w:num w:numId="8" w16cid:durableId="1840146939">
    <w:abstractNumId w:val="7"/>
  </w:num>
  <w:num w:numId="9" w16cid:durableId="1823307641">
    <w:abstractNumId w:val="6"/>
  </w:num>
  <w:num w:numId="10" w16cid:durableId="395248939">
    <w:abstractNumId w:val="5"/>
  </w:num>
  <w:num w:numId="11" w16cid:durableId="219098121">
    <w:abstractNumId w:val="4"/>
  </w:num>
  <w:num w:numId="12" w16cid:durableId="703557153">
    <w:abstractNumId w:val="8"/>
  </w:num>
  <w:num w:numId="13" w16cid:durableId="1782188658">
    <w:abstractNumId w:val="3"/>
  </w:num>
  <w:num w:numId="14" w16cid:durableId="1043559153">
    <w:abstractNumId w:val="2"/>
  </w:num>
  <w:num w:numId="15" w16cid:durableId="1837959412">
    <w:abstractNumId w:val="1"/>
  </w:num>
  <w:num w:numId="16" w16cid:durableId="1681544674">
    <w:abstractNumId w:val="0"/>
  </w:num>
  <w:num w:numId="17" w16cid:durableId="1818958832">
    <w:abstractNumId w:val="17"/>
  </w:num>
  <w:num w:numId="18" w16cid:durableId="7830134">
    <w:abstractNumId w:val="18"/>
  </w:num>
  <w:num w:numId="19" w16cid:durableId="2096856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59"/>
    <w:rsid w:val="00022B3F"/>
    <w:rsid w:val="000327B6"/>
    <w:rsid w:val="0003686C"/>
    <w:rsid w:val="000579AF"/>
    <w:rsid w:val="00064160"/>
    <w:rsid w:val="000A12BB"/>
    <w:rsid w:val="000C660C"/>
    <w:rsid w:val="000E6460"/>
    <w:rsid w:val="000E64CE"/>
    <w:rsid w:val="001007EF"/>
    <w:rsid w:val="00130792"/>
    <w:rsid w:val="001646CF"/>
    <w:rsid w:val="001658FC"/>
    <w:rsid w:val="00190A70"/>
    <w:rsid w:val="001B06A1"/>
    <w:rsid w:val="001B0F21"/>
    <w:rsid w:val="001C0F2B"/>
    <w:rsid w:val="002048BB"/>
    <w:rsid w:val="002520FF"/>
    <w:rsid w:val="00272FB1"/>
    <w:rsid w:val="002772B3"/>
    <w:rsid w:val="002A2124"/>
    <w:rsid w:val="002D5BF8"/>
    <w:rsid w:val="00300559"/>
    <w:rsid w:val="00365619"/>
    <w:rsid w:val="003778A0"/>
    <w:rsid w:val="003A3B61"/>
    <w:rsid w:val="003A583C"/>
    <w:rsid w:val="003A5A97"/>
    <w:rsid w:val="003C156B"/>
    <w:rsid w:val="003C5B61"/>
    <w:rsid w:val="003D5302"/>
    <w:rsid w:val="003E1C50"/>
    <w:rsid w:val="00411180"/>
    <w:rsid w:val="00422181"/>
    <w:rsid w:val="00476539"/>
    <w:rsid w:val="004857F7"/>
    <w:rsid w:val="004B5F78"/>
    <w:rsid w:val="004F7170"/>
    <w:rsid w:val="00527196"/>
    <w:rsid w:val="005858C8"/>
    <w:rsid w:val="00595635"/>
    <w:rsid w:val="005A4434"/>
    <w:rsid w:val="005D229A"/>
    <w:rsid w:val="005D3805"/>
    <w:rsid w:val="005D5DEB"/>
    <w:rsid w:val="005E62A6"/>
    <w:rsid w:val="00641FBF"/>
    <w:rsid w:val="006B2215"/>
    <w:rsid w:val="006D2D22"/>
    <w:rsid w:val="006E1346"/>
    <w:rsid w:val="00726FEF"/>
    <w:rsid w:val="00744E4E"/>
    <w:rsid w:val="00751BCF"/>
    <w:rsid w:val="007617FD"/>
    <w:rsid w:val="007805B8"/>
    <w:rsid w:val="007A3CA7"/>
    <w:rsid w:val="007E04F9"/>
    <w:rsid w:val="00874CDC"/>
    <w:rsid w:val="008F2687"/>
    <w:rsid w:val="008F499A"/>
    <w:rsid w:val="009400B0"/>
    <w:rsid w:val="00943A55"/>
    <w:rsid w:val="00973959"/>
    <w:rsid w:val="009C28C8"/>
    <w:rsid w:val="009D227F"/>
    <w:rsid w:val="009F3566"/>
    <w:rsid w:val="00A0042A"/>
    <w:rsid w:val="00A455CE"/>
    <w:rsid w:val="00A64F48"/>
    <w:rsid w:val="00A919FC"/>
    <w:rsid w:val="00A91E84"/>
    <w:rsid w:val="00A944F1"/>
    <w:rsid w:val="00B7541E"/>
    <w:rsid w:val="00B755A2"/>
    <w:rsid w:val="00B96A55"/>
    <w:rsid w:val="00B97B35"/>
    <w:rsid w:val="00BA461A"/>
    <w:rsid w:val="00BB077D"/>
    <w:rsid w:val="00BC6878"/>
    <w:rsid w:val="00C14BFC"/>
    <w:rsid w:val="00C36E3A"/>
    <w:rsid w:val="00C40D3B"/>
    <w:rsid w:val="00C41019"/>
    <w:rsid w:val="00C53781"/>
    <w:rsid w:val="00C647E3"/>
    <w:rsid w:val="00C75E71"/>
    <w:rsid w:val="00D059AF"/>
    <w:rsid w:val="00D329E1"/>
    <w:rsid w:val="00D40EA5"/>
    <w:rsid w:val="00D425BC"/>
    <w:rsid w:val="00DD2FD5"/>
    <w:rsid w:val="00DF49EF"/>
    <w:rsid w:val="00E27586"/>
    <w:rsid w:val="00E423A5"/>
    <w:rsid w:val="00E50972"/>
    <w:rsid w:val="00E51060"/>
    <w:rsid w:val="00E575E7"/>
    <w:rsid w:val="00E96541"/>
    <w:rsid w:val="00EB0C04"/>
    <w:rsid w:val="00EC29D7"/>
    <w:rsid w:val="00EC3B49"/>
    <w:rsid w:val="00EF1624"/>
    <w:rsid w:val="00EF2A02"/>
    <w:rsid w:val="00F21C4E"/>
    <w:rsid w:val="00F24DF5"/>
    <w:rsid w:val="00F456ED"/>
    <w:rsid w:val="00F50F1A"/>
    <w:rsid w:val="00F56981"/>
    <w:rsid w:val="00F608FD"/>
    <w:rsid w:val="00F727B9"/>
    <w:rsid w:val="00F97CD7"/>
    <w:rsid w:val="00FB5480"/>
    <w:rsid w:val="00FB5C29"/>
    <w:rsid w:val="00FF7A26"/>
    <w:rsid w:val="00FF7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E919"/>
  <w15:docId w15:val="{00B4A9BC-C16D-4733-85F1-EA8A13F2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81"/>
    <w:rPr>
      <w:sz w:val="20"/>
    </w:rPr>
  </w:style>
  <w:style w:type="paragraph" w:styleId="Heading1">
    <w:name w:val="heading 1"/>
    <w:basedOn w:val="Normal"/>
    <w:next w:val="Normal"/>
    <w:link w:val="Heading1Char"/>
    <w:uiPriority w:val="9"/>
    <w:qFormat/>
    <w:rsid w:val="00F56981"/>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9FC"/>
    <w:rPr>
      <w:color w:val="0000FF" w:themeColor="hyperlink"/>
      <w:u w:val="single"/>
    </w:rPr>
  </w:style>
  <w:style w:type="paragraph" w:styleId="ListParagraph">
    <w:name w:val="List Paragraph"/>
    <w:basedOn w:val="Normal"/>
    <w:uiPriority w:val="34"/>
    <w:qFormat/>
    <w:rsid w:val="003A5A97"/>
    <w:pPr>
      <w:ind w:left="720"/>
      <w:contextualSpacing/>
    </w:pPr>
  </w:style>
  <w:style w:type="paragraph" w:styleId="BalloonText">
    <w:name w:val="Balloon Text"/>
    <w:basedOn w:val="Normal"/>
    <w:link w:val="BalloonTextChar"/>
    <w:uiPriority w:val="99"/>
    <w:semiHidden/>
    <w:unhideWhenUsed/>
    <w:rsid w:val="000C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0C"/>
    <w:rPr>
      <w:rFonts w:ascii="Tahoma" w:hAnsi="Tahoma" w:cs="Tahoma"/>
      <w:sz w:val="16"/>
      <w:szCs w:val="16"/>
    </w:rPr>
  </w:style>
  <w:style w:type="paragraph" w:styleId="Header">
    <w:name w:val="header"/>
    <w:basedOn w:val="Normal"/>
    <w:link w:val="HeaderChar"/>
    <w:uiPriority w:val="99"/>
    <w:unhideWhenUsed/>
    <w:rsid w:val="007A3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A7"/>
  </w:style>
  <w:style w:type="paragraph" w:styleId="Footer">
    <w:name w:val="footer"/>
    <w:basedOn w:val="Normal"/>
    <w:link w:val="FooterChar"/>
    <w:uiPriority w:val="99"/>
    <w:unhideWhenUsed/>
    <w:rsid w:val="007A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A7"/>
  </w:style>
  <w:style w:type="character" w:customStyle="1" w:styleId="apple-converted-space">
    <w:name w:val="apple-converted-space"/>
    <w:basedOn w:val="DefaultParagraphFont"/>
    <w:rsid w:val="001B06A1"/>
  </w:style>
  <w:style w:type="paragraph" w:styleId="Title">
    <w:name w:val="Title"/>
    <w:basedOn w:val="Normal"/>
    <w:next w:val="Normal"/>
    <w:link w:val="TitleChar"/>
    <w:uiPriority w:val="10"/>
    <w:qFormat/>
    <w:rsid w:val="001C0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F2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C0F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F2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698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qFormat/>
    <w:rsid w:val="00F56981"/>
    <w:pPr>
      <w:spacing w:after="0" w:line="240" w:lineRule="auto"/>
    </w:pPr>
    <w:rPr>
      <w:rFonts w:cstheme="minorHAnsi"/>
      <w:sz w:val="18"/>
      <w:szCs w:val="24"/>
    </w:rPr>
  </w:style>
  <w:style w:type="paragraph" w:styleId="NoSpacing">
    <w:name w:val="No Spacing"/>
    <w:uiPriority w:val="1"/>
    <w:qFormat/>
    <w:rsid w:val="00F56981"/>
    <w:pPr>
      <w:spacing w:after="0" w:line="240" w:lineRule="auto"/>
    </w:pPr>
  </w:style>
  <w:style w:type="paragraph" w:styleId="CommentText">
    <w:name w:val="annotation text"/>
    <w:basedOn w:val="Normal"/>
    <w:link w:val="CommentTextChar"/>
    <w:uiPriority w:val="99"/>
    <w:unhideWhenUsed/>
    <w:rsid w:val="00B755A2"/>
    <w:pPr>
      <w:spacing w:after="0" w:line="240" w:lineRule="auto"/>
    </w:pPr>
    <w:rPr>
      <w:sz w:val="16"/>
      <w:szCs w:val="20"/>
    </w:rPr>
  </w:style>
  <w:style w:type="character" w:customStyle="1" w:styleId="CommentTextChar">
    <w:name w:val="Comment Text Char"/>
    <w:basedOn w:val="DefaultParagraphFont"/>
    <w:link w:val="CommentText"/>
    <w:uiPriority w:val="99"/>
    <w:rsid w:val="00B755A2"/>
    <w:rPr>
      <w:sz w:val="16"/>
      <w:szCs w:val="20"/>
    </w:rPr>
  </w:style>
  <w:style w:type="character" w:styleId="FollowedHyperlink">
    <w:name w:val="FollowedHyperlink"/>
    <w:basedOn w:val="DefaultParagraphFont"/>
    <w:uiPriority w:val="99"/>
    <w:semiHidden/>
    <w:unhideWhenUsed/>
    <w:rsid w:val="00F50F1A"/>
    <w:rPr>
      <w:color w:val="800080" w:themeColor="followedHyperlink"/>
      <w:u w:val="single"/>
    </w:rPr>
  </w:style>
  <w:style w:type="character" w:styleId="UnresolvedMention">
    <w:name w:val="Unresolved Mention"/>
    <w:basedOn w:val="DefaultParagraphFont"/>
    <w:uiPriority w:val="99"/>
    <w:semiHidden/>
    <w:unhideWhenUsed/>
    <w:rsid w:val="004B5F78"/>
    <w:rPr>
      <w:color w:val="605E5C"/>
      <w:shd w:val="clear" w:color="auto" w:fill="E1DFDD"/>
    </w:rPr>
  </w:style>
  <w:style w:type="table" w:styleId="GridTable1Light-Accent1">
    <w:name w:val="Grid Table 1 Light Accent 1"/>
    <w:basedOn w:val="TableNormal"/>
    <w:uiPriority w:val="46"/>
    <w:rsid w:val="003A583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583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3A583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f.vic.gov.au/infrastructure-investment/investment-management-standard%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ilitatortraining.com.au/" TargetMode="External"/><Relationship Id="rId5" Type="http://schemas.openxmlformats.org/officeDocument/2006/relationships/footnotes" Target="footnotes.xml"/><Relationship Id="rId10" Type="http://schemas.openxmlformats.org/officeDocument/2006/relationships/hyperlink" Target="mailto:rae@fankhauser.com.au" TargetMode="External"/><Relationship Id="rId4" Type="http://schemas.openxmlformats.org/officeDocument/2006/relationships/webSettings" Target="webSettings.xml"/><Relationship Id="rId9" Type="http://schemas.openxmlformats.org/officeDocument/2006/relationships/hyperlink" Target="http://www.dtf.vic.gov.au/CA25713E0002EF43/pages/the-practices-clarify-an-organisation's-ro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Facilitator Profile Fankhauser &amp; Associates - 2016</vt:lpstr>
    </vt:vector>
  </TitlesOfParts>
  <Company>Hewlett-Packard</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Profile Fankhauser &amp; Associates - 2016</dc:title>
  <dc:creator>Eldar</dc:creator>
  <dc:description>TRIM Record Number: in TRIM database:PT</dc:description>
  <cp:lastModifiedBy>Rae Fankhauser</cp:lastModifiedBy>
  <cp:revision>5</cp:revision>
  <cp:lastPrinted>2012-08-30T04:21:00Z</cp:lastPrinted>
  <dcterms:created xsi:type="dcterms:W3CDTF">2024-04-16T01:48:00Z</dcterms:created>
  <dcterms:modified xsi:type="dcterms:W3CDTF">2024-04-16T01:50:00Z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5f06bd42-d826-401f-89f0-3b4356f613fc</vt:lpwstr>
  </property>
  <property fmtid="{D5CDD505-2E9C-101B-9397-08002B2CF9AE}" pid="3" name="PSPFClassification">
    <vt:lpwstr>Do Not Mark</vt:lpwstr>
  </property>
</Properties>
</file>