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9266" w14:textId="19095DCE" w:rsidR="007008AB" w:rsidRDefault="007008AB" w:rsidP="005414D0">
      <w:pPr>
        <w:pStyle w:val="Heading1NoNum"/>
        <w:ind w:left="0"/>
      </w:pPr>
      <w:r>
        <w:t xml:space="preserve">Method for </w:t>
      </w:r>
      <w:r w:rsidR="00445A6C">
        <w:t xml:space="preserve">generating </w:t>
      </w:r>
      <w:r>
        <w:t>forecasts of macroeconomic indicators</w:t>
      </w:r>
    </w:p>
    <w:p w14:paraId="112421CF" w14:textId="1EA0FF2F" w:rsidR="00AF0B43" w:rsidRDefault="00AF0B43" w:rsidP="005414D0">
      <w:pPr>
        <w:pStyle w:val="Heading3NoNum"/>
        <w:ind w:left="0"/>
      </w:pPr>
      <w:r>
        <w:t xml:space="preserve">Macroeconomic </w:t>
      </w:r>
      <w:r w:rsidR="001D6B4C">
        <w:t>Strategy</w:t>
      </w:r>
      <w:r>
        <w:t xml:space="preserve">, </w:t>
      </w:r>
      <w:r w:rsidR="00565BA4">
        <w:t xml:space="preserve">Economic Group, </w:t>
      </w:r>
      <w:r>
        <w:t>Department of Treasury and Finance</w:t>
      </w:r>
      <w:r w:rsidR="00404696">
        <w:t xml:space="preserve"> </w:t>
      </w:r>
    </w:p>
    <w:p w14:paraId="3231B201" w14:textId="749D1F49" w:rsidR="00EA71C3" w:rsidRPr="00AF0B43" w:rsidRDefault="00417BFA" w:rsidP="005414D0">
      <w:pPr>
        <w:pStyle w:val="Heading4NoNum"/>
        <w:ind w:left="0"/>
      </w:pPr>
      <w:r w:rsidRPr="00DC1CC2">
        <w:t>May 202</w:t>
      </w:r>
      <w:r w:rsidR="00D40470">
        <w:t>4</w:t>
      </w:r>
    </w:p>
    <w:p w14:paraId="3786A5DB" w14:textId="0EAA0B44" w:rsidR="00A714B9" w:rsidRDefault="008E2DB8" w:rsidP="005E4438">
      <w:r>
        <w:t>The Department of Treasury and Finance (</w:t>
      </w:r>
      <w:r w:rsidR="00A714B9" w:rsidRPr="00A714B9">
        <w:t>DTF</w:t>
      </w:r>
      <w:r>
        <w:t>)</w:t>
      </w:r>
      <w:r w:rsidR="00A714B9" w:rsidRPr="00A714B9">
        <w:t xml:space="preserve"> monitors economic conditions in the Victorian economy and prepares forecasts </w:t>
      </w:r>
      <w:r w:rsidR="00726B78">
        <w:t>of the main economic indicators of th</w:t>
      </w:r>
      <w:r w:rsidR="00D10829">
        <w:t>ose</w:t>
      </w:r>
      <w:r w:rsidR="00726B78">
        <w:t xml:space="preserve"> condition</w:t>
      </w:r>
      <w:r w:rsidR="007B77BD">
        <w:t>s</w:t>
      </w:r>
      <w:r w:rsidR="00D10829" w:rsidRPr="00A714B9">
        <w:t xml:space="preserve"> for the </w:t>
      </w:r>
      <w:r w:rsidR="00C558CD">
        <w:t>b</w:t>
      </w:r>
      <w:r w:rsidR="004C4C1C">
        <w:t>udget year and three</w:t>
      </w:r>
      <w:r w:rsidR="00361377">
        <w:t xml:space="preserve"> </w:t>
      </w:r>
      <w:r w:rsidR="00D10829">
        <w:t>ensuing years</w:t>
      </w:r>
      <w:r w:rsidR="006F6922">
        <w:t>.</w:t>
      </w:r>
      <w:r w:rsidR="00A714B9" w:rsidRPr="00A714B9">
        <w:t xml:space="preserve"> The economic forecasts underpin the Government's fiscal outlook presented in the </w:t>
      </w:r>
      <w:r w:rsidR="00A714B9" w:rsidRPr="0077757D">
        <w:rPr>
          <w:i/>
        </w:rPr>
        <w:t>Budget</w:t>
      </w:r>
      <w:r w:rsidR="00A714B9" w:rsidRPr="00A714B9">
        <w:t xml:space="preserve"> and </w:t>
      </w:r>
      <w:r w:rsidR="00A714B9" w:rsidRPr="0077757D">
        <w:rPr>
          <w:i/>
        </w:rPr>
        <w:t>Budget Update</w:t>
      </w:r>
      <w:r w:rsidR="00A714B9" w:rsidRPr="00A714B9">
        <w:t>.</w:t>
      </w:r>
    </w:p>
    <w:p w14:paraId="4395A610" w14:textId="77777777" w:rsidR="00A714B9" w:rsidRDefault="00A714B9" w:rsidP="005E4438">
      <w:r w:rsidRPr="00A714B9">
        <w:t>The key economic indicators</w:t>
      </w:r>
      <w:r w:rsidR="00C558CD">
        <w:t xml:space="preserve"> are </w:t>
      </w:r>
      <w:r w:rsidRPr="00A714B9">
        <w:t xml:space="preserve">forecast </w:t>
      </w:r>
      <w:r w:rsidR="004947BF">
        <w:t xml:space="preserve">growth in real </w:t>
      </w:r>
      <w:r w:rsidR="009272BF">
        <w:t>gross state product (GSP)</w:t>
      </w:r>
      <w:r w:rsidRPr="00A714B9">
        <w:t xml:space="preserve"> </w:t>
      </w:r>
      <w:r w:rsidR="009272BF">
        <w:t>and the level of nominal GSP</w:t>
      </w:r>
      <w:r w:rsidR="005A5AE4">
        <w:t>,</w:t>
      </w:r>
      <w:r w:rsidR="009272BF">
        <w:t xml:space="preserve"> growth in </w:t>
      </w:r>
      <w:r w:rsidRPr="00A714B9">
        <w:t>employment</w:t>
      </w:r>
      <w:r w:rsidR="005A5AE4">
        <w:t>,</w:t>
      </w:r>
      <w:r w:rsidR="009272BF" w:rsidRPr="00A714B9">
        <w:t xml:space="preserve"> the unemployment rate</w:t>
      </w:r>
      <w:r w:rsidR="005A5AE4">
        <w:t>,</w:t>
      </w:r>
      <w:r w:rsidRPr="00A714B9">
        <w:t xml:space="preserve"> </w:t>
      </w:r>
      <w:r w:rsidR="009272BF">
        <w:t xml:space="preserve">growth in </w:t>
      </w:r>
      <w:r w:rsidRPr="00A714B9">
        <w:t>wages</w:t>
      </w:r>
      <w:r w:rsidR="00C558CD">
        <w:t xml:space="preserve"> (</w:t>
      </w:r>
      <w:r w:rsidR="00ED22B3">
        <w:t xml:space="preserve">as measured by </w:t>
      </w:r>
      <w:r w:rsidR="00C558CD">
        <w:t xml:space="preserve">the </w:t>
      </w:r>
      <w:r w:rsidR="00ED22B3">
        <w:t xml:space="preserve">Wage Price Index, or </w:t>
      </w:r>
      <w:r w:rsidR="00C558CD">
        <w:t>WPI)</w:t>
      </w:r>
      <w:r w:rsidR="005A5AE4">
        <w:t>,</w:t>
      </w:r>
      <w:r w:rsidRPr="00A714B9">
        <w:t xml:space="preserve"> </w:t>
      </w:r>
      <w:r w:rsidR="006D2B08">
        <w:t xml:space="preserve">growth in </w:t>
      </w:r>
      <w:r w:rsidRPr="00A714B9">
        <w:t>consumer price</w:t>
      </w:r>
      <w:r w:rsidR="006231CF">
        <w:t>s (</w:t>
      </w:r>
      <w:r w:rsidR="00ED22B3">
        <w:t xml:space="preserve">as measured by </w:t>
      </w:r>
      <w:r w:rsidR="006231CF">
        <w:t xml:space="preserve">the </w:t>
      </w:r>
      <w:r w:rsidR="00ED22B3">
        <w:t xml:space="preserve">Melbourne Consumer Price Index, or </w:t>
      </w:r>
      <w:r w:rsidR="006231CF">
        <w:t>CPI)</w:t>
      </w:r>
      <w:r w:rsidRPr="00A714B9">
        <w:t xml:space="preserve"> and population</w:t>
      </w:r>
      <w:r w:rsidR="006D2B08">
        <w:t xml:space="preserve"> growth</w:t>
      </w:r>
      <w:r w:rsidRPr="00A714B9">
        <w:t>.</w:t>
      </w:r>
    </w:p>
    <w:p w14:paraId="5F10960B" w14:textId="39E2D709" w:rsidR="00AF0B43" w:rsidRDefault="00AF0B43" w:rsidP="00A714B9">
      <w:r>
        <w:t xml:space="preserve">The aim of this paper is to </w:t>
      </w:r>
      <w:r w:rsidR="005414D0">
        <w:t>help</w:t>
      </w:r>
      <w:r>
        <w:t xml:space="preserve"> the reader understand the method</w:t>
      </w:r>
      <w:r w:rsidR="00ED22B3">
        <w:t>s</w:t>
      </w:r>
      <w:r>
        <w:t xml:space="preserve"> used </w:t>
      </w:r>
      <w:r w:rsidR="00ED22B3">
        <w:t xml:space="preserve">by DTF </w:t>
      </w:r>
      <w:r>
        <w:t>to undertake macroeconomic forecasts.</w:t>
      </w:r>
    </w:p>
    <w:p w14:paraId="1A5902DC" w14:textId="77777777" w:rsidR="00A714B9" w:rsidRDefault="00A714B9" w:rsidP="00393C49">
      <w:pPr>
        <w:pStyle w:val="Heading2"/>
      </w:pPr>
      <w:r>
        <w:t>Approach</w:t>
      </w:r>
    </w:p>
    <w:p w14:paraId="63CF63BF" w14:textId="2F988311" w:rsidR="0070684A" w:rsidRPr="004D6F0C" w:rsidRDefault="0070684A" w:rsidP="0070684A">
      <w:proofErr w:type="gramStart"/>
      <w:r w:rsidRPr="004D6F0C">
        <w:t>A number of</w:t>
      </w:r>
      <w:proofErr w:type="gramEnd"/>
      <w:r w:rsidRPr="004D6F0C">
        <w:t xml:space="preserve"> metho</w:t>
      </w:r>
      <w:r w:rsidR="00130DE5" w:rsidRPr="004D6F0C">
        <w:t>d</w:t>
      </w:r>
      <w:r w:rsidRPr="004D6F0C">
        <w:t xml:space="preserve">s and sources of information are employed </w:t>
      </w:r>
      <w:r w:rsidR="00130DE5" w:rsidRPr="004D6F0C">
        <w:t>to generate</w:t>
      </w:r>
      <w:r w:rsidRPr="004D6F0C">
        <w:t xml:space="preserve"> macroeconomic forecasts. These include </w:t>
      </w:r>
      <w:r w:rsidR="00130DE5" w:rsidRPr="004D6F0C">
        <w:t xml:space="preserve">consideration of recent and current recorded values, </w:t>
      </w:r>
      <w:r w:rsidR="00290E46" w:rsidRPr="004D6F0C">
        <w:t xml:space="preserve">government </w:t>
      </w:r>
      <w:r w:rsidR="00123177" w:rsidRPr="004D6F0C">
        <w:t xml:space="preserve">and central bank </w:t>
      </w:r>
      <w:r w:rsidR="00290E46" w:rsidRPr="004D6F0C">
        <w:t xml:space="preserve">policy announcements, </w:t>
      </w:r>
      <w:r w:rsidRPr="004D6F0C">
        <w:t xml:space="preserve">econometric modelling, trends suggested by leading indicators, economic theory, industry and business liaison, insights provided by other forecasts, and the experience and </w:t>
      </w:r>
      <w:r w:rsidR="00290E46" w:rsidRPr="004D6F0C">
        <w:t xml:space="preserve">judgement </w:t>
      </w:r>
      <w:r w:rsidR="007B77BD" w:rsidRPr="004D6F0C">
        <w:t>of DTF analysts</w:t>
      </w:r>
      <w:r w:rsidRPr="004D6F0C">
        <w:t>.</w:t>
      </w:r>
      <w:r w:rsidR="009A2592" w:rsidRPr="004D6F0C">
        <w:t xml:space="preserve"> </w:t>
      </w:r>
    </w:p>
    <w:p w14:paraId="26328E93" w14:textId="30C5E65B" w:rsidR="0070684A" w:rsidRPr="004D6F0C" w:rsidRDefault="0070684A" w:rsidP="0070684A">
      <w:r w:rsidRPr="004D6F0C">
        <w:t xml:space="preserve">The forecasting process is iterative. Many of the variables in </w:t>
      </w:r>
      <w:r w:rsidR="00C43971">
        <w:t xml:space="preserve">model </w:t>
      </w:r>
      <w:r w:rsidRPr="004D6F0C">
        <w:t>equations are common</w:t>
      </w:r>
      <w:r w:rsidR="00D574DC">
        <w:t xml:space="preserve"> to several </w:t>
      </w:r>
      <w:r w:rsidR="00C43971">
        <w:t>models</w:t>
      </w:r>
      <w:r w:rsidR="00377CA8" w:rsidRPr="004D6F0C">
        <w:t>,</w:t>
      </w:r>
      <w:r w:rsidRPr="004D6F0C">
        <w:t xml:space="preserve"> and dependent variables in one model</w:t>
      </w:r>
      <w:r w:rsidR="005C2DF0" w:rsidRPr="004D6F0C">
        <w:t xml:space="preserve"> may be explanatory variables in</w:t>
      </w:r>
      <w:r w:rsidRPr="004D6F0C">
        <w:t xml:space="preserve"> others, requiring several rounds to ensure convergence. In the process other sources of external information and the judgement and experience of the forecasters are u</w:t>
      </w:r>
      <w:r w:rsidR="006C2498" w:rsidRPr="004D6F0C">
        <w:t>sed</w:t>
      </w:r>
      <w:r w:rsidRPr="004D6F0C">
        <w:t>.</w:t>
      </w:r>
    </w:p>
    <w:p w14:paraId="7C945E5D" w14:textId="3DD5ED87" w:rsidR="009272BF" w:rsidRPr="004D6F0C" w:rsidRDefault="009272BF" w:rsidP="009272BF">
      <w:r w:rsidRPr="004D6F0C">
        <w:t xml:space="preserve">There </w:t>
      </w:r>
      <w:r w:rsidR="00377CA8" w:rsidRPr="004D6F0C">
        <w:t>is</w:t>
      </w:r>
      <w:r w:rsidRPr="004D6F0C">
        <w:t xml:space="preserve"> a point in recent history where actuals for each of the variables to be forecast </w:t>
      </w:r>
      <w:r w:rsidR="004A4264" w:rsidRPr="004D6F0C">
        <w:t xml:space="preserve">are </w:t>
      </w:r>
      <w:r w:rsidRPr="004D6F0C">
        <w:t xml:space="preserve">known (notwithstanding that the </w:t>
      </w:r>
      <w:r w:rsidR="00E96361" w:rsidRPr="004D6F0C">
        <w:t>Australian Bureau of Statistics (</w:t>
      </w:r>
      <w:r w:rsidRPr="004D6F0C">
        <w:t>ABS</w:t>
      </w:r>
      <w:r w:rsidR="00E96361" w:rsidRPr="004D6F0C">
        <w:t>)</w:t>
      </w:r>
      <w:r w:rsidR="00163463" w:rsidRPr="004D6F0C">
        <w:t xml:space="preserve"> </w:t>
      </w:r>
      <w:r w:rsidRPr="004D6F0C">
        <w:t xml:space="preserve">often revises published data). This information provides the </w:t>
      </w:r>
      <w:r w:rsidR="009A2592" w:rsidRPr="004D6F0C">
        <w:t xml:space="preserve">starting </w:t>
      </w:r>
      <w:r w:rsidRPr="004D6F0C">
        <w:t>point for the forecasts.</w:t>
      </w:r>
    </w:p>
    <w:p w14:paraId="62F50221" w14:textId="09CEA9C5" w:rsidR="009272BF" w:rsidRDefault="00290E46" w:rsidP="009272BF">
      <w:r w:rsidRPr="004D6F0C">
        <w:t xml:space="preserve">The forecasts by the end of the forward estimates are anchored by long-run steady-state or trend values. </w:t>
      </w:r>
      <w:r w:rsidR="009272BF" w:rsidRPr="004D6F0C">
        <w:t xml:space="preserve">These trend values </w:t>
      </w:r>
      <w:r w:rsidR="009A2592" w:rsidRPr="004D6F0C">
        <w:t>are</w:t>
      </w:r>
      <w:r w:rsidR="009272BF" w:rsidRPr="004D6F0C">
        <w:t xml:space="preserve"> derived from economic theory and based on fundamental drivers.</w:t>
      </w:r>
      <w:r w:rsidR="009272BF" w:rsidRPr="004D6F0C">
        <w:rPr>
          <w:sz w:val="20"/>
          <w:szCs w:val="20"/>
          <w:vertAlign w:val="superscript"/>
        </w:rPr>
        <w:footnoteReference w:id="2"/>
      </w:r>
      <w:r w:rsidR="009272BF" w:rsidRPr="004D6F0C">
        <w:t xml:space="preserve"> </w:t>
      </w:r>
    </w:p>
    <w:p w14:paraId="6C5F9F00" w14:textId="4E24BE99" w:rsidR="009272BF" w:rsidRPr="00A714B9" w:rsidRDefault="009272BF" w:rsidP="009272BF">
      <w:r>
        <w:t xml:space="preserve">The methodology is reviewed before each forecasting round with new parameters </w:t>
      </w:r>
      <w:r w:rsidR="00607027">
        <w:t xml:space="preserve">in </w:t>
      </w:r>
      <w:r w:rsidR="00204EE0">
        <w:t xml:space="preserve">model equations </w:t>
      </w:r>
      <w:r>
        <w:t xml:space="preserve">calculated </w:t>
      </w:r>
      <w:r w:rsidR="0011601E">
        <w:t>from updated</w:t>
      </w:r>
      <w:r>
        <w:t xml:space="preserve"> data, or new model specifications</w:t>
      </w:r>
      <w:r w:rsidR="000A1B9C">
        <w:t xml:space="preserve"> are used</w:t>
      </w:r>
      <w:r>
        <w:t xml:space="preserve">. </w:t>
      </w:r>
      <w:r w:rsidR="0089427C">
        <w:t>From time to time more extensive reviews of the forecasting process are undertaken.</w:t>
      </w:r>
      <w:r w:rsidR="00C17161">
        <w:t xml:space="preserve"> </w:t>
      </w:r>
    </w:p>
    <w:p w14:paraId="2B63BC3C" w14:textId="78107540" w:rsidR="009272BF" w:rsidRDefault="00313A27" w:rsidP="009272BF">
      <w:r>
        <w:lastRenderedPageBreak/>
        <w:t>T</w:t>
      </w:r>
      <w:r w:rsidR="009272BF" w:rsidRPr="00A714B9">
        <w:t>he following</w:t>
      </w:r>
      <w:r>
        <w:t xml:space="preserve"> sections</w:t>
      </w:r>
      <w:r w:rsidR="009272BF" w:rsidRPr="00A714B9">
        <w:t xml:space="preserve"> describe the </w:t>
      </w:r>
      <w:r w:rsidR="009272BF">
        <w:t>method</w:t>
      </w:r>
      <w:r>
        <w:t>s</w:t>
      </w:r>
      <w:r w:rsidR="009272BF">
        <w:t xml:space="preserve"> used to forecast each of the main components of GSP, the labour market, </w:t>
      </w:r>
      <w:r w:rsidR="00C307F8">
        <w:t>inflation</w:t>
      </w:r>
      <w:r w:rsidR="0011601E">
        <w:t xml:space="preserve">, </w:t>
      </w:r>
      <w:r w:rsidR="00C307F8">
        <w:t>wages growth</w:t>
      </w:r>
      <w:r w:rsidR="0011601E">
        <w:t xml:space="preserve"> and population</w:t>
      </w:r>
      <w:r w:rsidR="00E733FC">
        <w:t xml:space="preserve">. </w:t>
      </w:r>
      <w:r w:rsidR="00C558CD">
        <w:t xml:space="preserve">Sources </w:t>
      </w:r>
      <w:r w:rsidR="009272BF">
        <w:t>o</w:t>
      </w:r>
      <w:r w:rsidR="00C558CD">
        <w:t>f</w:t>
      </w:r>
      <w:r w:rsidR="009272BF">
        <w:t xml:space="preserve"> </w:t>
      </w:r>
      <w:r w:rsidR="009272BF" w:rsidRPr="00A714B9">
        <w:t xml:space="preserve">data </w:t>
      </w:r>
      <w:r w:rsidR="00FA5AB0">
        <w:t xml:space="preserve">that are </w:t>
      </w:r>
      <w:r w:rsidR="009272BF" w:rsidRPr="00A714B9">
        <w:t xml:space="preserve">used </w:t>
      </w:r>
      <w:r w:rsidR="009272BF">
        <w:t>to construct the models</w:t>
      </w:r>
      <w:r w:rsidR="00006AF9">
        <w:t>,</w:t>
      </w:r>
      <w:r w:rsidR="009272BF">
        <w:t xml:space="preserve"> and adjust for contemporaneous and other influences</w:t>
      </w:r>
      <w:r w:rsidR="00006AF9">
        <w:t>,</w:t>
      </w:r>
      <w:r w:rsidR="009272BF" w:rsidRPr="00A714B9">
        <w:t xml:space="preserve"> </w:t>
      </w:r>
      <w:r w:rsidR="009272BF">
        <w:t>are also provided</w:t>
      </w:r>
      <w:r w:rsidR="009272BF" w:rsidRPr="00A714B9">
        <w:t>.</w:t>
      </w:r>
    </w:p>
    <w:p w14:paraId="2C391FBE" w14:textId="77777777" w:rsidR="00D34AC7" w:rsidRDefault="00D34AC7" w:rsidP="00E0280B">
      <w:pPr>
        <w:pStyle w:val="Heading2"/>
      </w:pPr>
      <w:r w:rsidRPr="00E0280B">
        <w:t>Gross</w:t>
      </w:r>
      <w:r>
        <w:t xml:space="preserve"> </w:t>
      </w:r>
      <w:r w:rsidR="00425838">
        <w:t>s</w:t>
      </w:r>
      <w:r>
        <w:t xml:space="preserve">tate </w:t>
      </w:r>
      <w:r w:rsidR="00425838">
        <w:t>p</w:t>
      </w:r>
      <w:r>
        <w:t>roduct</w:t>
      </w:r>
    </w:p>
    <w:p w14:paraId="26837C9D" w14:textId="56783F40" w:rsidR="00726B78" w:rsidRDefault="006231CF" w:rsidP="00A714B9">
      <w:r>
        <w:t xml:space="preserve">Real </w:t>
      </w:r>
      <w:r w:rsidR="00A714B9" w:rsidRPr="00A714B9">
        <w:t xml:space="preserve">GSP is </w:t>
      </w:r>
      <w:r w:rsidR="003B45DC">
        <w:t>the sum of its expenditure components</w:t>
      </w:r>
      <w:r w:rsidR="00566518">
        <w:t>:</w:t>
      </w:r>
      <w:r w:rsidR="00A714B9" w:rsidRPr="00A714B9">
        <w:t xml:space="preserve"> household consumption, dwelling investment and ownership transfer costs, business investment, </w:t>
      </w:r>
      <w:r w:rsidR="001A6E7A">
        <w:t>government expenditure</w:t>
      </w:r>
      <w:r w:rsidR="00A714B9" w:rsidRPr="00A714B9">
        <w:t xml:space="preserve">, net </w:t>
      </w:r>
      <w:r w:rsidR="004C4C1C">
        <w:t xml:space="preserve">international </w:t>
      </w:r>
      <w:proofErr w:type="gramStart"/>
      <w:r w:rsidR="00A714B9" w:rsidRPr="00A714B9">
        <w:t>trade</w:t>
      </w:r>
      <w:proofErr w:type="gramEnd"/>
      <w:r w:rsidR="00A714B9" w:rsidRPr="00A714B9">
        <w:t xml:space="preserve"> and the balancing item</w:t>
      </w:r>
      <w:r w:rsidR="00726B78">
        <w:t xml:space="preserve">. </w:t>
      </w:r>
      <w:r w:rsidR="0089427C">
        <w:t xml:space="preserve">Each of the components is </w:t>
      </w:r>
      <w:r w:rsidR="00313A27">
        <w:t xml:space="preserve">forecast </w:t>
      </w:r>
      <w:r w:rsidR="0089427C">
        <w:t>separately</w:t>
      </w:r>
      <w:r w:rsidR="00313A27">
        <w:t xml:space="preserve"> and aggregated to form </w:t>
      </w:r>
      <w:r w:rsidR="0075360D">
        <w:t xml:space="preserve">a forecast of </w:t>
      </w:r>
      <w:r w:rsidR="00313A27">
        <w:t>real GSP</w:t>
      </w:r>
      <w:r w:rsidR="0089427C">
        <w:t>.</w:t>
      </w:r>
    </w:p>
    <w:p w14:paraId="1D505C8B" w14:textId="72B8EA39" w:rsidR="00BD233F" w:rsidRDefault="007D019B" w:rsidP="00A714B9">
      <w:r>
        <w:t xml:space="preserve">The trend value of real GSP is projected using </w:t>
      </w:r>
      <w:r w:rsidR="00525C3D">
        <w:t>estimates</w:t>
      </w:r>
      <w:r>
        <w:t xml:space="preserve"> of </w:t>
      </w:r>
      <w:r w:rsidR="00BD233F">
        <w:t xml:space="preserve">the </w:t>
      </w:r>
      <w:r w:rsidR="00CE4931">
        <w:t>key</w:t>
      </w:r>
      <w:r w:rsidR="00BD233F">
        <w:t xml:space="preserve"> long</w:t>
      </w:r>
      <w:r w:rsidR="008251E6">
        <w:t>-</w:t>
      </w:r>
      <w:r w:rsidR="00BD233F">
        <w:t xml:space="preserve">run drivers of economic growth: population, </w:t>
      </w:r>
      <w:r w:rsidR="00022525">
        <w:t xml:space="preserve">workforce </w:t>
      </w:r>
      <w:r w:rsidR="00BD233F">
        <w:t>participation</w:t>
      </w:r>
      <w:r w:rsidR="00313A27">
        <w:rPr>
          <w:rStyle w:val="FootnoteReference"/>
        </w:rPr>
        <w:footnoteReference w:id="3"/>
      </w:r>
      <w:r w:rsidR="00BD233F">
        <w:t xml:space="preserve"> and productivity.</w:t>
      </w:r>
    </w:p>
    <w:p w14:paraId="2EFAFB3E" w14:textId="3AFE85CB" w:rsidR="001F35F6" w:rsidRDefault="001F35F6" w:rsidP="001F35F6">
      <w:r>
        <w:t xml:space="preserve">The framework also employs a measure of growth in the </w:t>
      </w:r>
      <w:r w:rsidR="00C558CD">
        <w:t xml:space="preserve">price </w:t>
      </w:r>
      <w:r>
        <w:t>deflator for GSP</w:t>
      </w:r>
      <w:r w:rsidR="00E733FC">
        <w:t xml:space="preserve">. </w:t>
      </w:r>
      <w:r>
        <w:t>This, with the most recent actual value published by the ABS, enables the generation of forecast</w:t>
      </w:r>
      <w:r w:rsidR="009E5C81">
        <w:t>s</w:t>
      </w:r>
      <w:r>
        <w:t xml:space="preserve"> of nominal GSP. The GSP deflator</w:t>
      </w:r>
      <w:r w:rsidR="00BC0362">
        <w:t xml:space="preserve"> forecasts are informed by </w:t>
      </w:r>
      <w:r w:rsidR="005F77D6">
        <w:t xml:space="preserve">forecast </w:t>
      </w:r>
      <w:r w:rsidR="00BC0362">
        <w:t xml:space="preserve">movements in the </w:t>
      </w:r>
      <w:r>
        <w:t>CPI.</w:t>
      </w:r>
    </w:p>
    <w:p w14:paraId="6D853C95" w14:textId="77777777" w:rsidR="00445614" w:rsidRDefault="00445614" w:rsidP="0077757D">
      <w:pPr>
        <w:pStyle w:val="Heading3NoNum"/>
        <w:ind w:left="0"/>
      </w:pPr>
      <w:r w:rsidRPr="00445614">
        <w:t xml:space="preserve">Household </w:t>
      </w:r>
      <w:r w:rsidR="00B11438" w:rsidRPr="00425838">
        <w:t>c</w:t>
      </w:r>
      <w:r w:rsidRPr="00425838">
        <w:t>onsumption</w:t>
      </w:r>
      <w:r w:rsidRPr="00445614">
        <w:t xml:space="preserve"> </w:t>
      </w:r>
    </w:p>
    <w:p w14:paraId="2B720FC6" w14:textId="77777777" w:rsidR="00445614" w:rsidRDefault="008A3377" w:rsidP="00425838">
      <w:pPr>
        <w:pStyle w:val="Heading4NoNum"/>
      </w:pPr>
      <w:r w:rsidRPr="0011095F">
        <w:t>D</w:t>
      </w:r>
      <w:r w:rsidR="00AA0CF0" w:rsidRPr="0011095F">
        <w:t>efinition</w:t>
      </w:r>
    </w:p>
    <w:p w14:paraId="51D3EB48" w14:textId="515F849A" w:rsidR="00445614" w:rsidRDefault="00445614" w:rsidP="00445614">
      <w:r w:rsidRPr="00445614">
        <w:t>Household final consumption expenditure (consumption) consists of the expenditure</w:t>
      </w:r>
      <w:r w:rsidR="00A507C3">
        <w:t xml:space="preserve"> by households</w:t>
      </w:r>
      <w:r w:rsidRPr="00445614">
        <w:t xml:space="preserve">, including imputed expenditure, incurred by </w:t>
      </w:r>
      <w:r w:rsidR="00E446A6">
        <w:t>consuming</w:t>
      </w:r>
      <w:r w:rsidRPr="00445614">
        <w:t xml:space="preserve"> goods and services. </w:t>
      </w:r>
    </w:p>
    <w:p w14:paraId="49F60684" w14:textId="77777777" w:rsidR="00445614" w:rsidRDefault="00D14F5C" w:rsidP="00425838">
      <w:pPr>
        <w:pStyle w:val="Heading4NoNum"/>
      </w:pPr>
      <w:r>
        <w:t>Method</w:t>
      </w:r>
    </w:p>
    <w:p w14:paraId="7E64DC3A" w14:textId="77777777" w:rsidR="002D4068" w:rsidRDefault="002D4068" w:rsidP="002D4068">
      <w:r>
        <w:t>Consumption forecasts are based primarily on econometric relationships with key drivers, augmented by consideration of recent performance of indicators.</w:t>
      </w:r>
    </w:p>
    <w:p w14:paraId="7E619AF2" w14:textId="4BCE2232" w:rsidR="002D4068" w:rsidRDefault="007C4C4D" w:rsidP="002D4068">
      <w:r>
        <w:t>The l</w:t>
      </w:r>
      <w:r w:rsidRPr="00DC4CB0">
        <w:t>ong</w:t>
      </w:r>
      <w:r w:rsidR="00377CA8">
        <w:noBreakHyphen/>
        <w:t>r</w:t>
      </w:r>
      <w:r w:rsidRPr="00DC4CB0">
        <w:t xml:space="preserve">un equilibrium level of </w:t>
      </w:r>
      <w:r w:rsidR="00840753">
        <w:t xml:space="preserve">real </w:t>
      </w:r>
      <w:r w:rsidRPr="00DC4CB0">
        <w:t>consumption</w:t>
      </w:r>
      <w:r>
        <w:t xml:space="preserve"> is determined</w:t>
      </w:r>
      <w:r w:rsidRPr="00DC4CB0">
        <w:t xml:space="preserve"> by</w:t>
      </w:r>
      <w:r w:rsidRPr="00741E80">
        <w:t xml:space="preserve"> </w:t>
      </w:r>
      <w:r w:rsidR="00C640AE">
        <w:t xml:space="preserve">assumptions </w:t>
      </w:r>
      <w:r w:rsidR="00A507C3">
        <w:t xml:space="preserve">about </w:t>
      </w:r>
      <w:r w:rsidR="00924A83">
        <w:t xml:space="preserve">population growth, </w:t>
      </w:r>
      <w:r w:rsidR="007A42CD">
        <w:t xml:space="preserve">labour income (total </w:t>
      </w:r>
      <w:r w:rsidR="00840753">
        <w:t xml:space="preserve">real </w:t>
      </w:r>
      <w:r w:rsidRPr="00741E80">
        <w:t>compensation of employees</w:t>
      </w:r>
      <w:r w:rsidR="007A42CD">
        <w:t>)</w:t>
      </w:r>
      <w:r w:rsidR="00924A83">
        <w:t>,</w:t>
      </w:r>
      <w:r>
        <w:t xml:space="preserve"> </w:t>
      </w:r>
      <w:r w:rsidR="00840753">
        <w:t xml:space="preserve">real </w:t>
      </w:r>
      <w:r w:rsidRPr="00741E80">
        <w:t xml:space="preserve">net worth </w:t>
      </w:r>
      <w:r>
        <w:t xml:space="preserve">and the </w:t>
      </w:r>
      <w:r w:rsidRPr="00741E80">
        <w:t>mortgage rate</w:t>
      </w:r>
      <w:r>
        <w:t>.</w:t>
      </w:r>
      <w:r w:rsidR="00E65ADA">
        <w:t xml:space="preserve"> In the short</w:t>
      </w:r>
      <w:r w:rsidR="00356EEC">
        <w:t xml:space="preserve"> </w:t>
      </w:r>
      <w:r w:rsidR="00E65ADA">
        <w:t>run, a regression model is used to forecast consumption, and includes retail sales and consumer sentiment.</w:t>
      </w:r>
    </w:p>
    <w:p w14:paraId="01823C1D" w14:textId="31F540E4" w:rsidR="002D4068" w:rsidRDefault="002D4068" w:rsidP="002D4068">
      <w:r>
        <w:t>Household spending is positively related to labour income</w:t>
      </w:r>
      <w:r w:rsidR="00A507C3">
        <w:t>:</w:t>
      </w:r>
      <w:r>
        <w:t xml:space="preserve"> all else equal, households will spend a share of their income, so growth in income leads to greater expenditure. Increases in household net worth are also linked with increased consumption for a given level of income.  </w:t>
      </w:r>
    </w:p>
    <w:p w14:paraId="7C48E44C" w14:textId="0EF27080" w:rsidR="002D4068" w:rsidRDefault="002D4068" w:rsidP="002D4068">
      <w:r>
        <w:t>Household spending is inversely related to the mortgage rate. Lower mortgage rates imply lower interest repayments on loans, increasing disposable income and boosting expenditure.</w:t>
      </w:r>
    </w:p>
    <w:p w14:paraId="136B278E" w14:textId="5E7A47EA" w:rsidR="007A42CD" w:rsidRDefault="007A42CD" w:rsidP="007A42CD">
      <w:r>
        <w:t xml:space="preserve">The </w:t>
      </w:r>
      <w:r w:rsidR="00EC605D">
        <w:t xml:space="preserve">consumption forecasts </w:t>
      </w:r>
      <w:r>
        <w:t>are generated</w:t>
      </w:r>
      <w:r w:rsidR="005C2DF0">
        <w:t>,</w:t>
      </w:r>
      <w:r w:rsidR="004B2986">
        <w:t xml:space="preserve"> then adjusted based on additional </w:t>
      </w:r>
      <w:r w:rsidR="00A7252A">
        <w:t xml:space="preserve">information </w:t>
      </w:r>
      <w:r w:rsidR="004B2986">
        <w:t xml:space="preserve">including data on retail trade, </w:t>
      </w:r>
      <w:r w:rsidR="003027B0">
        <w:t xml:space="preserve">monthly spending </w:t>
      </w:r>
      <w:r w:rsidR="00B86EA5">
        <w:t xml:space="preserve">based on </w:t>
      </w:r>
      <w:r w:rsidR="003027B0">
        <w:t xml:space="preserve">the ABS’ experimental </w:t>
      </w:r>
      <w:r w:rsidR="003027B0">
        <w:rPr>
          <w:i/>
          <w:iCs/>
        </w:rPr>
        <w:t>Monthly Household Spending Indicator</w:t>
      </w:r>
      <w:r w:rsidR="003074FD">
        <w:t xml:space="preserve">, </w:t>
      </w:r>
      <w:r w:rsidR="004B2986">
        <w:t>consumer sentiment, household savings behaviour</w:t>
      </w:r>
      <w:r w:rsidR="003952FB">
        <w:t>,</w:t>
      </w:r>
      <w:r w:rsidR="004B2986">
        <w:t xml:space="preserve"> the composition of recent consumption spending (e.g. on discretionary and non</w:t>
      </w:r>
      <w:r w:rsidR="00E733FC">
        <w:noBreakHyphen/>
      </w:r>
      <w:r w:rsidR="004B2986">
        <w:t>discretionary goods and se</w:t>
      </w:r>
      <w:r w:rsidR="004B2986" w:rsidRPr="004D6F0C">
        <w:t>rvices)</w:t>
      </w:r>
      <w:r w:rsidR="003952FB" w:rsidRPr="004D6F0C">
        <w:t>, and</w:t>
      </w:r>
      <w:r w:rsidR="00BF56C8" w:rsidRPr="004D6F0C">
        <w:t xml:space="preserve"> government</w:t>
      </w:r>
      <w:r w:rsidR="003952FB" w:rsidRPr="004D6F0C">
        <w:t xml:space="preserve"> policy announcements</w:t>
      </w:r>
      <w:r w:rsidR="004B2986" w:rsidRPr="004D6F0C">
        <w:t>.</w:t>
      </w:r>
      <w:r w:rsidR="004B2986">
        <w:t xml:space="preserve"> </w:t>
      </w:r>
    </w:p>
    <w:p w14:paraId="1FFD1EAB" w14:textId="77777777" w:rsidR="00211EAF" w:rsidRDefault="00211EAF" w:rsidP="007A42CD"/>
    <w:p w14:paraId="10D93FD7" w14:textId="5217B2D5" w:rsidR="00445614" w:rsidRPr="007A42CD" w:rsidRDefault="00445614" w:rsidP="008A43C7">
      <w:pPr>
        <w:keepNext/>
        <w:ind w:firstLine="720"/>
        <w:rPr>
          <w:b/>
          <w:color w:val="4D4D4D"/>
        </w:rPr>
      </w:pPr>
      <w:r w:rsidRPr="007A42CD">
        <w:rPr>
          <w:b/>
          <w:color w:val="4D4D4D"/>
        </w:rPr>
        <w:lastRenderedPageBreak/>
        <w:t>Data sources</w:t>
      </w:r>
    </w:p>
    <w:p w14:paraId="7972D8FE" w14:textId="77777777" w:rsidR="00C640AE" w:rsidRDefault="00C640AE" w:rsidP="008A43C7">
      <w:pPr>
        <w:keepNext/>
        <w:jc w:val="both"/>
      </w:pPr>
      <w:r w:rsidRPr="00C640AE">
        <w:t xml:space="preserve">Historical estimated resident population data is sourced from the ABS, </w:t>
      </w:r>
      <w:r w:rsidRPr="00C640AE">
        <w:rPr>
          <w:i/>
        </w:rPr>
        <w:t>Australian Demographic Statistics</w:t>
      </w:r>
      <w:r w:rsidRPr="00C640AE">
        <w:t xml:space="preserve"> (</w:t>
      </w:r>
      <w:r>
        <w:t>c</w:t>
      </w:r>
      <w:r w:rsidRPr="00C640AE">
        <w:t xml:space="preserve">atalogue 3101.0). Forecast ERP is sourced from population forecasts produced by the Macroeconomic Strategy team.  </w:t>
      </w:r>
    </w:p>
    <w:p w14:paraId="45FB89D3" w14:textId="60608CB9" w:rsidR="00EC605D" w:rsidRDefault="004F0D50" w:rsidP="008A43C7">
      <w:pPr>
        <w:keepNext/>
        <w:jc w:val="both"/>
      </w:pPr>
      <w:r>
        <w:t xml:space="preserve">Historical </w:t>
      </w:r>
      <w:r w:rsidR="00840753">
        <w:t xml:space="preserve">real </w:t>
      </w:r>
      <w:r w:rsidR="00EC605D" w:rsidRPr="00AA6586">
        <w:t xml:space="preserve">household consumption is the chain volume measure of Victorian household final consumption expenditure obtainable </w:t>
      </w:r>
      <w:r w:rsidRPr="00445614">
        <w:t>from ABS</w:t>
      </w:r>
      <w:r>
        <w:t>,</w:t>
      </w:r>
      <w:r w:rsidRPr="00445614">
        <w:t xml:space="preserve"> </w:t>
      </w:r>
      <w:r w:rsidRPr="00301B6C">
        <w:rPr>
          <w:i/>
        </w:rPr>
        <w:t>Australian National Accounts</w:t>
      </w:r>
      <w:r w:rsidR="00EC605D" w:rsidRPr="00AA6586">
        <w:t xml:space="preserve">.  </w:t>
      </w:r>
    </w:p>
    <w:p w14:paraId="5DE33FBD" w14:textId="6B74BBD2" w:rsidR="004F0D50" w:rsidRDefault="004F0D50" w:rsidP="004F0D50">
      <w:r>
        <w:t xml:space="preserve">Total compensation of employees is the only source of household income available on a quarterly basis at the state level.  Data are sourced from ABS, </w:t>
      </w:r>
      <w:r w:rsidRPr="00301B6C">
        <w:rPr>
          <w:i/>
        </w:rPr>
        <w:t>Australian National Accounts</w:t>
      </w:r>
      <w:r>
        <w:t xml:space="preserve">. </w:t>
      </w:r>
      <w:r w:rsidR="00FA7C58">
        <w:t>Total compensation of employees</w:t>
      </w:r>
      <w:r>
        <w:t xml:space="preserve"> is projected using the wage price index and employment forecasts (see below). </w:t>
      </w:r>
    </w:p>
    <w:p w14:paraId="72111890" w14:textId="2D138202" w:rsidR="00EC605D" w:rsidRPr="00AA6586" w:rsidRDefault="00840753" w:rsidP="00EC605D">
      <w:pPr>
        <w:jc w:val="both"/>
      </w:pPr>
      <w:r>
        <w:t>R</w:t>
      </w:r>
      <w:r w:rsidR="00EC605D" w:rsidRPr="00AA6586">
        <w:t xml:space="preserve">eal </w:t>
      </w:r>
      <w:r w:rsidR="00B81A16">
        <w:t xml:space="preserve">Victorian </w:t>
      </w:r>
      <w:r w:rsidR="00EC605D" w:rsidRPr="00AA6586">
        <w:t>compensation of employees is calculated as</w:t>
      </w:r>
      <w:r w:rsidR="00B81A16">
        <w:t xml:space="preserve"> Victorian </w:t>
      </w:r>
      <w:r w:rsidR="00EC605D" w:rsidRPr="00AA6586">
        <w:t>compensation of employees divided by the Victorian implicit price deflator (IPD) for household consumption. The Victorian IPD for household consumption is derived by dividing Victorian nominal household consumption by Victorian real household consumption.</w:t>
      </w:r>
    </w:p>
    <w:p w14:paraId="14E84387" w14:textId="52B21678" w:rsidR="00FE1C28" w:rsidRDefault="00EC605D" w:rsidP="00EC605D">
      <w:pPr>
        <w:jc w:val="both"/>
      </w:pPr>
      <w:r w:rsidRPr="00AA6586">
        <w:t xml:space="preserve">Australian real household net worth is calculated as the difference between Australian household assets less liabilities divided by the Victorian implicit price deflator for household consumption. Data on the Australian household assets and liabilities </w:t>
      </w:r>
      <w:r w:rsidR="00FE1C28">
        <w:t xml:space="preserve">are sourced from </w:t>
      </w:r>
      <w:r w:rsidR="00FE1C28" w:rsidRPr="00445614">
        <w:t>the R</w:t>
      </w:r>
      <w:r w:rsidR="00FE1C28">
        <w:t>eserve Bank of Australia (R</w:t>
      </w:r>
      <w:r w:rsidR="00FE1C28" w:rsidRPr="00445614">
        <w:t>BA</w:t>
      </w:r>
      <w:r w:rsidR="00FE1C28">
        <w:t>)</w:t>
      </w:r>
      <w:r w:rsidR="00FE1C28" w:rsidRPr="00445614">
        <w:t xml:space="preserve">, </w:t>
      </w:r>
      <w:r w:rsidR="00FE1C28">
        <w:rPr>
          <w:i/>
        </w:rPr>
        <w:t>Household and Business Balance Sheets</w:t>
      </w:r>
      <w:r w:rsidR="00FE1C28" w:rsidRPr="00445614">
        <w:t xml:space="preserve">, </w:t>
      </w:r>
      <w:r w:rsidR="00FE1C28">
        <w:t>T</w:t>
      </w:r>
      <w:r w:rsidR="00FE1C28" w:rsidRPr="00445614">
        <w:t xml:space="preserve">able </w:t>
      </w:r>
      <w:r w:rsidR="00FE1C28">
        <w:t>E1</w:t>
      </w:r>
      <w:r w:rsidR="00FE1C28" w:rsidRPr="00445614">
        <w:t>.</w:t>
      </w:r>
      <w:r w:rsidR="00BC2D5C">
        <w:t xml:space="preserve"> </w:t>
      </w:r>
    </w:p>
    <w:p w14:paraId="2D734538" w14:textId="5B59F670" w:rsidR="00EC605D" w:rsidRPr="00DC1CC2" w:rsidRDefault="00EC605D" w:rsidP="00EC605D">
      <w:pPr>
        <w:jc w:val="both"/>
      </w:pPr>
      <w:r w:rsidRPr="00DC1CC2">
        <w:t xml:space="preserve">The mortgage rate is the standard variable loan rate that Australian banks set. </w:t>
      </w:r>
      <w:r w:rsidR="008E494C" w:rsidRPr="00DC1CC2">
        <w:t xml:space="preserve">Data on the </w:t>
      </w:r>
      <w:r w:rsidRPr="00DC1CC2">
        <w:t>standard variable loan rate is obtainable from the RBA</w:t>
      </w:r>
      <w:r w:rsidR="008E494C" w:rsidRPr="00DC1CC2">
        <w:t xml:space="preserve">, </w:t>
      </w:r>
      <w:r w:rsidR="008E494C" w:rsidRPr="00DC1CC2">
        <w:rPr>
          <w:i/>
        </w:rPr>
        <w:t>Indicator Lending Rates</w:t>
      </w:r>
      <w:r w:rsidR="008E494C" w:rsidRPr="00DC1CC2">
        <w:t>, Table F5.</w:t>
      </w:r>
    </w:p>
    <w:p w14:paraId="3A335182" w14:textId="77777777" w:rsidR="008E494C" w:rsidRPr="00DC1CC2" w:rsidRDefault="008E494C" w:rsidP="008E494C">
      <w:r w:rsidRPr="00DC1CC2">
        <w:t xml:space="preserve">The </w:t>
      </w:r>
      <w:r w:rsidR="00FC001D" w:rsidRPr="00DC1CC2">
        <w:t xml:space="preserve">Victorian </w:t>
      </w:r>
      <w:r w:rsidRPr="00DC1CC2">
        <w:t xml:space="preserve">implicit price deflator </w:t>
      </w:r>
      <w:r w:rsidR="00FC001D" w:rsidRPr="00DC1CC2">
        <w:t xml:space="preserve">for household consumption </w:t>
      </w:r>
      <w:r w:rsidRPr="00DC1CC2">
        <w:t>is projected based on consumer price index forecasts</w:t>
      </w:r>
      <w:r w:rsidR="00FA7C58" w:rsidRPr="00DC1CC2">
        <w:t xml:space="preserve"> (see below)</w:t>
      </w:r>
      <w:r w:rsidRPr="00DC1CC2">
        <w:t>.</w:t>
      </w:r>
    </w:p>
    <w:p w14:paraId="5DCAABBC" w14:textId="77777777" w:rsidR="00211931" w:rsidRPr="00DC1CC2" w:rsidRDefault="00211931" w:rsidP="0077757D">
      <w:pPr>
        <w:pStyle w:val="Heading3NoNum"/>
        <w:ind w:left="0"/>
      </w:pPr>
      <w:r w:rsidRPr="00DC1CC2">
        <w:t xml:space="preserve">Private investment </w:t>
      </w:r>
    </w:p>
    <w:p w14:paraId="432B3E63" w14:textId="77777777" w:rsidR="00211931" w:rsidRPr="00DC1CC2" w:rsidRDefault="00211931" w:rsidP="00211931">
      <w:pPr>
        <w:pStyle w:val="Heading4NoNum"/>
      </w:pPr>
      <w:r w:rsidRPr="00DC1CC2">
        <w:t>Definitions</w:t>
      </w:r>
    </w:p>
    <w:p w14:paraId="6D0535CD" w14:textId="54459790" w:rsidR="00211931" w:rsidRPr="00DC1CC2" w:rsidRDefault="00211931" w:rsidP="00211931">
      <w:r w:rsidRPr="00DC1CC2">
        <w:t xml:space="preserve">The term ‘private investment’ is used here as </w:t>
      </w:r>
      <w:r w:rsidR="003F09CD" w:rsidRPr="00DC1CC2">
        <w:t>shorthand</w:t>
      </w:r>
      <w:r w:rsidRPr="00DC1CC2">
        <w:t xml:space="preserve"> for the National Accounts category of private gross fixed capital formation. Private investment comprises dwelling investment, ownership transfer costs and business investment.</w:t>
      </w:r>
    </w:p>
    <w:p w14:paraId="7BEDF181" w14:textId="77777777" w:rsidR="00B8602D" w:rsidRPr="00DC1CC2" w:rsidRDefault="00B8602D" w:rsidP="0077757D">
      <w:pPr>
        <w:pStyle w:val="Heading3NoNum"/>
        <w:ind w:left="0"/>
      </w:pPr>
      <w:r w:rsidRPr="00DC1CC2">
        <w:t xml:space="preserve">Dwelling investment </w:t>
      </w:r>
      <w:r w:rsidR="00445614" w:rsidRPr="00DC1CC2">
        <w:t>and ownership transfer costs</w:t>
      </w:r>
      <w:r w:rsidR="00301B6C" w:rsidRPr="00DC1CC2">
        <w:t xml:space="preserve"> </w:t>
      </w:r>
    </w:p>
    <w:p w14:paraId="7256E1C3" w14:textId="77777777" w:rsidR="00AA0CF0" w:rsidRPr="00DC1CC2" w:rsidRDefault="008A3377" w:rsidP="00425838">
      <w:pPr>
        <w:pStyle w:val="Heading4NoNum"/>
      </w:pPr>
      <w:r w:rsidRPr="00DC1CC2">
        <w:t>D</w:t>
      </w:r>
      <w:r w:rsidR="00AA0CF0" w:rsidRPr="00DC1CC2">
        <w:t>efinition</w:t>
      </w:r>
      <w:r w:rsidR="003755BE" w:rsidRPr="00DC1CC2">
        <w:t>s</w:t>
      </w:r>
    </w:p>
    <w:p w14:paraId="0A1FF872" w14:textId="52A166AB" w:rsidR="00014EB3" w:rsidRPr="00DC1CC2" w:rsidRDefault="00014EB3" w:rsidP="000156AC">
      <w:r w:rsidRPr="00DC1CC2">
        <w:t xml:space="preserve">Dwelling investment is the value of acquisitions of new dwellings, home improvements (alterations and additions), and conversions from non-dwellings to dwellings (as defined by the ABS, </w:t>
      </w:r>
      <w:r w:rsidRPr="00DC1CC2">
        <w:rPr>
          <w:i/>
        </w:rPr>
        <w:t>Australian System of National Accounts: Concepts, Sources and Methods</w:t>
      </w:r>
      <w:r w:rsidRPr="00DC1CC2">
        <w:t>,</w:t>
      </w:r>
      <w:r w:rsidR="00FE23E0">
        <w:t xml:space="preserve"> </w:t>
      </w:r>
      <w:r w:rsidR="00CB0F06" w:rsidRPr="00DC1CC2">
        <w:t>2020-21 financial year</w:t>
      </w:r>
      <w:r w:rsidRPr="00DC1CC2">
        <w:t xml:space="preserve">). </w:t>
      </w:r>
    </w:p>
    <w:p w14:paraId="078AD19C" w14:textId="6B282736" w:rsidR="00B8602D" w:rsidRPr="00DC1CC2" w:rsidRDefault="00D1670C" w:rsidP="000156AC">
      <w:r w:rsidRPr="00DC1CC2">
        <w:t xml:space="preserve">OTC </w:t>
      </w:r>
      <w:r w:rsidR="00B8602D" w:rsidRPr="00DC1CC2">
        <w:t>consist of fees paid to lawyers; fees and commissions paid to real estate agents and auctioneers; stamp duty; title office charges; and local government charges (as defined by ABS</w:t>
      </w:r>
      <w:r w:rsidRPr="00DC1CC2">
        <w:t>,</w:t>
      </w:r>
      <w:r w:rsidR="00B8602D" w:rsidRPr="00DC1CC2">
        <w:t xml:space="preserve"> </w:t>
      </w:r>
      <w:r w:rsidRPr="00DC1CC2">
        <w:rPr>
          <w:i/>
        </w:rPr>
        <w:t xml:space="preserve">Australian System of National Accounts: Concepts, Sources and Methods, </w:t>
      </w:r>
      <w:r w:rsidR="00CB0F06" w:rsidRPr="00DC1CC2">
        <w:rPr>
          <w:i/>
        </w:rPr>
        <w:t>2020-21 financial year</w:t>
      </w:r>
      <w:r w:rsidR="00B8602D" w:rsidRPr="00DC1CC2">
        <w:t xml:space="preserve">). </w:t>
      </w:r>
    </w:p>
    <w:p w14:paraId="7397F6E1" w14:textId="77777777" w:rsidR="00B8602D" w:rsidRPr="00DC1CC2" w:rsidRDefault="008A3377" w:rsidP="00425838">
      <w:pPr>
        <w:pStyle w:val="Heading4NoNum"/>
      </w:pPr>
      <w:r w:rsidRPr="00DC1CC2">
        <w:t>M</w:t>
      </w:r>
      <w:r w:rsidR="00726B78" w:rsidRPr="00DC1CC2">
        <w:t xml:space="preserve">ethod </w:t>
      </w:r>
    </w:p>
    <w:p w14:paraId="65D27C87" w14:textId="414588A6" w:rsidR="00D54DE2" w:rsidRPr="00DC1CC2" w:rsidRDefault="00914430" w:rsidP="005A6B05">
      <w:r w:rsidRPr="00DC1CC2">
        <w:t xml:space="preserve">Dwelling </w:t>
      </w:r>
      <w:r w:rsidR="00190AEB" w:rsidRPr="00DC1CC2">
        <w:t>investment is forecast using a</w:t>
      </w:r>
      <w:r w:rsidR="00E96421" w:rsidRPr="00DC1CC2">
        <w:t xml:space="preserve">n average </w:t>
      </w:r>
      <w:r w:rsidR="004B5670" w:rsidRPr="00DC1CC2">
        <w:t>of</w:t>
      </w:r>
      <w:r w:rsidR="00E96421" w:rsidRPr="00DC1CC2">
        <w:t xml:space="preserve"> </w:t>
      </w:r>
      <w:r w:rsidR="006214EB" w:rsidRPr="00DC1CC2">
        <w:t xml:space="preserve">several </w:t>
      </w:r>
      <w:r w:rsidR="00E40FDB" w:rsidRPr="00DC1CC2">
        <w:t>econometric models</w:t>
      </w:r>
      <w:r w:rsidR="007C0D88" w:rsidRPr="00DC1CC2">
        <w:t>, comprising error</w:t>
      </w:r>
      <w:r w:rsidR="005D5B95">
        <w:noBreakHyphen/>
      </w:r>
      <w:r w:rsidR="007C0D88" w:rsidRPr="00DC1CC2">
        <w:t xml:space="preserve">correction </w:t>
      </w:r>
      <w:r w:rsidR="00150981" w:rsidRPr="00DC1CC2">
        <w:t xml:space="preserve">and semi-structural </w:t>
      </w:r>
      <w:r w:rsidR="00D54DE2" w:rsidRPr="00DC1CC2">
        <w:t>specifications.</w:t>
      </w:r>
    </w:p>
    <w:p w14:paraId="74C3AF7C" w14:textId="266C4B7E" w:rsidR="00914430" w:rsidRPr="00DC1CC2" w:rsidRDefault="002160F0" w:rsidP="005A6B05">
      <w:r w:rsidRPr="00DC1CC2">
        <w:t>The error</w:t>
      </w:r>
      <w:r w:rsidR="004B5670" w:rsidRPr="00DC1CC2">
        <w:t>-</w:t>
      </w:r>
      <w:r w:rsidRPr="00DC1CC2">
        <w:t xml:space="preserve">correction </w:t>
      </w:r>
      <w:r w:rsidR="00187B6E" w:rsidRPr="00DC1CC2">
        <w:t xml:space="preserve">models </w:t>
      </w:r>
      <w:r w:rsidR="003669B5" w:rsidRPr="00DC1CC2">
        <w:t>use demand</w:t>
      </w:r>
      <w:r w:rsidR="00254CAA" w:rsidRPr="00DC1CC2">
        <w:t xml:space="preserve"> and supply</w:t>
      </w:r>
      <w:r w:rsidR="000F0464" w:rsidRPr="00DC1CC2">
        <w:t>-</w:t>
      </w:r>
      <w:r w:rsidR="003669B5" w:rsidRPr="00DC1CC2">
        <w:t>side factors</w:t>
      </w:r>
      <w:r w:rsidR="005122D9" w:rsidRPr="00DC1CC2">
        <w:t xml:space="preserve"> such as Melbourne established house prices</w:t>
      </w:r>
      <w:r w:rsidR="0067214D" w:rsidRPr="00DC1CC2">
        <w:t xml:space="preserve"> and dwelling </w:t>
      </w:r>
      <w:r w:rsidR="00A6080B" w:rsidRPr="00DC1CC2">
        <w:t>approvals</w:t>
      </w:r>
      <w:r w:rsidR="00BB3642" w:rsidRPr="00DC1CC2">
        <w:t>.</w:t>
      </w:r>
      <w:r w:rsidR="00A5246C" w:rsidRPr="00DC1CC2">
        <w:t xml:space="preserve"> An increase in the</w:t>
      </w:r>
      <w:r w:rsidR="0007267B" w:rsidRPr="00DC1CC2">
        <w:t xml:space="preserve"> residential property price index </w:t>
      </w:r>
      <w:r w:rsidR="001E73DB" w:rsidRPr="00DC1CC2">
        <w:t>i</w:t>
      </w:r>
      <w:r w:rsidR="00D617F3" w:rsidRPr="00DC1CC2">
        <w:t xml:space="preserve">s expected to lead to an </w:t>
      </w:r>
      <w:r w:rsidR="00D617F3" w:rsidRPr="00DC1CC2">
        <w:lastRenderedPageBreak/>
        <w:t xml:space="preserve">increase in </w:t>
      </w:r>
      <w:r w:rsidR="006F19B2" w:rsidRPr="00DC1CC2">
        <w:t xml:space="preserve">dwelling investment. </w:t>
      </w:r>
      <w:r w:rsidR="001F46F5" w:rsidRPr="00DC1CC2">
        <w:t>The intuition for this is that when potential house builders see the price of established houses rising, they will be encouraged to make an investment in housing. There will be immediate effects, but depending on the characteristics of the households, there will also be lagged effects to account for the time taken for households to obtain finance, get building permits approved, select builders and other requirements before the full impact of house prices start to flow through to investment.</w:t>
      </w:r>
      <w:r w:rsidR="00762574" w:rsidRPr="00DC1CC2">
        <w:t xml:space="preserve"> Dwelling approvals </w:t>
      </w:r>
      <w:r w:rsidR="000C1E5D" w:rsidRPr="00DC1CC2">
        <w:t>is a leading indicator for supply</w:t>
      </w:r>
      <w:r w:rsidR="00B06F6D" w:rsidRPr="00DC1CC2">
        <w:t xml:space="preserve">, providing an indication of the level of building activity in the pipeline. </w:t>
      </w:r>
      <w:r w:rsidR="00B7467B" w:rsidRPr="00DC1CC2">
        <w:t>The semi-structural model uses dwelling approvals</w:t>
      </w:r>
      <w:r w:rsidR="00890E78" w:rsidRPr="00DC1CC2">
        <w:t xml:space="preserve"> which are forecast and then mapped to dwelling investment.</w:t>
      </w:r>
    </w:p>
    <w:p w14:paraId="34536F35" w14:textId="0B00BD96" w:rsidR="00B8602D" w:rsidRPr="00DC1CC2" w:rsidRDefault="00B8602D" w:rsidP="00B8602D">
      <w:r w:rsidRPr="00DC1CC2">
        <w:t>In the long</w:t>
      </w:r>
      <w:r w:rsidR="00C76B48" w:rsidRPr="00DC1CC2">
        <w:t xml:space="preserve"> </w:t>
      </w:r>
      <w:r w:rsidRPr="00DC1CC2">
        <w:t>run, dwelling investment is largely driven by demographic factors. An increase in the population leads to an increase in dwelling investment</w:t>
      </w:r>
      <w:r w:rsidR="00DE7103" w:rsidRPr="00DC1CC2">
        <w:t>, due to</w:t>
      </w:r>
      <w:r w:rsidRPr="00DC1CC2">
        <w:t xml:space="preserve"> th</w:t>
      </w:r>
      <w:r w:rsidR="00446A59" w:rsidRPr="00DC1CC2">
        <w:t xml:space="preserve">e </w:t>
      </w:r>
      <w:r w:rsidR="00DE7103" w:rsidRPr="00DC1CC2">
        <w:t xml:space="preserve">related </w:t>
      </w:r>
      <w:r w:rsidR="00446A59" w:rsidRPr="00DC1CC2">
        <w:t>increase in demand for housing</w:t>
      </w:r>
      <w:r w:rsidR="00E733FC" w:rsidRPr="00DC1CC2">
        <w:t xml:space="preserve">. </w:t>
      </w:r>
      <w:r w:rsidRPr="00DC1CC2">
        <w:t>A fall in average household size implies an increase in the number of households and</w:t>
      </w:r>
      <w:r w:rsidR="00B25965" w:rsidRPr="00DC1CC2">
        <w:t>,</w:t>
      </w:r>
      <w:r w:rsidRPr="00DC1CC2">
        <w:t xml:space="preserve"> consequently</w:t>
      </w:r>
      <w:r w:rsidR="00B25965" w:rsidRPr="00DC1CC2">
        <w:t>,</w:t>
      </w:r>
      <w:r w:rsidRPr="00DC1CC2">
        <w:t xml:space="preserve"> in the number of houses.</w:t>
      </w:r>
    </w:p>
    <w:p w14:paraId="7FDE0729" w14:textId="285A6FF3" w:rsidR="009272BF" w:rsidRPr="00DC1CC2" w:rsidRDefault="009272BF" w:rsidP="009272BF">
      <w:r w:rsidRPr="00DC1CC2">
        <w:t xml:space="preserve">The </w:t>
      </w:r>
      <w:r w:rsidR="00DE7103" w:rsidRPr="00DC1CC2">
        <w:t xml:space="preserve">ownership transfer </w:t>
      </w:r>
      <w:r w:rsidR="00F372AF" w:rsidRPr="00DC1CC2">
        <w:t>cost forecasts</w:t>
      </w:r>
      <w:r w:rsidRPr="00DC1CC2">
        <w:t xml:space="preserve"> are based on consideration of recent data, </w:t>
      </w:r>
      <w:proofErr w:type="gramStart"/>
      <w:r w:rsidRPr="00DC1CC2">
        <w:t>judgement</w:t>
      </w:r>
      <w:proofErr w:type="gramEnd"/>
      <w:r w:rsidRPr="00DC1CC2">
        <w:t xml:space="preserve"> and econometric modelling. The econometric model is a simple linear relationship between the volume of </w:t>
      </w:r>
      <w:r w:rsidR="00DD6940" w:rsidRPr="00DC1CC2">
        <w:t>ownership transfer costs</w:t>
      </w:r>
      <w:r w:rsidR="00DD6940" w:rsidRPr="00DC1CC2" w:rsidDel="00DD6940">
        <w:t xml:space="preserve"> </w:t>
      </w:r>
      <w:r w:rsidRPr="00DC1CC2">
        <w:t>and the volume of land transfer duty transactions. An increase in land transfer duty volumes will lead</w:t>
      </w:r>
      <w:r w:rsidR="00C960D0" w:rsidRPr="00DC1CC2">
        <w:t xml:space="preserve"> to</w:t>
      </w:r>
      <w:r w:rsidRPr="00DC1CC2">
        <w:t xml:space="preserve"> both concurrent and lagged increases in ownership transfer costs. The lagged response possibly reflects real estate agents charging and receiving fees sometime after a property transaction is finalised.</w:t>
      </w:r>
    </w:p>
    <w:p w14:paraId="03C5B7F8" w14:textId="77777777" w:rsidR="008A3377" w:rsidRPr="00DC1CC2" w:rsidRDefault="008A3377" w:rsidP="00425838">
      <w:pPr>
        <w:pStyle w:val="Heading4NoNum"/>
      </w:pPr>
      <w:r w:rsidRPr="00DC1CC2">
        <w:t xml:space="preserve">Data sources </w:t>
      </w:r>
    </w:p>
    <w:p w14:paraId="532F532C" w14:textId="28DBA4D2" w:rsidR="008A3377" w:rsidRPr="00DC1CC2" w:rsidRDefault="008A3377" w:rsidP="008A3377">
      <w:r w:rsidRPr="00DC1CC2">
        <w:t xml:space="preserve">Dwelling investment for Victoria is sourced from </w:t>
      </w:r>
      <w:r w:rsidR="00404696" w:rsidRPr="00DC1CC2">
        <w:t>ABS</w:t>
      </w:r>
      <w:r w:rsidR="0041256B" w:rsidRPr="00DC1CC2">
        <w:t xml:space="preserve">, </w:t>
      </w:r>
      <w:r w:rsidR="0041256B" w:rsidRPr="00DC1CC2">
        <w:rPr>
          <w:i/>
        </w:rPr>
        <w:t>Australian</w:t>
      </w:r>
      <w:r w:rsidR="00404696" w:rsidRPr="00DC1CC2">
        <w:rPr>
          <w:i/>
        </w:rPr>
        <w:t xml:space="preserve"> </w:t>
      </w:r>
      <w:r w:rsidRPr="00DC1CC2">
        <w:rPr>
          <w:i/>
        </w:rPr>
        <w:t>National Accounts</w:t>
      </w:r>
      <w:r w:rsidRPr="00DC1CC2">
        <w:t xml:space="preserve">. </w:t>
      </w:r>
    </w:p>
    <w:p w14:paraId="05851962" w14:textId="761A4559" w:rsidR="003729B9" w:rsidRPr="00DC1CC2" w:rsidRDefault="003729B9" w:rsidP="008A3377">
      <w:r w:rsidRPr="00DC1CC2">
        <w:t xml:space="preserve">The residential property price index for Melbourne is from the CoreLogic Hedonic Home Value Index. The use of a hedonic series is useful in overcoming the issue of compositional bias associated with median price and repeat sales measures. </w:t>
      </w:r>
    </w:p>
    <w:p w14:paraId="0249F43B" w14:textId="165E648C" w:rsidR="00802028" w:rsidRPr="00DC1CC2" w:rsidRDefault="00802028" w:rsidP="008A3377">
      <w:r w:rsidRPr="00DC1CC2">
        <w:t>Dwelling approval</w:t>
      </w:r>
      <w:r w:rsidR="00921B0C" w:rsidRPr="00DC1CC2">
        <w:t xml:space="preserve">s for Victoria </w:t>
      </w:r>
      <w:r w:rsidR="00094FA4" w:rsidRPr="00DC1CC2">
        <w:t>are</w:t>
      </w:r>
      <w:r w:rsidR="00921B0C" w:rsidRPr="00DC1CC2">
        <w:t xml:space="preserve"> </w:t>
      </w:r>
      <w:r w:rsidR="008C114D" w:rsidRPr="00DC1CC2">
        <w:t xml:space="preserve">sourced </w:t>
      </w:r>
      <w:r w:rsidR="00DF0533" w:rsidRPr="00DC1CC2">
        <w:t xml:space="preserve">from ABS, </w:t>
      </w:r>
      <w:r w:rsidR="00736977" w:rsidRPr="00DC1CC2">
        <w:rPr>
          <w:i/>
        </w:rPr>
        <w:t xml:space="preserve">Building </w:t>
      </w:r>
      <w:r w:rsidR="00736977" w:rsidRPr="00DC1CC2">
        <w:rPr>
          <w:i/>
          <w:iCs/>
        </w:rPr>
        <w:t>Approvals</w:t>
      </w:r>
      <w:r w:rsidR="00DF0533" w:rsidRPr="00DC1CC2">
        <w:t xml:space="preserve">. </w:t>
      </w:r>
    </w:p>
    <w:p w14:paraId="0DB55AE9" w14:textId="5A47BA24" w:rsidR="008B79A2" w:rsidRDefault="009272BF" w:rsidP="00EB4167">
      <w:r w:rsidRPr="00DC1CC2">
        <w:t>Ownership transfer costs for Victoria are sourced from ABS</w:t>
      </w:r>
      <w:r w:rsidR="0041256B" w:rsidRPr="00DC1CC2">
        <w:t xml:space="preserve">, </w:t>
      </w:r>
      <w:r w:rsidR="0041256B" w:rsidRPr="00DC1CC2">
        <w:rPr>
          <w:i/>
        </w:rPr>
        <w:t>Australian</w:t>
      </w:r>
      <w:r w:rsidRPr="00DC1CC2">
        <w:rPr>
          <w:i/>
        </w:rPr>
        <w:t xml:space="preserve"> National</w:t>
      </w:r>
      <w:r w:rsidRPr="004C4C1C">
        <w:rPr>
          <w:i/>
        </w:rPr>
        <w:t xml:space="preserve"> Accounts</w:t>
      </w:r>
      <w:r>
        <w:t>. Land transfer duty volumes are sourced from the in</w:t>
      </w:r>
      <w:r w:rsidR="00E733FC">
        <w:noBreakHyphen/>
      </w:r>
      <w:r>
        <w:t xml:space="preserve">house </w:t>
      </w:r>
      <w:r w:rsidR="00957C01">
        <w:t>l</w:t>
      </w:r>
      <w:r>
        <w:t xml:space="preserve">and transfer duty model used for tax </w:t>
      </w:r>
      <w:r w:rsidR="005836EB">
        <w:t xml:space="preserve">revenue </w:t>
      </w:r>
      <w:r>
        <w:t xml:space="preserve">forecasting. </w:t>
      </w:r>
    </w:p>
    <w:p w14:paraId="016D4363" w14:textId="77777777" w:rsidR="00B8602D" w:rsidRDefault="00121874" w:rsidP="0077757D">
      <w:pPr>
        <w:pStyle w:val="Heading3NoNum"/>
        <w:ind w:left="0"/>
      </w:pPr>
      <w:r>
        <w:t>B</w:t>
      </w:r>
      <w:r w:rsidR="00B8602D" w:rsidRPr="00484131">
        <w:t>usiness investment</w:t>
      </w:r>
    </w:p>
    <w:p w14:paraId="57BEDCEB" w14:textId="77777777" w:rsidR="00AA0CF0" w:rsidRDefault="00B11438" w:rsidP="00425838">
      <w:pPr>
        <w:pStyle w:val="Heading4NoNum"/>
      </w:pPr>
      <w:r>
        <w:t>D</w:t>
      </w:r>
      <w:r w:rsidR="00AA0CF0">
        <w:t>efinition</w:t>
      </w:r>
    </w:p>
    <w:p w14:paraId="502E06CD" w14:textId="224D51C6" w:rsidR="00185A30" w:rsidRDefault="00EE2FA0" w:rsidP="00185A30">
      <w:pPr>
        <w:rPr>
          <w:color w:val="000000"/>
        </w:rPr>
      </w:pPr>
      <w:r>
        <w:t>B</w:t>
      </w:r>
      <w:r w:rsidR="00185A30" w:rsidRPr="00EB21CF">
        <w:t>usiness investment comprises four components</w:t>
      </w:r>
      <w:r w:rsidR="00DD38CD">
        <w:t>:</w:t>
      </w:r>
      <w:r w:rsidR="00185A30" w:rsidRPr="00314267">
        <w:t xml:space="preserve"> </w:t>
      </w:r>
      <w:r w:rsidR="00185A30" w:rsidRPr="00EB21CF">
        <w:t>non</w:t>
      </w:r>
      <w:r w:rsidR="00185A30" w:rsidRPr="00EB21CF">
        <w:noBreakHyphen/>
        <w:t>dwelling construction</w:t>
      </w:r>
      <w:r w:rsidR="00185A30">
        <w:t>,</w:t>
      </w:r>
      <w:r>
        <w:t xml:space="preserve"> machinery and equipment</w:t>
      </w:r>
      <w:r w:rsidR="00185A30" w:rsidRPr="00EB21CF">
        <w:t>, intellectual property products</w:t>
      </w:r>
      <w:r>
        <w:t>,</w:t>
      </w:r>
      <w:r w:rsidR="00185A30" w:rsidRPr="00EB21CF">
        <w:rPr>
          <w:color w:val="000000"/>
        </w:rPr>
        <w:t xml:space="preserve"> </w:t>
      </w:r>
      <w:r w:rsidR="00185A30" w:rsidRPr="00EB21CF">
        <w:t xml:space="preserve">and </w:t>
      </w:r>
      <w:r>
        <w:t>biological cultivated resources</w:t>
      </w:r>
      <w:r w:rsidR="00185A30" w:rsidRPr="00EB21CF">
        <w:rPr>
          <w:color w:val="000000"/>
        </w:rPr>
        <w:t>.</w:t>
      </w:r>
    </w:p>
    <w:p w14:paraId="10C7CD34" w14:textId="231CA6B7" w:rsidR="00185A30" w:rsidRDefault="00185A30" w:rsidP="00185A30">
      <w:r w:rsidRPr="00005224">
        <w:t>Non</w:t>
      </w:r>
      <w:r>
        <w:noBreakHyphen/>
      </w:r>
      <w:r w:rsidRPr="00005224">
        <w:t>dwelling construction contributes significantly to the volatility of business investment and reflects the lumpy nature of major long</w:t>
      </w:r>
      <w:r>
        <w:noBreakHyphen/>
      </w:r>
      <w:r w:rsidRPr="00005224">
        <w:t>term projects</w:t>
      </w:r>
      <w:r w:rsidR="00DD38CD">
        <w:t>,</w:t>
      </w:r>
      <w:r>
        <w:t xml:space="preserve"> while m</w:t>
      </w:r>
      <w:r w:rsidRPr="00005224">
        <w:t xml:space="preserve">achinery and equipment investment is </w:t>
      </w:r>
      <w:r>
        <w:t>relatively</w:t>
      </w:r>
      <w:r w:rsidRPr="00005224">
        <w:t xml:space="preserve"> short</w:t>
      </w:r>
      <w:r>
        <w:noBreakHyphen/>
      </w:r>
      <w:r w:rsidRPr="00005224">
        <w:t>term in nature</w:t>
      </w:r>
      <w:r w:rsidR="003C4E51">
        <w:t xml:space="preserve"> and can </w:t>
      </w:r>
      <w:r w:rsidR="00557731">
        <w:t>therefore also exhibit significant volatility</w:t>
      </w:r>
      <w:r w:rsidRPr="00005224">
        <w:t>. Intellectual property products exhibit</w:t>
      </w:r>
      <w:r w:rsidR="003729B9">
        <w:t xml:space="preserve"> relatively</w:t>
      </w:r>
      <w:r w:rsidRPr="00005224">
        <w:t xml:space="preserve"> stable growth over time.</w:t>
      </w:r>
    </w:p>
    <w:p w14:paraId="5C17F87D" w14:textId="77777777" w:rsidR="00ED4BAD" w:rsidRDefault="00B11438" w:rsidP="00425838">
      <w:pPr>
        <w:pStyle w:val="Heading4NoNum"/>
        <w:rPr>
          <w:color w:val="000000"/>
        </w:rPr>
      </w:pPr>
      <w:r>
        <w:t>M</w:t>
      </w:r>
      <w:r w:rsidR="00ED4BAD">
        <w:t>ethod</w:t>
      </w:r>
    </w:p>
    <w:p w14:paraId="1EA4C0E2" w14:textId="3616C3B6" w:rsidR="00185A30" w:rsidRDefault="00185A30" w:rsidP="00185A30">
      <w:pPr>
        <w:rPr>
          <w:color w:val="000000"/>
        </w:rPr>
      </w:pPr>
      <w:r w:rsidRPr="00005224">
        <w:t xml:space="preserve">Victorian business investment is forecast using a </w:t>
      </w:r>
      <w:r>
        <w:t>combination of methods</w:t>
      </w:r>
      <w:r w:rsidR="00DD38CD">
        <w:t>,</w:t>
      </w:r>
      <w:r>
        <w:t xml:space="preserve"> including the output of an econometric model modified with adjustments informed by partial indicators and qualitative analysis.</w:t>
      </w:r>
    </w:p>
    <w:p w14:paraId="3188600A" w14:textId="6C6F3834" w:rsidR="00185A30" w:rsidRDefault="00185A30" w:rsidP="00185A30">
      <w:r>
        <w:t>Econometric analysis is undertaken with a single equation ordinary least squares model. Business</w:t>
      </w:r>
      <w:r w:rsidRPr="00005224">
        <w:t xml:space="preserve"> investment </w:t>
      </w:r>
      <w:r>
        <w:t xml:space="preserve">forecasts are explained by </w:t>
      </w:r>
      <w:r w:rsidRPr="00005224">
        <w:t xml:space="preserve">changes to the </w:t>
      </w:r>
      <w:r>
        <w:t>lending margin</w:t>
      </w:r>
      <w:r w:rsidRPr="00005224">
        <w:t xml:space="preserve"> for invest</w:t>
      </w:r>
      <w:r>
        <w:t>ment</w:t>
      </w:r>
      <w:r w:rsidRPr="00005224">
        <w:t xml:space="preserve"> in Australian busines</w:t>
      </w:r>
      <w:r>
        <w:t xml:space="preserve">s and </w:t>
      </w:r>
      <w:r w:rsidRPr="00005224">
        <w:t>movements i</w:t>
      </w:r>
      <w:r>
        <w:t>n the risk</w:t>
      </w:r>
      <w:r>
        <w:noBreakHyphen/>
        <w:t xml:space="preserve">free cost of capital (the cash rate). Victorian business conditions </w:t>
      </w:r>
      <w:r w:rsidRPr="00005224">
        <w:t>and historical levels of Victorian business investment</w:t>
      </w:r>
      <w:r>
        <w:t xml:space="preserve"> are the other explanatory variables.</w:t>
      </w:r>
    </w:p>
    <w:p w14:paraId="57D9337A" w14:textId="451D58DE" w:rsidR="00185A30" w:rsidRDefault="00185A30" w:rsidP="00185A30">
      <w:r w:rsidRPr="00EB21CF">
        <w:lastRenderedPageBreak/>
        <w:t xml:space="preserve">The lending margin is the difference between </w:t>
      </w:r>
      <w:r>
        <w:t xml:space="preserve">the </w:t>
      </w:r>
      <w:r w:rsidRPr="00EB21CF">
        <w:t>cost of borrowing for a small business and the risk</w:t>
      </w:r>
      <w:r w:rsidRPr="00EB21CF">
        <w:noBreakHyphen/>
        <w:t>free rate</w:t>
      </w:r>
      <w:r>
        <w:t xml:space="preserve"> of return</w:t>
      </w:r>
      <w:r w:rsidRPr="00EB21CF">
        <w:t>. The small business weighted</w:t>
      </w:r>
      <w:r w:rsidRPr="00EB21CF">
        <w:noBreakHyphen/>
        <w:t>average rate on credit outstanding is sourced from the RBA and the official cash rate is used</w:t>
      </w:r>
      <w:r>
        <w:t xml:space="preserve"> as a proxy for </w:t>
      </w:r>
      <w:r w:rsidRPr="00EB21CF">
        <w:t>the risk</w:t>
      </w:r>
      <w:r w:rsidRPr="00EB21CF">
        <w:noBreakHyphen/>
        <w:t>free cost of capital. A decrease in the lending margin indicates that lenders require a lower rate of return to invest in Australian business</w:t>
      </w:r>
      <w:r w:rsidRPr="00005224">
        <w:t>. Lower required rates of return will have a positive effect on business investment</w:t>
      </w:r>
      <w:r>
        <w:t>. A</w:t>
      </w:r>
      <w:r w:rsidRPr="00005224">
        <w:t xml:space="preserve"> decrease in the official cash rate </w:t>
      </w:r>
      <w:r>
        <w:t>leads to</w:t>
      </w:r>
      <w:r w:rsidRPr="00005224">
        <w:t xml:space="preserve"> lower borrowing costs, </w:t>
      </w:r>
      <w:r>
        <w:t xml:space="preserve">and positively </w:t>
      </w:r>
      <w:r w:rsidR="006D4B2E">
        <w:t xml:space="preserve">affects </w:t>
      </w:r>
      <w:r w:rsidRPr="00005224">
        <w:t xml:space="preserve">business investment. </w:t>
      </w:r>
    </w:p>
    <w:p w14:paraId="4298B2FA" w14:textId="0852CEB3" w:rsidR="00185A30" w:rsidRDefault="00185A30" w:rsidP="00185A30">
      <w:r w:rsidRPr="00005224">
        <w:t xml:space="preserve">When the economy is performing well and </w:t>
      </w:r>
      <w:r>
        <w:t xml:space="preserve">business conditions are </w:t>
      </w:r>
      <w:r w:rsidR="00D1684C">
        <w:t>positive</w:t>
      </w:r>
      <w:r w:rsidRPr="00005224">
        <w:t xml:space="preserve">, business investment tends to grow. Survey data from </w:t>
      </w:r>
      <w:r>
        <w:t>the National Australia Bank (</w:t>
      </w:r>
      <w:r w:rsidRPr="00005224">
        <w:t>NAB</w:t>
      </w:r>
      <w:r>
        <w:t>)</w:t>
      </w:r>
      <w:r w:rsidRPr="00005224">
        <w:t xml:space="preserve"> is used as the measure</w:t>
      </w:r>
      <w:r>
        <w:t xml:space="preserve"> of</w:t>
      </w:r>
      <w:r w:rsidRPr="00005224">
        <w:t xml:space="preserve"> </w:t>
      </w:r>
      <w:r>
        <w:t>business</w:t>
      </w:r>
      <w:r w:rsidRPr="00005224">
        <w:t xml:space="preserve"> </w:t>
      </w:r>
      <w:r>
        <w:t xml:space="preserve">conditions in Victoria. </w:t>
      </w:r>
    </w:p>
    <w:p w14:paraId="7716EA9F" w14:textId="77777777" w:rsidR="00185A30" w:rsidRDefault="00185A30" w:rsidP="00185A30">
      <w:r>
        <w:t>A</w:t>
      </w:r>
      <w:r w:rsidRPr="00005224">
        <w:t xml:space="preserve"> large component of business investment is long</w:t>
      </w:r>
      <w:r>
        <w:noBreakHyphen/>
      </w:r>
      <w:r w:rsidRPr="00005224">
        <w:t>term, so business investment in the previous quarter is correlated with current levels of business investment.</w:t>
      </w:r>
      <w:r>
        <w:t xml:space="preserve"> </w:t>
      </w:r>
      <w:r w:rsidRPr="00005224">
        <w:t>Investment inertia is included in the form of last quarter's growth in Victorian business investment.</w:t>
      </w:r>
    </w:p>
    <w:p w14:paraId="4533D2BE" w14:textId="376156FC" w:rsidR="00185A30" w:rsidRDefault="00185A30" w:rsidP="00185A30">
      <w:r w:rsidRPr="00005224">
        <w:t xml:space="preserve">Because business investment is highly volatile and there are limited explanatory variables of statistical significance, </w:t>
      </w:r>
      <w:r>
        <w:t>DTF</w:t>
      </w:r>
      <w:r w:rsidRPr="00005224">
        <w:t xml:space="preserve"> use</w:t>
      </w:r>
      <w:r>
        <w:t>s</w:t>
      </w:r>
      <w:r w:rsidRPr="00005224">
        <w:t xml:space="preserve"> a number of other indicators to inform the </w:t>
      </w:r>
      <w:r>
        <w:t>forecast</w:t>
      </w:r>
      <w:r w:rsidRPr="00005224">
        <w:t>s. These include</w:t>
      </w:r>
      <w:r w:rsidDel="001D0A06">
        <w:t xml:space="preserve"> </w:t>
      </w:r>
      <w:r w:rsidR="001D0A06">
        <w:t xml:space="preserve">business </w:t>
      </w:r>
      <w:r>
        <w:t>capacity</w:t>
      </w:r>
      <w:r w:rsidRPr="00005224">
        <w:t xml:space="preserve"> utilisation (from </w:t>
      </w:r>
      <w:r w:rsidR="001D0A06">
        <w:t xml:space="preserve">the </w:t>
      </w:r>
      <w:r w:rsidRPr="00005224">
        <w:t xml:space="preserve">NAB </w:t>
      </w:r>
      <w:r>
        <w:t xml:space="preserve">business </w:t>
      </w:r>
      <w:r w:rsidRPr="00005224">
        <w:t>survey), investment intentions information (from the D</w:t>
      </w:r>
      <w:r>
        <w:t>eloitte Access Economics</w:t>
      </w:r>
      <w:r w:rsidRPr="00005224">
        <w:t xml:space="preserve"> </w:t>
      </w:r>
      <w:r w:rsidRPr="00301B6C">
        <w:rPr>
          <w:i/>
        </w:rPr>
        <w:t>Investment Monitor</w:t>
      </w:r>
      <w:r w:rsidRPr="00005224">
        <w:t xml:space="preserve">), survey data about profitability (from NAB </w:t>
      </w:r>
      <w:r>
        <w:t xml:space="preserve">business </w:t>
      </w:r>
      <w:r w:rsidRPr="00005224">
        <w:t>survey)</w:t>
      </w:r>
      <w:r>
        <w:t>, building activity (from ABS)</w:t>
      </w:r>
      <w:r w:rsidR="00BF56C8">
        <w:t>,</w:t>
      </w:r>
      <w:r w:rsidRPr="00005224">
        <w:t xml:space="preserve"> </w:t>
      </w:r>
      <w:r w:rsidR="003729B9">
        <w:t xml:space="preserve">the </w:t>
      </w:r>
      <w:r w:rsidR="00162A9C">
        <w:t>ABS survey of investment intentions (</w:t>
      </w:r>
      <w:r w:rsidR="00C919A8" w:rsidRPr="00C919A8">
        <w:rPr>
          <w:i/>
          <w:iCs/>
        </w:rPr>
        <w:t>Private New Capital Expenditure and Expected Expenditure, Australia</w:t>
      </w:r>
      <w:r>
        <w:t>)</w:t>
      </w:r>
      <w:r w:rsidR="00BF56C8">
        <w:t xml:space="preserve"> </w:t>
      </w:r>
      <w:r w:rsidR="00BF56C8" w:rsidRPr="004D6F0C">
        <w:t>and information from business liaison</w:t>
      </w:r>
      <w:r w:rsidRPr="004D6F0C">
        <w:t>.</w:t>
      </w:r>
      <w:r>
        <w:t xml:space="preserve"> </w:t>
      </w:r>
    </w:p>
    <w:p w14:paraId="70289BF6" w14:textId="339CA974" w:rsidR="00185A30" w:rsidRDefault="00185A30" w:rsidP="00185A30">
      <w:r w:rsidRPr="00CA1D0D">
        <w:t xml:space="preserve">The </w:t>
      </w:r>
      <w:r>
        <w:t xml:space="preserve">trend growth rate of </w:t>
      </w:r>
      <w:r w:rsidRPr="00CA1D0D">
        <w:t xml:space="preserve">business investment </w:t>
      </w:r>
      <w:r>
        <w:t>is informed by the</w:t>
      </w:r>
      <w:r w:rsidRPr="00CA1D0D">
        <w:t xml:space="preserve"> historical average</w:t>
      </w:r>
      <w:r>
        <w:t xml:space="preserve"> and the projected </w:t>
      </w:r>
      <w:r w:rsidR="003A2E82">
        <w:t xml:space="preserve">trend growth </w:t>
      </w:r>
      <w:r>
        <w:t xml:space="preserve">of the economy. </w:t>
      </w:r>
    </w:p>
    <w:p w14:paraId="60F41D82" w14:textId="77777777" w:rsidR="00ED4BAD" w:rsidRDefault="00B11438" w:rsidP="00425838">
      <w:pPr>
        <w:pStyle w:val="Heading4NoNum"/>
      </w:pPr>
      <w:r>
        <w:t>Data</w:t>
      </w:r>
      <w:r w:rsidR="00ED4BAD">
        <w:t xml:space="preserve"> </w:t>
      </w:r>
      <w:r>
        <w:t>sources</w:t>
      </w:r>
    </w:p>
    <w:p w14:paraId="101CE8DC" w14:textId="4C7EFA6B" w:rsidR="00185A30" w:rsidRDefault="00185A30" w:rsidP="00185A30">
      <w:r>
        <w:t>Business investment</w:t>
      </w:r>
      <w:r w:rsidRPr="00033F20">
        <w:t xml:space="preserve"> data are sourced from ABS, </w:t>
      </w:r>
      <w:r w:rsidRPr="004C4C1C">
        <w:rPr>
          <w:i/>
        </w:rPr>
        <w:t>Australian National Accounts</w:t>
      </w:r>
      <w:r>
        <w:t>; o</w:t>
      </w:r>
      <w:r w:rsidRPr="00005224">
        <w:t>fficial interest rates</w:t>
      </w:r>
      <w:r>
        <w:t xml:space="preserve"> are obtained from the RBA; and</w:t>
      </w:r>
      <w:r w:rsidRPr="00005224">
        <w:t xml:space="preserve"> </w:t>
      </w:r>
      <w:r>
        <w:t xml:space="preserve">data on the </w:t>
      </w:r>
      <w:r w:rsidRPr="00005224">
        <w:t>cost of borrowing for small businesses</w:t>
      </w:r>
      <w:r>
        <w:t xml:space="preserve"> are obtained from the RBA,</w:t>
      </w:r>
      <w:r w:rsidRPr="00445614">
        <w:t xml:space="preserve"> </w:t>
      </w:r>
      <w:r w:rsidRPr="00C66CA2">
        <w:rPr>
          <w:i/>
        </w:rPr>
        <w:t>Indicator Lending Rates</w:t>
      </w:r>
      <w:r w:rsidRPr="00445614">
        <w:t xml:space="preserve">, </w:t>
      </w:r>
      <w:r>
        <w:t>T</w:t>
      </w:r>
      <w:r w:rsidRPr="00445614">
        <w:t xml:space="preserve">able </w:t>
      </w:r>
      <w:r>
        <w:t xml:space="preserve">F5. Business conditions are obtained from the NAB Monthly Business Survey </w:t>
      </w:r>
      <w:r w:rsidRPr="00005224">
        <w:t>(</w:t>
      </w:r>
      <w:r>
        <w:t>available on subscription</w:t>
      </w:r>
      <w:r w:rsidRPr="00005224">
        <w:t>).</w:t>
      </w:r>
    </w:p>
    <w:p w14:paraId="401DF13A" w14:textId="77777777" w:rsidR="00445614" w:rsidRDefault="00121874" w:rsidP="0077757D">
      <w:pPr>
        <w:pStyle w:val="Heading3NoNum"/>
        <w:ind w:left="0"/>
      </w:pPr>
      <w:r w:rsidRPr="00E0280B">
        <w:t>Government</w:t>
      </w:r>
      <w:r>
        <w:t xml:space="preserve"> expenditure</w:t>
      </w:r>
    </w:p>
    <w:p w14:paraId="57BC057A" w14:textId="77777777" w:rsidR="00AA0CF0" w:rsidRDefault="00B11438" w:rsidP="00425838">
      <w:pPr>
        <w:pStyle w:val="Heading4NoNum"/>
      </w:pPr>
      <w:r>
        <w:t>D</w:t>
      </w:r>
      <w:r w:rsidR="00AA0CF0">
        <w:t>efinition</w:t>
      </w:r>
    </w:p>
    <w:p w14:paraId="632AF721" w14:textId="2EC979F6" w:rsidR="00506210" w:rsidRDefault="00121874" w:rsidP="0011095F">
      <w:r>
        <w:t>Government expenditure (</w:t>
      </w:r>
      <w:r w:rsidR="007D204C">
        <w:t>p</w:t>
      </w:r>
      <w:r w:rsidR="00445614" w:rsidRPr="00005224">
        <w:t>ublic final demand</w:t>
      </w:r>
      <w:r>
        <w:t>)</w:t>
      </w:r>
      <w:r w:rsidR="00445614" w:rsidRPr="00005224">
        <w:t xml:space="preserve"> represents activity generated by various levels of government (Commonwealth, </w:t>
      </w:r>
      <w:r w:rsidR="007D204C">
        <w:t>s</w:t>
      </w:r>
      <w:r w:rsidR="00445614" w:rsidRPr="00005224">
        <w:t xml:space="preserve">tate and </w:t>
      </w:r>
      <w:r w:rsidR="007D204C">
        <w:t>l</w:t>
      </w:r>
      <w:r w:rsidR="00445614" w:rsidRPr="00005224">
        <w:t>ocal) within the economy through its consumption of goods and services and gross fixed capital formation (</w:t>
      </w:r>
      <w:r w:rsidR="008D1E12" w:rsidRPr="00005224">
        <w:t>i.e.,</w:t>
      </w:r>
      <w:r w:rsidR="00445614" w:rsidRPr="00005224">
        <w:t xml:space="preserve"> investment).</w:t>
      </w:r>
    </w:p>
    <w:p w14:paraId="025796B7" w14:textId="77777777" w:rsidR="00445614" w:rsidRDefault="00B11438" w:rsidP="00425838">
      <w:pPr>
        <w:pStyle w:val="Heading4NoNum"/>
      </w:pPr>
      <w:r>
        <w:t>M</w:t>
      </w:r>
      <w:r w:rsidR="00AA0CF0">
        <w:t>ethod</w:t>
      </w:r>
    </w:p>
    <w:p w14:paraId="753DA944" w14:textId="0642CD47" w:rsidR="00682CA0" w:rsidRDefault="00682CA0" w:rsidP="00682CA0">
      <w:r>
        <w:t>Public final demand forecast</w:t>
      </w:r>
      <w:r w:rsidR="00AB2DCE">
        <w:t>s are</w:t>
      </w:r>
      <w:r>
        <w:t xml:space="preserve"> </w:t>
      </w:r>
      <w:r w:rsidR="00AB2DCE">
        <w:t>based on announced policy and spending intentions of the Commonwealth</w:t>
      </w:r>
      <w:r w:rsidR="004353B6">
        <w:t xml:space="preserve"> Government,</w:t>
      </w:r>
      <w:r w:rsidR="00AB2DCE">
        <w:t xml:space="preserve"> and </w:t>
      </w:r>
      <w:r w:rsidR="00AB2DCE" w:rsidRPr="004D6F0C">
        <w:t xml:space="preserve">Victorian </w:t>
      </w:r>
      <w:r w:rsidR="004353B6" w:rsidRPr="004D6F0C">
        <w:t>G</w:t>
      </w:r>
      <w:r w:rsidR="00AB2DCE" w:rsidRPr="004D6F0C">
        <w:t>overnment</w:t>
      </w:r>
      <w:r w:rsidR="004353B6" w:rsidRPr="004D6F0C">
        <w:t xml:space="preserve"> spending </w:t>
      </w:r>
      <w:r w:rsidR="0051714E" w:rsidRPr="004D6F0C">
        <w:t xml:space="preserve">commitments in </w:t>
      </w:r>
      <w:r w:rsidR="004353B6" w:rsidRPr="004D6F0C">
        <w:t>the current budget</w:t>
      </w:r>
      <w:r w:rsidR="00AB2DCE" w:rsidRPr="004D6F0C">
        <w:t>.</w:t>
      </w:r>
      <w:r w:rsidR="00AB2DCE">
        <w:t xml:space="preserve"> The forecasts are informed by</w:t>
      </w:r>
      <w:r w:rsidR="00301B6C">
        <w:t>,</w:t>
      </w:r>
      <w:r>
        <w:t xml:space="preserve"> but not limited to</w:t>
      </w:r>
      <w:r w:rsidR="00301B6C">
        <w:t>,</w:t>
      </w:r>
      <w:r>
        <w:t xml:space="preserve"> policy announcements, election commitments, industry intelligence</w:t>
      </w:r>
      <w:r w:rsidR="00C00562">
        <w:t>, information from within DTF</w:t>
      </w:r>
      <w:r>
        <w:t xml:space="preserve"> and financial information in </w:t>
      </w:r>
      <w:r w:rsidR="007D204C">
        <w:t>b</w:t>
      </w:r>
      <w:r>
        <w:t>udget documents. This information is used to formulate an outlook for likely future government expenditure.</w:t>
      </w:r>
    </w:p>
    <w:p w14:paraId="59939E26" w14:textId="4BB073BF" w:rsidR="00E75CD1" w:rsidRDefault="00E75CD1" w:rsidP="00682CA0">
      <w:r>
        <w:t xml:space="preserve">In the near term, proxies for ABS components of government expenditure are constructed from </w:t>
      </w:r>
      <w:r w:rsidR="007B667F">
        <w:t xml:space="preserve">the latest ABS data and </w:t>
      </w:r>
      <w:r>
        <w:t xml:space="preserve">published financial statements in the latest available </w:t>
      </w:r>
      <w:r w:rsidR="002C303F">
        <w:t xml:space="preserve">budget or budget update </w:t>
      </w:r>
      <w:r>
        <w:t xml:space="preserve">for the Commonwealth and Victorian governments. </w:t>
      </w:r>
      <w:r w:rsidR="00B320AB">
        <w:t xml:space="preserve">The proxies are used, along with forecasts of population growth and other information about government spending intentions, to </w:t>
      </w:r>
      <w:r>
        <w:t>inform the growth rate forecasts.</w:t>
      </w:r>
    </w:p>
    <w:p w14:paraId="0F26FFBC" w14:textId="7B6513E1" w:rsidR="00281490" w:rsidRDefault="00296DFB" w:rsidP="00682CA0">
      <w:r>
        <w:lastRenderedPageBreak/>
        <w:t>Later in the forward estimates</w:t>
      </w:r>
      <w:r w:rsidR="00E75CD1">
        <w:t xml:space="preserve">, </w:t>
      </w:r>
      <w:r w:rsidR="009471CC">
        <w:t>the trend growth rate dominates the forecast</w:t>
      </w:r>
      <w:r w:rsidR="00E75CD1">
        <w:t xml:space="preserve">. </w:t>
      </w:r>
      <w:r w:rsidR="00281490">
        <w:t>The trend growth rate of government expenditure is estimated to correspond closely to the trend growth rate of GSP.</w:t>
      </w:r>
    </w:p>
    <w:p w14:paraId="662D804C" w14:textId="77777777" w:rsidR="00936953" w:rsidRDefault="00936953" w:rsidP="00425838">
      <w:pPr>
        <w:pStyle w:val="Heading4NoNum"/>
      </w:pPr>
      <w:r>
        <w:t>Data sources</w:t>
      </w:r>
    </w:p>
    <w:p w14:paraId="7A9FDBDE" w14:textId="3847994C" w:rsidR="00935C78" w:rsidRDefault="00935C78" w:rsidP="00936953">
      <w:r>
        <w:t>Forecasts by governments of their own expenditure – as contained in</w:t>
      </w:r>
      <w:r w:rsidR="00A8790C">
        <w:t xml:space="preserve"> the latest published</w:t>
      </w:r>
      <w:r>
        <w:t xml:space="preserve"> budget and budget update documents </w:t>
      </w:r>
      <w:r w:rsidR="0041256B">
        <w:t>–</w:t>
      </w:r>
      <w:r>
        <w:t xml:space="preserve"> are an important source of information for estimating public demand.</w:t>
      </w:r>
      <w:r w:rsidR="00A8790C" w:rsidRPr="0045369B">
        <w:rPr>
          <w:highlight w:val="yellow"/>
        </w:rPr>
        <w:t xml:space="preserve"> </w:t>
      </w:r>
    </w:p>
    <w:p w14:paraId="61C2C1F1" w14:textId="4CFCA718" w:rsidR="00F77780" w:rsidRDefault="00F77780" w:rsidP="00936953">
      <w:r>
        <w:t xml:space="preserve">Annual government expenditure is obtained from ABS, </w:t>
      </w:r>
      <w:r w:rsidRPr="003F09CD">
        <w:rPr>
          <w:i/>
        </w:rPr>
        <w:t>Australian National Accounts: State Accounts</w:t>
      </w:r>
      <w:r w:rsidRPr="003F09CD">
        <w:t>.</w:t>
      </w:r>
      <w:r w:rsidR="00C00562" w:rsidRPr="003F09CD">
        <w:t xml:space="preserve"> Quarterly data are obtained from ABS, </w:t>
      </w:r>
      <w:r w:rsidR="00C00562" w:rsidRPr="003F09CD">
        <w:rPr>
          <w:i/>
        </w:rPr>
        <w:t>Australian National Accounts</w:t>
      </w:r>
      <w:r w:rsidR="00C00562" w:rsidRPr="003F09CD">
        <w:t>.</w:t>
      </w:r>
      <w:r w:rsidR="506DFBBA" w:rsidRPr="003F09CD">
        <w:t xml:space="preserve"> </w:t>
      </w:r>
      <w:r w:rsidR="008D7288" w:rsidRPr="003F09CD">
        <w:t>Additionally,</w:t>
      </w:r>
      <w:r w:rsidR="506DFBBA" w:rsidRPr="003F09CD">
        <w:t xml:space="preserve"> </w:t>
      </w:r>
      <w:r w:rsidR="007B2FE2" w:rsidRPr="003F09CD">
        <w:t xml:space="preserve">the ABS </w:t>
      </w:r>
      <w:r w:rsidR="008D7288" w:rsidRPr="003F09CD">
        <w:rPr>
          <w:i/>
          <w:iCs/>
        </w:rPr>
        <w:t>Government</w:t>
      </w:r>
      <w:r w:rsidR="0068647A" w:rsidRPr="003F09CD">
        <w:rPr>
          <w:i/>
          <w:iCs/>
        </w:rPr>
        <w:t xml:space="preserve"> </w:t>
      </w:r>
      <w:r w:rsidR="008D7288" w:rsidRPr="003F09CD">
        <w:rPr>
          <w:i/>
          <w:iCs/>
        </w:rPr>
        <w:t>Finance</w:t>
      </w:r>
      <w:r w:rsidR="008F0366" w:rsidRPr="003F09CD">
        <w:rPr>
          <w:i/>
          <w:iCs/>
        </w:rPr>
        <w:t xml:space="preserve"> </w:t>
      </w:r>
      <w:r w:rsidR="005617E0" w:rsidRPr="003F09CD">
        <w:rPr>
          <w:i/>
          <w:iCs/>
        </w:rPr>
        <w:t xml:space="preserve">Statistics </w:t>
      </w:r>
      <w:r w:rsidR="002E47E8" w:rsidRPr="003F09CD">
        <w:t>are used to</w:t>
      </w:r>
      <w:r w:rsidR="007B2FE2" w:rsidRPr="003F09CD">
        <w:t xml:space="preserve"> provide historical government fiscal data on a basis consistent with the ABS National Accounts, as well as for disaggregation of </w:t>
      </w:r>
      <w:r w:rsidR="00C023E2" w:rsidRPr="003F09CD">
        <w:t xml:space="preserve">state </w:t>
      </w:r>
      <w:r w:rsidR="007B2FE2" w:rsidRPr="003F09CD">
        <w:t>ver</w:t>
      </w:r>
      <w:r w:rsidR="0049139E" w:rsidRPr="003F09CD">
        <w:t>s</w:t>
      </w:r>
      <w:r w:rsidR="007B2FE2" w:rsidRPr="003F09CD">
        <w:t xml:space="preserve">us </w:t>
      </w:r>
      <w:r w:rsidR="00C023E2" w:rsidRPr="003F09CD">
        <w:t xml:space="preserve">local consumption and </w:t>
      </w:r>
      <w:r w:rsidR="00016CF9" w:rsidRPr="003F09CD">
        <w:t>gross fixed capital formation</w:t>
      </w:r>
      <w:r w:rsidR="00AD2469" w:rsidRPr="003F09CD">
        <w:t>.</w:t>
      </w:r>
      <w:r w:rsidR="00AD2469">
        <w:t xml:space="preserve"> </w:t>
      </w:r>
    </w:p>
    <w:p w14:paraId="079722C8" w14:textId="77777777" w:rsidR="00185A3F" w:rsidRDefault="00682CA0" w:rsidP="00936953">
      <w:r>
        <w:t>Historical</w:t>
      </w:r>
      <w:r w:rsidR="00185A3F">
        <w:t xml:space="preserve"> p</w:t>
      </w:r>
      <w:r w:rsidR="00936953" w:rsidRPr="00936953">
        <w:t xml:space="preserve">opulation </w:t>
      </w:r>
      <w:r w:rsidR="00821D71">
        <w:t>data are</w:t>
      </w:r>
      <w:r w:rsidR="00821D71" w:rsidRPr="00936953">
        <w:t xml:space="preserve"> </w:t>
      </w:r>
      <w:r w:rsidR="00936953" w:rsidRPr="00936953">
        <w:t xml:space="preserve">sourced from </w:t>
      </w:r>
      <w:r w:rsidR="00404696">
        <w:t>ABS</w:t>
      </w:r>
      <w:r w:rsidR="00F175D7">
        <w:t xml:space="preserve">, </w:t>
      </w:r>
      <w:r w:rsidR="00F175D7" w:rsidRPr="004C4C1C">
        <w:rPr>
          <w:i/>
        </w:rPr>
        <w:t>Australian Demographic Statistics</w:t>
      </w:r>
      <w:r w:rsidR="00936953" w:rsidRPr="00936953">
        <w:t xml:space="preserve"> </w:t>
      </w:r>
      <w:r>
        <w:t>(</w:t>
      </w:r>
      <w:r w:rsidR="005A0970">
        <w:t>catalogue</w:t>
      </w:r>
      <w:r w:rsidR="005A0970" w:rsidRPr="00005224">
        <w:t xml:space="preserve"> </w:t>
      </w:r>
      <w:r>
        <w:t>3101.0).</w:t>
      </w:r>
      <w:r w:rsidR="00936953" w:rsidRPr="00936953">
        <w:t xml:space="preserve"> Victorian estimated residential population</w:t>
      </w:r>
      <w:r>
        <w:t xml:space="preserve"> on</w:t>
      </w:r>
      <w:r w:rsidR="00936953" w:rsidRPr="00936953">
        <w:t xml:space="preserve"> </w:t>
      </w:r>
      <w:r>
        <w:t xml:space="preserve">30 </w:t>
      </w:r>
      <w:r w:rsidR="00936953" w:rsidRPr="00936953">
        <w:t xml:space="preserve">June </w:t>
      </w:r>
      <w:r>
        <w:t>is</w:t>
      </w:r>
      <w:r w:rsidR="00936953" w:rsidRPr="00936953">
        <w:t xml:space="preserve"> taken to represent population for the </w:t>
      </w:r>
      <w:r w:rsidR="002F6ABC">
        <w:t xml:space="preserve">preceding </w:t>
      </w:r>
      <w:r w:rsidR="00936953" w:rsidRPr="00936953">
        <w:t xml:space="preserve">financial year. </w:t>
      </w:r>
      <w:r w:rsidR="009A5090">
        <w:t>The population f</w:t>
      </w:r>
      <w:r w:rsidR="00936953" w:rsidRPr="009A5090">
        <w:t>orecast</w:t>
      </w:r>
      <w:r w:rsidR="009A5090">
        <w:t xml:space="preserve"> methodology is described </w:t>
      </w:r>
      <w:r w:rsidR="00506210">
        <w:t>later in this document</w:t>
      </w:r>
      <w:r w:rsidR="009A5090">
        <w:t xml:space="preserve">. </w:t>
      </w:r>
    </w:p>
    <w:p w14:paraId="4C1DF92B" w14:textId="77777777" w:rsidR="00936953" w:rsidRDefault="00121874" w:rsidP="0077757D">
      <w:pPr>
        <w:pStyle w:val="Heading3NoNum"/>
        <w:ind w:left="0"/>
      </w:pPr>
      <w:r>
        <w:t>Net</w:t>
      </w:r>
      <w:r w:rsidR="00936953" w:rsidRPr="00005224">
        <w:t xml:space="preserve"> </w:t>
      </w:r>
      <w:r w:rsidRPr="00E0280B">
        <w:t>international</w:t>
      </w:r>
      <w:r>
        <w:t xml:space="preserve"> </w:t>
      </w:r>
      <w:r w:rsidR="00936953" w:rsidRPr="00005224">
        <w:t>trade</w:t>
      </w:r>
    </w:p>
    <w:p w14:paraId="34ECCE66" w14:textId="77777777" w:rsidR="00121874" w:rsidRDefault="00C23164" w:rsidP="00121874">
      <w:r w:rsidRPr="00C23164">
        <w:t xml:space="preserve">Net international trade is total goods and services exports </w:t>
      </w:r>
      <w:proofErr w:type="gramStart"/>
      <w:r w:rsidRPr="00C23164">
        <w:t>less</w:t>
      </w:r>
      <w:proofErr w:type="gramEnd"/>
      <w:r w:rsidRPr="00C23164">
        <w:t xml:space="preserve"> total goods and services imports.  </w:t>
      </w:r>
    </w:p>
    <w:p w14:paraId="7BB6E87B" w14:textId="77777777" w:rsidR="00121874" w:rsidRDefault="00020A43" w:rsidP="0077757D">
      <w:pPr>
        <w:pStyle w:val="Heading3NoNum"/>
        <w:ind w:left="0"/>
      </w:pPr>
      <w:r>
        <w:t>International g</w:t>
      </w:r>
      <w:r w:rsidR="00121874">
        <w:t xml:space="preserve">oods </w:t>
      </w:r>
      <w:r w:rsidR="00E733FC">
        <w:t>t</w:t>
      </w:r>
      <w:r w:rsidR="00121874">
        <w:t>rade</w:t>
      </w:r>
    </w:p>
    <w:p w14:paraId="3301B730" w14:textId="77777777" w:rsidR="00AA0CF0" w:rsidRDefault="00B11438" w:rsidP="00E0280B">
      <w:pPr>
        <w:pStyle w:val="Heading4NoNum"/>
      </w:pPr>
      <w:r w:rsidRPr="00E0280B">
        <w:t>D</w:t>
      </w:r>
      <w:r w:rsidR="00AA0CF0" w:rsidRPr="00E0280B">
        <w:t>efinition</w:t>
      </w:r>
    </w:p>
    <w:p w14:paraId="63DD73B1" w14:textId="77E141C9" w:rsidR="00936953" w:rsidRDefault="00936953" w:rsidP="00936953">
      <w:r w:rsidRPr="00005224">
        <w:t xml:space="preserve">Goods exports and imports comprise the volume of movable goods </w:t>
      </w:r>
      <w:r w:rsidR="005D00EA">
        <w:t>that</w:t>
      </w:r>
      <w:r w:rsidRPr="00005224">
        <w:t xml:space="preserve"> change ownership between residents and non</w:t>
      </w:r>
      <w:r w:rsidR="00E733FC">
        <w:noBreakHyphen/>
      </w:r>
      <w:r w:rsidR="00124D23" w:rsidRPr="00005224">
        <w:t>residents and</w:t>
      </w:r>
      <w:r>
        <w:t xml:space="preserve"> are</w:t>
      </w:r>
      <w:r w:rsidRPr="00005224">
        <w:t xml:space="preserve"> generally valued at the boundary of the exporting country</w:t>
      </w:r>
      <w:r>
        <w:t>. They do</w:t>
      </w:r>
      <w:r w:rsidRPr="00005224">
        <w:t xml:space="preserve"> not include shipping </w:t>
      </w:r>
      <w:r w:rsidR="002C2F9E">
        <w:t xml:space="preserve">costs </w:t>
      </w:r>
      <w:r w:rsidRPr="00005224">
        <w:t xml:space="preserve">between countries (which </w:t>
      </w:r>
      <w:r w:rsidR="002C2F9E">
        <w:t>are</w:t>
      </w:r>
      <w:r w:rsidRPr="00005224">
        <w:t xml:space="preserve"> counted as trade in transportation services). </w:t>
      </w:r>
    </w:p>
    <w:p w14:paraId="41AC438A" w14:textId="77777777" w:rsidR="00936953" w:rsidRDefault="00B11438" w:rsidP="00E0280B">
      <w:pPr>
        <w:pStyle w:val="Heading4NoNum"/>
      </w:pPr>
      <w:r>
        <w:t>M</w:t>
      </w:r>
      <w:r w:rsidR="00AA0CF0">
        <w:t>ethod</w:t>
      </w:r>
    </w:p>
    <w:p w14:paraId="08A7D0BD" w14:textId="77777777" w:rsidR="003F77F8" w:rsidRDefault="007B7A12" w:rsidP="00E14513">
      <w:r>
        <w:t>As with other macro</w:t>
      </w:r>
      <w:r w:rsidR="00821D71">
        <w:t>economic</w:t>
      </w:r>
      <w:r>
        <w:t xml:space="preserve"> variables</w:t>
      </w:r>
      <w:r w:rsidR="004A1F81">
        <w:t>,</w:t>
      </w:r>
      <w:r>
        <w:t xml:space="preserve"> </w:t>
      </w:r>
      <w:r w:rsidR="001A147E">
        <w:t xml:space="preserve">DTF </w:t>
      </w:r>
      <w:r>
        <w:t>u</w:t>
      </w:r>
      <w:r w:rsidR="00B25E63">
        <w:t>se</w:t>
      </w:r>
      <w:r w:rsidR="001A147E">
        <w:t>s</w:t>
      </w:r>
      <w:r>
        <w:t xml:space="preserve"> a mixture of formal (econometric) and informal methods to forecast volumes of traded goods. </w:t>
      </w:r>
      <w:r w:rsidR="006A18A5">
        <w:t xml:space="preserve">Econometric models capture the </w:t>
      </w:r>
      <w:r w:rsidR="000B7546">
        <w:t xml:space="preserve">historical </w:t>
      </w:r>
      <w:r w:rsidR="006A18A5">
        <w:t xml:space="preserve">relationship between trade volumes and </w:t>
      </w:r>
      <w:r w:rsidR="000B7546">
        <w:t>indicators of demand, supply and price</w:t>
      </w:r>
      <w:r w:rsidR="00025BA6">
        <w:t xml:space="preserve"> and provide guidance about future activity</w:t>
      </w:r>
      <w:r w:rsidR="000B7546">
        <w:t>.</w:t>
      </w:r>
    </w:p>
    <w:p w14:paraId="28FFA0B4" w14:textId="154BF182" w:rsidR="000B7546" w:rsidRDefault="005954BE" w:rsidP="00E14513">
      <w:r>
        <w:t>Informal information includes c</w:t>
      </w:r>
      <w:r w:rsidR="000B7546">
        <w:t xml:space="preserve">ontemporaneous </w:t>
      </w:r>
      <w:r>
        <w:t>data such as knowledge of</w:t>
      </w:r>
      <w:r w:rsidR="002053C1">
        <w:t xml:space="preserve"> </w:t>
      </w:r>
      <w:r w:rsidR="000B7546">
        <w:t xml:space="preserve">current and prospective </w:t>
      </w:r>
      <w:r w:rsidR="002053C1">
        <w:t xml:space="preserve">weather conditions </w:t>
      </w:r>
      <w:r w:rsidR="001A147E">
        <w:t>affecting</w:t>
      </w:r>
      <w:r w:rsidR="002053C1">
        <w:t xml:space="preserve"> Victoria’s crop production, which can then be expected to flow through to exports</w:t>
      </w:r>
      <w:r w:rsidR="00E733FC">
        <w:t xml:space="preserve">. </w:t>
      </w:r>
      <w:r>
        <w:t>Similarly</w:t>
      </w:r>
      <w:r w:rsidR="00821D71">
        <w:t>,</w:t>
      </w:r>
      <w:r>
        <w:t xml:space="preserve"> information </w:t>
      </w:r>
      <w:r w:rsidR="007801F9">
        <w:t xml:space="preserve">about global demand will inform export forecasts, while information </w:t>
      </w:r>
      <w:r>
        <w:t xml:space="preserve">about the strength of household demand </w:t>
      </w:r>
      <w:r w:rsidR="00215237">
        <w:t xml:space="preserve">and business investment </w:t>
      </w:r>
      <w:r>
        <w:t>will inform forecasts of imports.</w:t>
      </w:r>
    </w:p>
    <w:p w14:paraId="71C4DC26" w14:textId="77777777" w:rsidR="00F306D3" w:rsidRDefault="00F306D3" w:rsidP="00E0280B">
      <w:pPr>
        <w:pStyle w:val="Heading4NoNum"/>
      </w:pPr>
      <w:r>
        <w:t xml:space="preserve">Merchandise </w:t>
      </w:r>
      <w:proofErr w:type="gramStart"/>
      <w:r w:rsidR="00E733FC">
        <w:t>e</w:t>
      </w:r>
      <w:r>
        <w:t>xports</w:t>
      </w:r>
      <w:proofErr w:type="gramEnd"/>
    </w:p>
    <w:p w14:paraId="283E97F1" w14:textId="0393EA3F" w:rsidR="0099712F" w:rsidRDefault="00F306D3" w:rsidP="00680AED">
      <w:r>
        <w:t>The merchandise exports model proxies the decision</w:t>
      </w:r>
      <w:r w:rsidR="001A147E">
        <w:t>s</w:t>
      </w:r>
      <w:r>
        <w:t xml:space="preserve"> by Australian producers to either sell their products on the domestic or the international market. This decision is driven by the difference in relative prices. An increase in the relative price of exports to domestic sales leads to an increase in the relative volume of exports to domestic sales.</w:t>
      </w:r>
      <w:r w:rsidR="00237FDF">
        <w:t xml:space="preserve"> The model also accounts for the cost associated with firms selling to export markets through a profit</w:t>
      </w:r>
      <w:r w:rsidR="00971F49">
        <w:t>-</w:t>
      </w:r>
      <w:r w:rsidR="00237FDF">
        <w:t>maximisation function.</w:t>
      </w:r>
    </w:p>
    <w:p w14:paraId="0457AF07" w14:textId="77777777" w:rsidR="0099712F" w:rsidRDefault="0099712F" w:rsidP="00936953">
      <w:r>
        <w:t xml:space="preserve">Export prices are driven by the rural commodity prices (in foreign currency) and the exchange rate. This is because </w:t>
      </w:r>
      <w:proofErr w:type="gramStart"/>
      <w:r>
        <w:t>the majority of</w:t>
      </w:r>
      <w:proofErr w:type="gramEnd"/>
      <w:r>
        <w:t xml:space="preserve"> Victoria’s merchandise exports are agricultural. Rural commodity prices are sourced from the RBA.</w:t>
      </w:r>
    </w:p>
    <w:p w14:paraId="32E2550B" w14:textId="77777777" w:rsidR="009261C4" w:rsidRDefault="009261C4" w:rsidP="00E0280B">
      <w:pPr>
        <w:pStyle w:val="Heading4NoNum"/>
      </w:pPr>
      <w:r>
        <w:lastRenderedPageBreak/>
        <w:t xml:space="preserve">Merchandise </w:t>
      </w:r>
      <w:proofErr w:type="gramStart"/>
      <w:r w:rsidR="00E733FC">
        <w:t>i</w:t>
      </w:r>
      <w:r>
        <w:t>mports</w:t>
      </w:r>
      <w:proofErr w:type="gramEnd"/>
    </w:p>
    <w:p w14:paraId="2FE554FF" w14:textId="26BADF96" w:rsidR="00B017EE" w:rsidRDefault="00965C22" w:rsidP="00936953">
      <w:r w:rsidRPr="001D09BC">
        <w:t>Forecasts of Victorian import volumes</w:t>
      </w:r>
      <w:r w:rsidR="003D31E2" w:rsidRPr="001D09BC">
        <w:t xml:space="preserve"> are made using </w:t>
      </w:r>
      <w:r w:rsidR="00D40470" w:rsidRPr="001D09BC">
        <w:t>a</w:t>
      </w:r>
      <w:r w:rsidR="00F9553A" w:rsidRPr="001D09BC">
        <w:t>n</w:t>
      </w:r>
      <w:r w:rsidR="00D40470" w:rsidRPr="001D09BC">
        <w:t xml:space="preserve"> </w:t>
      </w:r>
      <w:r w:rsidR="00F9553A" w:rsidRPr="001D09BC">
        <w:t>ordinary least squares</w:t>
      </w:r>
      <w:r w:rsidR="002C1B07" w:rsidRPr="001D09BC">
        <w:t xml:space="preserve"> model</w:t>
      </w:r>
      <w:r w:rsidR="00D40470" w:rsidRPr="001D09BC">
        <w:t xml:space="preserve">. Import volumes are determined by the price of imports relative to domestic production and the level of economic activity in Victoria. </w:t>
      </w:r>
    </w:p>
    <w:p w14:paraId="0BFA97DA" w14:textId="77777777" w:rsidR="003D31E2" w:rsidRDefault="00B017EE" w:rsidP="00936953">
      <w:r>
        <w:t xml:space="preserve">Import prices are driven by world inflation and the exchange rate. This is because Victoria is relatively small compared </w:t>
      </w:r>
      <w:r w:rsidR="00821D71">
        <w:t xml:space="preserve">with </w:t>
      </w:r>
      <w:r>
        <w:t>the global economy.</w:t>
      </w:r>
      <w:r w:rsidR="00930081">
        <w:t xml:space="preserve"> The price of domestic production is proxied by the producer price index</w:t>
      </w:r>
      <w:r w:rsidR="00965C22" w:rsidRPr="00A714B9">
        <w:t xml:space="preserve"> </w:t>
      </w:r>
      <w:r w:rsidR="00930081">
        <w:t xml:space="preserve">for the manufacturing industry. This is because the bulk of Victoria’s imports are manufactured goods. The price of domestic production is driven by the cost of its inputs to production, namely capital and labour. The </w:t>
      </w:r>
      <w:r w:rsidR="00821D71">
        <w:t xml:space="preserve">cash </w:t>
      </w:r>
      <w:r w:rsidR="00930081">
        <w:t xml:space="preserve">rate is used as a proxy for the cost of capital, while average compensation of workers is used as a proxy for the cost of labour. </w:t>
      </w:r>
    </w:p>
    <w:p w14:paraId="27A0382D" w14:textId="77777777" w:rsidR="00D90C29" w:rsidRDefault="00D90C29" w:rsidP="00936953">
      <w:r>
        <w:t>The calculation of the trend growth rates of merchandise exports and imports is informed by the long</w:t>
      </w:r>
      <w:r w:rsidR="00377CA8">
        <w:noBreakHyphen/>
      </w:r>
      <w:r>
        <w:t>term average growth rates of merchandise exports and imports derived from available ABS data.</w:t>
      </w:r>
    </w:p>
    <w:p w14:paraId="4897CFBE" w14:textId="77777777" w:rsidR="00892A63" w:rsidRDefault="00B11438" w:rsidP="00E0280B">
      <w:pPr>
        <w:pStyle w:val="Heading4NoNum"/>
      </w:pPr>
      <w:r>
        <w:t>D</w:t>
      </w:r>
      <w:r w:rsidR="00892A63" w:rsidRPr="00005224">
        <w:t>ata sources</w:t>
      </w:r>
    </w:p>
    <w:p w14:paraId="03098B1D" w14:textId="621BAF25" w:rsidR="00965C22" w:rsidRDefault="00965C22" w:rsidP="00965C22">
      <w:r w:rsidRPr="00A714B9">
        <w:t xml:space="preserve">The ABS is the </w:t>
      </w:r>
      <w:r>
        <w:t xml:space="preserve">main </w:t>
      </w:r>
      <w:r w:rsidRPr="00A714B9">
        <w:t>source of merchandise trade data</w:t>
      </w:r>
      <w:r w:rsidR="00E733FC">
        <w:t>.</w:t>
      </w:r>
      <w:r w:rsidR="00BC2D5C">
        <w:t xml:space="preserve"> </w:t>
      </w:r>
      <w:r>
        <w:t>Data from the I</w:t>
      </w:r>
      <w:r w:rsidR="00301B6C">
        <w:t xml:space="preserve">nternational </w:t>
      </w:r>
      <w:r>
        <w:t>M</w:t>
      </w:r>
      <w:r w:rsidR="00301B6C">
        <w:t xml:space="preserve">onetary </w:t>
      </w:r>
      <w:r>
        <w:t>F</w:t>
      </w:r>
      <w:r w:rsidR="00301B6C">
        <w:t>und</w:t>
      </w:r>
      <w:r>
        <w:t xml:space="preserve"> </w:t>
      </w:r>
      <w:r w:rsidRPr="00CC5F31">
        <w:rPr>
          <w:i/>
        </w:rPr>
        <w:t>World Economic Outlook Database</w:t>
      </w:r>
      <w:r>
        <w:t xml:space="preserve"> </w:t>
      </w:r>
      <w:r w:rsidR="00B25026">
        <w:t>are</w:t>
      </w:r>
      <w:r>
        <w:t xml:space="preserve"> used in computing changes in relative prices and relative demand between Victoria and the rest of the world. </w:t>
      </w:r>
      <w:r w:rsidR="006F6224">
        <w:t>The RBA provides time series data for commodity prices and exchange rates which are also used in the models.</w:t>
      </w:r>
    </w:p>
    <w:p w14:paraId="202A77E8" w14:textId="2E4A8836" w:rsidR="00E14513" w:rsidRDefault="00896E2E" w:rsidP="00936953">
      <w:r>
        <w:t>Other sources of information are drawn on as required</w:t>
      </w:r>
      <w:r w:rsidR="00E733FC">
        <w:t xml:space="preserve">. </w:t>
      </w:r>
      <w:r>
        <w:t xml:space="preserve">Examples </w:t>
      </w:r>
      <w:r w:rsidR="008831B8">
        <w:t>include</w:t>
      </w:r>
      <w:r>
        <w:t xml:space="preserve"> estimates of Victorian crop yields</w:t>
      </w:r>
      <w:r w:rsidR="00715BB3">
        <w:t xml:space="preserve"> </w:t>
      </w:r>
      <w:r w:rsidR="3C192444">
        <w:t xml:space="preserve">for goods exports, </w:t>
      </w:r>
      <w:r w:rsidR="00715BB3">
        <w:t xml:space="preserve">and </w:t>
      </w:r>
      <w:r>
        <w:t>business liaison</w:t>
      </w:r>
      <w:r w:rsidR="0D110564">
        <w:t xml:space="preserve"> for both exports and imports</w:t>
      </w:r>
      <w:r w:rsidR="00E733FC">
        <w:t xml:space="preserve">. </w:t>
      </w:r>
      <w:r>
        <w:t>It is</w:t>
      </w:r>
      <w:r w:rsidDel="00CD6289">
        <w:t xml:space="preserve"> </w:t>
      </w:r>
      <w:r>
        <w:t xml:space="preserve">important that trade forecasts can be justified against the backdrop of world events, and this means that information from a wide range of sources </w:t>
      </w:r>
      <w:r w:rsidR="004A1F81">
        <w:t xml:space="preserve">is </w:t>
      </w:r>
      <w:r>
        <w:t xml:space="preserve">used to </w:t>
      </w:r>
      <w:r w:rsidR="004B1647">
        <w:t xml:space="preserve">apply judgement to </w:t>
      </w:r>
      <w:r>
        <w:t>the outputs of the econometric models.</w:t>
      </w:r>
    </w:p>
    <w:p w14:paraId="1846C4BF" w14:textId="77777777" w:rsidR="00936953" w:rsidRDefault="00020A43" w:rsidP="0077757D">
      <w:pPr>
        <w:pStyle w:val="Heading3NoNum"/>
        <w:ind w:left="0"/>
      </w:pPr>
      <w:r>
        <w:t>International s</w:t>
      </w:r>
      <w:r w:rsidR="00433522">
        <w:t>ervice exports</w:t>
      </w:r>
    </w:p>
    <w:p w14:paraId="6DF6861C" w14:textId="77777777" w:rsidR="00AA0CF0" w:rsidRDefault="00B11438" w:rsidP="00E0280B">
      <w:pPr>
        <w:pStyle w:val="Heading4NoNum"/>
      </w:pPr>
      <w:r>
        <w:t>D</w:t>
      </w:r>
      <w:r w:rsidR="00AA0CF0">
        <w:t>efinition</w:t>
      </w:r>
    </w:p>
    <w:p w14:paraId="2583DF41" w14:textId="7E6E2B33" w:rsidR="00936953" w:rsidRPr="003F09CD" w:rsidRDefault="002B6CFB" w:rsidP="00936953">
      <w:r>
        <w:t xml:space="preserve">Services are intangible goods. </w:t>
      </w:r>
      <w:r w:rsidR="00360849">
        <w:t>Export</w:t>
      </w:r>
      <w:r w:rsidR="006C1A30">
        <w:t>s of</w:t>
      </w:r>
      <w:r w:rsidR="00360849">
        <w:t xml:space="preserve"> services encompass those </w:t>
      </w:r>
      <w:r w:rsidR="006C1A30">
        <w:t xml:space="preserve">services </w:t>
      </w:r>
      <w:r w:rsidR="00936953" w:rsidRPr="00936953">
        <w:t xml:space="preserve">rendered by </w:t>
      </w:r>
      <w:r w:rsidR="008D3426">
        <w:t xml:space="preserve">Victorian </w:t>
      </w:r>
      <w:r w:rsidR="00936953" w:rsidRPr="00936953">
        <w:t>residents to non</w:t>
      </w:r>
      <w:r w:rsidR="00E733FC">
        <w:noBreakHyphen/>
      </w:r>
      <w:r w:rsidR="00936953" w:rsidRPr="00936953">
        <w:t>residents</w:t>
      </w:r>
      <w:r w:rsidR="00E733FC">
        <w:t xml:space="preserve">. </w:t>
      </w:r>
      <w:r w:rsidR="00936953" w:rsidRPr="00936953">
        <w:t>The main service exports for Victoria are education and tourism</w:t>
      </w:r>
      <w:r w:rsidR="00E733FC">
        <w:t xml:space="preserve">. </w:t>
      </w:r>
      <w:r w:rsidR="00631687" w:rsidRPr="00936953">
        <w:t>Education is the largest service export category</w:t>
      </w:r>
      <w:r w:rsidR="00631687">
        <w:t xml:space="preserve">, while </w:t>
      </w:r>
      <w:r w:rsidR="00631687" w:rsidRPr="003F09CD">
        <w:t>tourism is the second</w:t>
      </w:r>
      <w:r w:rsidR="006C1A30" w:rsidRPr="003F09CD">
        <w:t>-</w:t>
      </w:r>
      <w:r w:rsidR="00631687" w:rsidRPr="003F09CD">
        <w:t>largest category of service exports in Victoria</w:t>
      </w:r>
      <w:r w:rsidR="005025D5" w:rsidRPr="003F09CD">
        <w:t>.</w:t>
      </w:r>
      <w:r w:rsidR="00631687" w:rsidRPr="003F09CD">
        <w:t xml:space="preserve"> </w:t>
      </w:r>
    </w:p>
    <w:p w14:paraId="4F18767C" w14:textId="3411BC09" w:rsidR="00936953" w:rsidRPr="003F09CD" w:rsidRDefault="00B11438" w:rsidP="00E0280B">
      <w:pPr>
        <w:pStyle w:val="Heading4NoNum"/>
      </w:pPr>
      <w:bookmarkStart w:id="0" w:name="_Hlk135221846"/>
      <w:r w:rsidRPr="003F09CD">
        <w:t>M</w:t>
      </w:r>
      <w:r w:rsidR="00AA0CF0" w:rsidRPr="003F09CD">
        <w:t>ethod</w:t>
      </w:r>
    </w:p>
    <w:p w14:paraId="788663E3" w14:textId="0151A491" w:rsidR="00936953" w:rsidRPr="003F09CD" w:rsidRDefault="00D071C1" w:rsidP="00936953">
      <w:r w:rsidRPr="003F09CD">
        <w:t xml:space="preserve">International service exports involve a combination of elements including a review of historical data, </w:t>
      </w:r>
      <w:r w:rsidR="00003FFE" w:rsidRPr="003F09CD">
        <w:t xml:space="preserve">consideration of indicator variables, and </w:t>
      </w:r>
      <w:r w:rsidRPr="003F09CD">
        <w:t xml:space="preserve">econometric analysis and judgement. </w:t>
      </w:r>
    </w:p>
    <w:p w14:paraId="7E6CFFD6" w14:textId="27A1D294" w:rsidR="000E5A8B" w:rsidRPr="003F09CD" w:rsidRDefault="00A6057F" w:rsidP="00936953">
      <w:r w:rsidRPr="003F09CD">
        <w:t>Econometric analysis is undertaken with a</w:t>
      </w:r>
      <w:r w:rsidR="00E06CC5" w:rsidRPr="003F09CD">
        <w:t>n ordinary least squares model</w:t>
      </w:r>
      <w:r w:rsidR="001E6397" w:rsidRPr="003F09CD">
        <w:t xml:space="preserve">. </w:t>
      </w:r>
      <w:r w:rsidR="000E5A8B" w:rsidRPr="003F09CD">
        <w:t xml:space="preserve"> </w:t>
      </w:r>
      <w:r w:rsidR="00347845" w:rsidRPr="003F09CD">
        <w:t xml:space="preserve">Growth in services exports is explained by the number of temporary visitor arrivals to Victoria and the number of student visa grants in Australia. These dependent variables are forecast using ordinary least squares models with ARIMA errors. </w:t>
      </w:r>
      <w:r w:rsidR="00004446" w:rsidRPr="003F09CD">
        <w:t>Temporary visitor arrival</w:t>
      </w:r>
      <w:r w:rsidR="00C674DD" w:rsidRPr="003F09CD">
        <w:t xml:space="preserve"> forecasts are</w:t>
      </w:r>
      <w:r w:rsidR="00F24393" w:rsidRPr="003F09CD">
        <w:t xml:space="preserve"> driven by</w:t>
      </w:r>
      <w:r w:rsidR="00037FAB" w:rsidRPr="003F09CD">
        <w:t xml:space="preserve"> relative prices</w:t>
      </w:r>
      <w:r w:rsidR="00516C2A" w:rsidRPr="003F09CD">
        <w:t>, as tourism is price</w:t>
      </w:r>
      <w:r w:rsidR="00516C2A" w:rsidRPr="003F09CD">
        <w:noBreakHyphen/>
        <w:t>sensitive. Student visa grants are driven by student visa applications</w:t>
      </w:r>
      <w:r w:rsidR="00C75F79" w:rsidRPr="003F09CD">
        <w:t xml:space="preserve">. </w:t>
      </w:r>
    </w:p>
    <w:p w14:paraId="437612CA" w14:textId="02E527F9" w:rsidR="00CC6B01" w:rsidRPr="003F09CD" w:rsidRDefault="001E6D44" w:rsidP="00936953">
      <w:r w:rsidRPr="003F09CD">
        <w:t>The</w:t>
      </w:r>
      <w:r w:rsidR="00CC6B01" w:rsidRPr="003F09CD">
        <w:t xml:space="preserve"> COVID</w:t>
      </w:r>
      <w:r w:rsidR="00CC6B01" w:rsidRPr="003F09CD">
        <w:noBreakHyphen/>
        <w:t>19 pandemic had a profound effect on Victoria’s services exports</w:t>
      </w:r>
      <w:r w:rsidR="00FA6979" w:rsidRPr="003F09CD">
        <w:t>,</w:t>
      </w:r>
      <w:r w:rsidR="006371F7" w:rsidRPr="003F09CD">
        <w:t xml:space="preserve"> as </w:t>
      </w:r>
      <w:r w:rsidR="00B4276D" w:rsidRPr="003F09CD">
        <w:t xml:space="preserve">closed </w:t>
      </w:r>
      <w:r w:rsidR="001D3AA8" w:rsidRPr="003F09CD">
        <w:t xml:space="preserve">national borders prevented </w:t>
      </w:r>
      <w:r w:rsidR="0020634A" w:rsidRPr="003F09CD">
        <w:t>inbound tourism and many international students studied remotely from their home countries</w:t>
      </w:r>
      <w:r w:rsidR="00E23F36" w:rsidRPr="003F09CD">
        <w:t>.</w:t>
      </w:r>
      <w:r w:rsidR="004555EA" w:rsidRPr="003F09CD">
        <w:t xml:space="preserve"> The forecast model uses a</w:t>
      </w:r>
      <w:r w:rsidR="004A30F1">
        <w:t>n indicator</w:t>
      </w:r>
      <w:r w:rsidR="004555EA" w:rsidRPr="003F09CD">
        <w:t xml:space="preserve"> variable to account for </w:t>
      </w:r>
      <w:r w:rsidR="00E1198C" w:rsidRPr="003F09CD">
        <w:t xml:space="preserve">this </w:t>
      </w:r>
      <w:r w:rsidR="00E1198C" w:rsidRPr="003F09CD" w:rsidDel="00AC3F2E">
        <w:t xml:space="preserve">period </w:t>
      </w:r>
      <w:r w:rsidR="00E1198C" w:rsidRPr="003F09CD">
        <w:t xml:space="preserve">econometrically. </w:t>
      </w:r>
      <w:r w:rsidR="00E23F36" w:rsidRPr="003F09CD">
        <w:t xml:space="preserve"> </w:t>
      </w:r>
      <w:r w:rsidR="0020634A" w:rsidRPr="003F09CD">
        <w:t xml:space="preserve"> </w:t>
      </w:r>
    </w:p>
    <w:p w14:paraId="702F8D55" w14:textId="0618392F" w:rsidR="00D44E14" w:rsidRPr="003F09CD" w:rsidRDefault="00302EA6" w:rsidP="00D44E14">
      <w:r w:rsidRPr="003F09CD">
        <w:lastRenderedPageBreak/>
        <w:t>DTF also monitors several indicator variables to inform judgement</w:t>
      </w:r>
      <w:r w:rsidR="004555EA" w:rsidRPr="003F09CD">
        <w:t xml:space="preserve">. </w:t>
      </w:r>
      <w:r w:rsidR="009F69C1" w:rsidRPr="003F09CD">
        <w:t>These include</w:t>
      </w:r>
      <w:r w:rsidRPr="003F09CD">
        <w:t xml:space="preserve"> </w:t>
      </w:r>
      <w:r w:rsidR="000F6E1A" w:rsidRPr="003F09CD">
        <w:t xml:space="preserve">the stock of student visa holders </w:t>
      </w:r>
      <w:r w:rsidR="00D44E14" w:rsidRPr="003F09CD">
        <w:t>with</w:t>
      </w:r>
      <w:r w:rsidR="000F6E1A" w:rsidRPr="003F09CD">
        <w:t xml:space="preserve">in and outside of Australia, </w:t>
      </w:r>
      <w:r w:rsidR="005A119C" w:rsidRPr="003F09CD">
        <w:t xml:space="preserve">student visa arrivals into Victoria, international card spend in Australia, </w:t>
      </w:r>
      <w:r w:rsidR="00E83D8E" w:rsidRPr="003F09CD">
        <w:t>and the trade</w:t>
      </w:r>
      <w:r w:rsidR="00E83D8E" w:rsidRPr="003F09CD">
        <w:noBreakHyphen/>
        <w:t xml:space="preserve">weighted index and other relative price measures. </w:t>
      </w:r>
    </w:p>
    <w:p w14:paraId="45F11932" w14:textId="77777777" w:rsidR="005D1800" w:rsidRPr="003F09CD" w:rsidRDefault="005D1800" w:rsidP="00D44E14">
      <w:pPr>
        <w:pStyle w:val="Heading4NoNum"/>
      </w:pPr>
      <w:r w:rsidRPr="003F09CD">
        <w:t>Data sources</w:t>
      </w:r>
    </w:p>
    <w:p w14:paraId="4D6063A3" w14:textId="1F0F9040" w:rsidR="00965C22" w:rsidRPr="003F09CD" w:rsidRDefault="00965C22" w:rsidP="00965C22">
      <w:r w:rsidRPr="003F09CD">
        <w:t xml:space="preserve">Data on Victorian service exports is obtained from </w:t>
      </w:r>
      <w:r w:rsidR="00715BB3" w:rsidRPr="003F09CD">
        <w:t xml:space="preserve">the quarterly ABS </w:t>
      </w:r>
      <w:r w:rsidR="00715BB3" w:rsidRPr="003F09CD">
        <w:rPr>
          <w:i/>
        </w:rPr>
        <w:t>Balance of Payments and International Investment Position</w:t>
      </w:r>
      <w:r w:rsidR="00715BB3" w:rsidRPr="003F09CD">
        <w:t xml:space="preserve"> </w:t>
      </w:r>
      <w:r w:rsidRPr="003F09CD">
        <w:t>release</w:t>
      </w:r>
      <w:r w:rsidR="00E733FC" w:rsidRPr="003F09CD">
        <w:t xml:space="preserve">. </w:t>
      </w:r>
      <w:r w:rsidR="00A130E4" w:rsidRPr="003F09CD">
        <w:t xml:space="preserve">Input variables are obtained from the </w:t>
      </w:r>
      <w:r w:rsidR="00DD1422" w:rsidRPr="003F09CD">
        <w:t xml:space="preserve">monthly ABS </w:t>
      </w:r>
      <w:r w:rsidR="00DD1422" w:rsidRPr="003F09CD">
        <w:rPr>
          <w:i/>
        </w:rPr>
        <w:t xml:space="preserve">Overseas Arrivals and Departure </w:t>
      </w:r>
      <w:r w:rsidR="00DD1422" w:rsidRPr="003F09CD">
        <w:t xml:space="preserve">release, as well as student visa data from the </w:t>
      </w:r>
      <w:r w:rsidR="00D44E14" w:rsidRPr="003F09CD">
        <w:t xml:space="preserve">Commonwealth </w:t>
      </w:r>
      <w:r w:rsidR="00DD1422" w:rsidRPr="003F09CD">
        <w:t xml:space="preserve">Department of Home Affairs. </w:t>
      </w:r>
      <w:r w:rsidR="0012001A" w:rsidRPr="003F09CD">
        <w:t xml:space="preserve">Other </w:t>
      </w:r>
      <w:r w:rsidRPr="003F09CD">
        <w:t xml:space="preserve">ABS releases such as </w:t>
      </w:r>
      <w:r w:rsidR="004C4C1C" w:rsidRPr="003F09CD">
        <w:rPr>
          <w:i/>
        </w:rPr>
        <w:t>International</w:t>
      </w:r>
      <w:r w:rsidRPr="003F09CD">
        <w:rPr>
          <w:i/>
        </w:rPr>
        <w:t xml:space="preserve"> Trade in Services by Country, by State and by Detailed Services Category</w:t>
      </w:r>
      <w:r w:rsidR="00020A43" w:rsidRPr="003F09CD">
        <w:t xml:space="preserve"> </w:t>
      </w:r>
      <w:r w:rsidRPr="003F09CD">
        <w:t>also provide further detail on the breakdown of service exports by type and by country.</w:t>
      </w:r>
    </w:p>
    <w:bookmarkEnd w:id="0"/>
    <w:p w14:paraId="75C7FB45" w14:textId="1D3F082B" w:rsidR="00E1376D" w:rsidRPr="003F09CD" w:rsidRDefault="002F0704" w:rsidP="0077757D">
      <w:pPr>
        <w:pStyle w:val="Heading3NoNum"/>
        <w:ind w:left="0"/>
      </w:pPr>
      <w:r w:rsidRPr="003F09CD">
        <w:t>International s</w:t>
      </w:r>
      <w:r w:rsidR="00E1376D" w:rsidRPr="003F09CD">
        <w:t>ervice imports</w:t>
      </w:r>
    </w:p>
    <w:p w14:paraId="13FF8A65" w14:textId="77777777" w:rsidR="00E1376D" w:rsidRPr="003F09CD" w:rsidRDefault="00B11438" w:rsidP="00E0280B">
      <w:pPr>
        <w:pStyle w:val="Heading4NoNum"/>
      </w:pPr>
      <w:r w:rsidRPr="003F09CD">
        <w:t>D</w:t>
      </w:r>
      <w:r w:rsidR="00E1376D" w:rsidRPr="003F09CD">
        <w:t>efinition</w:t>
      </w:r>
    </w:p>
    <w:p w14:paraId="4D6CEFC6" w14:textId="77777777" w:rsidR="008D3426" w:rsidRPr="003F09CD" w:rsidRDefault="00293F8E" w:rsidP="008D3426">
      <w:r w:rsidRPr="003F09CD">
        <w:t xml:space="preserve">Service </w:t>
      </w:r>
      <w:r w:rsidR="008D3426" w:rsidRPr="003F09CD">
        <w:t>imports encompass those services (that is, intangible goods) rendered by non</w:t>
      </w:r>
      <w:r w:rsidR="00E733FC" w:rsidRPr="003F09CD">
        <w:noBreakHyphen/>
      </w:r>
      <w:r w:rsidR="008D3426" w:rsidRPr="003F09CD">
        <w:t>residents to Victorian residents</w:t>
      </w:r>
      <w:r w:rsidR="00E733FC" w:rsidRPr="003F09CD">
        <w:t xml:space="preserve">. </w:t>
      </w:r>
      <w:r w:rsidR="008D3426" w:rsidRPr="003F09CD">
        <w:t>The main service import for Victoria is tourism: that is, overseas holidays taken by Victorian residents</w:t>
      </w:r>
      <w:r w:rsidR="00E733FC" w:rsidRPr="003F09CD">
        <w:t xml:space="preserve">. </w:t>
      </w:r>
    </w:p>
    <w:p w14:paraId="673769C6" w14:textId="77777777" w:rsidR="008D3426" w:rsidRPr="003F09CD" w:rsidRDefault="00B11438" w:rsidP="00E0280B">
      <w:pPr>
        <w:pStyle w:val="Heading4NoNum"/>
      </w:pPr>
      <w:r w:rsidRPr="003F09CD">
        <w:t>M</w:t>
      </w:r>
      <w:r w:rsidR="008D3426" w:rsidRPr="003F09CD">
        <w:t>ethod</w:t>
      </w:r>
    </w:p>
    <w:p w14:paraId="53E1D1E1" w14:textId="77777777" w:rsidR="0008666A" w:rsidRPr="003F09CD" w:rsidRDefault="0008666A" w:rsidP="00936953">
      <w:r w:rsidRPr="003F09CD">
        <w:t xml:space="preserve">Forecasts of service </w:t>
      </w:r>
      <w:r w:rsidR="001A421E" w:rsidRPr="003F09CD">
        <w:t xml:space="preserve">imports </w:t>
      </w:r>
      <w:r w:rsidR="004C4C1C" w:rsidRPr="003F09CD">
        <w:t xml:space="preserve">and </w:t>
      </w:r>
      <w:r w:rsidRPr="003F09CD">
        <w:t xml:space="preserve">exports are drawn from a variety of sources, including a review of recent and historical data, consideration of forward indicators and other information, </w:t>
      </w:r>
      <w:proofErr w:type="gramStart"/>
      <w:r w:rsidRPr="003F09CD">
        <w:t>judgement</w:t>
      </w:r>
      <w:proofErr w:type="gramEnd"/>
      <w:r w:rsidRPr="003F09CD">
        <w:t xml:space="preserve"> and econometric analysis</w:t>
      </w:r>
      <w:r w:rsidR="00E733FC" w:rsidRPr="003F09CD">
        <w:t xml:space="preserve">. </w:t>
      </w:r>
      <w:r w:rsidRPr="003F09CD">
        <w:t xml:space="preserve">The additional information sourced from outside of the econometric analysis </w:t>
      </w:r>
      <w:r w:rsidR="002D6DDA" w:rsidRPr="003F09CD">
        <w:t xml:space="preserve">are </w:t>
      </w:r>
      <w:r w:rsidRPr="003F09CD">
        <w:t xml:space="preserve">included as adjustment factors to forecasts generated by the model, so that the pattern of forecasts accords with the overall assessment of the service </w:t>
      </w:r>
      <w:r w:rsidR="001A421E" w:rsidRPr="003F09CD">
        <w:t xml:space="preserve">import </w:t>
      </w:r>
      <w:r w:rsidRPr="003F09CD">
        <w:t>sector.</w:t>
      </w:r>
    </w:p>
    <w:p w14:paraId="47B87E8B" w14:textId="21115FB1" w:rsidR="003D2412" w:rsidRPr="003F09CD" w:rsidRDefault="003D2412" w:rsidP="00936953">
      <w:r w:rsidRPr="003F09CD">
        <w:t xml:space="preserve">Victorian services imports are forecast </w:t>
      </w:r>
      <w:r w:rsidR="00CA0013" w:rsidRPr="003F09CD">
        <w:t>using an error</w:t>
      </w:r>
      <w:r w:rsidR="00EF0A51" w:rsidRPr="003F09CD">
        <w:t>-</w:t>
      </w:r>
      <w:r w:rsidR="00CA0013" w:rsidRPr="003F09CD">
        <w:t>correction model</w:t>
      </w:r>
      <w:r w:rsidR="00E40EA0" w:rsidRPr="003F09CD">
        <w:t>. In the long r</w:t>
      </w:r>
      <w:r w:rsidR="00F15BA4" w:rsidRPr="003F09CD">
        <w:t xml:space="preserve">un, </w:t>
      </w:r>
      <w:r w:rsidR="00E106D6" w:rsidRPr="003F09CD">
        <w:t xml:space="preserve">growth in </w:t>
      </w:r>
      <w:r w:rsidR="00F15BA4" w:rsidRPr="003F09CD">
        <w:t xml:space="preserve">services imports </w:t>
      </w:r>
      <w:r w:rsidR="00E106D6" w:rsidRPr="003F09CD">
        <w:t>is determined by</w:t>
      </w:r>
      <w:r w:rsidR="00F15BA4" w:rsidRPr="003F09CD">
        <w:t xml:space="preserve"> domestic demand and </w:t>
      </w:r>
      <w:r w:rsidR="00702983" w:rsidRPr="003F09CD">
        <w:t xml:space="preserve">the relative price between imported services and domestic services. </w:t>
      </w:r>
      <w:r w:rsidR="00797094" w:rsidRPr="003F09CD">
        <w:t xml:space="preserve">In the short run, growth is determined by </w:t>
      </w:r>
      <w:r w:rsidR="00FE3E1B" w:rsidRPr="003F09CD">
        <w:t>lagged demand and relative prices.</w:t>
      </w:r>
      <w:r w:rsidR="0043750E" w:rsidRPr="003F09CD">
        <w:t xml:space="preserve"> </w:t>
      </w:r>
      <w:r w:rsidR="0064354B" w:rsidRPr="003F09CD">
        <w:t xml:space="preserve">Services imports prices are driven by world inflation and the </w:t>
      </w:r>
      <w:r w:rsidR="00C04567" w:rsidRPr="003F09CD">
        <w:t>trade</w:t>
      </w:r>
      <w:r w:rsidR="00C04567" w:rsidRPr="003F09CD">
        <w:noBreakHyphen/>
        <w:t>weighted exchange rate.</w:t>
      </w:r>
      <w:r w:rsidR="00FE3E1B" w:rsidRPr="003F09CD">
        <w:t xml:space="preserve"> </w:t>
      </w:r>
    </w:p>
    <w:p w14:paraId="580410AA" w14:textId="33EA13C4" w:rsidR="00C37256" w:rsidRPr="003F09CD" w:rsidRDefault="00503F30" w:rsidP="00936953">
      <w:r w:rsidRPr="003F09CD">
        <w:t xml:space="preserve">DTF </w:t>
      </w:r>
      <w:r w:rsidR="00610779" w:rsidRPr="003F09CD">
        <w:t xml:space="preserve">monitors several indicator variables to inform judgement. </w:t>
      </w:r>
      <w:r w:rsidR="007C0466" w:rsidRPr="003F09CD">
        <w:t xml:space="preserve">These include consumer confidence, </w:t>
      </w:r>
      <w:r w:rsidR="004966B7" w:rsidRPr="003F09CD">
        <w:t xml:space="preserve">overseas departures, </w:t>
      </w:r>
      <w:r w:rsidR="007C0466" w:rsidRPr="003F09CD">
        <w:t>airport traffic data</w:t>
      </w:r>
      <w:r w:rsidR="002928E7" w:rsidRPr="003F09CD">
        <w:t>, and</w:t>
      </w:r>
      <w:r w:rsidR="007C0466" w:rsidRPr="003F09CD">
        <w:t xml:space="preserve"> </w:t>
      </w:r>
      <w:r w:rsidR="009C3D66" w:rsidRPr="003F09CD">
        <w:t>internet sea</w:t>
      </w:r>
      <w:r w:rsidR="004425C9" w:rsidRPr="003F09CD">
        <w:t>r</w:t>
      </w:r>
      <w:r w:rsidR="009C3D66" w:rsidRPr="003F09CD">
        <w:t>ch statistics</w:t>
      </w:r>
      <w:r w:rsidR="004425C9" w:rsidRPr="003F09CD">
        <w:t xml:space="preserve"> on</w:t>
      </w:r>
      <w:r w:rsidR="00F16D15" w:rsidRPr="003F09CD">
        <w:t xml:space="preserve"> </w:t>
      </w:r>
      <w:r w:rsidR="00AE67E3" w:rsidRPr="003F09CD">
        <w:t>use of</w:t>
      </w:r>
      <w:r w:rsidR="004425C9" w:rsidRPr="003F09CD">
        <w:t xml:space="preserve"> </w:t>
      </w:r>
      <w:r w:rsidR="007C0466" w:rsidRPr="003F09CD">
        <w:t>travel</w:t>
      </w:r>
      <w:r w:rsidR="007C0466" w:rsidRPr="003F09CD">
        <w:noBreakHyphen/>
        <w:t>related search terms</w:t>
      </w:r>
      <w:r w:rsidR="002928E7" w:rsidRPr="003F09CD">
        <w:t>.</w:t>
      </w:r>
    </w:p>
    <w:p w14:paraId="7CFA034A" w14:textId="77777777" w:rsidR="008D3426" w:rsidRPr="003F09CD" w:rsidRDefault="008D3426" w:rsidP="00E0280B">
      <w:pPr>
        <w:pStyle w:val="Heading4NoNum"/>
      </w:pPr>
      <w:r w:rsidRPr="003F09CD">
        <w:t>Data sources</w:t>
      </w:r>
    </w:p>
    <w:p w14:paraId="1E5D2326" w14:textId="0730AD64" w:rsidR="00965C22" w:rsidRDefault="00965C22" w:rsidP="00965C22">
      <w:r w:rsidRPr="003F09CD">
        <w:t xml:space="preserve">Data on Victorian service imports </w:t>
      </w:r>
      <w:r w:rsidR="001A147E" w:rsidRPr="003F09CD">
        <w:t>are</w:t>
      </w:r>
      <w:r w:rsidRPr="003F09CD">
        <w:t xml:space="preserve"> obtained from the </w:t>
      </w:r>
      <w:r w:rsidR="00715BB3" w:rsidRPr="003F09CD">
        <w:t xml:space="preserve">quarterly ABS </w:t>
      </w:r>
      <w:r w:rsidR="00715BB3" w:rsidRPr="003F09CD">
        <w:rPr>
          <w:i/>
        </w:rPr>
        <w:t xml:space="preserve">Balance of Payments and International Investment Position </w:t>
      </w:r>
      <w:r w:rsidRPr="003F09CD">
        <w:t>release</w:t>
      </w:r>
      <w:r w:rsidR="00645DB6" w:rsidRPr="003F09CD">
        <w:t xml:space="preserve"> and the quarterly ABS </w:t>
      </w:r>
      <w:r w:rsidR="00645DB6" w:rsidRPr="003F09CD">
        <w:rPr>
          <w:i/>
          <w:iCs/>
        </w:rPr>
        <w:t xml:space="preserve">National Accounts </w:t>
      </w:r>
      <w:r w:rsidR="007D0331" w:rsidRPr="003F09CD">
        <w:t>release</w:t>
      </w:r>
      <w:r w:rsidR="00E733FC" w:rsidRPr="003F09CD">
        <w:t>.</w:t>
      </w:r>
      <w:r w:rsidRPr="003F09CD" w:rsidDel="0012001A">
        <w:t xml:space="preserve"> </w:t>
      </w:r>
      <w:r w:rsidR="0012001A" w:rsidRPr="003F09CD">
        <w:t xml:space="preserve">Other </w:t>
      </w:r>
      <w:r w:rsidRPr="003F09CD">
        <w:t>ABS releases such as</w:t>
      </w:r>
      <w:r w:rsidRPr="003F09CD" w:rsidDel="0012001A">
        <w:t xml:space="preserve"> </w:t>
      </w:r>
      <w:r w:rsidRPr="003F09CD">
        <w:rPr>
          <w:i/>
        </w:rPr>
        <w:t>International Trade in Services by Country, by State and by Detailed Services Category</w:t>
      </w:r>
      <w:r w:rsidRPr="003F09CD">
        <w:t xml:space="preserve"> also provide further detail on the breakdown of service imports by type</w:t>
      </w:r>
      <w:r>
        <w:t xml:space="preserve"> and by country.</w:t>
      </w:r>
    </w:p>
    <w:p w14:paraId="761A269E" w14:textId="3FD3FB35" w:rsidR="00965C22" w:rsidRPr="00936953" w:rsidRDefault="00965C22" w:rsidP="00965C22">
      <w:r>
        <w:t xml:space="preserve">Forecast data from </w:t>
      </w:r>
      <w:r w:rsidR="00E91DFD">
        <w:t>Tourism Research Australia</w:t>
      </w:r>
      <w:r w:rsidR="00E91DFD" w:rsidRPr="00760B12">
        <w:t xml:space="preserve"> </w:t>
      </w:r>
      <w:r>
        <w:t xml:space="preserve">on annual estimates of outbound departures </w:t>
      </w:r>
      <w:r w:rsidR="007D77E9">
        <w:t xml:space="preserve">are </w:t>
      </w:r>
      <w:r>
        <w:t xml:space="preserve">sourced from </w:t>
      </w:r>
      <w:r w:rsidR="001A147E">
        <w:t>its</w:t>
      </w:r>
      <w:r>
        <w:t xml:space="preserve"> website.</w:t>
      </w:r>
    </w:p>
    <w:p w14:paraId="644875FB" w14:textId="77777777" w:rsidR="00B8602D" w:rsidRDefault="001F35F6" w:rsidP="0077757D">
      <w:pPr>
        <w:pStyle w:val="Heading3NoNum"/>
        <w:ind w:left="0"/>
      </w:pPr>
      <w:r>
        <w:t>B</w:t>
      </w:r>
      <w:r w:rsidR="00B8602D" w:rsidRPr="00484131">
        <w:t>alancing item</w:t>
      </w:r>
    </w:p>
    <w:p w14:paraId="4AE2FE51" w14:textId="77777777" w:rsidR="00AA0CF0" w:rsidRDefault="001F35F6" w:rsidP="00E0280B">
      <w:pPr>
        <w:pStyle w:val="Heading4NoNum"/>
      </w:pPr>
      <w:r>
        <w:t>D</w:t>
      </w:r>
      <w:r w:rsidR="00AA0CF0">
        <w:t>efinition</w:t>
      </w:r>
    </w:p>
    <w:p w14:paraId="014344FE" w14:textId="77777777" w:rsidR="005B7D12" w:rsidRDefault="003436F5" w:rsidP="005B7D12">
      <w:r>
        <w:t xml:space="preserve">The balancing item </w:t>
      </w:r>
      <w:r w:rsidR="005B7D12">
        <w:t xml:space="preserve">contains components </w:t>
      </w:r>
      <w:r w:rsidR="002C2F9E">
        <w:t xml:space="preserve">of expenditure </w:t>
      </w:r>
      <w:r w:rsidR="00BF6EAA">
        <w:t>that</w:t>
      </w:r>
      <w:r w:rsidR="005B7D12">
        <w:t xml:space="preserve"> are</w:t>
      </w:r>
      <w:r>
        <w:t xml:space="preserve"> difficult</w:t>
      </w:r>
      <w:r w:rsidR="005B7D12">
        <w:t xml:space="preserve"> </w:t>
      </w:r>
      <w:r>
        <w:t>to</w:t>
      </w:r>
      <w:r w:rsidR="005B7D12">
        <w:t xml:space="preserve"> </w:t>
      </w:r>
      <w:r>
        <w:t>measure</w:t>
      </w:r>
      <w:r w:rsidR="00E733FC">
        <w:t xml:space="preserve">. </w:t>
      </w:r>
      <w:r w:rsidR="005B7D12">
        <w:t>Notional</w:t>
      </w:r>
      <w:r w:rsidR="002C2F9E">
        <w:t>ly</w:t>
      </w:r>
      <w:r>
        <w:t xml:space="preserve"> </w:t>
      </w:r>
      <w:r w:rsidR="002C2F9E">
        <w:t>it</w:t>
      </w:r>
      <w:r>
        <w:t xml:space="preserve"> captures net interstate </w:t>
      </w:r>
      <w:r w:rsidR="005B7D12">
        <w:t xml:space="preserve">trade in goods and services, </w:t>
      </w:r>
      <w:r>
        <w:t>changes in inventories</w:t>
      </w:r>
      <w:r w:rsidR="005B7D12">
        <w:t xml:space="preserve"> and other miscellaneous components</w:t>
      </w:r>
      <w:r w:rsidR="00E733FC">
        <w:t xml:space="preserve">. </w:t>
      </w:r>
      <w:r w:rsidR="005B7D12">
        <w:t xml:space="preserve">The </w:t>
      </w:r>
      <w:r w:rsidR="002C2F9E">
        <w:t xml:space="preserve">ABS </w:t>
      </w:r>
      <w:r w:rsidR="00CA7A33">
        <w:t>estimates</w:t>
      </w:r>
      <w:r w:rsidR="002C2F9E">
        <w:t xml:space="preserve"> GSP on the income side and the </w:t>
      </w:r>
      <w:r w:rsidR="005B7D12">
        <w:t>balancing item is</w:t>
      </w:r>
      <w:r w:rsidR="002F0704">
        <w:t>,</w:t>
      </w:r>
      <w:r w:rsidR="005B7D12">
        <w:t xml:space="preserve"> </w:t>
      </w:r>
      <w:r w:rsidR="00BE0585">
        <w:t>in effect</w:t>
      </w:r>
      <w:r w:rsidR="002F0704">
        <w:t>,</w:t>
      </w:r>
      <w:r w:rsidR="00BE0585">
        <w:t xml:space="preserve"> </w:t>
      </w:r>
      <w:r w:rsidR="005B7D12">
        <w:t xml:space="preserve">the difference between the income </w:t>
      </w:r>
      <w:r w:rsidR="002C2F9E">
        <w:t xml:space="preserve">measure </w:t>
      </w:r>
      <w:r w:rsidR="005B7D12">
        <w:t xml:space="preserve">and </w:t>
      </w:r>
      <w:r w:rsidR="002C2F9E">
        <w:t>all other component</w:t>
      </w:r>
      <w:r w:rsidR="00F955D4">
        <w:t>s</w:t>
      </w:r>
      <w:r w:rsidR="002C2F9E">
        <w:t xml:space="preserve"> of the expenditure measure</w:t>
      </w:r>
      <w:r w:rsidR="005B7D12">
        <w:t xml:space="preserve"> of GSP.</w:t>
      </w:r>
    </w:p>
    <w:p w14:paraId="0CBA7667" w14:textId="77777777" w:rsidR="00B8602D" w:rsidRDefault="001F35F6" w:rsidP="00E0280B">
      <w:pPr>
        <w:pStyle w:val="Heading4NoNum"/>
      </w:pPr>
      <w:r>
        <w:lastRenderedPageBreak/>
        <w:t>M</w:t>
      </w:r>
      <w:r w:rsidR="00AA0CF0">
        <w:t>ethod</w:t>
      </w:r>
    </w:p>
    <w:p w14:paraId="685D14C0" w14:textId="77777777" w:rsidR="005B7D12" w:rsidRDefault="005B7D12" w:rsidP="005B7D12">
      <w:r>
        <w:t>Forecasts for the balancing item are informed by forecasts of GSP gro</w:t>
      </w:r>
      <w:r w:rsidR="001A147E">
        <w:t xml:space="preserve">wth for the other states </w:t>
      </w:r>
      <w:r w:rsidR="00C640AE">
        <w:t>and Victorian</w:t>
      </w:r>
      <w:r>
        <w:t xml:space="preserve"> state final demand growth. However, as Victoria’s balancing item comprises a large and volatile part of its GSP, balancing item forecasts are ultimately reconciled with views of the overall growth rate for Victorian GSP in the context of economic developments.</w:t>
      </w:r>
    </w:p>
    <w:p w14:paraId="55F1EC18" w14:textId="77777777" w:rsidR="002E6E31" w:rsidRDefault="00CE4DFE" w:rsidP="00E0280B">
      <w:pPr>
        <w:pStyle w:val="Heading2"/>
      </w:pPr>
      <w:r>
        <w:t>Employment and unemployment</w:t>
      </w:r>
      <w:r w:rsidR="001A147E">
        <w:t xml:space="preserve"> rate</w:t>
      </w:r>
    </w:p>
    <w:p w14:paraId="3CFB2AE3" w14:textId="77777777" w:rsidR="009272BF" w:rsidRDefault="009272BF" w:rsidP="009272BF">
      <w:r>
        <w:t>DTF forecasts three components of the labour market</w:t>
      </w:r>
      <w:r w:rsidR="00530735">
        <w:t>:</w:t>
      </w:r>
      <w:r>
        <w:t xml:space="preserve"> employment, the unemployment </w:t>
      </w:r>
      <w:proofErr w:type="gramStart"/>
      <w:r>
        <w:t>rate</w:t>
      </w:r>
      <w:proofErr w:type="gramEnd"/>
      <w:r>
        <w:t xml:space="preserve"> and the participation rate.</w:t>
      </w:r>
    </w:p>
    <w:p w14:paraId="0AA91BF6" w14:textId="77777777" w:rsidR="002E6E31" w:rsidRDefault="00B11438" w:rsidP="000D71B8">
      <w:pPr>
        <w:pStyle w:val="Heading4NoNum"/>
      </w:pPr>
      <w:r w:rsidRPr="00B612E8">
        <w:t>D</w:t>
      </w:r>
      <w:r w:rsidR="002E6E31" w:rsidRPr="00B612E8">
        <w:t>efinition</w:t>
      </w:r>
    </w:p>
    <w:p w14:paraId="14A26983" w14:textId="16292D18" w:rsidR="002E6E31" w:rsidRDefault="002E6E31" w:rsidP="002E6E31">
      <w:r w:rsidRPr="00005224">
        <w:t xml:space="preserve">The labour market refers to the interaction between </w:t>
      </w:r>
      <w:r w:rsidR="00BB3E3E">
        <w:t xml:space="preserve">the </w:t>
      </w:r>
      <w:r w:rsidRPr="00005224">
        <w:t xml:space="preserve">supply and demand for labour. The </w:t>
      </w:r>
      <w:r w:rsidR="00404696">
        <w:t>ABS</w:t>
      </w:r>
      <w:r w:rsidRPr="00005224">
        <w:t xml:space="preserve"> </w:t>
      </w:r>
      <w:r w:rsidR="00445A6C">
        <w:t>classifies</w:t>
      </w:r>
      <w:r w:rsidR="00445A6C" w:rsidRPr="00005224">
        <w:t xml:space="preserve"> </w:t>
      </w:r>
      <w:r w:rsidRPr="00005224">
        <w:t xml:space="preserve">the status of an individual as employed, unemployed </w:t>
      </w:r>
      <w:r w:rsidR="00C6367A">
        <w:t xml:space="preserve">or not in </w:t>
      </w:r>
      <w:r w:rsidRPr="00005224">
        <w:t>the labour force.</w:t>
      </w:r>
    </w:p>
    <w:p w14:paraId="35B68275" w14:textId="44B3B288" w:rsidR="00C6367A" w:rsidRDefault="00C6367A" w:rsidP="00C6367A">
      <w:r>
        <w:t xml:space="preserve">Employed persons are those who </w:t>
      </w:r>
      <w:r w:rsidR="00BF6EAA">
        <w:t>undertook</w:t>
      </w:r>
      <w:r>
        <w:t xml:space="preserve"> paid </w:t>
      </w:r>
      <w:r w:rsidR="00BF6EAA">
        <w:t>work</w:t>
      </w:r>
      <w:r>
        <w:t xml:space="preserve"> for one or more </w:t>
      </w:r>
      <w:r w:rsidR="00445A6C">
        <w:t xml:space="preserve">hours </w:t>
      </w:r>
      <w:r>
        <w:t xml:space="preserve">in the </w:t>
      </w:r>
      <w:r w:rsidR="00BF6EAA">
        <w:t xml:space="preserve">reference </w:t>
      </w:r>
      <w:r>
        <w:t>week</w:t>
      </w:r>
      <w:r w:rsidR="00BF6EAA">
        <w:t>, typically the week before</w:t>
      </w:r>
      <w:r>
        <w:t xml:space="preserve"> they were surveyed by the ABS. Unemployed persons are those who did not work in the </w:t>
      </w:r>
      <w:r w:rsidR="00BF6EAA">
        <w:t>survey week but</w:t>
      </w:r>
      <w:r>
        <w:t xml:space="preserve"> were actively looking for work and were available to start work. The unemployment rate is the ratio of unemployed persons to the labour force (the labour force is the sum of employed and unemployed persons). The participation rate is the ratio of the labour force to the civilian population aged 15 years and over.</w:t>
      </w:r>
    </w:p>
    <w:p w14:paraId="35B7A15D" w14:textId="77777777" w:rsidR="00C6367A" w:rsidRDefault="00C6367A" w:rsidP="00C6367A">
      <w:pPr>
        <w:pStyle w:val="Heading4NoNum"/>
      </w:pPr>
      <w:r>
        <w:t>Method</w:t>
      </w:r>
    </w:p>
    <w:p w14:paraId="60B644F9" w14:textId="2C42547D" w:rsidR="00C6367A" w:rsidRDefault="00C6367A" w:rsidP="00C6367A">
      <w:r>
        <w:t>Employment and the unemployment rate are forecast</w:t>
      </w:r>
      <w:r w:rsidR="000F2E72">
        <w:t xml:space="preserve"> using a combination of econometric models and judgement. T</w:t>
      </w:r>
      <w:r>
        <w:t xml:space="preserve">he participation rate is calculated </w:t>
      </w:r>
      <w:r w:rsidR="00EE3F42">
        <w:t>as a residual</w:t>
      </w:r>
      <w:r>
        <w:t>.</w:t>
      </w:r>
      <w:r w:rsidR="00D0581A">
        <w:t xml:space="preserve"> </w:t>
      </w:r>
    </w:p>
    <w:p w14:paraId="4B80FCA4" w14:textId="59F8882F" w:rsidR="00C72EAB" w:rsidRDefault="00F0151F" w:rsidP="00C6367A">
      <w:r>
        <w:t xml:space="preserve">The long-term forecasts </w:t>
      </w:r>
      <w:r w:rsidR="00687BD0">
        <w:t xml:space="preserve">for employment </w:t>
      </w:r>
      <w:r>
        <w:t xml:space="preserve">are based on </w:t>
      </w:r>
      <w:r w:rsidR="00C6367A">
        <w:t xml:space="preserve">historical trends and </w:t>
      </w:r>
      <w:r w:rsidR="00BF6EAA">
        <w:t>projected</w:t>
      </w:r>
      <w:r w:rsidR="00C6367A">
        <w:t xml:space="preserve"> demographic and structural shifts </w:t>
      </w:r>
      <w:r w:rsidR="006A44E1">
        <w:t xml:space="preserve">in the labour force </w:t>
      </w:r>
      <w:r w:rsidR="00C6367A">
        <w:t>(</w:t>
      </w:r>
      <w:r w:rsidR="008D1E12">
        <w:t>e.g.,</w:t>
      </w:r>
      <w:r w:rsidR="00C6367A">
        <w:t xml:space="preserve"> population ageing). </w:t>
      </w:r>
      <w:r w:rsidR="00C72EAB">
        <w:t xml:space="preserve">The short-term forecasts for employment are based on a linear model that considers surveyed hiring intentions and household consumption expenditure. </w:t>
      </w:r>
      <w:r w:rsidR="006C7EFD">
        <w:t>J</w:t>
      </w:r>
      <w:r w:rsidR="00C72EAB">
        <w:t>udgement is used to account for factors that are not fully captured by the model</w:t>
      </w:r>
      <w:r w:rsidR="000F2907">
        <w:t xml:space="preserve"> such as </w:t>
      </w:r>
      <w:r w:rsidR="00C72EAB">
        <w:t>j</w:t>
      </w:r>
      <w:r w:rsidR="00C72EAB" w:rsidRPr="00824B0C">
        <w:t xml:space="preserve">ob </w:t>
      </w:r>
      <w:r w:rsidR="00C72EAB">
        <w:t>v</w:t>
      </w:r>
      <w:r w:rsidR="00C72EAB" w:rsidRPr="00824B0C">
        <w:t>acancies</w:t>
      </w:r>
      <w:r w:rsidR="00C72EAB">
        <w:t>, job advertisements</w:t>
      </w:r>
      <w:r w:rsidR="007801F9">
        <w:t>,</w:t>
      </w:r>
      <w:r w:rsidR="00C72EAB">
        <w:t xml:space="preserve"> surveyed unemployment expectations</w:t>
      </w:r>
      <w:r w:rsidR="007801F9">
        <w:t xml:space="preserve"> </w:t>
      </w:r>
      <w:r w:rsidR="007801F9" w:rsidRPr="004D6F0C">
        <w:t>and the effects of government policy changes</w:t>
      </w:r>
      <w:r w:rsidR="00C72EAB" w:rsidRPr="004D6F0C">
        <w:t>.</w:t>
      </w:r>
    </w:p>
    <w:p w14:paraId="2E6906E8" w14:textId="361321A4" w:rsidR="00F66BFE" w:rsidRDefault="00C6367A" w:rsidP="00C6367A">
      <w:r>
        <w:t xml:space="preserve">The unemployment rate is estimated using a linear model that </w:t>
      </w:r>
      <w:r w:rsidR="003A404E">
        <w:t>considers</w:t>
      </w:r>
      <w:r>
        <w:t xml:space="preserve"> the unemployment gap</w:t>
      </w:r>
      <w:r w:rsidR="002D5AD7">
        <w:t xml:space="preserve">. The unemployment gap is the difference </w:t>
      </w:r>
      <w:r>
        <w:t xml:space="preserve">between the unemployment rate and the </w:t>
      </w:r>
      <w:r w:rsidR="002D5AD7">
        <w:t xml:space="preserve">estimated </w:t>
      </w:r>
      <w:r w:rsidR="00FB49FD">
        <w:t xml:space="preserve">trend </w:t>
      </w:r>
      <w:r>
        <w:t xml:space="preserve">rate of unemployment. </w:t>
      </w:r>
      <w:r w:rsidR="00BD0220">
        <w:t xml:space="preserve">The </w:t>
      </w:r>
      <w:r w:rsidR="00FB49FD">
        <w:t xml:space="preserve">trend </w:t>
      </w:r>
      <w:r w:rsidR="00567BDE">
        <w:t xml:space="preserve">rate of unemployment is estimated using a model that considers </w:t>
      </w:r>
      <w:r w:rsidR="007A32ED">
        <w:t xml:space="preserve">structural factors in the labour market. </w:t>
      </w:r>
    </w:p>
    <w:p w14:paraId="0E3AB845" w14:textId="77777777" w:rsidR="00C6367A" w:rsidRDefault="0005601B" w:rsidP="00C6367A">
      <w:r>
        <w:t xml:space="preserve">Judgement is used to </w:t>
      </w:r>
      <w:r w:rsidR="00C6367A">
        <w:t xml:space="preserve">reconcile </w:t>
      </w:r>
      <w:r>
        <w:t xml:space="preserve">the labour market forecasts with the </w:t>
      </w:r>
      <w:r w:rsidR="00C6367A">
        <w:t>overall economic outlook as labour is an important factor of production.</w:t>
      </w:r>
    </w:p>
    <w:p w14:paraId="7DBBD534" w14:textId="77777777" w:rsidR="00C6367A" w:rsidRDefault="00C6367A" w:rsidP="00C6367A">
      <w:pPr>
        <w:pStyle w:val="Heading4NoNum"/>
      </w:pPr>
      <w:r w:rsidRPr="00005224">
        <w:t>Data sources</w:t>
      </w:r>
    </w:p>
    <w:p w14:paraId="29EF1731" w14:textId="2E60D390" w:rsidR="00C6367A" w:rsidRDefault="00C6367A" w:rsidP="00C6367A">
      <w:r w:rsidRPr="00005224">
        <w:t>The working</w:t>
      </w:r>
      <w:r w:rsidR="0012001A">
        <w:t>-</w:t>
      </w:r>
      <w:r w:rsidRPr="00005224">
        <w:t>age population</w:t>
      </w:r>
      <w:r w:rsidR="00EA51AD">
        <w:t xml:space="preserve"> and its components (employed, unemployed and those not in the labour force)</w:t>
      </w:r>
      <w:r w:rsidRPr="00005224">
        <w:t xml:space="preserve"> </w:t>
      </w:r>
      <w:r w:rsidR="00EA51AD">
        <w:t>are</w:t>
      </w:r>
      <w:r w:rsidRPr="00005224">
        <w:t xml:space="preserve"> included in the </w:t>
      </w:r>
      <w:r>
        <w:t xml:space="preserve">ABS </w:t>
      </w:r>
      <w:r w:rsidRPr="00005224">
        <w:t xml:space="preserve">Labour Force </w:t>
      </w:r>
      <w:r>
        <w:t>Survey</w:t>
      </w:r>
      <w:r w:rsidRPr="00005224">
        <w:t xml:space="preserve">. The data </w:t>
      </w:r>
      <w:r>
        <w:t>are</w:t>
      </w:r>
      <w:r w:rsidRPr="00005224">
        <w:t xml:space="preserve"> released monthly.</w:t>
      </w:r>
      <w:r>
        <w:t xml:space="preserve"> </w:t>
      </w:r>
      <w:r w:rsidRPr="003436F5">
        <w:t>Forecasts of population growth are underpinned by populati</w:t>
      </w:r>
      <w:r>
        <w:t>on projections described below.</w:t>
      </w:r>
    </w:p>
    <w:p w14:paraId="54596A79" w14:textId="1DFCD88A" w:rsidR="00C6367A" w:rsidRDefault="00C6367A" w:rsidP="00C6367A">
      <w:r>
        <w:t>Job vacancies data reported in the ABS</w:t>
      </w:r>
      <w:r w:rsidRPr="00B14106">
        <w:t xml:space="preserve"> </w:t>
      </w:r>
      <w:r w:rsidRPr="00403F8C">
        <w:t>Job Vacancies</w:t>
      </w:r>
      <w:r>
        <w:t xml:space="preserve"> series and the Commonwealth Department of </w:t>
      </w:r>
      <w:r w:rsidR="00AC37ED">
        <w:t>Jobs and Small Business</w:t>
      </w:r>
      <w:r>
        <w:t xml:space="preserve"> monthly Internet Vacancy Index. Average weekly earnings data are sourced from the ABS publication of the same name. Measures of firm hiring intentions (quarterly, original data) </w:t>
      </w:r>
      <w:r w:rsidR="00EA51AD">
        <w:t>are sourced from the NAB Business Survey</w:t>
      </w:r>
      <w:r w:rsidR="0012001A">
        <w:t>,</w:t>
      </w:r>
      <w:r w:rsidR="00EA51AD">
        <w:t xml:space="preserve"> </w:t>
      </w:r>
      <w:r>
        <w:t>and consumer unemployment expectations (monthly, original data)</w:t>
      </w:r>
      <w:r w:rsidR="00EA51AD" w:rsidRPr="00EA51AD">
        <w:t xml:space="preserve"> </w:t>
      </w:r>
      <w:r w:rsidR="00EA51AD">
        <w:t>are sourced from the Westpac</w:t>
      </w:r>
      <w:r w:rsidR="009972E7">
        <w:t>-</w:t>
      </w:r>
      <w:r w:rsidR="00EA51AD">
        <w:t>Melbourne Institute Consumer Sentiment survey</w:t>
      </w:r>
      <w:r>
        <w:t>.</w:t>
      </w:r>
    </w:p>
    <w:p w14:paraId="05567C3A" w14:textId="77777777" w:rsidR="002E6E31" w:rsidRDefault="00A9516B" w:rsidP="00E733FC">
      <w:pPr>
        <w:pStyle w:val="Heading2"/>
      </w:pPr>
      <w:r>
        <w:lastRenderedPageBreak/>
        <w:t>W</w:t>
      </w:r>
      <w:r w:rsidR="002E6E31" w:rsidRPr="00484131">
        <w:t>age</w:t>
      </w:r>
      <w:r w:rsidR="006231CF">
        <w:t>s</w:t>
      </w:r>
      <w:r w:rsidR="002E6E31" w:rsidRPr="00484131">
        <w:t xml:space="preserve"> </w:t>
      </w:r>
      <w:r w:rsidR="009152B3">
        <w:t>growth</w:t>
      </w:r>
    </w:p>
    <w:p w14:paraId="61E86F7F" w14:textId="77777777" w:rsidR="002E6E31" w:rsidRDefault="00B11438" w:rsidP="006E3CDB">
      <w:pPr>
        <w:pStyle w:val="Heading4NoNum"/>
      </w:pPr>
      <w:r>
        <w:t>D</w:t>
      </w:r>
      <w:r w:rsidR="002E6E31">
        <w:t>efinition</w:t>
      </w:r>
    </w:p>
    <w:p w14:paraId="2D0A3E58" w14:textId="5ED9FC3D" w:rsidR="002E6E31" w:rsidRPr="006231CF" w:rsidRDefault="002E6E31" w:rsidP="002E6E31">
      <w:r w:rsidRPr="00484131">
        <w:t>The</w:t>
      </w:r>
      <w:r w:rsidR="00203736">
        <w:t xml:space="preserve"> Wage Price Index</w:t>
      </w:r>
      <w:r w:rsidRPr="00484131">
        <w:t xml:space="preserve"> </w:t>
      </w:r>
      <w:r w:rsidR="00203736">
        <w:t>(</w:t>
      </w:r>
      <w:r w:rsidRPr="00484131">
        <w:t>WPI</w:t>
      </w:r>
      <w:r w:rsidR="00203736">
        <w:t>)</w:t>
      </w:r>
      <w:r w:rsidR="00F955D4">
        <w:t xml:space="preserve"> </w:t>
      </w:r>
      <w:r w:rsidRPr="00484131">
        <w:t xml:space="preserve">is the ‘total hourly rate of pay excluding bonuses index’. </w:t>
      </w:r>
      <w:r w:rsidR="00F955D4">
        <w:t xml:space="preserve">It </w:t>
      </w:r>
      <w:r w:rsidRPr="00484131">
        <w:t xml:space="preserve">is based on a weighted combination of ordinary time hourly wage and salary rates and overtime hourly rates. As a result, </w:t>
      </w:r>
      <w:r>
        <w:t>it</w:t>
      </w:r>
      <w:r w:rsidRPr="00484131">
        <w:t xml:space="preserve"> reflects changes in both the ordinary time and </w:t>
      </w:r>
      <w:r w:rsidR="0092556D">
        <w:t xml:space="preserve">regular </w:t>
      </w:r>
      <w:r w:rsidRPr="00484131">
        <w:t xml:space="preserve">overtime hourly rates. Bonuses are excluded </w:t>
      </w:r>
      <w:r w:rsidR="00CA3FA5">
        <w:t>since they,</w:t>
      </w:r>
      <w:r w:rsidRPr="00484131">
        <w:t xml:space="preserve"> and commission payments</w:t>
      </w:r>
      <w:r w:rsidR="00CA3FA5">
        <w:t>,</w:t>
      </w:r>
      <w:r w:rsidRPr="00484131">
        <w:t xml:space="preserve"> can reflect changes in the quality of work performed.</w:t>
      </w:r>
    </w:p>
    <w:p w14:paraId="7D067C53" w14:textId="77777777" w:rsidR="002E6E31" w:rsidRDefault="00B11438" w:rsidP="006E3CDB">
      <w:pPr>
        <w:pStyle w:val="Heading4NoNum"/>
      </w:pPr>
      <w:r>
        <w:t>M</w:t>
      </w:r>
      <w:r w:rsidR="002E6E31">
        <w:t>ethod</w:t>
      </w:r>
    </w:p>
    <w:p w14:paraId="7CDC6B7E" w14:textId="37CF0195" w:rsidR="00D610BB" w:rsidRDefault="00D610BB" w:rsidP="00D610BB">
      <w:r>
        <w:t xml:space="preserve">Adjustments to the wage growth forecasts are made with reference to </w:t>
      </w:r>
      <w:proofErr w:type="gramStart"/>
      <w:r>
        <w:t>a number of</w:t>
      </w:r>
      <w:proofErr w:type="gramEnd"/>
      <w:r>
        <w:t xml:space="preserve"> labour market estimates from the ABS as well as forward indicators. Given lags involved in wage setting, employment growth and the unemployment rate provide a guide to future wage growth. </w:t>
      </w:r>
      <w:r w:rsidR="0089427C">
        <w:t xml:space="preserve">In addition, leading indicators used include the Commonwealth Department of </w:t>
      </w:r>
      <w:r w:rsidR="00203736">
        <w:t xml:space="preserve">Jobs and Small Business </w:t>
      </w:r>
      <w:r w:rsidR="0089427C" w:rsidRPr="00A3039D">
        <w:rPr>
          <w:i/>
        </w:rPr>
        <w:t>Trends in Federal Enterprise Bargaining</w:t>
      </w:r>
      <w:r w:rsidR="0089427C">
        <w:t xml:space="preserve"> report</w:t>
      </w:r>
      <w:r w:rsidR="00762FF2">
        <w:t xml:space="preserve"> and</w:t>
      </w:r>
      <w:r w:rsidR="0089427C">
        <w:t xml:space="preserve"> ABS </w:t>
      </w:r>
      <w:r w:rsidR="0089427C" w:rsidRPr="00F955D4">
        <w:rPr>
          <w:i/>
        </w:rPr>
        <w:t>Job Vacancies</w:t>
      </w:r>
      <w:r w:rsidR="0089427C">
        <w:t xml:space="preserve"> </w:t>
      </w:r>
      <w:r w:rsidR="00E654C3">
        <w:t>(</w:t>
      </w:r>
      <w:r w:rsidR="00C640AE">
        <w:t>catalogue</w:t>
      </w:r>
      <w:r w:rsidR="00C640AE" w:rsidRPr="00005224">
        <w:t xml:space="preserve"> </w:t>
      </w:r>
      <w:r w:rsidR="00E654C3">
        <w:t>6354.0)</w:t>
      </w:r>
      <w:r w:rsidR="00762FF2">
        <w:t>.</w:t>
      </w:r>
    </w:p>
    <w:p w14:paraId="2F14BDFB" w14:textId="77777777" w:rsidR="002E6E31" w:rsidRDefault="002E6E31" w:rsidP="002E6E31">
      <w:r w:rsidRPr="000365A0">
        <w:t xml:space="preserve">DTF forecasts quarterly movements </w:t>
      </w:r>
      <w:r>
        <w:t>of</w:t>
      </w:r>
      <w:r w:rsidRPr="000365A0">
        <w:t xml:space="preserve"> the </w:t>
      </w:r>
      <w:r>
        <w:t xml:space="preserve">WPI with </w:t>
      </w:r>
      <w:r w:rsidRPr="000365A0">
        <w:t>an augmented Phillips</w:t>
      </w:r>
      <w:r w:rsidR="00E733FC">
        <w:noBreakHyphen/>
      </w:r>
      <w:r w:rsidRPr="000365A0">
        <w:t xml:space="preserve">curve model which has the wage price index as a function of inflation, inflation expectations and the unemployment rate. </w:t>
      </w:r>
    </w:p>
    <w:p w14:paraId="49C90DBD" w14:textId="4CCAAAA6" w:rsidR="002E6E31" w:rsidRDefault="002E6E31" w:rsidP="002E6E31">
      <w:r w:rsidRPr="000365A0">
        <w:t>Higher inflation means higher living costs, which lead</w:t>
      </w:r>
      <w:r>
        <w:t>s</w:t>
      </w:r>
      <w:r w:rsidRPr="000365A0">
        <w:t xml:space="preserve"> to higher wage claims. </w:t>
      </w:r>
      <w:r w:rsidR="00762FF2">
        <w:t xml:space="preserve">It also enables businesses to afford to pay their workers higher wages. </w:t>
      </w:r>
      <w:r w:rsidRPr="000365A0">
        <w:t xml:space="preserve">A lower unemployment rate reflects strong demand for labour and more </w:t>
      </w:r>
      <w:r w:rsidR="00A275E1">
        <w:t>firms</w:t>
      </w:r>
      <w:r w:rsidRPr="000365A0">
        <w:t xml:space="preserve"> bargain</w:t>
      </w:r>
      <w:r w:rsidR="00A275E1">
        <w:t>ing</w:t>
      </w:r>
      <w:r w:rsidRPr="000365A0">
        <w:t xml:space="preserve"> </w:t>
      </w:r>
      <w:r w:rsidR="00A275E1">
        <w:t>to attract suitable employees</w:t>
      </w:r>
      <w:r w:rsidR="0057237A">
        <w:t xml:space="preserve"> with higher wages</w:t>
      </w:r>
      <w:r w:rsidRPr="000365A0">
        <w:t>. The model has a dummy variable for the September quarter (</w:t>
      </w:r>
      <w:r>
        <w:t xml:space="preserve">the </w:t>
      </w:r>
      <w:r w:rsidR="00762FF2">
        <w:t>period when</w:t>
      </w:r>
      <w:r>
        <w:t xml:space="preserve"> </w:t>
      </w:r>
      <w:r w:rsidR="0057237A">
        <w:t xml:space="preserve">annual </w:t>
      </w:r>
      <w:r w:rsidRPr="000365A0">
        <w:t>minimum wage decisions</w:t>
      </w:r>
      <w:r>
        <w:t xml:space="preserve"> </w:t>
      </w:r>
      <w:r w:rsidR="007F5E5B">
        <w:t xml:space="preserve">typically </w:t>
      </w:r>
      <w:r w:rsidR="00762FF2">
        <w:t>come into effect</w:t>
      </w:r>
      <w:r w:rsidRPr="000365A0">
        <w:t>).</w:t>
      </w:r>
    </w:p>
    <w:p w14:paraId="4120F768" w14:textId="77777777" w:rsidR="00D40336" w:rsidRPr="00DC1CC2" w:rsidRDefault="00D40336" w:rsidP="002E6E31">
      <w:r w:rsidRPr="00DC1CC2">
        <w:t xml:space="preserve">The trend value of wage growth is given by the trend growth for inflation </w:t>
      </w:r>
      <w:r w:rsidR="00762FF2" w:rsidRPr="00DC1CC2">
        <w:t>plus average growth in</w:t>
      </w:r>
      <w:r w:rsidRPr="00DC1CC2">
        <w:t xml:space="preserve"> labour productivity.</w:t>
      </w:r>
    </w:p>
    <w:p w14:paraId="28C03244" w14:textId="77777777" w:rsidR="002E6E31" w:rsidRPr="00DC1CC2" w:rsidRDefault="002E6E31" w:rsidP="006E3CDB">
      <w:pPr>
        <w:pStyle w:val="Heading4NoNum"/>
      </w:pPr>
      <w:r w:rsidRPr="00DC1CC2">
        <w:t xml:space="preserve">Data </w:t>
      </w:r>
      <w:r w:rsidR="006E3CDB" w:rsidRPr="00DC1CC2">
        <w:t>s</w:t>
      </w:r>
      <w:r w:rsidRPr="00DC1CC2">
        <w:t>ources</w:t>
      </w:r>
    </w:p>
    <w:p w14:paraId="70551A3D" w14:textId="7587DCC9" w:rsidR="002E6E31" w:rsidRDefault="003C102A" w:rsidP="002E6E31">
      <w:r w:rsidRPr="00DC1CC2">
        <w:t>Historical values of the WPI index are sourced from</w:t>
      </w:r>
      <w:r w:rsidR="00855DB5" w:rsidRPr="00DC1CC2">
        <w:t xml:space="preserve"> ABS.</w:t>
      </w:r>
      <w:r w:rsidR="00862EEA" w:rsidRPr="00DC1CC2">
        <w:t xml:space="preserve"> </w:t>
      </w:r>
      <w:r w:rsidR="00327E0A" w:rsidRPr="00DC1CC2">
        <w:t xml:space="preserve">Inflation data are </w:t>
      </w:r>
      <w:r w:rsidR="00A3039D" w:rsidRPr="00DC1CC2">
        <w:t xml:space="preserve">sourced from </w:t>
      </w:r>
      <w:r w:rsidR="00A63265" w:rsidRPr="00DC1CC2">
        <w:t xml:space="preserve">the </w:t>
      </w:r>
      <w:r w:rsidR="00404696" w:rsidRPr="00DC1CC2">
        <w:t>ABS</w:t>
      </w:r>
      <w:r w:rsidR="00327E0A" w:rsidRPr="00DC1CC2">
        <w:t xml:space="preserve">, </w:t>
      </w:r>
      <w:r w:rsidR="00327E0A" w:rsidRPr="00DC1CC2">
        <w:rPr>
          <w:i/>
        </w:rPr>
        <w:t>Consumer Price Index</w:t>
      </w:r>
      <w:r w:rsidR="002E6E31" w:rsidRPr="00DC1CC2">
        <w:t xml:space="preserve"> and </w:t>
      </w:r>
      <w:r w:rsidR="00762FF2" w:rsidRPr="00DC1CC2">
        <w:t>are</w:t>
      </w:r>
      <w:r w:rsidR="002E6E31" w:rsidRPr="00DC1CC2">
        <w:t xml:space="preserve"> released on a quarterly basis.</w:t>
      </w:r>
      <w:r w:rsidR="00D05375" w:rsidRPr="00DC1CC2">
        <w:t xml:space="preserve"> </w:t>
      </w:r>
      <w:r w:rsidR="002E6E31" w:rsidRPr="00DC1CC2">
        <w:t xml:space="preserve">The unemployment rate is sourced from </w:t>
      </w:r>
      <w:r w:rsidR="00404696" w:rsidRPr="00DC1CC2">
        <w:t>ABS</w:t>
      </w:r>
      <w:r w:rsidR="00E654C3" w:rsidRPr="00DC1CC2">
        <w:t xml:space="preserve">, </w:t>
      </w:r>
      <w:r w:rsidR="00E654C3" w:rsidRPr="00DC1CC2">
        <w:rPr>
          <w:i/>
        </w:rPr>
        <w:t>Labour Force</w:t>
      </w:r>
      <w:r w:rsidR="002E6E31" w:rsidRPr="00DC1CC2">
        <w:t xml:space="preserve"> and converted from </w:t>
      </w:r>
      <w:r w:rsidR="0057237A" w:rsidRPr="00DC1CC2">
        <w:t xml:space="preserve">a </w:t>
      </w:r>
      <w:r w:rsidR="002E6E31" w:rsidRPr="00DC1CC2">
        <w:t>monthly to</w:t>
      </w:r>
      <w:r w:rsidR="002E6E31" w:rsidRPr="00472431">
        <w:t xml:space="preserve"> a quarterly basis. </w:t>
      </w:r>
      <w:r w:rsidR="00617FBC">
        <w:t>The method</w:t>
      </w:r>
      <w:r w:rsidR="00327E0A">
        <w:t>s</w:t>
      </w:r>
      <w:r w:rsidR="00617FBC">
        <w:t xml:space="preserve"> for making </w:t>
      </w:r>
      <w:r w:rsidR="00327E0A">
        <w:t>inflation</w:t>
      </w:r>
      <w:r w:rsidR="00D05375">
        <w:t xml:space="preserve"> and unemployment rate </w:t>
      </w:r>
      <w:r w:rsidR="00617FBC">
        <w:t>f</w:t>
      </w:r>
      <w:r w:rsidR="00617FBC" w:rsidRPr="00472431">
        <w:t xml:space="preserve">orecasts </w:t>
      </w:r>
      <w:r w:rsidR="00327E0A">
        <w:t>are</w:t>
      </w:r>
      <w:r w:rsidR="00617FBC">
        <w:t xml:space="preserve"> described elsewhere in this paper</w:t>
      </w:r>
      <w:r w:rsidR="00617FBC" w:rsidRPr="00472431">
        <w:t xml:space="preserve">. </w:t>
      </w:r>
      <w:r w:rsidR="002E6E31" w:rsidRPr="00472431">
        <w:t xml:space="preserve">Inflation expectations are </w:t>
      </w:r>
      <w:r w:rsidR="00A275E1">
        <w:t>derived using</w:t>
      </w:r>
      <w:r w:rsidR="00A275E1" w:rsidRPr="00472431">
        <w:t xml:space="preserve"> </w:t>
      </w:r>
      <w:r w:rsidR="002E6E31" w:rsidRPr="00472431">
        <w:t>Commonwealth 10</w:t>
      </w:r>
      <w:r w:rsidR="00E733FC">
        <w:noBreakHyphen/>
      </w:r>
      <w:r w:rsidR="002E6E31" w:rsidRPr="00472431">
        <w:t>year bond and indexed bond</w:t>
      </w:r>
      <w:r w:rsidR="00A275E1">
        <w:t xml:space="preserve"> yield</w:t>
      </w:r>
      <w:r w:rsidR="002E6E31" w:rsidRPr="00472431">
        <w:t xml:space="preserve">s. </w:t>
      </w:r>
      <w:r w:rsidR="00A63265">
        <w:t>The projection method is described below.</w:t>
      </w:r>
      <w:r w:rsidR="002E6E31" w:rsidRPr="00472431">
        <w:t xml:space="preserve"> </w:t>
      </w:r>
    </w:p>
    <w:p w14:paraId="0BDC9791" w14:textId="7218844F" w:rsidR="002E6E31" w:rsidRDefault="002E6E31" w:rsidP="002E6E31">
      <w:r w:rsidRPr="00472431">
        <w:t>The value of the minimum wage dummy is determined by the timing of the annual minimum wage decision made by Fair Work Australia.</w:t>
      </w:r>
      <w:r w:rsidR="00D05375">
        <w:t xml:space="preserve"> </w:t>
      </w:r>
      <w:r w:rsidR="00D05375" w:rsidRPr="00D05375">
        <w:t>The</w:t>
      </w:r>
      <w:r w:rsidR="00762FF2">
        <w:t>ir</w:t>
      </w:r>
      <w:r w:rsidR="00D05375" w:rsidRPr="00D05375">
        <w:t xml:space="preserve"> </w:t>
      </w:r>
      <w:r w:rsidR="00762FF2">
        <w:t>N</w:t>
      </w:r>
      <w:r w:rsidR="00D05375">
        <w:t xml:space="preserve">ational </w:t>
      </w:r>
      <w:r w:rsidR="00762FF2">
        <w:t>M</w:t>
      </w:r>
      <w:r w:rsidR="00D05375">
        <w:t xml:space="preserve">inimum </w:t>
      </w:r>
      <w:r w:rsidR="00762FF2">
        <w:t>W</w:t>
      </w:r>
      <w:r w:rsidR="00D05375">
        <w:t xml:space="preserve">age </w:t>
      </w:r>
      <w:r w:rsidR="00762FF2">
        <w:t>O</w:t>
      </w:r>
      <w:r w:rsidR="00D05375" w:rsidRPr="00D05375">
        <w:t>rder</w:t>
      </w:r>
      <w:r w:rsidR="00A63265">
        <w:t>s</w:t>
      </w:r>
      <w:r w:rsidR="00D05375" w:rsidRPr="00D05375">
        <w:t xml:space="preserve"> generally come into operation on 1 July.</w:t>
      </w:r>
      <w:r w:rsidRPr="00472431">
        <w:t xml:space="preserve"> For the first quarter in which the decision will affect wages</w:t>
      </w:r>
      <w:r w:rsidR="00D05375">
        <w:t xml:space="preserve"> (September quarter)</w:t>
      </w:r>
      <w:r w:rsidRPr="00472431">
        <w:t xml:space="preserve">, the value is </w:t>
      </w:r>
      <w:r w:rsidR="00A63265">
        <w:t>one</w:t>
      </w:r>
      <w:r w:rsidR="0057237A">
        <w:t>;</w:t>
      </w:r>
      <w:r w:rsidRPr="00472431">
        <w:t xml:space="preserve"> for all other quarters the value is </w:t>
      </w:r>
      <w:r w:rsidR="00A63265">
        <w:t>zero</w:t>
      </w:r>
      <w:r w:rsidRPr="00472431">
        <w:t>.</w:t>
      </w:r>
    </w:p>
    <w:p w14:paraId="28AF3D77" w14:textId="77777777" w:rsidR="000544FA" w:rsidRDefault="009C316A" w:rsidP="00E733FC">
      <w:pPr>
        <w:pStyle w:val="Heading2"/>
      </w:pPr>
      <w:r>
        <w:t>C</w:t>
      </w:r>
      <w:r w:rsidR="009152B3">
        <w:t>onsumer prices</w:t>
      </w:r>
      <w:r>
        <w:t xml:space="preserve"> growth</w:t>
      </w:r>
    </w:p>
    <w:p w14:paraId="65D5C303" w14:textId="77777777" w:rsidR="000544FA" w:rsidRDefault="00B11438" w:rsidP="006E3CDB">
      <w:pPr>
        <w:pStyle w:val="Heading4NoNum"/>
      </w:pPr>
      <w:r>
        <w:t>D</w:t>
      </w:r>
      <w:r w:rsidR="000544FA">
        <w:t>efinition</w:t>
      </w:r>
    </w:p>
    <w:p w14:paraId="54A7408D" w14:textId="026089D4" w:rsidR="000544FA" w:rsidRDefault="0089427C" w:rsidP="000544FA">
      <w:r w:rsidRPr="00005224">
        <w:t xml:space="preserve">Inflation is the </w:t>
      </w:r>
      <w:r>
        <w:t xml:space="preserve">general </w:t>
      </w:r>
      <w:r w:rsidRPr="00005224">
        <w:t xml:space="preserve">increase in the prices </w:t>
      </w:r>
      <w:r w:rsidR="004C4C1C" w:rsidRPr="00005224">
        <w:t>of goods</w:t>
      </w:r>
      <w:r w:rsidRPr="00005224">
        <w:t xml:space="preserve"> and services over time. </w:t>
      </w:r>
      <w:r w:rsidR="000544FA" w:rsidRPr="00005224">
        <w:t>It is measured by change</w:t>
      </w:r>
      <w:r w:rsidR="006D177C">
        <w:t>s</w:t>
      </w:r>
      <w:r w:rsidR="000544FA" w:rsidRPr="00005224">
        <w:t xml:space="preserve"> in the </w:t>
      </w:r>
      <w:r w:rsidR="000544FA">
        <w:t xml:space="preserve">Melbourne </w:t>
      </w:r>
      <w:r w:rsidR="00C31CF2">
        <w:t>C</w:t>
      </w:r>
      <w:r w:rsidR="009C316A">
        <w:t xml:space="preserve">onsumer </w:t>
      </w:r>
      <w:r w:rsidR="00C31CF2">
        <w:t>P</w:t>
      </w:r>
      <w:r w:rsidR="009C316A">
        <w:t xml:space="preserve">rice </w:t>
      </w:r>
      <w:r w:rsidR="00C31CF2">
        <w:t>I</w:t>
      </w:r>
      <w:r w:rsidR="009C316A">
        <w:t>ndex (</w:t>
      </w:r>
      <w:r w:rsidR="000544FA" w:rsidRPr="00005224">
        <w:t>CPI</w:t>
      </w:r>
      <w:r w:rsidR="009C316A">
        <w:t>)</w:t>
      </w:r>
      <w:r w:rsidR="003827C6">
        <w:t>,</w:t>
      </w:r>
      <w:r w:rsidR="000544FA" w:rsidRPr="00005224">
        <w:t xml:space="preserve"> which captures the price movements of a fixed basket of goods and services consumed by metropolitan households. For DTF</w:t>
      </w:r>
      <w:r w:rsidR="003D6CFF">
        <w:t>’</w:t>
      </w:r>
      <w:r w:rsidR="000544FA" w:rsidRPr="00005224">
        <w:t xml:space="preserve">s forecasting purposes, the CPI </w:t>
      </w:r>
      <w:r w:rsidR="00D4703C">
        <w:t>categories</w:t>
      </w:r>
      <w:r w:rsidR="00D4703C" w:rsidRPr="00005224">
        <w:t xml:space="preserve"> </w:t>
      </w:r>
      <w:r w:rsidR="000544FA" w:rsidRPr="00005224">
        <w:t xml:space="preserve">for Melbourne have been differentiated into </w:t>
      </w:r>
      <w:r w:rsidR="00404696">
        <w:t>m</w:t>
      </w:r>
      <w:r w:rsidR="000544FA" w:rsidRPr="00005224">
        <w:t xml:space="preserve">arket </w:t>
      </w:r>
      <w:r w:rsidR="00404696">
        <w:t>g</w:t>
      </w:r>
      <w:r w:rsidR="000544FA" w:rsidRPr="00005224">
        <w:t xml:space="preserve">oods and </w:t>
      </w:r>
      <w:r w:rsidR="00404696">
        <w:t>s</w:t>
      </w:r>
      <w:r w:rsidR="000544FA" w:rsidRPr="00005224">
        <w:t xml:space="preserve">ervices </w:t>
      </w:r>
      <w:r w:rsidR="0015332F">
        <w:t xml:space="preserve">(excluding volatile items) </w:t>
      </w:r>
      <w:r w:rsidR="00994EBD">
        <w:t xml:space="preserve">and </w:t>
      </w:r>
      <w:r w:rsidR="00463E93">
        <w:t xml:space="preserve">all </w:t>
      </w:r>
      <w:r w:rsidR="006D177C">
        <w:t xml:space="preserve">other </w:t>
      </w:r>
      <w:r w:rsidR="000544FA" w:rsidRPr="00005224">
        <w:t>items.</w:t>
      </w:r>
    </w:p>
    <w:p w14:paraId="2F6441BB" w14:textId="51AEEE1C" w:rsidR="000544FA" w:rsidRDefault="00336E74" w:rsidP="000544FA">
      <w:r>
        <w:t>M</w:t>
      </w:r>
      <w:r w:rsidRPr="00336E74">
        <w:t xml:space="preserve">arket goods and services </w:t>
      </w:r>
      <w:r w:rsidR="000544FA" w:rsidRPr="00005224">
        <w:t xml:space="preserve">captures the types of goods and services </w:t>
      </w:r>
      <w:r w:rsidR="00193624">
        <w:t xml:space="preserve">typically </w:t>
      </w:r>
      <w:r w:rsidR="000544FA" w:rsidRPr="00005224">
        <w:t xml:space="preserve">driven by </w:t>
      </w:r>
      <w:r w:rsidR="0015332F">
        <w:t xml:space="preserve">market </w:t>
      </w:r>
      <w:r w:rsidR="000544FA" w:rsidRPr="00005224">
        <w:t xml:space="preserve">factors </w:t>
      </w:r>
      <w:r w:rsidR="0015332F">
        <w:t xml:space="preserve">(excluding volatile items) </w:t>
      </w:r>
      <w:r w:rsidR="000544FA" w:rsidRPr="00005224">
        <w:t xml:space="preserve">and consists of all CPI groups except for the following: automotive fuel, fruit and vegetables, utilities, property rates and charges, </w:t>
      </w:r>
      <w:r w:rsidR="003F09CD" w:rsidRPr="00005224">
        <w:t>childcare</w:t>
      </w:r>
      <w:r w:rsidR="000544FA" w:rsidRPr="00005224">
        <w:t xml:space="preserve">, health, other services in respect of motor </w:t>
      </w:r>
      <w:r w:rsidR="000544FA" w:rsidRPr="00005224">
        <w:lastRenderedPageBreak/>
        <w:t xml:space="preserve">vehicles, urban transport fares, postal services, and education. The excluded items represent those which </w:t>
      </w:r>
      <w:r w:rsidR="0012562C">
        <w:t>are more heavily influenced by non-market factors (such as administered price changes)</w:t>
      </w:r>
      <w:r w:rsidR="000544FA" w:rsidRPr="00005224">
        <w:t xml:space="preserve"> or </w:t>
      </w:r>
      <w:r w:rsidR="0012562C">
        <w:t xml:space="preserve">exhibit </w:t>
      </w:r>
      <w:r w:rsidR="000544FA" w:rsidRPr="00005224">
        <w:t xml:space="preserve">volatility </w:t>
      </w:r>
      <w:proofErr w:type="gramStart"/>
      <w:r w:rsidR="000544FA" w:rsidRPr="00005224">
        <w:t>as a result of</w:t>
      </w:r>
      <w:proofErr w:type="gramEnd"/>
      <w:r w:rsidR="000544FA" w:rsidRPr="00005224">
        <w:t xml:space="preserve"> supply</w:t>
      </w:r>
      <w:r w:rsidR="00E733FC">
        <w:noBreakHyphen/>
      </w:r>
      <w:r w:rsidR="000544FA" w:rsidRPr="00005224">
        <w:t>side factors</w:t>
      </w:r>
      <w:r w:rsidR="007D6D22">
        <w:t xml:space="preserve"> (automotive fuel, and fruit and vegetables)</w:t>
      </w:r>
      <w:r w:rsidR="000544FA" w:rsidRPr="00005224">
        <w:t>.</w:t>
      </w:r>
      <w:r w:rsidR="00C719DC">
        <w:t xml:space="preserve"> </w:t>
      </w:r>
    </w:p>
    <w:p w14:paraId="7E14DE81" w14:textId="5B6FAE1B" w:rsidR="00386F94" w:rsidRDefault="00707A38" w:rsidP="000544FA">
      <w:r>
        <w:t xml:space="preserve">The trend </w:t>
      </w:r>
      <w:r w:rsidRPr="00DC1CC2">
        <w:t>value of consumer price growth is estimated to correspond to the mid-point of the RBA</w:t>
      </w:r>
      <w:r w:rsidR="00E72AC5" w:rsidRPr="00DC1CC2">
        <w:t xml:space="preserve">’s inflation </w:t>
      </w:r>
      <w:r w:rsidRPr="00DC1CC2">
        <w:t>target band</w:t>
      </w:r>
      <w:r w:rsidR="00247639" w:rsidRPr="00DC1CC2">
        <w:t xml:space="preserve"> of 2 to 3 per cent</w:t>
      </w:r>
      <w:r w:rsidRPr="00DC1CC2">
        <w:t>.</w:t>
      </w:r>
    </w:p>
    <w:p w14:paraId="428C8CB5" w14:textId="77777777" w:rsidR="000544FA" w:rsidRDefault="00B11438" w:rsidP="006E3CDB">
      <w:pPr>
        <w:pStyle w:val="Heading4NoNum"/>
      </w:pPr>
      <w:r>
        <w:t>M</w:t>
      </w:r>
      <w:r w:rsidR="000544FA">
        <w:t>ethod</w:t>
      </w:r>
    </w:p>
    <w:p w14:paraId="24FEC4F6" w14:textId="3181C5A7" w:rsidR="000544FA" w:rsidRDefault="00D4703C" w:rsidP="000544FA">
      <w:r>
        <w:t>Headline inflation forecasts are developed using these CPI basket subsets</w:t>
      </w:r>
      <w:r w:rsidR="00E733FC">
        <w:t xml:space="preserve">. </w:t>
      </w:r>
      <w:r w:rsidR="0001439E">
        <w:t>A</w:t>
      </w:r>
      <w:r w:rsidR="000544FA" w:rsidRPr="00005224">
        <w:t xml:space="preserve"> combination of econometric modelling, extension of historical trends</w:t>
      </w:r>
      <w:r w:rsidR="00B55BD3">
        <w:t>,</w:t>
      </w:r>
      <w:r w:rsidR="000544FA" w:rsidRPr="00005224">
        <w:t xml:space="preserve"> and judg</w:t>
      </w:r>
      <w:r w:rsidR="00D25BD9">
        <w:t>e</w:t>
      </w:r>
      <w:r w:rsidR="000544FA" w:rsidRPr="00005224">
        <w:t>ment based on partial information</w:t>
      </w:r>
      <w:r w:rsidR="0001439E">
        <w:t xml:space="preserve"> underpin the forecasts</w:t>
      </w:r>
      <w:r w:rsidR="000544FA" w:rsidRPr="00005224">
        <w:t>.</w:t>
      </w:r>
    </w:p>
    <w:p w14:paraId="29A23EB7" w14:textId="3042B034" w:rsidR="00383E27" w:rsidRPr="00DC1CC2" w:rsidRDefault="001451FE" w:rsidP="000544FA">
      <w:r w:rsidRPr="00DC1CC2">
        <w:t xml:space="preserve">Inflation in market goods and services </w:t>
      </w:r>
      <w:r w:rsidR="009458EE" w:rsidRPr="00DC1CC2">
        <w:t xml:space="preserve">is </w:t>
      </w:r>
      <w:r w:rsidR="00795B53" w:rsidRPr="00DC1CC2">
        <w:t>forecast</w:t>
      </w:r>
      <w:r w:rsidR="007D114A" w:rsidRPr="00DC1CC2">
        <w:t xml:space="preserve"> </w:t>
      </w:r>
      <w:r w:rsidR="00B35BAD" w:rsidRPr="00DC1CC2">
        <w:t xml:space="preserve">using </w:t>
      </w:r>
      <w:r w:rsidR="004F17FC" w:rsidRPr="00DC1CC2">
        <w:t>an average of two econometric models:</w:t>
      </w:r>
      <w:r w:rsidR="00FF03EE" w:rsidRPr="00DC1CC2">
        <w:t xml:space="preserve"> a</w:t>
      </w:r>
      <w:r w:rsidR="00B55BD3" w:rsidRPr="00DC1CC2">
        <w:t>n</w:t>
      </w:r>
      <w:r w:rsidR="00FF03EE" w:rsidRPr="00DC1CC2">
        <w:t xml:space="preserve"> </w:t>
      </w:r>
      <w:r w:rsidR="00B55BD3" w:rsidRPr="00DC1CC2">
        <w:t>a</w:t>
      </w:r>
      <w:r w:rsidR="00383E27" w:rsidRPr="00DC1CC2">
        <w:t>uto</w:t>
      </w:r>
      <w:r w:rsidR="00B55BD3" w:rsidRPr="00DC1CC2">
        <w:t>-r</w:t>
      </w:r>
      <w:r w:rsidR="00383E27" w:rsidRPr="00DC1CC2">
        <w:t xml:space="preserve">egressive </w:t>
      </w:r>
      <w:r w:rsidR="00B55BD3" w:rsidRPr="00DC1CC2">
        <w:t>i</w:t>
      </w:r>
      <w:r w:rsidR="00383E27" w:rsidRPr="00DC1CC2">
        <w:t>ntegrated</w:t>
      </w:r>
      <w:r w:rsidR="00921392" w:rsidRPr="00DC1CC2">
        <w:t xml:space="preserve"> </w:t>
      </w:r>
      <w:r w:rsidR="00B55BD3" w:rsidRPr="00DC1CC2">
        <w:t>m</w:t>
      </w:r>
      <w:r w:rsidR="00921392" w:rsidRPr="00DC1CC2">
        <w:t xml:space="preserve">oving </w:t>
      </w:r>
      <w:r w:rsidR="00B55BD3" w:rsidRPr="00DC1CC2">
        <w:t>a</w:t>
      </w:r>
      <w:r w:rsidR="00921392" w:rsidRPr="00DC1CC2">
        <w:t>verage (ARIMA) model</w:t>
      </w:r>
      <w:r w:rsidR="00A14691" w:rsidRPr="00DC1CC2">
        <w:t xml:space="preserve"> and a quarterly Phil</w:t>
      </w:r>
      <w:r w:rsidR="009B3EB0" w:rsidRPr="00DC1CC2">
        <w:t>lips Curve</w:t>
      </w:r>
      <w:r w:rsidR="00B55BD3" w:rsidRPr="00DC1CC2">
        <w:t xml:space="preserve"> model</w:t>
      </w:r>
      <w:r w:rsidR="009B3EB0" w:rsidRPr="00DC1CC2">
        <w:t>.</w:t>
      </w:r>
      <w:r w:rsidR="00A550A5" w:rsidRPr="00DC1CC2">
        <w:t xml:space="preserve"> </w:t>
      </w:r>
    </w:p>
    <w:p w14:paraId="6600C018" w14:textId="77E3A274" w:rsidR="009B3EB0" w:rsidRPr="00DC1CC2" w:rsidRDefault="00F71101" w:rsidP="000544FA">
      <w:r w:rsidRPr="00DC1CC2">
        <w:t xml:space="preserve">The Phillips Curve model </w:t>
      </w:r>
      <w:r w:rsidR="002334EC" w:rsidRPr="00DC1CC2">
        <w:t>i</w:t>
      </w:r>
      <w:r w:rsidR="00AC730F" w:rsidRPr="00DC1CC2">
        <w:t>s dependent on</w:t>
      </w:r>
      <w:r w:rsidR="00026C2E" w:rsidRPr="00DC1CC2">
        <w:t xml:space="preserve"> a lag of </w:t>
      </w:r>
      <w:r w:rsidR="00041D4E" w:rsidRPr="00DC1CC2">
        <w:t>market goods and services inflation,</w:t>
      </w:r>
      <w:r w:rsidR="00AC730F" w:rsidRPr="00DC1CC2">
        <w:t xml:space="preserve"> </w:t>
      </w:r>
      <w:r w:rsidR="00145755" w:rsidRPr="00DC1CC2">
        <w:t xml:space="preserve">the unemployment </w:t>
      </w:r>
      <w:r w:rsidR="00B92AE2" w:rsidRPr="00DC1CC2">
        <w:t>gap,</w:t>
      </w:r>
      <w:r w:rsidR="008725BB" w:rsidRPr="00DC1CC2">
        <w:t xml:space="preserve"> and the</w:t>
      </w:r>
      <w:r w:rsidR="00EE0FE9" w:rsidRPr="00DC1CC2">
        <w:t xml:space="preserve"> exchange rate as measured by the</w:t>
      </w:r>
      <w:r w:rsidR="008725BB" w:rsidRPr="00DC1CC2">
        <w:t xml:space="preserve"> </w:t>
      </w:r>
      <w:r w:rsidR="00B55BD3" w:rsidRPr="00DC1CC2">
        <w:t>t</w:t>
      </w:r>
      <w:r w:rsidR="008725BB" w:rsidRPr="00DC1CC2">
        <w:t>rade</w:t>
      </w:r>
      <w:r w:rsidR="00B55BD3" w:rsidRPr="00DC1CC2">
        <w:t>-w</w:t>
      </w:r>
      <w:r w:rsidR="008725BB" w:rsidRPr="00DC1CC2">
        <w:t xml:space="preserve">eighted </w:t>
      </w:r>
      <w:r w:rsidR="00B55BD3" w:rsidRPr="00DC1CC2">
        <w:t>i</w:t>
      </w:r>
      <w:r w:rsidR="008725BB" w:rsidRPr="00DC1CC2">
        <w:t xml:space="preserve">ndex. </w:t>
      </w:r>
      <w:r w:rsidR="004831E6" w:rsidRPr="00DC1CC2">
        <w:t xml:space="preserve">The ARIMA model is </w:t>
      </w:r>
      <w:r w:rsidR="007D6FF8" w:rsidRPr="00DC1CC2">
        <w:t>dependent on</w:t>
      </w:r>
      <w:r w:rsidR="004831E6" w:rsidRPr="00DC1CC2">
        <w:t xml:space="preserve"> </w:t>
      </w:r>
      <w:r w:rsidR="00970E86" w:rsidRPr="00DC1CC2">
        <w:t xml:space="preserve">recent inflation outcomes. </w:t>
      </w:r>
    </w:p>
    <w:p w14:paraId="38F3A57E" w14:textId="763DF7A6" w:rsidR="000544FA" w:rsidRDefault="005D076A" w:rsidP="000544FA">
      <w:r w:rsidRPr="00DC1CC2">
        <w:t>Beyond the market goods and services segment, t</w:t>
      </w:r>
      <w:r w:rsidR="000544FA" w:rsidRPr="00DC1CC2">
        <w:t xml:space="preserve">he remaining </w:t>
      </w:r>
      <w:r w:rsidR="00193624" w:rsidRPr="00DC1CC2">
        <w:t xml:space="preserve">segment of the CPI </w:t>
      </w:r>
      <w:r w:rsidR="00C31CF2" w:rsidRPr="00DC1CC2">
        <w:t>basket</w:t>
      </w:r>
      <w:r w:rsidRPr="00DC1CC2">
        <w:t xml:space="preserve"> </w:t>
      </w:r>
      <w:r w:rsidR="00FC7655" w:rsidRPr="00DC1CC2">
        <w:t>– comprised</w:t>
      </w:r>
      <w:r w:rsidR="00C31CF2" w:rsidRPr="00DC1CC2">
        <w:t xml:space="preserve"> of administered and other seasonal</w:t>
      </w:r>
      <w:r w:rsidRPr="00DC1CC2">
        <w:t xml:space="preserve"> or </w:t>
      </w:r>
      <w:r w:rsidR="00C31CF2" w:rsidRPr="00DC1CC2">
        <w:t>volatile items</w:t>
      </w:r>
      <w:r w:rsidRPr="00DC1CC2">
        <w:t xml:space="preserve"> – </w:t>
      </w:r>
      <w:r w:rsidR="00455886" w:rsidRPr="00DC1CC2">
        <w:t xml:space="preserve">is </w:t>
      </w:r>
      <w:r w:rsidR="000544FA" w:rsidRPr="00DC1CC2">
        <w:t>forecast using a bottom</w:t>
      </w:r>
      <w:r w:rsidR="00E733FC" w:rsidRPr="00DC1CC2">
        <w:noBreakHyphen/>
      </w:r>
      <w:r w:rsidR="000544FA" w:rsidRPr="00DC1CC2">
        <w:t>up approach based on historical trends and partial information</w:t>
      </w:r>
      <w:r w:rsidR="001B6C45" w:rsidRPr="00DC1CC2">
        <w:t xml:space="preserve"> (including the ABS</w:t>
      </w:r>
      <w:r w:rsidR="00377C5D" w:rsidRPr="00DC1CC2">
        <w:t xml:space="preserve"> monthly CPI indicator and other sources</w:t>
      </w:r>
      <w:proofErr w:type="gramStart"/>
      <w:r w:rsidR="00377C5D" w:rsidRPr="00DC1CC2">
        <w:t>)</w:t>
      </w:r>
      <w:r w:rsidR="00842C45" w:rsidRPr="00DC1CC2">
        <w:t>, and</w:t>
      </w:r>
      <w:proofErr w:type="gramEnd"/>
      <w:r w:rsidR="004C4C1C" w:rsidRPr="00DC1CC2">
        <w:t xml:space="preserve"> informed by </w:t>
      </w:r>
      <w:r w:rsidR="000544FA" w:rsidRPr="00DC1CC2">
        <w:t>judg</w:t>
      </w:r>
      <w:r w:rsidR="00B612E8" w:rsidRPr="00DC1CC2">
        <w:t>e</w:t>
      </w:r>
      <w:r w:rsidR="000544FA" w:rsidRPr="00DC1CC2">
        <w:t>ment of future trends</w:t>
      </w:r>
      <w:r w:rsidR="001E1B33" w:rsidRPr="00DC1CC2">
        <w:t xml:space="preserve"> and leading indicators</w:t>
      </w:r>
      <w:r w:rsidR="000544FA" w:rsidRPr="00DC1CC2">
        <w:t>.</w:t>
      </w:r>
    </w:p>
    <w:p w14:paraId="76209A8D" w14:textId="2BD55942" w:rsidR="000544FA" w:rsidRDefault="00CD1E94" w:rsidP="000544FA">
      <w:r w:rsidRPr="00005224">
        <w:t xml:space="preserve">The headline inflation </w:t>
      </w:r>
      <w:r w:rsidR="00842C45">
        <w:t xml:space="preserve">forecast </w:t>
      </w:r>
      <w:r w:rsidRPr="00005224">
        <w:t xml:space="preserve">for Victoria is based on the sum of the contributions to growth from inflation in market goods and services and </w:t>
      </w:r>
      <w:r w:rsidR="00D4703C">
        <w:t xml:space="preserve">the </w:t>
      </w:r>
      <w:r w:rsidRPr="00005224">
        <w:t xml:space="preserve">other </w:t>
      </w:r>
      <w:r>
        <w:t>seasonal/volatile items</w:t>
      </w:r>
      <w:r w:rsidR="0001439E">
        <w:t>. A</w:t>
      </w:r>
      <w:r>
        <w:t xml:space="preserve">djustments </w:t>
      </w:r>
      <w:r w:rsidR="0001439E">
        <w:t xml:space="preserve">are </w:t>
      </w:r>
      <w:r w:rsidR="00193624">
        <w:t>made based on additional information such as recent movements in the value of the Australian dollar</w:t>
      </w:r>
      <w:r w:rsidR="001E1B33">
        <w:t>, developments in oil markets</w:t>
      </w:r>
      <w:r w:rsidR="00193624">
        <w:t xml:space="preserve"> and </w:t>
      </w:r>
      <w:r w:rsidR="0001439E">
        <w:t>relevant government policies</w:t>
      </w:r>
      <w:r w:rsidR="00193624">
        <w:t xml:space="preserve">. </w:t>
      </w:r>
      <w:r w:rsidR="006E3F57" w:rsidRPr="00C81FA1">
        <w:t xml:space="preserve">Adjustments can also be made to individual expenditure classes within CPI to reflect </w:t>
      </w:r>
      <w:r w:rsidR="00847506" w:rsidRPr="00C81FA1">
        <w:t xml:space="preserve">information about </w:t>
      </w:r>
      <w:r w:rsidR="006E3F57" w:rsidRPr="00C81FA1">
        <w:t>price specific movements</w:t>
      </w:r>
      <w:r w:rsidR="009C21D1" w:rsidRPr="00C81FA1">
        <w:t>.</w:t>
      </w:r>
      <w:r w:rsidR="00B42386">
        <w:t xml:space="preserve"> </w:t>
      </w:r>
    </w:p>
    <w:p w14:paraId="5BD613E0" w14:textId="77777777" w:rsidR="000544FA" w:rsidRDefault="000544FA" w:rsidP="006E3CDB">
      <w:pPr>
        <w:pStyle w:val="Heading4NoNum"/>
      </w:pPr>
      <w:r>
        <w:t xml:space="preserve">Data </w:t>
      </w:r>
      <w:r w:rsidR="006E3CDB">
        <w:t>s</w:t>
      </w:r>
      <w:r>
        <w:t>ources</w:t>
      </w:r>
    </w:p>
    <w:p w14:paraId="3EC54D92" w14:textId="73528358" w:rsidR="000544FA" w:rsidRDefault="004C4C1C" w:rsidP="000544FA">
      <w:r w:rsidRPr="00DC1CC2">
        <w:t xml:space="preserve">Historical values of the CPI are sourced from ABS, </w:t>
      </w:r>
      <w:r w:rsidRPr="00DC1CC2">
        <w:rPr>
          <w:i/>
        </w:rPr>
        <w:t>Consumer Price Index</w:t>
      </w:r>
      <w:r w:rsidRPr="00DC1CC2">
        <w:t xml:space="preserve">. </w:t>
      </w:r>
      <w:r w:rsidR="002345A8" w:rsidRPr="00DC1CC2">
        <w:t xml:space="preserve">The econometric model for inflation in market goods and services relies on unemployment rate forecasts </w:t>
      </w:r>
      <w:r w:rsidR="002345A8" w:rsidRPr="00DC1CC2" w:rsidDel="00B92AE2">
        <w:t xml:space="preserve">and </w:t>
      </w:r>
      <w:r w:rsidR="00011712" w:rsidRPr="00DC1CC2">
        <w:t>T</w:t>
      </w:r>
      <w:r w:rsidR="00B92AE2" w:rsidRPr="00DC1CC2">
        <w:t>rade</w:t>
      </w:r>
      <w:r w:rsidR="00011712" w:rsidRPr="00DC1CC2">
        <w:t>-w</w:t>
      </w:r>
      <w:r w:rsidR="00B92AE2" w:rsidRPr="00DC1CC2">
        <w:t xml:space="preserve">eighted </w:t>
      </w:r>
      <w:r w:rsidR="00011712" w:rsidRPr="00DC1CC2">
        <w:t>i</w:t>
      </w:r>
      <w:r w:rsidR="00B92AE2" w:rsidRPr="00DC1CC2">
        <w:t>ndex (described elsewhere)</w:t>
      </w:r>
      <w:r w:rsidR="002345A8" w:rsidRPr="00DC1CC2">
        <w:t>.</w:t>
      </w:r>
      <w:r w:rsidR="00646384" w:rsidRPr="00DC1CC2">
        <w:t xml:space="preserve"> </w:t>
      </w:r>
      <w:r w:rsidR="00AB2CF7" w:rsidRPr="00DC1CC2">
        <w:t>A range of other data sources are used to inform</w:t>
      </w:r>
      <w:r w:rsidR="00F50F61" w:rsidRPr="00DC1CC2">
        <w:t xml:space="preserve"> forecasts of</w:t>
      </w:r>
      <w:r w:rsidR="00AB2CF7" w:rsidRPr="00DC1CC2">
        <w:t xml:space="preserve"> </w:t>
      </w:r>
      <w:r w:rsidR="00FC24E8" w:rsidRPr="00DC1CC2">
        <w:t>other seasonal</w:t>
      </w:r>
      <w:r w:rsidR="00706957" w:rsidRPr="00DC1CC2">
        <w:t xml:space="preserve"> or </w:t>
      </w:r>
      <w:r w:rsidR="00FC24E8" w:rsidRPr="00DC1CC2">
        <w:t xml:space="preserve">volatile items, including </w:t>
      </w:r>
      <w:r w:rsidR="001461F5" w:rsidRPr="00DC1CC2">
        <w:t xml:space="preserve">the </w:t>
      </w:r>
      <w:r w:rsidR="00FC24E8" w:rsidRPr="00DC1CC2">
        <w:t xml:space="preserve">ABS </w:t>
      </w:r>
      <w:r w:rsidR="00FC24E8" w:rsidRPr="00DC1CC2">
        <w:rPr>
          <w:i/>
        </w:rPr>
        <w:t>Producer Price Index</w:t>
      </w:r>
      <w:r w:rsidR="00FC24E8" w:rsidRPr="00DC1CC2">
        <w:t xml:space="preserve">, </w:t>
      </w:r>
      <w:r w:rsidR="00273D91" w:rsidRPr="00DC1CC2">
        <w:t xml:space="preserve">ABS </w:t>
      </w:r>
      <w:r w:rsidR="00273D91" w:rsidRPr="00DC1CC2">
        <w:rPr>
          <w:i/>
        </w:rPr>
        <w:t>Monthly CPI Indicator,</w:t>
      </w:r>
      <w:r w:rsidR="00273D91" w:rsidRPr="00DC1CC2">
        <w:t xml:space="preserve"> </w:t>
      </w:r>
      <w:r w:rsidR="00053E74" w:rsidRPr="00DC1CC2">
        <w:t>wholesale electricity and gas prices</w:t>
      </w:r>
      <w:r w:rsidR="00F348DE" w:rsidRPr="00DC1CC2">
        <w:t xml:space="preserve"> from the Australian Energy Regulator</w:t>
      </w:r>
      <w:r w:rsidR="00053E74" w:rsidRPr="00DC1CC2">
        <w:t xml:space="preserve">, retail </w:t>
      </w:r>
      <w:r w:rsidR="00750F72" w:rsidRPr="00DC1CC2">
        <w:t>electricity and gas prices</w:t>
      </w:r>
      <w:r w:rsidR="0065371A" w:rsidRPr="00DC1CC2">
        <w:t>,</w:t>
      </w:r>
      <w:r w:rsidR="00442D30" w:rsidRPr="00DC1CC2">
        <w:t xml:space="preserve"> ASX </w:t>
      </w:r>
      <w:r w:rsidR="00F44380" w:rsidRPr="00DC1CC2">
        <w:t xml:space="preserve">electricity </w:t>
      </w:r>
      <w:r w:rsidR="00442D30" w:rsidRPr="00DC1CC2">
        <w:t>futures data</w:t>
      </w:r>
      <w:r w:rsidR="001461F5" w:rsidRPr="00DC1CC2">
        <w:t>,</w:t>
      </w:r>
      <w:r w:rsidR="00442D30" w:rsidRPr="00DC1CC2">
        <w:t xml:space="preserve"> </w:t>
      </w:r>
      <w:r w:rsidR="00F44380" w:rsidRPr="00DC1CC2">
        <w:t>oil price</w:t>
      </w:r>
      <w:r w:rsidR="00442D30" w:rsidRPr="00DC1CC2">
        <w:t xml:space="preserve"> futures data</w:t>
      </w:r>
      <w:r w:rsidR="001461F5" w:rsidRPr="00DC1CC2">
        <w:t>,</w:t>
      </w:r>
      <w:r w:rsidR="00442D30" w:rsidRPr="00DC1CC2">
        <w:t xml:space="preserve"> and </w:t>
      </w:r>
      <w:r w:rsidR="001461F5" w:rsidRPr="00DC1CC2">
        <w:t>other indicators of global inflation and supply</w:t>
      </w:r>
      <w:r w:rsidR="00724DC9" w:rsidRPr="00DC1CC2">
        <w:t>-</w:t>
      </w:r>
      <w:r w:rsidR="001461F5" w:rsidRPr="00DC1CC2">
        <w:t>chain pressures.</w:t>
      </w:r>
      <w:r w:rsidR="001461F5" w:rsidRPr="00124D23">
        <w:t xml:space="preserve"> </w:t>
      </w:r>
    </w:p>
    <w:p w14:paraId="323DA1AC" w14:textId="77777777" w:rsidR="003436F5" w:rsidRDefault="003436F5" w:rsidP="00E733FC">
      <w:pPr>
        <w:pStyle w:val="Heading2"/>
      </w:pPr>
      <w:r>
        <w:t>Population</w:t>
      </w:r>
    </w:p>
    <w:p w14:paraId="01700FD7" w14:textId="77777777" w:rsidR="003436F5" w:rsidRDefault="003436F5" w:rsidP="006E3CDB">
      <w:pPr>
        <w:pStyle w:val="Heading4NoNum"/>
      </w:pPr>
      <w:r>
        <w:t>Method</w:t>
      </w:r>
    </w:p>
    <w:p w14:paraId="431C621A" w14:textId="551BFB81" w:rsidR="00E56CFC" w:rsidRPr="00DC1CC2" w:rsidRDefault="003436F5" w:rsidP="003436F5">
      <w:r w:rsidRPr="003436F5">
        <w:t xml:space="preserve">Forecasts of aggregate population growth are based on expected changes in the components of population </w:t>
      </w:r>
      <w:r w:rsidR="00E56CFC">
        <w:t>growth</w:t>
      </w:r>
      <w:r w:rsidRPr="003436F5">
        <w:t xml:space="preserve">, </w:t>
      </w:r>
      <w:r w:rsidR="0072454F">
        <w:t xml:space="preserve">which are </w:t>
      </w:r>
      <w:r w:rsidRPr="003436F5">
        <w:t>nat</w:t>
      </w:r>
      <w:r w:rsidR="005B7D12">
        <w:t>ur</w:t>
      </w:r>
      <w:r w:rsidRPr="003436F5">
        <w:t xml:space="preserve">al increase, net overseas </w:t>
      </w:r>
      <w:proofErr w:type="gramStart"/>
      <w:r w:rsidRPr="003436F5">
        <w:t>migration</w:t>
      </w:r>
      <w:proofErr w:type="gramEnd"/>
      <w:r w:rsidRPr="003436F5">
        <w:t xml:space="preserve"> and net interstate migration</w:t>
      </w:r>
      <w:r w:rsidR="00E733FC">
        <w:t xml:space="preserve">. </w:t>
      </w:r>
      <w:r w:rsidR="00E56CFC">
        <w:t>H</w:t>
      </w:r>
      <w:r w:rsidRPr="003436F5">
        <w:t>igh</w:t>
      </w:r>
      <w:r w:rsidR="00E733FC">
        <w:noBreakHyphen/>
      </w:r>
      <w:r w:rsidRPr="003436F5">
        <w:t xml:space="preserve">level forecasts are </w:t>
      </w:r>
      <w:r w:rsidR="00E56CFC" w:rsidRPr="003436F5">
        <w:t xml:space="preserve">developed jointly by </w:t>
      </w:r>
      <w:r w:rsidR="00242B22">
        <w:t xml:space="preserve">the </w:t>
      </w:r>
      <w:r w:rsidR="00417BFA" w:rsidRPr="00DC1CC2">
        <w:t>Department of Transport and Planning (DTP)</w:t>
      </w:r>
      <w:r w:rsidR="00E56CFC" w:rsidRPr="00DC1CC2">
        <w:t xml:space="preserve"> and DTF and are </w:t>
      </w:r>
      <w:r w:rsidRPr="00DC1CC2">
        <w:t>underpinned by a cohort</w:t>
      </w:r>
      <w:r w:rsidR="00E733FC" w:rsidRPr="00DC1CC2">
        <w:noBreakHyphen/>
      </w:r>
      <w:r w:rsidRPr="00DC1CC2">
        <w:t xml:space="preserve">component model for population projections </w:t>
      </w:r>
      <w:r w:rsidR="001E1344" w:rsidRPr="00DC1CC2">
        <w:t xml:space="preserve">constructed by </w:t>
      </w:r>
      <w:r w:rsidR="00417BFA" w:rsidRPr="00DC1CC2">
        <w:t>DTP</w:t>
      </w:r>
      <w:r w:rsidR="00E733FC" w:rsidRPr="00DC1CC2">
        <w:t xml:space="preserve">. </w:t>
      </w:r>
      <w:r w:rsidRPr="00DC1CC2">
        <w:t xml:space="preserve">This model </w:t>
      </w:r>
      <w:r w:rsidR="00E56CFC" w:rsidRPr="00DC1CC2">
        <w:t>project</w:t>
      </w:r>
      <w:r w:rsidRPr="00DC1CC2">
        <w:t xml:space="preserve">s population by age, </w:t>
      </w:r>
      <w:proofErr w:type="gramStart"/>
      <w:r w:rsidRPr="00DC1CC2">
        <w:t>sex</w:t>
      </w:r>
      <w:proofErr w:type="gramEnd"/>
      <w:r w:rsidRPr="00DC1CC2">
        <w:t xml:space="preserve"> and region of Victoria</w:t>
      </w:r>
      <w:r w:rsidR="00E56CFC" w:rsidRPr="00DC1CC2">
        <w:t xml:space="preserve"> for up to 40</w:t>
      </w:r>
      <w:r w:rsidR="00A275E1" w:rsidRPr="00DC1CC2">
        <w:t> </w:t>
      </w:r>
      <w:r w:rsidR="00E56CFC" w:rsidRPr="00DC1CC2">
        <w:t>years</w:t>
      </w:r>
      <w:r w:rsidR="00E733FC" w:rsidRPr="00DC1CC2">
        <w:t xml:space="preserve">. </w:t>
      </w:r>
    </w:p>
    <w:p w14:paraId="32EC65BA" w14:textId="7C56299E" w:rsidR="003436F5" w:rsidRPr="00DC1CC2" w:rsidRDefault="003436F5" w:rsidP="003436F5">
      <w:r w:rsidRPr="00DC1CC2">
        <w:t>Natural increase (that is, births less deaths) is a relatively stable component of population growth</w:t>
      </w:r>
      <w:r w:rsidR="00E733FC" w:rsidRPr="00DC1CC2">
        <w:t xml:space="preserve">. </w:t>
      </w:r>
      <w:r w:rsidRPr="00DC1CC2">
        <w:t xml:space="preserve">Assumptions underpinning the natural increase forecasts </w:t>
      </w:r>
      <w:r w:rsidR="000072D6" w:rsidRPr="00DC1CC2">
        <w:t xml:space="preserve">also </w:t>
      </w:r>
      <w:r w:rsidR="00E56CFC" w:rsidRPr="00DC1CC2">
        <w:t xml:space="preserve">concern </w:t>
      </w:r>
      <w:r w:rsidRPr="00DC1CC2">
        <w:t xml:space="preserve">mortality rates, </w:t>
      </w:r>
      <w:r w:rsidR="00E56CFC" w:rsidRPr="00DC1CC2">
        <w:t xml:space="preserve">and </w:t>
      </w:r>
      <w:r w:rsidRPr="00DC1CC2">
        <w:t xml:space="preserve">are based on projections by the </w:t>
      </w:r>
      <w:r w:rsidR="00404696" w:rsidRPr="00DC1CC2">
        <w:t>ABS</w:t>
      </w:r>
      <w:r w:rsidR="00F2657C" w:rsidRPr="00DC1CC2">
        <w:t xml:space="preserve">, adjusted for </w:t>
      </w:r>
      <w:r w:rsidR="0072454F" w:rsidRPr="00DC1CC2">
        <w:t xml:space="preserve">recent </w:t>
      </w:r>
      <w:r w:rsidR="00DE4405" w:rsidRPr="00DC1CC2">
        <w:t>outcomes</w:t>
      </w:r>
      <w:r w:rsidRPr="00DC1CC2">
        <w:t>.</w:t>
      </w:r>
    </w:p>
    <w:p w14:paraId="32074D30" w14:textId="4FDD416E" w:rsidR="003436F5" w:rsidRPr="00DC1CC2" w:rsidRDefault="003436F5" w:rsidP="003436F5">
      <w:r w:rsidRPr="00DC1CC2">
        <w:lastRenderedPageBreak/>
        <w:t xml:space="preserve">Net overseas migration </w:t>
      </w:r>
      <w:r w:rsidR="007E606E" w:rsidRPr="00DC1CC2">
        <w:t>measures the difference between overseas arrivals and departures for permanent and long</w:t>
      </w:r>
      <w:r w:rsidR="007E606E" w:rsidRPr="00DC1CC2">
        <w:noBreakHyphen/>
        <w:t xml:space="preserve">term </w:t>
      </w:r>
      <w:r w:rsidR="00CA3AE4" w:rsidRPr="00DC1CC2">
        <w:t xml:space="preserve">people </w:t>
      </w:r>
      <w:r w:rsidR="007E606E" w:rsidRPr="00DC1CC2">
        <w:t>move</w:t>
      </w:r>
      <w:r w:rsidR="00CA3AE4" w:rsidRPr="00DC1CC2">
        <w:t>ment</w:t>
      </w:r>
      <w:r w:rsidR="007E606E" w:rsidRPr="00DC1CC2">
        <w:t xml:space="preserve">s. It </w:t>
      </w:r>
      <w:r w:rsidRPr="00DC1CC2">
        <w:t>has been the most volatile component of population growth over the past decade</w:t>
      </w:r>
      <w:r w:rsidR="007E606E" w:rsidRPr="00DC1CC2">
        <w:t xml:space="preserve"> and </w:t>
      </w:r>
      <w:r w:rsidR="00606480" w:rsidRPr="00DC1CC2">
        <w:t xml:space="preserve">judgement </w:t>
      </w:r>
      <w:r w:rsidR="007E606E" w:rsidRPr="00DC1CC2">
        <w:t xml:space="preserve">is </w:t>
      </w:r>
      <w:r w:rsidR="00606480" w:rsidRPr="00DC1CC2">
        <w:t xml:space="preserve">used to inform the impact </w:t>
      </w:r>
      <w:r w:rsidR="00C70D98" w:rsidRPr="00DC1CC2">
        <w:t xml:space="preserve">the reopening of national borders after a </w:t>
      </w:r>
      <w:r w:rsidR="00606480" w:rsidRPr="00DC1CC2">
        <w:t xml:space="preserve">period of closures </w:t>
      </w:r>
      <w:r w:rsidR="00714A38" w:rsidRPr="00DC1CC2">
        <w:t xml:space="preserve">during the COVID-19 pandemic </w:t>
      </w:r>
      <w:r w:rsidR="00606480" w:rsidRPr="00DC1CC2">
        <w:t xml:space="preserve">on </w:t>
      </w:r>
      <w:r w:rsidR="00714A38" w:rsidRPr="00DC1CC2">
        <w:t>people flows</w:t>
      </w:r>
      <w:r w:rsidR="00E733FC" w:rsidRPr="00DC1CC2">
        <w:t xml:space="preserve">. </w:t>
      </w:r>
    </w:p>
    <w:p w14:paraId="5D290241" w14:textId="757071DB" w:rsidR="003436F5" w:rsidRDefault="003436F5" w:rsidP="003436F5">
      <w:r w:rsidRPr="00DC1CC2">
        <w:t>Net interstate migration has been a</w:t>
      </w:r>
      <w:r w:rsidR="00F2657C" w:rsidRPr="00DC1CC2">
        <w:t xml:space="preserve"> relatively</w:t>
      </w:r>
      <w:r w:rsidRPr="00DC1CC2">
        <w:t xml:space="preserve"> small component of population growth for Victoria over the past decade</w:t>
      </w:r>
      <w:r w:rsidR="001A10C3" w:rsidRPr="00DC1CC2">
        <w:t xml:space="preserve">, but </w:t>
      </w:r>
      <w:r w:rsidR="00714A38" w:rsidRPr="00DC1CC2">
        <w:t xml:space="preserve">volatility </w:t>
      </w:r>
      <w:r w:rsidR="001A10C3" w:rsidRPr="00DC1CC2">
        <w:t>has increased in recent years</w:t>
      </w:r>
      <w:r w:rsidR="00E733FC" w:rsidRPr="00DC1CC2">
        <w:t xml:space="preserve">. </w:t>
      </w:r>
      <w:r w:rsidRPr="00DC1CC2">
        <w:t xml:space="preserve">DTF and </w:t>
      </w:r>
      <w:r w:rsidR="00714A38" w:rsidRPr="00DC1CC2">
        <w:t xml:space="preserve">DTP </w:t>
      </w:r>
      <w:r w:rsidRPr="00DC1CC2">
        <w:t xml:space="preserve">use recent population movements data and expected relative state economic performance to inform a </w:t>
      </w:r>
      <w:r w:rsidR="00350D28" w:rsidRPr="00DC1CC2">
        <w:t xml:space="preserve">likely </w:t>
      </w:r>
      <w:r w:rsidRPr="00DC1CC2">
        <w:t>level of net</w:t>
      </w:r>
      <w:r w:rsidRPr="004D6F0C">
        <w:t xml:space="preserve"> interstate migration over the forecasting horizon.</w:t>
      </w:r>
      <w:r w:rsidR="00062E1B" w:rsidRPr="004D6F0C">
        <w:t xml:space="preserve"> </w:t>
      </w:r>
    </w:p>
    <w:p w14:paraId="09484CF6" w14:textId="77777777" w:rsidR="003436F5" w:rsidRDefault="003436F5" w:rsidP="006E3CDB">
      <w:pPr>
        <w:pStyle w:val="Heading4NoNum"/>
      </w:pPr>
      <w:r>
        <w:t xml:space="preserve">Data </w:t>
      </w:r>
      <w:r w:rsidR="006E3CDB">
        <w:t>s</w:t>
      </w:r>
      <w:r>
        <w:t>ources</w:t>
      </w:r>
    </w:p>
    <w:p w14:paraId="35BD2893" w14:textId="379EA97E" w:rsidR="00005224" w:rsidRDefault="005C36C3">
      <w:r>
        <w:t xml:space="preserve">Official estimates of Victoria’s estimated resident population are obtained from </w:t>
      </w:r>
      <w:r w:rsidR="004C4C1C">
        <w:t>ABS,</w:t>
      </w:r>
      <w:r w:rsidR="003B6EBB">
        <w:t xml:space="preserve"> </w:t>
      </w:r>
      <w:r w:rsidR="0018294B" w:rsidRPr="0077757D">
        <w:rPr>
          <w:i/>
        </w:rPr>
        <w:t>National, state and territory population</w:t>
      </w:r>
      <w:r>
        <w:t xml:space="preserve">. </w:t>
      </w:r>
      <w:r w:rsidR="001E3124">
        <w:t xml:space="preserve">The ABS population projections, which are used as a base for </w:t>
      </w:r>
      <w:r w:rsidR="00FE7F7F">
        <w:t xml:space="preserve">assumptions underpinning </w:t>
      </w:r>
      <w:r w:rsidR="001E3124">
        <w:t xml:space="preserve">Victoria’s population projections, can be found in </w:t>
      </w:r>
      <w:r w:rsidR="00356180">
        <w:t xml:space="preserve">ABS, </w:t>
      </w:r>
      <w:r w:rsidR="001E3124" w:rsidRPr="004C4C1C">
        <w:rPr>
          <w:i/>
        </w:rPr>
        <w:t xml:space="preserve">Population Projections, Australia, </w:t>
      </w:r>
      <w:r w:rsidR="00C607E7" w:rsidRPr="004C4C1C">
        <w:rPr>
          <w:i/>
        </w:rPr>
        <w:t>201</w:t>
      </w:r>
      <w:r w:rsidR="005D13E6">
        <w:rPr>
          <w:i/>
        </w:rPr>
        <w:t>7</w:t>
      </w:r>
      <w:r w:rsidR="00C607E7" w:rsidRPr="004C4C1C">
        <w:rPr>
          <w:i/>
        </w:rPr>
        <w:t xml:space="preserve"> (base) </w:t>
      </w:r>
      <w:r w:rsidR="001E3124" w:rsidRPr="004C4C1C">
        <w:rPr>
          <w:i/>
        </w:rPr>
        <w:t>to 2</w:t>
      </w:r>
      <w:r w:rsidR="005D13E6">
        <w:rPr>
          <w:i/>
        </w:rPr>
        <w:t>066</w:t>
      </w:r>
      <w:r w:rsidR="001E3124">
        <w:t>.</w:t>
      </w:r>
      <w:r w:rsidR="00BE0585">
        <w:t xml:space="preserve"> </w:t>
      </w:r>
      <w:r w:rsidR="00417BFA">
        <w:t xml:space="preserve">DTP </w:t>
      </w:r>
      <w:r w:rsidR="00BE0585">
        <w:t xml:space="preserve">prepares its own population projections, going out 40 years for Victoria, metropolitan </w:t>
      </w:r>
      <w:r w:rsidR="00FC7655">
        <w:t>Melbourne,</w:t>
      </w:r>
      <w:r w:rsidR="00BE0585">
        <w:t xml:space="preserve"> and regional Victoria </w:t>
      </w:r>
      <w:r w:rsidR="00DF49CB">
        <w:t>(</w:t>
      </w:r>
      <w:r w:rsidR="00BE0585">
        <w:t>and 20 years for small areas</w:t>
      </w:r>
      <w:r w:rsidR="000157EE">
        <w:t>)</w:t>
      </w:r>
      <w:r w:rsidR="00BE0585">
        <w:t xml:space="preserve">, for the purposes of </w:t>
      </w:r>
      <w:r w:rsidR="005D13E6">
        <w:t>g</w:t>
      </w:r>
      <w:r w:rsidR="00BE0585">
        <w:t xml:space="preserve">overnment planning. The latest population projections are contained in </w:t>
      </w:r>
      <w:r w:rsidR="00BE0585" w:rsidRPr="00A3039D">
        <w:rPr>
          <w:i/>
        </w:rPr>
        <w:t xml:space="preserve">Victoria in Future </w:t>
      </w:r>
      <w:r w:rsidR="0037433A" w:rsidRPr="00A3039D">
        <w:rPr>
          <w:i/>
        </w:rPr>
        <w:t>201</w:t>
      </w:r>
      <w:r w:rsidR="00C24033">
        <w:rPr>
          <w:i/>
        </w:rPr>
        <w:t>9</w:t>
      </w:r>
      <w:r w:rsidR="00BE0585">
        <w:t xml:space="preserve">. </w:t>
      </w:r>
    </w:p>
    <w:p w14:paraId="34CA5383" w14:textId="77777777" w:rsidR="00ED7798" w:rsidRDefault="00ED7798" w:rsidP="00ED7798">
      <w:pPr>
        <w:pStyle w:val="Heading2"/>
      </w:pPr>
      <w:r>
        <w:t xml:space="preserve">Input </w:t>
      </w:r>
      <w:proofErr w:type="gramStart"/>
      <w:r>
        <w:t>series</w:t>
      </w:r>
      <w:proofErr w:type="gramEnd"/>
    </w:p>
    <w:p w14:paraId="50F2A6B3" w14:textId="2D2D619D" w:rsidR="00191461" w:rsidRDefault="00191461" w:rsidP="00DF1F25">
      <w:r>
        <w:t xml:space="preserve">This section lists </w:t>
      </w:r>
      <w:r w:rsidR="00696AC1">
        <w:t xml:space="preserve">data series used as inputs to several of DTF’s forecasting </w:t>
      </w:r>
      <w:r w:rsidR="00FC7655">
        <w:t>models.</w:t>
      </w:r>
    </w:p>
    <w:p w14:paraId="07F20044" w14:textId="77777777" w:rsidR="00ED7798" w:rsidRDefault="00ED7798" w:rsidP="00ED7798">
      <w:pPr>
        <w:pStyle w:val="Heading4NoNum"/>
      </w:pPr>
      <w:r>
        <w:t>Method</w:t>
      </w:r>
    </w:p>
    <w:p w14:paraId="6A00DF02" w14:textId="77777777" w:rsidR="00ED7798" w:rsidRDefault="003E5E99" w:rsidP="00ED7798">
      <w:pPr>
        <w:spacing w:after="240"/>
        <w:rPr>
          <w:szCs w:val="24"/>
        </w:rPr>
      </w:pPr>
      <w:r>
        <w:rPr>
          <w:szCs w:val="24"/>
        </w:rPr>
        <w:t>O</w:t>
      </w:r>
      <w:r w:rsidR="00ED7798">
        <w:rPr>
          <w:szCs w:val="24"/>
        </w:rPr>
        <w:t xml:space="preserve">il prices </w:t>
      </w:r>
      <w:r>
        <w:rPr>
          <w:szCs w:val="24"/>
        </w:rPr>
        <w:t xml:space="preserve">(West Texas </w:t>
      </w:r>
      <w:r w:rsidR="00130BCA">
        <w:rPr>
          <w:szCs w:val="24"/>
        </w:rPr>
        <w:t>I</w:t>
      </w:r>
      <w:r>
        <w:rPr>
          <w:szCs w:val="24"/>
        </w:rPr>
        <w:t xml:space="preserve">ntermediate) </w:t>
      </w:r>
      <w:r w:rsidR="00130BCA">
        <w:rPr>
          <w:szCs w:val="24"/>
        </w:rPr>
        <w:t xml:space="preserve">are </w:t>
      </w:r>
      <w:r w:rsidR="00EC7A2E">
        <w:rPr>
          <w:szCs w:val="24"/>
        </w:rPr>
        <w:t xml:space="preserve">assumed to follow </w:t>
      </w:r>
      <w:r w:rsidR="00ED7798">
        <w:rPr>
          <w:szCs w:val="24"/>
        </w:rPr>
        <w:t xml:space="preserve">futures </w:t>
      </w:r>
      <w:r w:rsidR="00EC7A2E">
        <w:rPr>
          <w:szCs w:val="24"/>
        </w:rPr>
        <w:t>pricing</w:t>
      </w:r>
      <w:r w:rsidR="00ED7798">
        <w:rPr>
          <w:szCs w:val="24"/>
        </w:rPr>
        <w:t>.</w:t>
      </w:r>
    </w:p>
    <w:p w14:paraId="3E78334F" w14:textId="6239F5A8" w:rsidR="00ED7798" w:rsidRPr="00D53368" w:rsidRDefault="00ED7798" w:rsidP="00ED7798">
      <w:pPr>
        <w:spacing w:after="240"/>
        <w:rPr>
          <w:szCs w:val="24"/>
        </w:rPr>
      </w:pPr>
      <w:r>
        <w:rPr>
          <w:szCs w:val="24"/>
        </w:rPr>
        <w:t xml:space="preserve">Exchange rates (in US dollar and trade-weighted terms) </w:t>
      </w:r>
      <w:r w:rsidR="00EC7A2E">
        <w:rPr>
          <w:szCs w:val="24"/>
        </w:rPr>
        <w:t xml:space="preserve">are assumed to remain </w:t>
      </w:r>
      <w:r>
        <w:rPr>
          <w:szCs w:val="24"/>
        </w:rPr>
        <w:t xml:space="preserve">at their latest </w:t>
      </w:r>
      <w:r w:rsidR="0077757D">
        <w:rPr>
          <w:szCs w:val="24"/>
        </w:rPr>
        <w:t xml:space="preserve">quarterly average </w:t>
      </w:r>
      <w:r>
        <w:rPr>
          <w:szCs w:val="24"/>
        </w:rPr>
        <w:t>value</w:t>
      </w:r>
      <w:r w:rsidR="00EB408B">
        <w:rPr>
          <w:szCs w:val="24"/>
        </w:rPr>
        <w:t>s</w:t>
      </w:r>
      <w:r>
        <w:rPr>
          <w:szCs w:val="24"/>
        </w:rPr>
        <w:t>.</w:t>
      </w:r>
    </w:p>
    <w:p w14:paraId="2455208A" w14:textId="77777777" w:rsidR="00ED7798" w:rsidRDefault="00ED7798" w:rsidP="00ED7798">
      <w:pPr>
        <w:spacing w:after="240"/>
        <w:rPr>
          <w:szCs w:val="24"/>
        </w:rPr>
      </w:pPr>
      <w:r w:rsidRPr="00E9336B">
        <w:rPr>
          <w:szCs w:val="24"/>
        </w:rPr>
        <w:t>Petrol price</w:t>
      </w:r>
      <w:r w:rsidR="00153BB5">
        <w:rPr>
          <w:szCs w:val="24"/>
        </w:rPr>
        <w:t xml:space="preserve">s are assumed to follow the sum of the </w:t>
      </w:r>
      <w:r w:rsidRPr="00E9336B">
        <w:rPr>
          <w:szCs w:val="24"/>
        </w:rPr>
        <w:t xml:space="preserve">oil price </w:t>
      </w:r>
      <w:r>
        <w:rPr>
          <w:szCs w:val="24"/>
        </w:rPr>
        <w:t>(</w:t>
      </w:r>
      <w:r w:rsidR="00A83E86">
        <w:rPr>
          <w:szCs w:val="24"/>
        </w:rPr>
        <w:t xml:space="preserve">adjusted for </w:t>
      </w:r>
      <w:r w:rsidR="009105C2">
        <w:rPr>
          <w:szCs w:val="24"/>
        </w:rPr>
        <w:t>AUD</w:t>
      </w:r>
      <w:r w:rsidR="009105C2">
        <w:rPr>
          <w:szCs w:val="24"/>
        </w:rPr>
        <w:noBreakHyphen/>
      </w:r>
      <w:r w:rsidR="00224883">
        <w:rPr>
          <w:szCs w:val="24"/>
        </w:rPr>
        <w:t>US</w:t>
      </w:r>
      <w:r w:rsidR="009105C2">
        <w:rPr>
          <w:szCs w:val="24"/>
        </w:rPr>
        <w:t>D</w:t>
      </w:r>
      <w:r w:rsidR="00224883">
        <w:rPr>
          <w:szCs w:val="24"/>
        </w:rPr>
        <w:t xml:space="preserve"> </w:t>
      </w:r>
      <w:r w:rsidR="00A83E86">
        <w:rPr>
          <w:szCs w:val="24"/>
        </w:rPr>
        <w:t>exchange rate</w:t>
      </w:r>
      <w:r>
        <w:rPr>
          <w:szCs w:val="24"/>
        </w:rPr>
        <w:t>)</w:t>
      </w:r>
      <w:r w:rsidRPr="00E9336B">
        <w:rPr>
          <w:szCs w:val="24"/>
        </w:rPr>
        <w:t>, petrol excise (</w:t>
      </w:r>
      <w:r w:rsidR="00A83E86">
        <w:rPr>
          <w:szCs w:val="24"/>
        </w:rPr>
        <w:t>indexed biannually</w:t>
      </w:r>
      <w:r w:rsidR="0085654C">
        <w:rPr>
          <w:szCs w:val="24"/>
        </w:rPr>
        <w:t>) and GST (10 per cent</w:t>
      </w:r>
      <w:r w:rsidRPr="00E9336B">
        <w:rPr>
          <w:szCs w:val="24"/>
        </w:rPr>
        <w:t xml:space="preserve"> of oil price component </w:t>
      </w:r>
      <w:r w:rsidR="0085654C">
        <w:rPr>
          <w:szCs w:val="24"/>
        </w:rPr>
        <w:t>and</w:t>
      </w:r>
      <w:r w:rsidRPr="00E9336B">
        <w:rPr>
          <w:szCs w:val="24"/>
        </w:rPr>
        <w:t xml:space="preserve"> petrol excise)</w:t>
      </w:r>
      <w:r w:rsidR="00A83E86">
        <w:rPr>
          <w:szCs w:val="24"/>
        </w:rPr>
        <w:t>.</w:t>
      </w:r>
    </w:p>
    <w:p w14:paraId="474563D3" w14:textId="0D1E3DBB" w:rsidR="00417BFA" w:rsidRDefault="00417BFA" w:rsidP="00726786">
      <w:pPr>
        <w:spacing w:after="240"/>
        <w:rPr>
          <w:szCs w:val="24"/>
        </w:rPr>
      </w:pPr>
      <w:r w:rsidRPr="00DC1CC2">
        <w:rPr>
          <w:szCs w:val="24"/>
        </w:rPr>
        <w:t>The cash rate</w:t>
      </w:r>
      <w:r w:rsidR="003A4999" w:rsidRPr="00DC1CC2">
        <w:rPr>
          <w:szCs w:val="24"/>
        </w:rPr>
        <w:t xml:space="preserve"> is assumed to broadly follow </w:t>
      </w:r>
      <w:r w:rsidR="0021494B" w:rsidRPr="00DC1CC2">
        <w:rPr>
          <w:szCs w:val="24"/>
        </w:rPr>
        <w:t>market economists’ expectations.</w:t>
      </w:r>
      <w:r w:rsidR="0021494B">
        <w:rPr>
          <w:szCs w:val="24"/>
        </w:rPr>
        <w:t xml:space="preserve"> </w:t>
      </w:r>
    </w:p>
    <w:p w14:paraId="2A430DCB" w14:textId="77777777" w:rsidR="00A83E86" w:rsidRDefault="00130BCA" w:rsidP="00ED7798">
      <w:pPr>
        <w:spacing w:after="240"/>
        <w:rPr>
          <w:szCs w:val="24"/>
        </w:rPr>
      </w:pPr>
      <w:r>
        <w:rPr>
          <w:szCs w:val="24"/>
        </w:rPr>
        <w:t>The standard variable m</w:t>
      </w:r>
      <w:r w:rsidR="00A83E86">
        <w:rPr>
          <w:szCs w:val="24"/>
        </w:rPr>
        <w:t xml:space="preserve">ortgage rate </w:t>
      </w:r>
      <w:r>
        <w:rPr>
          <w:szCs w:val="24"/>
        </w:rPr>
        <w:t xml:space="preserve">is </w:t>
      </w:r>
      <w:r w:rsidR="00A71486">
        <w:rPr>
          <w:szCs w:val="24"/>
        </w:rPr>
        <w:t xml:space="preserve">assumed to follow the </w:t>
      </w:r>
      <w:r w:rsidR="00A83E86">
        <w:rPr>
          <w:szCs w:val="24"/>
        </w:rPr>
        <w:t xml:space="preserve">cash rate plus a fixed lending margin based on </w:t>
      </w:r>
      <w:r>
        <w:rPr>
          <w:szCs w:val="24"/>
        </w:rPr>
        <w:t xml:space="preserve">its </w:t>
      </w:r>
      <w:r w:rsidR="00A83E86">
        <w:rPr>
          <w:szCs w:val="24"/>
        </w:rPr>
        <w:t>latest quarterly value.</w:t>
      </w:r>
    </w:p>
    <w:p w14:paraId="6974F332" w14:textId="1B44242A" w:rsidR="00A83E86" w:rsidRDefault="00A83E86" w:rsidP="00ED7798">
      <w:pPr>
        <w:spacing w:after="240"/>
        <w:rPr>
          <w:szCs w:val="24"/>
        </w:rPr>
      </w:pPr>
      <w:r>
        <w:rPr>
          <w:szCs w:val="24"/>
        </w:rPr>
        <w:t>Commonwealth bond yields (10-year</w:t>
      </w:r>
      <w:r w:rsidR="0085654C">
        <w:rPr>
          <w:szCs w:val="24"/>
        </w:rPr>
        <w:t xml:space="preserve"> maturity</w:t>
      </w:r>
      <w:r>
        <w:rPr>
          <w:szCs w:val="24"/>
        </w:rPr>
        <w:t xml:space="preserve">) </w:t>
      </w:r>
      <w:r w:rsidR="00130BCA">
        <w:rPr>
          <w:szCs w:val="24"/>
        </w:rPr>
        <w:t xml:space="preserve">are </w:t>
      </w:r>
      <w:r w:rsidR="0085654C">
        <w:rPr>
          <w:szCs w:val="24"/>
        </w:rPr>
        <w:t xml:space="preserve">projected using </w:t>
      </w:r>
      <w:r w:rsidR="0074325B">
        <w:rPr>
          <w:szCs w:val="24"/>
        </w:rPr>
        <w:t xml:space="preserve">forward rates for </w:t>
      </w:r>
      <w:r w:rsidR="00C56250">
        <w:rPr>
          <w:szCs w:val="24"/>
        </w:rPr>
        <w:t xml:space="preserve">the cash rate </w:t>
      </w:r>
      <w:r w:rsidR="0074325B">
        <w:rPr>
          <w:szCs w:val="24"/>
        </w:rPr>
        <w:t>published by the Reserve Bank of Australia</w:t>
      </w:r>
      <w:r w:rsidR="0085654C">
        <w:rPr>
          <w:szCs w:val="24"/>
        </w:rPr>
        <w:t>.</w:t>
      </w:r>
    </w:p>
    <w:p w14:paraId="46A2A5D2" w14:textId="77777777" w:rsidR="0085654C" w:rsidRDefault="0085654C" w:rsidP="00ED7798">
      <w:pPr>
        <w:spacing w:after="240"/>
      </w:pPr>
      <w:r>
        <w:t xml:space="preserve">Inflation expectations </w:t>
      </w:r>
      <w:r w:rsidR="00130BCA">
        <w:t xml:space="preserve">are </w:t>
      </w:r>
      <w:r w:rsidRPr="00005224">
        <w:t>calculated as the difference between standard and indexed bond yields at a maturity of 10 years</w:t>
      </w:r>
      <w:r w:rsidR="00630739">
        <w:t>.</w:t>
      </w:r>
    </w:p>
    <w:p w14:paraId="68C04F44" w14:textId="77777777" w:rsidR="0085654C" w:rsidRPr="00C65072" w:rsidRDefault="00301616" w:rsidP="00ED7798">
      <w:pPr>
        <w:spacing w:after="240"/>
        <w:rPr>
          <w:szCs w:val="24"/>
        </w:rPr>
      </w:pPr>
      <w:r>
        <w:t>In the short run, h</w:t>
      </w:r>
      <w:r w:rsidR="0085654C">
        <w:t xml:space="preserve">ousehold financial assets </w:t>
      </w:r>
      <w:r w:rsidR="00130BCA">
        <w:t xml:space="preserve">are </w:t>
      </w:r>
      <w:r w:rsidR="0085654C">
        <w:t xml:space="preserve">projected using </w:t>
      </w:r>
      <w:r w:rsidR="00130BCA">
        <w:t xml:space="preserve">an </w:t>
      </w:r>
      <w:r w:rsidR="00630739">
        <w:t xml:space="preserve">econometric </w:t>
      </w:r>
      <w:r w:rsidR="0085654C">
        <w:t xml:space="preserve">model based </w:t>
      </w:r>
      <w:r w:rsidR="00630739">
        <w:t xml:space="preserve">on </w:t>
      </w:r>
      <w:r>
        <w:t>the All Ordinaries Index</w:t>
      </w:r>
      <w:r w:rsidR="00630739">
        <w:t>,</w:t>
      </w:r>
      <w:r w:rsidR="0085654C">
        <w:t xml:space="preserve"> reverting to long-run average growth</w:t>
      </w:r>
      <w:r w:rsidR="00630739">
        <w:t xml:space="preserve"> thereafter</w:t>
      </w:r>
      <w:r w:rsidR="0085654C">
        <w:t>.</w:t>
      </w:r>
    </w:p>
    <w:p w14:paraId="34ADC5B6" w14:textId="7F7828D6" w:rsidR="00393C49" w:rsidRDefault="00393C49" w:rsidP="00393C49">
      <w:pPr>
        <w:pStyle w:val="Heading2"/>
      </w:pPr>
      <w:r>
        <w:t>Data sources</w:t>
      </w:r>
    </w:p>
    <w:p w14:paraId="0986A113" w14:textId="4362FC45" w:rsidR="00393C49" w:rsidRDefault="00393C49" w:rsidP="00393C49">
      <w:r>
        <w:t>ABS</w:t>
      </w:r>
      <w:r w:rsidR="00E562C1">
        <w:t>,</w:t>
      </w:r>
      <w:r>
        <w:t xml:space="preserve"> </w:t>
      </w:r>
      <w:r w:rsidR="0077757D" w:rsidRPr="0077757D">
        <w:rPr>
          <w:i/>
        </w:rPr>
        <w:t>National, state and territory population</w:t>
      </w:r>
    </w:p>
    <w:p w14:paraId="3EB5AD6B" w14:textId="0A17F9AF" w:rsidR="00A47842" w:rsidRDefault="00A47842" w:rsidP="00A47842">
      <w:r w:rsidRPr="00445614">
        <w:t>ABS</w:t>
      </w:r>
      <w:r w:rsidR="00E562C1">
        <w:t>,</w:t>
      </w:r>
      <w:r w:rsidRPr="00445614">
        <w:t xml:space="preserve"> </w:t>
      </w:r>
      <w:r w:rsidRPr="00301B6C">
        <w:rPr>
          <w:i/>
        </w:rPr>
        <w:t>Australian National Accounts: National Income, Expenditure and Product</w:t>
      </w:r>
    </w:p>
    <w:p w14:paraId="2C6AFF7E" w14:textId="3D2996F4" w:rsidR="00393C49" w:rsidRDefault="00393C49" w:rsidP="00393C49">
      <w:r>
        <w:t>ABS</w:t>
      </w:r>
      <w:r w:rsidR="00E562C1">
        <w:t>,</w:t>
      </w:r>
      <w:r>
        <w:t xml:space="preserve"> </w:t>
      </w:r>
      <w:r w:rsidRPr="00285988">
        <w:rPr>
          <w:i/>
        </w:rPr>
        <w:t>Australian National Accounts: State Accounts</w:t>
      </w:r>
    </w:p>
    <w:p w14:paraId="47DB3F6D" w14:textId="38A0514D" w:rsidR="00715BB3" w:rsidRDefault="00715BB3" w:rsidP="00393C49">
      <w:r w:rsidRPr="00CC5F31">
        <w:lastRenderedPageBreak/>
        <w:t>ABS</w:t>
      </w:r>
      <w:r>
        <w:t>,</w:t>
      </w:r>
      <w:r w:rsidRPr="00CC5F31">
        <w:t xml:space="preserve"> </w:t>
      </w:r>
      <w:r>
        <w:rPr>
          <w:i/>
        </w:rPr>
        <w:t xml:space="preserve">Balance of </w:t>
      </w:r>
      <w:proofErr w:type="gramStart"/>
      <w:r>
        <w:rPr>
          <w:i/>
        </w:rPr>
        <w:t>Payments</w:t>
      </w:r>
      <w:proofErr w:type="gramEnd"/>
      <w:r>
        <w:rPr>
          <w:i/>
        </w:rPr>
        <w:t xml:space="preserve"> and International Investment Position</w:t>
      </w:r>
    </w:p>
    <w:p w14:paraId="144D795F" w14:textId="6C26B078" w:rsidR="00393C49" w:rsidRDefault="00393C49" w:rsidP="00393C49">
      <w:r w:rsidRPr="00936953">
        <w:t>ABS</w:t>
      </w:r>
      <w:r w:rsidR="00E562C1">
        <w:t>,</w:t>
      </w:r>
      <w:r w:rsidRPr="00936953">
        <w:t xml:space="preserve"> </w:t>
      </w:r>
      <w:r w:rsidRPr="00187DDF">
        <w:rPr>
          <w:i/>
        </w:rPr>
        <w:t>Labour Force</w:t>
      </w:r>
      <w:r>
        <w:rPr>
          <w:i/>
        </w:rPr>
        <w:t>,</w:t>
      </w:r>
      <w:r w:rsidRPr="00005224">
        <w:t xml:space="preserve"> </w:t>
      </w:r>
      <w:r w:rsidR="0074325B">
        <w:t xml:space="preserve">Australia </w:t>
      </w:r>
    </w:p>
    <w:p w14:paraId="46FF0C34" w14:textId="4C253374" w:rsidR="00393C49" w:rsidRDefault="00393C49" w:rsidP="00393C49">
      <w:r>
        <w:t>ABS</w:t>
      </w:r>
      <w:r w:rsidR="00E562C1">
        <w:t>,</w:t>
      </w:r>
      <w:r>
        <w:t xml:space="preserve"> </w:t>
      </w:r>
      <w:r>
        <w:rPr>
          <w:i/>
        </w:rPr>
        <w:t>Wage Price Index</w:t>
      </w:r>
    </w:p>
    <w:p w14:paraId="4183FB43" w14:textId="19C1F7DD" w:rsidR="00393C49" w:rsidRDefault="00393C49" w:rsidP="00393C49">
      <w:r>
        <w:t>ABS</w:t>
      </w:r>
      <w:r w:rsidR="00E562C1">
        <w:t>,</w:t>
      </w:r>
      <w:r>
        <w:t xml:space="preserve"> </w:t>
      </w:r>
      <w:r w:rsidRPr="00B95D53">
        <w:rPr>
          <w:i/>
        </w:rPr>
        <w:t>Job Vacancies</w:t>
      </w:r>
    </w:p>
    <w:p w14:paraId="7D2BC8E4" w14:textId="1400C191" w:rsidR="00393C49" w:rsidRPr="00327E0A" w:rsidRDefault="00393C49" w:rsidP="00393C49">
      <w:r w:rsidRPr="00327E0A">
        <w:t>ABS</w:t>
      </w:r>
      <w:r w:rsidR="00E562C1" w:rsidRPr="00327E0A">
        <w:t>,</w:t>
      </w:r>
      <w:r w:rsidRPr="00327E0A">
        <w:t xml:space="preserve"> </w:t>
      </w:r>
      <w:r w:rsidRPr="00327E0A">
        <w:rPr>
          <w:i/>
        </w:rPr>
        <w:t xml:space="preserve">Consumer </w:t>
      </w:r>
      <w:r w:rsidR="00A61D3A" w:rsidRPr="00327E0A">
        <w:rPr>
          <w:i/>
        </w:rPr>
        <w:t>P</w:t>
      </w:r>
      <w:r w:rsidRPr="00327E0A">
        <w:rPr>
          <w:i/>
        </w:rPr>
        <w:t xml:space="preserve">rice </w:t>
      </w:r>
      <w:r w:rsidR="00A61D3A" w:rsidRPr="00327E0A">
        <w:rPr>
          <w:i/>
        </w:rPr>
        <w:t>I</w:t>
      </w:r>
      <w:r w:rsidRPr="00327E0A">
        <w:rPr>
          <w:i/>
        </w:rPr>
        <w:t>ndex</w:t>
      </w:r>
      <w:r w:rsidRPr="00327E0A">
        <w:t xml:space="preserve"> </w:t>
      </w:r>
    </w:p>
    <w:p w14:paraId="439BB66F" w14:textId="085C8FD2" w:rsidR="00B4647A" w:rsidRPr="00DC1CC2" w:rsidRDefault="00B4647A" w:rsidP="00393C49">
      <w:pPr>
        <w:rPr>
          <w:i/>
          <w:iCs/>
        </w:rPr>
      </w:pPr>
      <w:r w:rsidRPr="00DC1CC2">
        <w:rPr>
          <w:i/>
          <w:iCs/>
        </w:rPr>
        <w:t xml:space="preserve">ABS, Monthly Consumer Price Index Indicator </w:t>
      </w:r>
    </w:p>
    <w:p w14:paraId="71023161" w14:textId="50B5E20A" w:rsidR="00B877ED" w:rsidRPr="00DC1CC2" w:rsidRDefault="00B877ED" w:rsidP="00393C49">
      <w:pPr>
        <w:rPr>
          <w:i/>
          <w:iCs/>
        </w:rPr>
      </w:pPr>
      <w:r w:rsidRPr="00DC1CC2">
        <w:rPr>
          <w:i/>
          <w:iCs/>
        </w:rPr>
        <w:t>ABS, Monthly Household Spending Indicator</w:t>
      </w:r>
    </w:p>
    <w:p w14:paraId="3FB6CED4" w14:textId="40BD4C1C" w:rsidR="001A01F8" w:rsidRPr="00DC1CC2" w:rsidRDefault="001A01F8" w:rsidP="00393C49">
      <w:pPr>
        <w:rPr>
          <w:i/>
          <w:iCs/>
        </w:rPr>
      </w:pPr>
      <w:r w:rsidRPr="00DC1CC2">
        <w:rPr>
          <w:i/>
          <w:iCs/>
        </w:rPr>
        <w:t>ABS, Private New Capital Expenditure and Expected Expenditure, Australia</w:t>
      </w:r>
    </w:p>
    <w:p w14:paraId="7FD8D560" w14:textId="77777777" w:rsidR="00FC71D4" w:rsidRDefault="00FC71D4" w:rsidP="00FC71D4">
      <w:r w:rsidRPr="00DC1CC2">
        <w:t xml:space="preserve">ABS, </w:t>
      </w:r>
      <w:r w:rsidRPr="00DC1CC2">
        <w:rPr>
          <w:i/>
          <w:iCs/>
        </w:rPr>
        <w:t>Building approvals</w:t>
      </w:r>
    </w:p>
    <w:p w14:paraId="13C6C1CD" w14:textId="68C09720" w:rsidR="00393C49" w:rsidRDefault="00393C49" w:rsidP="00393C49">
      <w:r w:rsidRPr="00327E0A">
        <w:t>ANZ</w:t>
      </w:r>
      <w:r w:rsidR="00E562C1" w:rsidRPr="00327E0A">
        <w:t>,</w:t>
      </w:r>
      <w:r w:rsidRPr="00327E0A">
        <w:t xml:space="preserve"> </w:t>
      </w:r>
      <w:r w:rsidRPr="00327E0A">
        <w:rPr>
          <w:i/>
        </w:rPr>
        <w:t>Job Advertisement series</w:t>
      </w:r>
    </w:p>
    <w:p w14:paraId="2E74E32D" w14:textId="33E7D9C3" w:rsidR="00393C49" w:rsidRPr="00327E0A" w:rsidRDefault="00393C49" w:rsidP="00393C49">
      <w:r w:rsidRPr="00327E0A">
        <w:t xml:space="preserve">Commonwealth Department </w:t>
      </w:r>
      <w:r w:rsidR="008B50A3">
        <w:t>of Jobs and Small Business</w:t>
      </w:r>
      <w:r w:rsidR="00E562C1" w:rsidRPr="00327E0A">
        <w:t>,</w:t>
      </w:r>
      <w:r w:rsidRPr="00327E0A">
        <w:t xml:space="preserve"> </w:t>
      </w:r>
      <w:r w:rsidRPr="00327E0A">
        <w:rPr>
          <w:i/>
        </w:rPr>
        <w:t xml:space="preserve">Internet Vacancy Index </w:t>
      </w:r>
    </w:p>
    <w:p w14:paraId="553BF603" w14:textId="45A39501" w:rsidR="00393C49" w:rsidRDefault="00E307E3" w:rsidP="00393C49">
      <w:r>
        <w:t xml:space="preserve">Commonwealth </w:t>
      </w:r>
      <w:r w:rsidR="00211EAF">
        <w:t>Department</w:t>
      </w:r>
      <w:r w:rsidR="00F65FB3">
        <w:t xml:space="preserve"> of </w:t>
      </w:r>
      <w:r w:rsidR="00CA2500">
        <w:t>Employment and Workplace Relations</w:t>
      </w:r>
      <w:r w:rsidR="00E562C1" w:rsidRPr="00327E0A">
        <w:t>,</w:t>
      </w:r>
      <w:r w:rsidR="00393C49" w:rsidRPr="00327E0A">
        <w:t xml:space="preserve"> </w:t>
      </w:r>
      <w:r w:rsidR="00393C49" w:rsidRPr="00327E0A">
        <w:rPr>
          <w:i/>
        </w:rPr>
        <w:t>Trends in Federal Enterprise Bargaining</w:t>
      </w:r>
      <w:r w:rsidR="00393C49" w:rsidRPr="00327E0A">
        <w:t xml:space="preserve"> </w:t>
      </w:r>
      <w:r w:rsidR="00393C49" w:rsidRPr="00327E0A">
        <w:rPr>
          <w:i/>
        </w:rPr>
        <w:t xml:space="preserve">report </w:t>
      </w:r>
    </w:p>
    <w:p w14:paraId="43001302" w14:textId="25D252FC" w:rsidR="0074325B" w:rsidRPr="00327E0A" w:rsidRDefault="0074325B" w:rsidP="00393C49">
      <w:r>
        <w:t xml:space="preserve">CoreLogic, </w:t>
      </w:r>
      <w:r w:rsidRPr="0074325B">
        <w:rPr>
          <w:i/>
          <w:iCs/>
        </w:rPr>
        <w:t>Residential Home Value Index</w:t>
      </w:r>
    </w:p>
    <w:p w14:paraId="2197EE4D" w14:textId="65CC774B" w:rsidR="00393C49" w:rsidRPr="00327E0A" w:rsidRDefault="00393C49" w:rsidP="00393C49">
      <w:pPr>
        <w:rPr>
          <w:i/>
        </w:rPr>
      </w:pPr>
      <w:r w:rsidRPr="00327E0A">
        <w:t>Deloitte Access Economics</w:t>
      </w:r>
      <w:r w:rsidR="00E562C1" w:rsidRPr="00327E0A">
        <w:t>,</w:t>
      </w:r>
      <w:r w:rsidRPr="00327E0A">
        <w:t xml:space="preserve"> </w:t>
      </w:r>
      <w:r w:rsidRPr="00327E0A">
        <w:rPr>
          <w:i/>
        </w:rPr>
        <w:t>Investment Monitor</w:t>
      </w:r>
    </w:p>
    <w:p w14:paraId="4BCBDDC5" w14:textId="0185EE34" w:rsidR="001D18D1" w:rsidRPr="00327E0A" w:rsidRDefault="001D18D1" w:rsidP="00393C49">
      <w:r w:rsidRPr="00327E0A">
        <w:t>Federal Reserve Bank of St. Louis</w:t>
      </w:r>
      <w:r w:rsidR="00E562C1" w:rsidRPr="00327E0A">
        <w:t>,</w:t>
      </w:r>
      <w:r w:rsidRPr="00327E0A">
        <w:t xml:space="preserve"> </w:t>
      </w:r>
      <w:r w:rsidRPr="00327E0A">
        <w:rPr>
          <w:i/>
        </w:rPr>
        <w:t>Crude Oil Prices: West Texas Intermediate (WTI) – Cushing</w:t>
      </w:r>
    </w:p>
    <w:p w14:paraId="6707A03C" w14:textId="197E8438" w:rsidR="00393C49" w:rsidRPr="00327E0A" w:rsidRDefault="00393C49" w:rsidP="00393C49">
      <w:pPr>
        <w:rPr>
          <w:i/>
        </w:rPr>
      </w:pPr>
      <w:r w:rsidRPr="00327E0A">
        <w:t>International Monetary Fund</w:t>
      </w:r>
      <w:r w:rsidR="00E562C1" w:rsidRPr="00327E0A">
        <w:t>,</w:t>
      </w:r>
      <w:r w:rsidRPr="00327E0A">
        <w:t xml:space="preserve"> </w:t>
      </w:r>
      <w:r w:rsidRPr="00327E0A">
        <w:rPr>
          <w:i/>
        </w:rPr>
        <w:t>World Economic Outlook Database</w:t>
      </w:r>
      <w:r w:rsidRPr="00327E0A">
        <w:t xml:space="preserve"> </w:t>
      </w:r>
    </w:p>
    <w:p w14:paraId="2A9B1D8D" w14:textId="77777777" w:rsidR="00393C49" w:rsidRPr="00327E0A" w:rsidRDefault="00242B22" w:rsidP="00393C49">
      <w:r w:rsidRPr="00327E0A">
        <w:t>National Australia Bank</w:t>
      </w:r>
      <w:r w:rsidR="00E562C1" w:rsidRPr="00327E0A">
        <w:t>,</w:t>
      </w:r>
      <w:r w:rsidR="00393C49" w:rsidRPr="00327E0A">
        <w:t xml:space="preserve"> </w:t>
      </w:r>
      <w:r w:rsidR="00393C49" w:rsidRPr="00327E0A">
        <w:rPr>
          <w:i/>
        </w:rPr>
        <w:t>Business Survey data</w:t>
      </w:r>
    </w:p>
    <w:p w14:paraId="1BC97873" w14:textId="03BFC78E" w:rsidR="00C24033" w:rsidRDefault="00C24033" w:rsidP="00393C49">
      <w:r>
        <w:t xml:space="preserve">Australian Institute of Petroleum, </w:t>
      </w:r>
      <w:r w:rsidRPr="0077757D">
        <w:rPr>
          <w:i/>
        </w:rPr>
        <w:t>Victorian State Average</w:t>
      </w:r>
    </w:p>
    <w:p w14:paraId="6A44C07B" w14:textId="77777777" w:rsidR="00393C49" w:rsidRPr="00327E0A" w:rsidRDefault="00393C49" w:rsidP="00393C49">
      <w:r w:rsidRPr="00327E0A">
        <w:t>RBA</w:t>
      </w:r>
      <w:r w:rsidR="00E562C1" w:rsidRPr="00327E0A">
        <w:t>,</w:t>
      </w:r>
      <w:r w:rsidRPr="00327E0A">
        <w:t xml:space="preserve"> </w:t>
      </w:r>
      <w:r w:rsidRPr="00327E0A">
        <w:rPr>
          <w:i/>
        </w:rPr>
        <w:t>Interest Rates</w:t>
      </w:r>
      <w:r w:rsidRPr="00327E0A">
        <w:t xml:space="preserve"> </w:t>
      </w:r>
      <w:r w:rsidR="004D75B0" w:rsidRPr="00327E0A">
        <w:rPr>
          <w:i/>
        </w:rPr>
        <w:t xml:space="preserve">and Yields – Money Market – Monthly, </w:t>
      </w:r>
      <w:r w:rsidR="004D75B0" w:rsidRPr="00327E0A">
        <w:t xml:space="preserve">Table </w:t>
      </w:r>
      <w:r w:rsidRPr="00327E0A">
        <w:t>F1</w:t>
      </w:r>
      <w:r w:rsidR="004D75B0" w:rsidRPr="00327E0A">
        <w:t>.1</w:t>
      </w:r>
      <w:r w:rsidR="00242B22" w:rsidRPr="00327E0A">
        <w:rPr>
          <w:i/>
        </w:rPr>
        <w:t>,</w:t>
      </w:r>
      <w:r w:rsidRPr="00327E0A">
        <w:rPr>
          <w:i/>
        </w:rPr>
        <w:t xml:space="preserve"> </w:t>
      </w:r>
    </w:p>
    <w:p w14:paraId="6A992991" w14:textId="77777777" w:rsidR="00A335E6" w:rsidRPr="00327E0A" w:rsidRDefault="00A335E6" w:rsidP="00A335E6">
      <w:r w:rsidRPr="00327E0A">
        <w:t>RBA</w:t>
      </w:r>
      <w:r w:rsidR="00E562C1" w:rsidRPr="00327E0A">
        <w:t>,</w:t>
      </w:r>
      <w:r w:rsidRPr="00327E0A">
        <w:t xml:space="preserve"> </w:t>
      </w:r>
      <w:r w:rsidRPr="00327E0A">
        <w:rPr>
          <w:i/>
        </w:rPr>
        <w:t xml:space="preserve">Capital Market Yields </w:t>
      </w:r>
      <w:r w:rsidR="000B44AB" w:rsidRPr="00327E0A">
        <w:rPr>
          <w:i/>
        </w:rPr>
        <w:t>–</w:t>
      </w:r>
      <w:r w:rsidR="000B44AB">
        <w:rPr>
          <w:i/>
        </w:rPr>
        <w:t xml:space="preserve"> </w:t>
      </w:r>
      <w:r w:rsidRPr="00327E0A">
        <w:rPr>
          <w:i/>
        </w:rPr>
        <w:t>Government Bonds – Monthly,</w:t>
      </w:r>
      <w:r w:rsidRPr="00327E0A">
        <w:t xml:space="preserve"> Table F2.1</w:t>
      </w:r>
    </w:p>
    <w:p w14:paraId="10DC80C9" w14:textId="77777777" w:rsidR="008C796D" w:rsidRPr="00327E0A" w:rsidRDefault="008C796D" w:rsidP="00393C49">
      <w:r w:rsidRPr="00327E0A">
        <w:t>RBA</w:t>
      </w:r>
      <w:r w:rsidR="00E562C1" w:rsidRPr="00327E0A">
        <w:t>,</w:t>
      </w:r>
      <w:r w:rsidRPr="00327E0A">
        <w:t xml:space="preserve"> </w:t>
      </w:r>
      <w:r w:rsidRPr="00327E0A">
        <w:rPr>
          <w:i/>
        </w:rPr>
        <w:t>Indicator Lending Rates,</w:t>
      </w:r>
      <w:r w:rsidRPr="00327E0A">
        <w:t xml:space="preserve"> Table F5</w:t>
      </w:r>
    </w:p>
    <w:p w14:paraId="76456214" w14:textId="77777777" w:rsidR="005D7D5B" w:rsidRDefault="005D7D5B" w:rsidP="00393C49">
      <w:pPr>
        <w:rPr>
          <w:i/>
        </w:rPr>
      </w:pPr>
      <w:r w:rsidRPr="00327E0A">
        <w:t>RBA</w:t>
      </w:r>
      <w:r w:rsidR="00E562C1" w:rsidRPr="00327E0A">
        <w:t>,</w:t>
      </w:r>
      <w:r w:rsidRPr="00327E0A">
        <w:t xml:space="preserve"> </w:t>
      </w:r>
      <w:r w:rsidRPr="00327E0A">
        <w:rPr>
          <w:i/>
        </w:rPr>
        <w:t>Exchange Rates – Daily – 2014 to Current – F11.1</w:t>
      </w:r>
    </w:p>
    <w:p w14:paraId="5ED088E8" w14:textId="77777777" w:rsidR="00663F2F" w:rsidRPr="00FE0178" w:rsidRDefault="00663F2F" w:rsidP="00663F2F">
      <w:pPr>
        <w:rPr>
          <w:i/>
        </w:rPr>
      </w:pPr>
      <w:r>
        <w:t xml:space="preserve">RBA, </w:t>
      </w:r>
      <w:r w:rsidRPr="00403F8C">
        <w:rPr>
          <w:i/>
        </w:rPr>
        <w:t>Zero-coupon Interest Rates – Analytical Series – 2009 to Current – F17</w:t>
      </w:r>
    </w:p>
    <w:p w14:paraId="49B991EA" w14:textId="54DEC0A9" w:rsidR="009557B7" w:rsidRDefault="009557B7">
      <w:pPr>
        <w:rPr>
          <w:i/>
        </w:rPr>
      </w:pPr>
      <w:r w:rsidRPr="00327E0A">
        <w:t>Westpac-Melbourne Institute</w:t>
      </w:r>
      <w:r w:rsidR="00E562C1" w:rsidRPr="00327E0A">
        <w:t>,</w:t>
      </w:r>
      <w:r w:rsidRPr="00327E0A">
        <w:t xml:space="preserve"> </w:t>
      </w:r>
      <w:r w:rsidRPr="00327E0A">
        <w:rPr>
          <w:i/>
        </w:rPr>
        <w:t xml:space="preserve">Consumer Sentiment </w:t>
      </w:r>
      <w:r w:rsidR="00C24033">
        <w:rPr>
          <w:i/>
        </w:rPr>
        <w:t xml:space="preserve">Index </w:t>
      </w:r>
    </w:p>
    <w:p w14:paraId="0091E8AB" w14:textId="77777777" w:rsidR="009A2592" w:rsidRPr="00327E0A" w:rsidRDefault="009A2592">
      <w:pPr>
        <w:rPr>
          <w:i/>
        </w:rPr>
      </w:pPr>
    </w:p>
    <w:sectPr w:rsidR="009A2592" w:rsidRPr="00327E0A" w:rsidSect="00DC733C">
      <w:headerReference w:type="even" r:id="rId12"/>
      <w:headerReference w:type="default" r:id="rId13"/>
      <w:footerReference w:type="even" r:id="rId14"/>
      <w:footerReference w:type="default" r:id="rId15"/>
      <w:headerReference w:type="first" r:id="rId16"/>
      <w:footerReference w:type="first" r:id="rId17"/>
      <w:pgSz w:w="11906" w:h="16838" w:code="9"/>
      <w:pgMar w:top="1584" w:right="1411" w:bottom="1138" w:left="979" w:header="461"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2E6C" w14:textId="77777777" w:rsidR="00DC733C" w:rsidRDefault="00DC733C" w:rsidP="005B27D3">
      <w:pPr>
        <w:spacing w:after="0"/>
      </w:pPr>
      <w:r>
        <w:separator/>
      </w:r>
    </w:p>
  </w:endnote>
  <w:endnote w:type="continuationSeparator" w:id="0">
    <w:p w14:paraId="2F28591A" w14:textId="77777777" w:rsidR="00DC733C" w:rsidRDefault="00DC733C" w:rsidP="005B27D3">
      <w:pPr>
        <w:spacing w:after="0"/>
      </w:pPr>
      <w:r>
        <w:continuationSeparator/>
      </w:r>
    </w:p>
  </w:endnote>
  <w:endnote w:type="continuationNotice" w:id="1">
    <w:p w14:paraId="2251D88F" w14:textId="77777777" w:rsidR="00DC733C" w:rsidRDefault="00DC7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2380" w14:textId="77777777" w:rsidR="00FC7655" w:rsidRDefault="00FC7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57" w:type="dxa"/>
        <w:right w:w="57" w:type="dxa"/>
      </w:tblCellMar>
      <w:tblLook w:val="0600" w:firstRow="0" w:lastRow="0" w:firstColumn="0" w:lastColumn="0" w:noHBand="1" w:noVBand="1"/>
    </w:tblPr>
    <w:tblGrid>
      <w:gridCol w:w="8682"/>
      <w:gridCol w:w="834"/>
    </w:tblGrid>
    <w:tr w:rsidR="00290E46" w14:paraId="69B1273A" w14:textId="77777777" w:rsidTr="00C26EB2">
      <w:trPr>
        <w:cantSplit/>
      </w:trPr>
      <w:tc>
        <w:tcPr>
          <w:tcW w:w="8266" w:type="dxa"/>
          <w:shd w:val="clear" w:color="auto" w:fill="auto"/>
        </w:tcPr>
        <w:p w14:paraId="3753C419" w14:textId="170E72C7" w:rsidR="00290E46" w:rsidRPr="0014705B" w:rsidRDefault="00290E46" w:rsidP="00C26EB2">
          <w:pPr>
            <w:pStyle w:val="Footer"/>
            <w:jc w:val="right"/>
            <w:rPr>
              <w:sz w:val="16"/>
              <w:szCs w:val="16"/>
            </w:rPr>
          </w:pPr>
          <w:r w:rsidRPr="0014705B">
            <w:rPr>
              <w:sz w:val="16"/>
              <w:szCs w:val="16"/>
            </w:rPr>
            <w:fldChar w:fldCharType="begin"/>
          </w:r>
          <w:r w:rsidRPr="0014705B">
            <w:rPr>
              <w:sz w:val="16"/>
              <w:szCs w:val="16"/>
            </w:rPr>
            <w:instrText xml:space="preserve"> StyleRef “Heading 1 NoNum” </w:instrText>
          </w:r>
          <w:r w:rsidRPr="0014705B">
            <w:rPr>
              <w:sz w:val="16"/>
              <w:szCs w:val="16"/>
            </w:rPr>
            <w:fldChar w:fldCharType="separate"/>
          </w:r>
          <w:r w:rsidR="007A669F">
            <w:rPr>
              <w:sz w:val="16"/>
              <w:szCs w:val="16"/>
            </w:rPr>
            <w:t>Method for generating forecasts of macroeconomic indicators</w:t>
          </w:r>
          <w:r w:rsidRPr="0014705B">
            <w:rPr>
              <w:sz w:val="16"/>
              <w:szCs w:val="16"/>
            </w:rPr>
            <w:fldChar w:fldCharType="end"/>
          </w:r>
        </w:p>
        <w:p w14:paraId="2396C13C" w14:textId="77777777" w:rsidR="00290E46" w:rsidRPr="0014705B" w:rsidRDefault="00290E46" w:rsidP="0014705B">
          <w:pPr>
            <w:pStyle w:val="Footer"/>
            <w:jc w:val="right"/>
            <w:rPr>
              <w:sz w:val="16"/>
              <w:szCs w:val="16"/>
            </w:rPr>
          </w:pPr>
        </w:p>
      </w:tc>
      <w:tc>
        <w:tcPr>
          <w:tcW w:w="794" w:type="dxa"/>
          <w:shd w:val="clear" w:color="auto" w:fill="auto"/>
        </w:tcPr>
        <w:p w14:paraId="697FDF94" w14:textId="77777777" w:rsidR="00290E46" w:rsidRPr="0018749C" w:rsidRDefault="00290E46" w:rsidP="00C26EB2">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1</w:t>
          </w:r>
          <w:r w:rsidRPr="0018749C">
            <w:rPr>
              <w:rStyle w:val="PageNumber"/>
            </w:rPr>
            <w:fldChar w:fldCharType="end"/>
          </w:r>
        </w:p>
      </w:tc>
    </w:tr>
  </w:tbl>
  <w:p w14:paraId="4C3ABC94" w14:textId="31B5CD98" w:rsidR="00290E46" w:rsidRDefault="003F09CD" w:rsidP="005E4438">
    <w:pPr>
      <w:pStyle w:val="Footer"/>
    </w:pPr>
    <w:r>
      <w:rPr>
        <w:sz w:val="16"/>
        <w:szCs w:val="16"/>
      </w:rPr>
      <mc:AlternateContent>
        <mc:Choice Requires="wps">
          <w:drawing>
            <wp:anchor distT="0" distB="0" distL="114300" distR="114300" simplePos="0" relativeHeight="251658241" behindDoc="0" locked="0" layoutInCell="0" allowOverlap="1" wp14:anchorId="6DB36E47" wp14:editId="33BD9421">
              <wp:simplePos x="0" y="0"/>
              <wp:positionH relativeFrom="page">
                <wp:posOffset>0</wp:posOffset>
              </wp:positionH>
              <wp:positionV relativeFrom="page">
                <wp:posOffset>10146030</wp:posOffset>
              </wp:positionV>
              <wp:extent cx="7560310" cy="266700"/>
              <wp:effectExtent l="0" t="0" r="0" b="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wps:spPr>
                    <wps:txbx>
                      <w:txbxContent>
                        <w:p w14:paraId="295F6F36" w14:textId="4F9F932B" w:rsidR="00290E46" w:rsidRPr="00E51ECB" w:rsidRDefault="00290E46" w:rsidP="00E51ECB">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B36E47"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1,&quot;Top&quot;:0.0,&quot;Left&quot;:0.0}" style="position:absolute;margin-left:0;margin-top:798.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" o:allowincell="f" filled="f" stroked="f" strokeweight=".5pt">
              <v:textbox inset="20pt,0,,0">
                <w:txbxContent>
                  <w:p w14:paraId="295F6F36" w14:textId="4F9F932B" w:rsidR="00290E46" w:rsidRPr="00E51ECB" w:rsidRDefault="00290E46" w:rsidP="00E51ECB">
                    <w:pPr>
                      <w:spacing w:after="0"/>
                      <w:rPr>
                        <w:rFonts w:ascii="Calibri" w:hAnsi="Calibri" w:cs="Calibri"/>
                        <w:color w:val="000000"/>
                      </w:rPr>
                    </w:pPr>
                  </w:p>
                </w:txbxContent>
              </v:textbox>
              <w10:wrap anchorx="page" anchory="page"/>
            </v:shape>
          </w:pict>
        </mc:Fallback>
      </mc:AlternateContent>
    </w:r>
    <w:r>
      <w:rPr>
        <w:sz w:val="16"/>
        <w:szCs w:val="16"/>
      </w:rPr>
      <mc:AlternateContent>
        <mc:Choice Requires="wps">
          <w:drawing>
            <wp:anchor distT="0" distB="0" distL="114300" distR="114300" simplePos="0" relativeHeight="251658242" behindDoc="0" locked="0" layoutInCell="0" allowOverlap="1" wp14:anchorId="62658796" wp14:editId="0AE8917B">
              <wp:simplePos x="0" y="0"/>
              <wp:positionH relativeFrom="page">
                <wp:posOffset>0</wp:posOffset>
              </wp:positionH>
              <wp:positionV relativeFrom="page">
                <wp:posOffset>10228580</wp:posOffset>
              </wp:positionV>
              <wp:extent cx="7560310" cy="273050"/>
              <wp:effectExtent l="0" t="0" r="0" b="12700"/>
              <wp:wrapNone/>
              <wp:docPr id="6" name="MSIPCMd5a9485d9f4c1ab0e2d14cd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115FC402" w14:textId="6F8487AC" w:rsidR="00124D23" w:rsidRPr="00124D23" w:rsidRDefault="00124D23" w:rsidP="00124D23">
                          <w:pPr>
                            <w:spacing w:after="0"/>
                            <w:rPr>
                              <w:rFonts w:ascii="Calibri" w:hAnsi="Calibri" w:cs="Calibri"/>
                              <w:color w:val="000000"/>
                            </w:rPr>
                          </w:pPr>
                          <w:r w:rsidRPr="00124D2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62658796" id="MSIPCMd5a9485d9f4c1ab0e2d14cd8" o:spid="_x0000_s1027" type="#_x0000_t202" alt="{&quot;HashCode&quot;:-1267603503,&quot;Height&quot;:841.0,&quot;Width&quot;:595.0,&quot;Placement&quot;:&quot;Footer&quot;,&quot;Index&quot;:&quot;Primary&quot;,&quot;Section&quot;:1,&quot;Top&quot;:0.0,&quot;Left&quot;:0.0}" style="position:absolute;margin-left:0;margin-top:805.4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115FC402" w14:textId="6F8487AC" w:rsidR="00124D23" w:rsidRPr="00124D23" w:rsidRDefault="00124D23" w:rsidP="00124D23">
                    <w:pPr>
                      <w:spacing w:after="0"/>
                      <w:rPr>
                        <w:rFonts w:ascii="Calibri" w:hAnsi="Calibri" w:cs="Calibri"/>
                        <w:color w:val="000000"/>
                      </w:rPr>
                    </w:pPr>
                    <w:r w:rsidRPr="00124D23">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1973" w14:textId="77777777" w:rsidR="00FC7655" w:rsidRDefault="00FC7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F5FDA" w14:textId="77777777" w:rsidR="00DC733C" w:rsidRDefault="00DC733C" w:rsidP="005B27D3">
      <w:pPr>
        <w:spacing w:after="0"/>
      </w:pPr>
      <w:r>
        <w:separator/>
      </w:r>
    </w:p>
  </w:footnote>
  <w:footnote w:type="continuationSeparator" w:id="0">
    <w:p w14:paraId="11F345A4" w14:textId="77777777" w:rsidR="00DC733C" w:rsidRDefault="00DC733C" w:rsidP="005B27D3">
      <w:pPr>
        <w:spacing w:after="0"/>
      </w:pPr>
      <w:r>
        <w:continuationSeparator/>
      </w:r>
    </w:p>
  </w:footnote>
  <w:footnote w:type="continuationNotice" w:id="1">
    <w:p w14:paraId="2DAB5C09" w14:textId="77777777" w:rsidR="00DC733C" w:rsidRDefault="00DC733C">
      <w:pPr>
        <w:spacing w:after="0"/>
      </w:pPr>
    </w:p>
  </w:footnote>
  <w:footnote w:id="2">
    <w:p w14:paraId="672FF9A2" w14:textId="254C2097" w:rsidR="00290E46" w:rsidRPr="00425838" w:rsidRDefault="00290E46" w:rsidP="00425838">
      <w:pPr>
        <w:pStyle w:val="Footnote"/>
      </w:pPr>
      <w:r w:rsidRPr="00762FF2">
        <w:rPr>
          <w:rStyle w:val="FootnoteReference"/>
          <w:sz w:val="22"/>
        </w:rPr>
        <w:footnoteRef/>
      </w:r>
      <w:r w:rsidRPr="00425838">
        <w:t xml:space="preserve"> Fundamental drivers of nominal growth include population, productivity</w:t>
      </w:r>
      <w:r>
        <w:t xml:space="preserve">, </w:t>
      </w:r>
      <w:r w:rsidR="000D61EA">
        <w:t xml:space="preserve">workforce </w:t>
      </w:r>
      <w:r>
        <w:t>participation</w:t>
      </w:r>
      <w:r w:rsidRPr="00425838">
        <w:t xml:space="preserve"> and inflation. </w:t>
      </w:r>
    </w:p>
  </w:footnote>
  <w:footnote w:id="3">
    <w:p w14:paraId="36889B9C" w14:textId="28BBC5F3" w:rsidR="00290E46" w:rsidRDefault="00290E46">
      <w:pPr>
        <w:pStyle w:val="FootnoteText"/>
      </w:pPr>
      <w:r>
        <w:rPr>
          <w:rStyle w:val="FootnoteReference"/>
        </w:rPr>
        <w:footnoteRef/>
      </w:r>
      <w:r w:rsidRPr="0077757D">
        <w:rPr>
          <w:sz w:val="18"/>
        </w:rPr>
        <w:t xml:space="preserve"> </w:t>
      </w:r>
      <w:r>
        <w:rPr>
          <w:sz w:val="18"/>
        </w:rPr>
        <w:t xml:space="preserve">This term is defined as the product of the </w:t>
      </w:r>
      <w:r w:rsidRPr="0077757D">
        <w:rPr>
          <w:sz w:val="18"/>
        </w:rPr>
        <w:t xml:space="preserve">labour force participation rate of the working-age population, </w:t>
      </w:r>
      <w:r>
        <w:rPr>
          <w:sz w:val="18"/>
        </w:rPr>
        <w:t xml:space="preserve">the </w:t>
      </w:r>
      <w:r w:rsidRPr="0077757D">
        <w:rPr>
          <w:sz w:val="18"/>
        </w:rPr>
        <w:t xml:space="preserve">employment rate of the labour force, and average working hours </w:t>
      </w:r>
      <w:r>
        <w:rPr>
          <w:sz w:val="18"/>
        </w:rPr>
        <w:t>per</w:t>
      </w:r>
      <w:r w:rsidRPr="0077757D">
        <w:rPr>
          <w:sz w:val="18"/>
        </w:rPr>
        <w:t xml:space="preserve"> employed worker</w:t>
      </w:r>
      <w:r>
        <w:rPr>
          <w:sz w:val="18"/>
        </w:rPr>
        <w:t xml:space="preserve">, and it is conceptually equivalent to overall labour utilisation in the economy.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32DB" w14:textId="77777777" w:rsidR="00FC7655" w:rsidRDefault="00FC7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CC14" w14:textId="77777777" w:rsidR="00290E46" w:rsidRDefault="00290E46" w:rsidP="005E4438">
    <w:pPr>
      <w:pStyle w:val="Header"/>
      <w:tabs>
        <w:tab w:val="clear" w:pos="4320"/>
        <w:tab w:val="clear" w:pos="8640"/>
      </w:tabs>
      <w:ind w:right="-6"/>
      <w:jc w:val="right"/>
      <w:rPr>
        <w:noProof/>
      </w:rPr>
    </w:pPr>
    <w:r>
      <w:rPr>
        <w:noProof/>
        <w:lang w:eastAsia="en-AU"/>
      </w:rPr>
      <w:drawing>
        <wp:anchor distT="0" distB="0" distL="114300" distR="114300" simplePos="0" relativeHeight="251658240" behindDoc="1" locked="0" layoutInCell="1" allowOverlap="1" wp14:anchorId="4E350B73" wp14:editId="56432878">
          <wp:simplePos x="0" y="0"/>
          <wp:positionH relativeFrom="column">
            <wp:posOffset>-2233295</wp:posOffset>
          </wp:positionH>
          <wp:positionV relativeFrom="paragraph">
            <wp:posOffset>-361950</wp:posOffset>
          </wp:positionV>
          <wp:extent cx="6467475" cy="561975"/>
          <wp:effectExtent l="0" t="0" r="9525" b="9525"/>
          <wp:wrapNone/>
          <wp:docPr id="3" name="Picture 3" descr="Narrow Strip Blu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 Strip Blue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345EC744" wp14:editId="6974751C">
          <wp:extent cx="2156460" cy="129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6460" cy="1295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1600" w14:textId="77777777" w:rsidR="00FC7655" w:rsidRDefault="00FC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C41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9EAB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9E8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60FE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7EF8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EA49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7A24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D91B44"/>
    <w:multiLevelType w:val="hybridMultilevel"/>
    <w:tmpl w:val="E85E07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386778"/>
    <w:multiLevelType w:val="hybridMultilevel"/>
    <w:tmpl w:val="01F8E1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154E08"/>
    <w:multiLevelType w:val="hybridMultilevel"/>
    <w:tmpl w:val="492EB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1C752B"/>
    <w:multiLevelType w:val="multilevel"/>
    <w:tmpl w:val="DA904724"/>
    <w:lvl w:ilvl="0">
      <w:start w:val="1"/>
      <w:numFmt w:val="decimal"/>
      <w:pStyle w:val="Heading1"/>
      <w:lvlText w:val="%1."/>
      <w:lvlJc w:val="left"/>
      <w:pPr>
        <w:tabs>
          <w:tab w:val="num" w:pos="794"/>
        </w:tabs>
        <w:ind w:left="794" w:hanging="794"/>
      </w:pPr>
      <w:rPr>
        <w:rFonts w:ascii="Calibri" w:hAnsi="Calibri" w:hint="default"/>
        <w:b w:val="0"/>
        <w:i w:val="0"/>
        <w:vanish w:val="0"/>
        <w:color w:val="404040"/>
        <w:sz w:val="40"/>
      </w:rPr>
    </w:lvl>
    <w:lvl w:ilvl="1">
      <w:start w:val="1"/>
      <w:numFmt w:val="decimal"/>
      <w:pStyle w:val="Heading2"/>
      <w:lvlText w:val="%1.%2"/>
      <w:lvlJc w:val="left"/>
      <w:pPr>
        <w:tabs>
          <w:tab w:val="num" w:pos="794"/>
        </w:tabs>
        <w:ind w:left="794" w:hanging="794"/>
      </w:pPr>
      <w:rPr>
        <w:rFonts w:ascii="Calibri" w:hAnsi="Calibri" w:hint="default"/>
        <w:b w:val="0"/>
        <w:i w:val="0"/>
        <w:vanish w:val="0"/>
        <w:color w:val="4D4D4D"/>
        <w:sz w:val="30"/>
      </w:rPr>
    </w:lvl>
    <w:lvl w:ilvl="2">
      <w:start w:val="1"/>
      <w:numFmt w:val="decimal"/>
      <w:pStyle w:val="Heading3"/>
      <w:lvlText w:val="%1.%2.%3"/>
      <w:lvlJc w:val="left"/>
      <w:pPr>
        <w:tabs>
          <w:tab w:val="num" w:pos="794"/>
        </w:tabs>
        <w:ind w:left="794" w:hanging="794"/>
      </w:pPr>
      <w:rPr>
        <w:rFonts w:ascii="Calibri" w:hAnsi="Calibri" w:hint="default"/>
        <w:b/>
        <w:i w:val="0"/>
        <w:vanish w:val="0"/>
        <w:color w:val="4D4D4D"/>
        <w:sz w:val="26"/>
      </w:rPr>
    </w:lvl>
    <w:lvl w:ilvl="3">
      <w:start w:val="1"/>
      <w:numFmt w:val="decimal"/>
      <w:pStyle w:val="Heading4"/>
      <w:lvlText w:val="%1.%2.%3.%4"/>
      <w:lvlJc w:val="left"/>
      <w:pPr>
        <w:tabs>
          <w:tab w:val="num" w:pos="792"/>
        </w:tabs>
        <w:ind w:left="794" w:hanging="794"/>
      </w:pPr>
      <w:rPr>
        <w:rFonts w:ascii="Calibri" w:hAnsi="Calibri" w:hint="default"/>
        <w:b/>
        <w:i w:val="0"/>
        <w:vanish w:val="0"/>
        <w:color w:val="4D4D4D"/>
        <w:sz w:val="22"/>
      </w:rPr>
    </w:lvl>
    <w:lvl w:ilvl="4">
      <w:start w:val="1"/>
      <w:numFmt w:val="none"/>
      <w:pStyle w:val="Heading5"/>
      <w:suff w:val="nothing"/>
      <w:lvlText w:val="%5"/>
      <w:lvlJc w:val="left"/>
      <w:pPr>
        <w:ind w:left="794" w:firstLine="0"/>
      </w:pPr>
      <w:rPr>
        <w:rFonts w:ascii="Calibri" w:hAnsi="Calibri" w:hint="default"/>
        <w:b w:val="0"/>
        <w:i/>
        <w:vanish w:val="0"/>
        <w:color w:val="404040"/>
        <w:sz w:val="22"/>
      </w:rPr>
    </w:lvl>
    <w:lvl w:ilvl="5">
      <w:start w:val="1"/>
      <w:numFmt w:val="decimal"/>
      <w:pStyle w:val="Heading6"/>
      <w:suff w:val="nothing"/>
      <w:lvlText w:val=""/>
      <w:lvlJc w:val="left"/>
      <w:pPr>
        <w:ind w:left="794" w:firstLine="0"/>
      </w:pPr>
      <w:rPr>
        <w:rFonts w:ascii="Calibri" w:hAnsi="Calibri" w:hint="default"/>
        <w:b w:val="0"/>
        <w:i/>
        <w:vanish w:val="0"/>
        <w:color w:val="404040"/>
        <w:sz w:val="22"/>
      </w:rPr>
    </w:lvl>
    <w:lvl w:ilvl="6">
      <w:start w:val="1"/>
      <w:numFmt w:val="decimal"/>
      <w:pStyle w:val="Heading7"/>
      <w:suff w:val="nothing"/>
      <w:lvlText w:val=""/>
      <w:lvlJc w:val="left"/>
      <w:pPr>
        <w:ind w:left="794" w:firstLine="0"/>
      </w:pPr>
      <w:rPr>
        <w:rFonts w:ascii="Calibri" w:hAnsi="Calibri" w:hint="default"/>
        <w:b w:val="0"/>
        <w:i w:val="0"/>
        <w:vanish w:val="0"/>
        <w:color w:val="404040"/>
        <w:sz w:val="22"/>
      </w:rPr>
    </w:lvl>
    <w:lvl w:ilvl="7">
      <w:start w:val="1"/>
      <w:numFmt w:val="decimal"/>
      <w:pStyle w:val="Heading8"/>
      <w:suff w:val="nothing"/>
      <w:lvlText w:val=""/>
      <w:lvlJc w:val="left"/>
      <w:pPr>
        <w:ind w:left="794" w:firstLine="0"/>
      </w:pPr>
      <w:rPr>
        <w:rFonts w:ascii="Calibri" w:hAnsi="Calibri" w:hint="default"/>
        <w:b/>
        <w:i w:val="0"/>
        <w:vanish w:val="0"/>
        <w:color w:val="404040"/>
        <w:sz w:val="22"/>
      </w:rPr>
    </w:lvl>
    <w:lvl w:ilvl="8">
      <w:start w:val="1"/>
      <w:numFmt w:val="decimal"/>
      <w:pStyle w:val="Heading9"/>
      <w:suff w:val="nothing"/>
      <w:lvlText w:val=""/>
      <w:lvlJc w:val="left"/>
      <w:pPr>
        <w:ind w:left="794" w:firstLine="0"/>
      </w:pPr>
      <w:rPr>
        <w:rFonts w:ascii="Calibri" w:hAnsi="Calibri" w:hint="default"/>
        <w:b/>
        <w:i w:val="0"/>
        <w:vanish w:val="0"/>
        <w:color w:val="404040"/>
        <w:sz w:val="22"/>
      </w:rPr>
    </w:lvl>
  </w:abstractNum>
  <w:abstractNum w:abstractNumId="14"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5" w15:restartNumberingAfterBreak="0">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6" w15:restartNumberingAfterBreak="0">
    <w:nsid w:val="26704DA4"/>
    <w:multiLevelType w:val="hybridMultilevel"/>
    <w:tmpl w:val="825EF3D6"/>
    <w:lvl w:ilvl="0" w:tplc="0F3A984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8" w15:restartNumberingAfterBreak="0">
    <w:nsid w:val="290151C8"/>
    <w:multiLevelType w:val="hybridMultilevel"/>
    <w:tmpl w:val="296EE486"/>
    <w:lvl w:ilvl="0" w:tplc="0C09000F">
      <w:start w:val="1"/>
      <w:numFmt w:val="decimal"/>
      <w:lvlText w:val="%1."/>
      <w:lvlJc w:val="left"/>
      <w:pPr>
        <w:tabs>
          <w:tab w:val="num" w:pos="1070"/>
        </w:tabs>
        <w:ind w:left="1070" w:hanging="360"/>
      </w:pPr>
    </w:lvl>
    <w:lvl w:ilvl="1" w:tplc="AA645C46">
      <w:numFmt w:val="bullet"/>
      <w:lvlText w:val=""/>
      <w:lvlJc w:val="left"/>
      <w:pPr>
        <w:tabs>
          <w:tab w:val="num" w:pos="1790"/>
        </w:tabs>
        <w:ind w:left="1790" w:hanging="360"/>
      </w:pPr>
      <w:rPr>
        <w:rFonts w:ascii="Wingdings" w:eastAsia="Times New Roman" w:hAnsi="Wingdings" w:cs="Arial" w:hint="default"/>
      </w:rPr>
    </w:lvl>
    <w:lvl w:ilvl="2" w:tplc="0C09001B" w:tentative="1">
      <w:start w:val="1"/>
      <w:numFmt w:val="lowerRoman"/>
      <w:lvlText w:val="%3."/>
      <w:lvlJc w:val="right"/>
      <w:pPr>
        <w:tabs>
          <w:tab w:val="num" w:pos="2510"/>
        </w:tabs>
        <w:ind w:left="2510" w:hanging="180"/>
      </w:pPr>
    </w:lvl>
    <w:lvl w:ilvl="3" w:tplc="0C09000F" w:tentative="1">
      <w:start w:val="1"/>
      <w:numFmt w:val="decimal"/>
      <w:lvlText w:val="%4."/>
      <w:lvlJc w:val="left"/>
      <w:pPr>
        <w:tabs>
          <w:tab w:val="num" w:pos="3230"/>
        </w:tabs>
        <w:ind w:left="3230" w:hanging="360"/>
      </w:pPr>
    </w:lvl>
    <w:lvl w:ilvl="4" w:tplc="0C090019" w:tentative="1">
      <w:start w:val="1"/>
      <w:numFmt w:val="lowerLetter"/>
      <w:lvlText w:val="%5."/>
      <w:lvlJc w:val="left"/>
      <w:pPr>
        <w:tabs>
          <w:tab w:val="num" w:pos="3950"/>
        </w:tabs>
        <w:ind w:left="3950" w:hanging="360"/>
      </w:pPr>
    </w:lvl>
    <w:lvl w:ilvl="5" w:tplc="0C09001B" w:tentative="1">
      <w:start w:val="1"/>
      <w:numFmt w:val="lowerRoman"/>
      <w:lvlText w:val="%6."/>
      <w:lvlJc w:val="right"/>
      <w:pPr>
        <w:tabs>
          <w:tab w:val="num" w:pos="4670"/>
        </w:tabs>
        <w:ind w:left="4670" w:hanging="180"/>
      </w:pPr>
    </w:lvl>
    <w:lvl w:ilvl="6" w:tplc="0C09000F" w:tentative="1">
      <w:start w:val="1"/>
      <w:numFmt w:val="decimal"/>
      <w:lvlText w:val="%7."/>
      <w:lvlJc w:val="left"/>
      <w:pPr>
        <w:tabs>
          <w:tab w:val="num" w:pos="5390"/>
        </w:tabs>
        <w:ind w:left="5390" w:hanging="360"/>
      </w:pPr>
    </w:lvl>
    <w:lvl w:ilvl="7" w:tplc="0C090019" w:tentative="1">
      <w:start w:val="1"/>
      <w:numFmt w:val="lowerLetter"/>
      <w:lvlText w:val="%8."/>
      <w:lvlJc w:val="left"/>
      <w:pPr>
        <w:tabs>
          <w:tab w:val="num" w:pos="6110"/>
        </w:tabs>
        <w:ind w:left="6110" w:hanging="360"/>
      </w:pPr>
    </w:lvl>
    <w:lvl w:ilvl="8" w:tplc="0C09001B" w:tentative="1">
      <w:start w:val="1"/>
      <w:numFmt w:val="lowerRoman"/>
      <w:lvlText w:val="%9."/>
      <w:lvlJc w:val="right"/>
      <w:pPr>
        <w:tabs>
          <w:tab w:val="num" w:pos="6830"/>
        </w:tabs>
        <w:ind w:left="6830" w:hanging="180"/>
      </w:pPr>
    </w:lvl>
  </w:abstractNum>
  <w:abstractNum w:abstractNumId="19" w15:restartNumberingAfterBreak="0">
    <w:nsid w:val="2D5719C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040AB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AE061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3" w15:restartNumberingAfterBreak="0">
    <w:nsid w:val="451B6926"/>
    <w:multiLevelType w:val="multilevel"/>
    <w:tmpl w:val="23A4D34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7" w15:restartNumberingAfterBreak="0">
    <w:nsid w:val="72B7261F"/>
    <w:multiLevelType w:val="hybridMultilevel"/>
    <w:tmpl w:val="71F07358"/>
    <w:lvl w:ilvl="0" w:tplc="E026ADE0">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484393734">
    <w:abstractNumId w:val="11"/>
  </w:num>
  <w:num w:numId="2" w16cid:durableId="1671249669">
    <w:abstractNumId w:val="12"/>
  </w:num>
  <w:num w:numId="3" w16cid:durableId="340743596">
    <w:abstractNumId w:val="9"/>
  </w:num>
  <w:num w:numId="4" w16cid:durableId="673917368">
    <w:abstractNumId w:val="7"/>
  </w:num>
  <w:num w:numId="5" w16cid:durableId="1023553039">
    <w:abstractNumId w:val="6"/>
  </w:num>
  <w:num w:numId="6" w16cid:durableId="971791459">
    <w:abstractNumId w:val="5"/>
  </w:num>
  <w:num w:numId="7" w16cid:durableId="11030823">
    <w:abstractNumId w:val="4"/>
  </w:num>
  <w:num w:numId="8" w16cid:durableId="2116707613">
    <w:abstractNumId w:val="8"/>
  </w:num>
  <w:num w:numId="9" w16cid:durableId="1909026972">
    <w:abstractNumId w:val="3"/>
  </w:num>
  <w:num w:numId="10" w16cid:durableId="946817189">
    <w:abstractNumId w:val="2"/>
  </w:num>
  <w:num w:numId="11" w16cid:durableId="553198688">
    <w:abstractNumId w:val="1"/>
  </w:num>
  <w:num w:numId="12" w16cid:durableId="588005483">
    <w:abstractNumId w:val="0"/>
  </w:num>
  <w:num w:numId="13" w16cid:durableId="1437483886">
    <w:abstractNumId w:val="27"/>
  </w:num>
  <w:num w:numId="14" w16cid:durableId="7755196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0377443">
    <w:abstractNumId w:val="18"/>
  </w:num>
  <w:num w:numId="16" w16cid:durableId="1327706551">
    <w:abstractNumId w:val="10"/>
  </w:num>
  <w:num w:numId="17" w16cid:durableId="207953924">
    <w:abstractNumId w:val="15"/>
  </w:num>
  <w:num w:numId="18" w16cid:durableId="1978140107">
    <w:abstractNumId w:val="22"/>
  </w:num>
  <w:num w:numId="19" w16cid:durableId="1266570246">
    <w:abstractNumId w:val="21"/>
  </w:num>
  <w:num w:numId="20" w16cid:durableId="1645963703">
    <w:abstractNumId w:val="20"/>
  </w:num>
  <w:num w:numId="21" w16cid:durableId="1799107535">
    <w:abstractNumId w:val="19"/>
  </w:num>
  <w:num w:numId="22" w16cid:durableId="1215310237">
    <w:abstractNumId w:val="25"/>
  </w:num>
  <w:num w:numId="23" w16cid:durableId="394594529">
    <w:abstractNumId w:val="23"/>
  </w:num>
  <w:num w:numId="24" w16cid:durableId="29229549">
    <w:abstractNumId w:val="24"/>
  </w:num>
  <w:num w:numId="25" w16cid:durableId="553001959">
    <w:abstractNumId w:val="17"/>
  </w:num>
  <w:num w:numId="26" w16cid:durableId="2077823423">
    <w:abstractNumId w:val="13"/>
  </w:num>
  <w:num w:numId="27" w16cid:durableId="498154933">
    <w:abstractNumId w:val="14"/>
  </w:num>
  <w:num w:numId="28" w16cid:durableId="1768580194">
    <w:abstractNumId w:val="26"/>
  </w:num>
  <w:num w:numId="29" w16cid:durableId="19015491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24"/>
    <w:rsid w:val="00000651"/>
    <w:rsid w:val="00000840"/>
    <w:rsid w:val="000012A9"/>
    <w:rsid w:val="000019D9"/>
    <w:rsid w:val="00001CBE"/>
    <w:rsid w:val="00001D29"/>
    <w:rsid w:val="000024CC"/>
    <w:rsid w:val="0000275C"/>
    <w:rsid w:val="00002AAA"/>
    <w:rsid w:val="00002BCB"/>
    <w:rsid w:val="00002CF2"/>
    <w:rsid w:val="00002D87"/>
    <w:rsid w:val="00002E1C"/>
    <w:rsid w:val="0000363C"/>
    <w:rsid w:val="000036A8"/>
    <w:rsid w:val="000039EC"/>
    <w:rsid w:val="00003C45"/>
    <w:rsid w:val="00003FFE"/>
    <w:rsid w:val="00004446"/>
    <w:rsid w:val="00004531"/>
    <w:rsid w:val="00004624"/>
    <w:rsid w:val="00004B78"/>
    <w:rsid w:val="00004E06"/>
    <w:rsid w:val="00005224"/>
    <w:rsid w:val="00005A1B"/>
    <w:rsid w:val="0000636C"/>
    <w:rsid w:val="000067A9"/>
    <w:rsid w:val="00006AF9"/>
    <w:rsid w:val="000072D6"/>
    <w:rsid w:val="000072F7"/>
    <w:rsid w:val="000073E6"/>
    <w:rsid w:val="00007430"/>
    <w:rsid w:val="0001055F"/>
    <w:rsid w:val="00011712"/>
    <w:rsid w:val="00011793"/>
    <w:rsid w:val="00012335"/>
    <w:rsid w:val="000125A6"/>
    <w:rsid w:val="000125AD"/>
    <w:rsid w:val="000126E1"/>
    <w:rsid w:val="00012A25"/>
    <w:rsid w:val="00013B7B"/>
    <w:rsid w:val="0001439E"/>
    <w:rsid w:val="0001487B"/>
    <w:rsid w:val="00014B87"/>
    <w:rsid w:val="00014EB3"/>
    <w:rsid w:val="00015408"/>
    <w:rsid w:val="000156AC"/>
    <w:rsid w:val="000157EE"/>
    <w:rsid w:val="00016B27"/>
    <w:rsid w:val="00016CF9"/>
    <w:rsid w:val="00016D76"/>
    <w:rsid w:val="00017412"/>
    <w:rsid w:val="00017435"/>
    <w:rsid w:val="00017543"/>
    <w:rsid w:val="00017756"/>
    <w:rsid w:val="0001789A"/>
    <w:rsid w:val="00017CD3"/>
    <w:rsid w:val="00017E5F"/>
    <w:rsid w:val="00017FD5"/>
    <w:rsid w:val="00020466"/>
    <w:rsid w:val="000205C9"/>
    <w:rsid w:val="000207D2"/>
    <w:rsid w:val="00020A43"/>
    <w:rsid w:val="00022136"/>
    <w:rsid w:val="00022525"/>
    <w:rsid w:val="00022732"/>
    <w:rsid w:val="00022785"/>
    <w:rsid w:val="0002285E"/>
    <w:rsid w:val="00022D0F"/>
    <w:rsid w:val="00022F87"/>
    <w:rsid w:val="0002362A"/>
    <w:rsid w:val="00023D6A"/>
    <w:rsid w:val="00024250"/>
    <w:rsid w:val="000246A2"/>
    <w:rsid w:val="000249B6"/>
    <w:rsid w:val="00024A50"/>
    <w:rsid w:val="000253A8"/>
    <w:rsid w:val="0002561F"/>
    <w:rsid w:val="000258DE"/>
    <w:rsid w:val="00025BA6"/>
    <w:rsid w:val="000263CD"/>
    <w:rsid w:val="00026484"/>
    <w:rsid w:val="00026C2E"/>
    <w:rsid w:val="00026DA5"/>
    <w:rsid w:val="00030250"/>
    <w:rsid w:val="0003070C"/>
    <w:rsid w:val="00030E59"/>
    <w:rsid w:val="00030F37"/>
    <w:rsid w:val="0003113A"/>
    <w:rsid w:val="00031167"/>
    <w:rsid w:val="00031346"/>
    <w:rsid w:val="00031431"/>
    <w:rsid w:val="0003164C"/>
    <w:rsid w:val="000319D5"/>
    <w:rsid w:val="000322F6"/>
    <w:rsid w:val="000325FE"/>
    <w:rsid w:val="00032D01"/>
    <w:rsid w:val="0003337D"/>
    <w:rsid w:val="00033F0A"/>
    <w:rsid w:val="00033F20"/>
    <w:rsid w:val="0003417A"/>
    <w:rsid w:val="0003438E"/>
    <w:rsid w:val="0003530D"/>
    <w:rsid w:val="000353E2"/>
    <w:rsid w:val="00035691"/>
    <w:rsid w:val="000359BF"/>
    <w:rsid w:val="00035D99"/>
    <w:rsid w:val="00035FC2"/>
    <w:rsid w:val="000365A0"/>
    <w:rsid w:val="00036609"/>
    <w:rsid w:val="00036642"/>
    <w:rsid w:val="00037025"/>
    <w:rsid w:val="00037338"/>
    <w:rsid w:val="00037AFD"/>
    <w:rsid w:val="00037FAB"/>
    <w:rsid w:val="00040B73"/>
    <w:rsid w:val="00041226"/>
    <w:rsid w:val="0004162D"/>
    <w:rsid w:val="00041A2E"/>
    <w:rsid w:val="00041C00"/>
    <w:rsid w:val="00041D4E"/>
    <w:rsid w:val="000421B6"/>
    <w:rsid w:val="0004327B"/>
    <w:rsid w:val="000433B2"/>
    <w:rsid w:val="00043F7A"/>
    <w:rsid w:val="0004498E"/>
    <w:rsid w:val="00044E24"/>
    <w:rsid w:val="000451BF"/>
    <w:rsid w:val="000451C0"/>
    <w:rsid w:val="00045AC9"/>
    <w:rsid w:val="00045B79"/>
    <w:rsid w:val="00047B75"/>
    <w:rsid w:val="00047D7D"/>
    <w:rsid w:val="000511C1"/>
    <w:rsid w:val="00051535"/>
    <w:rsid w:val="00051C7B"/>
    <w:rsid w:val="00051F0C"/>
    <w:rsid w:val="000524F0"/>
    <w:rsid w:val="000526FC"/>
    <w:rsid w:val="000527A9"/>
    <w:rsid w:val="000529B3"/>
    <w:rsid w:val="00052E19"/>
    <w:rsid w:val="000533D6"/>
    <w:rsid w:val="00053B47"/>
    <w:rsid w:val="00053CBC"/>
    <w:rsid w:val="00053E74"/>
    <w:rsid w:val="000544FA"/>
    <w:rsid w:val="00054996"/>
    <w:rsid w:val="0005499E"/>
    <w:rsid w:val="000549F5"/>
    <w:rsid w:val="00054AEC"/>
    <w:rsid w:val="00054E59"/>
    <w:rsid w:val="00055560"/>
    <w:rsid w:val="0005601B"/>
    <w:rsid w:val="000566DD"/>
    <w:rsid w:val="000569D1"/>
    <w:rsid w:val="00056F1B"/>
    <w:rsid w:val="0005714A"/>
    <w:rsid w:val="000571C1"/>
    <w:rsid w:val="000578D3"/>
    <w:rsid w:val="00057AB0"/>
    <w:rsid w:val="0006032C"/>
    <w:rsid w:val="00061879"/>
    <w:rsid w:val="00061AD5"/>
    <w:rsid w:val="00061C59"/>
    <w:rsid w:val="00061C5A"/>
    <w:rsid w:val="00062DB8"/>
    <w:rsid w:val="00062E1B"/>
    <w:rsid w:val="000639EF"/>
    <w:rsid w:val="00063A9F"/>
    <w:rsid w:val="00063BA6"/>
    <w:rsid w:val="00063CDC"/>
    <w:rsid w:val="00063E35"/>
    <w:rsid w:val="000643B6"/>
    <w:rsid w:val="00064E6A"/>
    <w:rsid w:val="00064FB5"/>
    <w:rsid w:val="0006543B"/>
    <w:rsid w:val="0006589E"/>
    <w:rsid w:val="000658CC"/>
    <w:rsid w:val="0006641C"/>
    <w:rsid w:val="00066421"/>
    <w:rsid w:val="00066642"/>
    <w:rsid w:val="00066864"/>
    <w:rsid w:val="0006695F"/>
    <w:rsid w:val="0006776B"/>
    <w:rsid w:val="00067873"/>
    <w:rsid w:val="00067B33"/>
    <w:rsid w:val="000702DF"/>
    <w:rsid w:val="000708CF"/>
    <w:rsid w:val="00070BA9"/>
    <w:rsid w:val="00070D07"/>
    <w:rsid w:val="00070EEA"/>
    <w:rsid w:val="00071148"/>
    <w:rsid w:val="00071157"/>
    <w:rsid w:val="00071994"/>
    <w:rsid w:val="00071AE9"/>
    <w:rsid w:val="0007267B"/>
    <w:rsid w:val="0007289C"/>
    <w:rsid w:val="000729CB"/>
    <w:rsid w:val="00072A42"/>
    <w:rsid w:val="00072EA8"/>
    <w:rsid w:val="000735C0"/>
    <w:rsid w:val="00073658"/>
    <w:rsid w:val="0007369D"/>
    <w:rsid w:val="000738EA"/>
    <w:rsid w:val="000740F7"/>
    <w:rsid w:val="0007486D"/>
    <w:rsid w:val="0007493E"/>
    <w:rsid w:val="00074D04"/>
    <w:rsid w:val="000756BD"/>
    <w:rsid w:val="0007594D"/>
    <w:rsid w:val="00075C1C"/>
    <w:rsid w:val="00075E21"/>
    <w:rsid w:val="00076849"/>
    <w:rsid w:val="00077034"/>
    <w:rsid w:val="0007722F"/>
    <w:rsid w:val="00077732"/>
    <w:rsid w:val="0008088C"/>
    <w:rsid w:val="00080C78"/>
    <w:rsid w:val="00080F12"/>
    <w:rsid w:val="0008137D"/>
    <w:rsid w:val="00081508"/>
    <w:rsid w:val="000816CF"/>
    <w:rsid w:val="00081C1B"/>
    <w:rsid w:val="00081D01"/>
    <w:rsid w:val="0008262E"/>
    <w:rsid w:val="0008281A"/>
    <w:rsid w:val="0008282B"/>
    <w:rsid w:val="000835E2"/>
    <w:rsid w:val="0008396C"/>
    <w:rsid w:val="00083BF3"/>
    <w:rsid w:val="00083DB9"/>
    <w:rsid w:val="00083E98"/>
    <w:rsid w:val="00084073"/>
    <w:rsid w:val="00085105"/>
    <w:rsid w:val="000854A8"/>
    <w:rsid w:val="0008555F"/>
    <w:rsid w:val="0008666A"/>
    <w:rsid w:val="00086FB6"/>
    <w:rsid w:val="00087070"/>
    <w:rsid w:val="00087505"/>
    <w:rsid w:val="000902B4"/>
    <w:rsid w:val="000907FD"/>
    <w:rsid w:val="00090E30"/>
    <w:rsid w:val="000910E5"/>
    <w:rsid w:val="0009184A"/>
    <w:rsid w:val="00092659"/>
    <w:rsid w:val="00093243"/>
    <w:rsid w:val="000933BF"/>
    <w:rsid w:val="00093DAF"/>
    <w:rsid w:val="00093F07"/>
    <w:rsid w:val="00094B8B"/>
    <w:rsid w:val="00094FA4"/>
    <w:rsid w:val="000954FC"/>
    <w:rsid w:val="00095769"/>
    <w:rsid w:val="000958EF"/>
    <w:rsid w:val="00095BC4"/>
    <w:rsid w:val="00095CC6"/>
    <w:rsid w:val="00095D47"/>
    <w:rsid w:val="00095FC5"/>
    <w:rsid w:val="000963BB"/>
    <w:rsid w:val="000964B7"/>
    <w:rsid w:val="000967BD"/>
    <w:rsid w:val="00096EE7"/>
    <w:rsid w:val="00097605"/>
    <w:rsid w:val="000A07D2"/>
    <w:rsid w:val="000A0C43"/>
    <w:rsid w:val="000A0CEF"/>
    <w:rsid w:val="000A0D7E"/>
    <w:rsid w:val="000A0DDE"/>
    <w:rsid w:val="000A1B6C"/>
    <w:rsid w:val="000A1B9C"/>
    <w:rsid w:val="000A1D61"/>
    <w:rsid w:val="000A2409"/>
    <w:rsid w:val="000A26E6"/>
    <w:rsid w:val="000A278A"/>
    <w:rsid w:val="000A27F0"/>
    <w:rsid w:val="000A2C92"/>
    <w:rsid w:val="000A2DF8"/>
    <w:rsid w:val="000A30A7"/>
    <w:rsid w:val="000A4BFB"/>
    <w:rsid w:val="000A54C3"/>
    <w:rsid w:val="000A5561"/>
    <w:rsid w:val="000A56F3"/>
    <w:rsid w:val="000A5964"/>
    <w:rsid w:val="000A62A1"/>
    <w:rsid w:val="000A64C6"/>
    <w:rsid w:val="000A66BD"/>
    <w:rsid w:val="000A67B7"/>
    <w:rsid w:val="000A6966"/>
    <w:rsid w:val="000A6A19"/>
    <w:rsid w:val="000A6E73"/>
    <w:rsid w:val="000A6E84"/>
    <w:rsid w:val="000A6ED9"/>
    <w:rsid w:val="000A6FE4"/>
    <w:rsid w:val="000A77BD"/>
    <w:rsid w:val="000B01E0"/>
    <w:rsid w:val="000B29A0"/>
    <w:rsid w:val="000B2CC4"/>
    <w:rsid w:val="000B38A7"/>
    <w:rsid w:val="000B3AFC"/>
    <w:rsid w:val="000B3E09"/>
    <w:rsid w:val="000B4067"/>
    <w:rsid w:val="000B40D5"/>
    <w:rsid w:val="000B40E9"/>
    <w:rsid w:val="000B44AB"/>
    <w:rsid w:val="000B44CC"/>
    <w:rsid w:val="000B4645"/>
    <w:rsid w:val="000B4C07"/>
    <w:rsid w:val="000B4D20"/>
    <w:rsid w:val="000B4E32"/>
    <w:rsid w:val="000B5028"/>
    <w:rsid w:val="000B5B2A"/>
    <w:rsid w:val="000B636B"/>
    <w:rsid w:val="000B6E58"/>
    <w:rsid w:val="000B6FE3"/>
    <w:rsid w:val="000B7546"/>
    <w:rsid w:val="000B7A1B"/>
    <w:rsid w:val="000B7D2A"/>
    <w:rsid w:val="000B7EF5"/>
    <w:rsid w:val="000B7FC6"/>
    <w:rsid w:val="000C028B"/>
    <w:rsid w:val="000C07F5"/>
    <w:rsid w:val="000C1235"/>
    <w:rsid w:val="000C1E5D"/>
    <w:rsid w:val="000C2BA3"/>
    <w:rsid w:val="000C2DD4"/>
    <w:rsid w:val="000C30A5"/>
    <w:rsid w:val="000C3C60"/>
    <w:rsid w:val="000C3EE6"/>
    <w:rsid w:val="000C5881"/>
    <w:rsid w:val="000C5AFA"/>
    <w:rsid w:val="000C6332"/>
    <w:rsid w:val="000C6465"/>
    <w:rsid w:val="000C6BD0"/>
    <w:rsid w:val="000C6C31"/>
    <w:rsid w:val="000C7752"/>
    <w:rsid w:val="000C7C26"/>
    <w:rsid w:val="000D03FE"/>
    <w:rsid w:val="000D07CE"/>
    <w:rsid w:val="000D09D6"/>
    <w:rsid w:val="000D0FE3"/>
    <w:rsid w:val="000D15EF"/>
    <w:rsid w:val="000D189B"/>
    <w:rsid w:val="000D1A59"/>
    <w:rsid w:val="000D1DAD"/>
    <w:rsid w:val="000D1FA4"/>
    <w:rsid w:val="000D25D9"/>
    <w:rsid w:val="000D2A77"/>
    <w:rsid w:val="000D35A1"/>
    <w:rsid w:val="000D39C2"/>
    <w:rsid w:val="000D3E7E"/>
    <w:rsid w:val="000D48D5"/>
    <w:rsid w:val="000D4D3B"/>
    <w:rsid w:val="000D50EC"/>
    <w:rsid w:val="000D5611"/>
    <w:rsid w:val="000D5849"/>
    <w:rsid w:val="000D5A3E"/>
    <w:rsid w:val="000D5BB5"/>
    <w:rsid w:val="000D61EA"/>
    <w:rsid w:val="000D69CE"/>
    <w:rsid w:val="000D6AB6"/>
    <w:rsid w:val="000D6B04"/>
    <w:rsid w:val="000D7110"/>
    <w:rsid w:val="000D713F"/>
    <w:rsid w:val="000D71B8"/>
    <w:rsid w:val="000D7417"/>
    <w:rsid w:val="000D7428"/>
    <w:rsid w:val="000D7CCC"/>
    <w:rsid w:val="000D7F48"/>
    <w:rsid w:val="000E062F"/>
    <w:rsid w:val="000E0945"/>
    <w:rsid w:val="000E09E4"/>
    <w:rsid w:val="000E0C56"/>
    <w:rsid w:val="000E0E75"/>
    <w:rsid w:val="000E0EC2"/>
    <w:rsid w:val="000E0EC3"/>
    <w:rsid w:val="000E14C2"/>
    <w:rsid w:val="000E158D"/>
    <w:rsid w:val="000E15E1"/>
    <w:rsid w:val="000E1A62"/>
    <w:rsid w:val="000E1D98"/>
    <w:rsid w:val="000E3320"/>
    <w:rsid w:val="000E3EBC"/>
    <w:rsid w:val="000E3EED"/>
    <w:rsid w:val="000E4F2C"/>
    <w:rsid w:val="000E555B"/>
    <w:rsid w:val="000E5598"/>
    <w:rsid w:val="000E569E"/>
    <w:rsid w:val="000E597C"/>
    <w:rsid w:val="000E5A47"/>
    <w:rsid w:val="000E5A8B"/>
    <w:rsid w:val="000E5F5F"/>
    <w:rsid w:val="000E7093"/>
    <w:rsid w:val="000E73FC"/>
    <w:rsid w:val="000E76A1"/>
    <w:rsid w:val="000E7FF5"/>
    <w:rsid w:val="000F0336"/>
    <w:rsid w:val="000F042B"/>
    <w:rsid w:val="000F0464"/>
    <w:rsid w:val="000F0488"/>
    <w:rsid w:val="000F05F0"/>
    <w:rsid w:val="000F0695"/>
    <w:rsid w:val="000F0B96"/>
    <w:rsid w:val="000F0F31"/>
    <w:rsid w:val="000F11C2"/>
    <w:rsid w:val="000F1C57"/>
    <w:rsid w:val="000F1DA3"/>
    <w:rsid w:val="000F2386"/>
    <w:rsid w:val="000F25FD"/>
    <w:rsid w:val="000F2907"/>
    <w:rsid w:val="000F2E55"/>
    <w:rsid w:val="000F2E72"/>
    <w:rsid w:val="000F2EA1"/>
    <w:rsid w:val="000F31D3"/>
    <w:rsid w:val="000F33C9"/>
    <w:rsid w:val="000F3FBB"/>
    <w:rsid w:val="000F43E6"/>
    <w:rsid w:val="000F46DD"/>
    <w:rsid w:val="000F4E0C"/>
    <w:rsid w:val="000F5437"/>
    <w:rsid w:val="000F6042"/>
    <w:rsid w:val="000F62B4"/>
    <w:rsid w:val="000F6957"/>
    <w:rsid w:val="000F6AD8"/>
    <w:rsid w:val="000F6E1A"/>
    <w:rsid w:val="000F6F61"/>
    <w:rsid w:val="000F7292"/>
    <w:rsid w:val="000F7E13"/>
    <w:rsid w:val="001004F3"/>
    <w:rsid w:val="00100857"/>
    <w:rsid w:val="00101411"/>
    <w:rsid w:val="001015AA"/>
    <w:rsid w:val="00101679"/>
    <w:rsid w:val="0010169F"/>
    <w:rsid w:val="00101839"/>
    <w:rsid w:val="0010188E"/>
    <w:rsid w:val="001026CA"/>
    <w:rsid w:val="00102A23"/>
    <w:rsid w:val="00102C63"/>
    <w:rsid w:val="0010337D"/>
    <w:rsid w:val="001034E0"/>
    <w:rsid w:val="0010399A"/>
    <w:rsid w:val="0010498D"/>
    <w:rsid w:val="00105728"/>
    <w:rsid w:val="001058F8"/>
    <w:rsid w:val="0010593B"/>
    <w:rsid w:val="00106370"/>
    <w:rsid w:val="0010664A"/>
    <w:rsid w:val="00107382"/>
    <w:rsid w:val="001074A2"/>
    <w:rsid w:val="00107716"/>
    <w:rsid w:val="00107AF9"/>
    <w:rsid w:val="00107C8F"/>
    <w:rsid w:val="00110202"/>
    <w:rsid w:val="00110409"/>
    <w:rsid w:val="0011095F"/>
    <w:rsid w:val="0011148E"/>
    <w:rsid w:val="0011171F"/>
    <w:rsid w:val="00111B13"/>
    <w:rsid w:val="00111DD2"/>
    <w:rsid w:val="00112566"/>
    <w:rsid w:val="00112B00"/>
    <w:rsid w:val="00112DB8"/>
    <w:rsid w:val="001147FD"/>
    <w:rsid w:val="00115A0D"/>
    <w:rsid w:val="0011601E"/>
    <w:rsid w:val="00117D92"/>
    <w:rsid w:val="0012001A"/>
    <w:rsid w:val="001203E8"/>
    <w:rsid w:val="00120BC9"/>
    <w:rsid w:val="00120C9E"/>
    <w:rsid w:val="00120E5E"/>
    <w:rsid w:val="001212BB"/>
    <w:rsid w:val="001215F0"/>
    <w:rsid w:val="00121874"/>
    <w:rsid w:val="00121903"/>
    <w:rsid w:val="00121CDF"/>
    <w:rsid w:val="001221B7"/>
    <w:rsid w:val="0012222C"/>
    <w:rsid w:val="00122730"/>
    <w:rsid w:val="0012273A"/>
    <w:rsid w:val="00122FD9"/>
    <w:rsid w:val="00123177"/>
    <w:rsid w:val="00123CE7"/>
    <w:rsid w:val="001244CB"/>
    <w:rsid w:val="00124ACC"/>
    <w:rsid w:val="00124D23"/>
    <w:rsid w:val="0012562C"/>
    <w:rsid w:val="00125700"/>
    <w:rsid w:val="00125E1F"/>
    <w:rsid w:val="0012606B"/>
    <w:rsid w:val="00126210"/>
    <w:rsid w:val="00126328"/>
    <w:rsid w:val="00126E70"/>
    <w:rsid w:val="00130BCA"/>
    <w:rsid w:val="00130DE5"/>
    <w:rsid w:val="00131010"/>
    <w:rsid w:val="0013179A"/>
    <w:rsid w:val="00131F4B"/>
    <w:rsid w:val="0013247A"/>
    <w:rsid w:val="0013247D"/>
    <w:rsid w:val="0013251D"/>
    <w:rsid w:val="00133155"/>
    <w:rsid w:val="00133461"/>
    <w:rsid w:val="001336A6"/>
    <w:rsid w:val="001337C4"/>
    <w:rsid w:val="001338CB"/>
    <w:rsid w:val="001341D1"/>
    <w:rsid w:val="00134459"/>
    <w:rsid w:val="001360D1"/>
    <w:rsid w:val="00136503"/>
    <w:rsid w:val="00136674"/>
    <w:rsid w:val="00137736"/>
    <w:rsid w:val="001378A9"/>
    <w:rsid w:val="00137DC5"/>
    <w:rsid w:val="00140250"/>
    <w:rsid w:val="001409A9"/>
    <w:rsid w:val="00141F22"/>
    <w:rsid w:val="00141F34"/>
    <w:rsid w:val="0014232B"/>
    <w:rsid w:val="00142670"/>
    <w:rsid w:val="00142927"/>
    <w:rsid w:val="00142991"/>
    <w:rsid w:val="00142D15"/>
    <w:rsid w:val="00143D66"/>
    <w:rsid w:val="00143E3F"/>
    <w:rsid w:val="00144172"/>
    <w:rsid w:val="001445D2"/>
    <w:rsid w:val="00144A7F"/>
    <w:rsid w:val="00144D5A"/>
    <w:rsid w:val="00145061"/>
    <w:rsid w:val="001451FE"/>
    <w:rsid w:val="00145755"/>
    <w:rsid w:val="001461F5"/>
    <w:rsid w:val="001467F8"/>
    <w:rsid w:val="00146907"/>
    <w:rsid w:val="0014705B"/>
    <w:rsid w:val="00150148"/>
    <w:rsid w:val="00150517"/>
    <w:rsid w:val="00150981"/>
    <w:rsid w:val="00150CA2"/>
    <w:rsid w:val="00151DE8"/>
    <w:rsid w:val="00152D97"/>
    <w:rsid w:val="00152DD6"/>
    <w:rsid w:val="00153031"/>
    <w:rsid w:val="0015332F"/>
    <w:rsid w:val="001536F2"/>
    <w:rsid w:val="00153B53"/>
    <w:rsid w:val="00153BB5"/>
    <w:rsid w:val="00153CBC"/>
    <w:rsid w:val="001542F9"/>
    <w:rsid w:val="00155132"/>
    <w:rsid w:val="0015580D"/>
    <w:rsid w:val="001561BF"/>
    <w:rsid w:val="001567C9"/>
    <w:rsid w:val="00156868"/>
    <w:rsid w:val="00156D05"/>
    <w:rsid w:val="0015726A"/>
    <w:rsid w:val="00160D08"/>
    <w:rsid w:val="00161687"/>
    <w:rsid w:val="001618F0"/>
    <w:rsid w:val="001622AC"/>
    <w:rsid w:val="001626A6"/>
    <w:rsid w:val="00162A9C"/>
    <w:rsid w:val="00163463"/>
    <w:rsid w:val="001645FA"/>
    <w:rsid w:val="00164A7D"/>
    <w:rsid w:val="00164A89"/>
    <w:rsid w:val="00164DC0"/>
    <w:rsid w:val="00164E18"/>
    <w:rsid w:val="00164FD4"/>
    <w:rsid w:val="001650DB"/>
    <w:rsid w:val="00165AC7"/>
    <w:rsid w:val="00165E07"/>
    <w:rsid w:val="00165E45"/>
    <w:rsid w:val="001665BE"/>
    <w:rsid w:val="0016662E"/>
    <w:rsid w:val="001666A0"/>
    <w:rsid w:val="00166C2B"/>
    <w:rsid w:val="00166FBA"/>
    <w:rsid w:val="00167172"/>
    <w:rsid w:val="00167725"/>
    <w:rsid w:val="001677C5"/>
    <w:rsid w:val="00167C19"/>
    <w:rsid w:val="001707DD"/>
    <w:rsid w:val="00170806"/>
    <w:rsid w:val="00170971"/>
    <w:rsid w:val="00171118"/>
    <w:rsid w:val="00171721"/>
    <w:rsid w:val="00171756"/>
    <w:rsid w:val="0017198F"/>
    <w:rsid w:val="00171CA1"/>
    <w:rsid w:val="00171D32"/>
    <w:rsid w:val="00172020"/>
    <w:rsid w:val="0017284C"/>
    <w:rsid w:val="0017293C"/>
    <w:rsid w:val="00173059"/>
    <w:rsid w:val="001738C9"/>
    <w:rsid w:val="00173C1C"/>
    <w:rsid w:val="00175092"/>
    <w:rsid w:val="00175226"/>
    <w:rsid w:val="00175AA9"/>
    <w:rsid w:val="00175CB5"/>
    <w:rsid w:val="0017663B"/>
    <w:rsid w:val="001766B8"/>
    <w:rsid w:val="001769D1"/>
    <w:rsid w:val="00176DC1"/>
    <w:rsid w:val="0018032F"/>
    <w:rsid w:val="001807BE"/>
    <w:rsid w:val="001810D1"/>
    <w:rsid w:val="001810E2"/>
    <w:rsid w:val="0018193A"/>
    <w:rsid w:val="0018294B"/>
    <w:rsid w:val="00182C5C"/>
    <w:rsid w:val="00185A30"/>
    <w:rsid w:val="00185A3F"/>
    <w:rsid w:val="00186138"/>
    <w:rsid w:val="0018659C"/>
    <w:rsid w:val="001866B9"/>
    <w:rsid w:val="00186E88"/>
    <w:rsid w:val="0018768F"/>
    <w:rsid w:val="0018781C"/>
    <w:rsid w:val="00187B6E"/>
    <w:rsid w:val="00187D1F"/>
    <w:rsid w:val="00190AEB"/>
    <w:rsid w:val="00191169"/>
    <w:rsid w:val="001911B8"/>
    <w:rsid w:val="00191366"/>
    <w:rsid w:val="00191461"/>
    <w:rsid w:val="001919C4"/>
    <w:rsid w:val="00192691"/>
    <w:rsid w:val="00192AED"/>
    <w:rsid w:val="00193138"/>
    <w:rsid w:val="001931C4"/>
    <w:rsid w:val="001933A4"/>
    <w:rsid w:val="00193624"/>
    <w:rsid w:val="001937AC"/>
    <w:rsid w:val="00193E5D"/>
    <w:rsid w:val="00193F9E"/>
    <w:rsid w:val="00194B42"/>
    <w:rsid w:val="00194C3C"/>
    <w:rsid w:val="0019534A"/>
    <w:rsid w:val="00195B7F"/>
    <w:rsid w:val="0019623A"/>
    <w:rsid w:val="001965CF"/>
    <w:rsid w:val="00196F2D"/>
    <w:rsid w:val="00197338"/>
    <w:rsid w:val="001A00D9"/>
    <w:rsid w:val="001A01F8"/>
    <w:rsid w:val="001A090F"/>
    <w:rsid w:val="001A10C3"/>
    <w:rsid w:val="001A147E"/>
    <w:rsid w:val="001A18E5"/>
    <w:rsid w:val="001A2E14"/>
    <w:rsid w:val="001A3887"/>
    <w:rsid w:val="001A3B2E"/>
    <w:rsid w:val="001A421E"/>
    <w:rsid w:val="001A474C"/>
    <w:rsid w:val="001A4970"/>
    <w:rsid w:val="001A4AFA"/>
    <w:rsid w:val="001A4C4A"/>
    <w:rsid w:val="001A6E7A"/>
    <w:rsid w:val="001A6FDB"/>
    <w:rsid w:val="001A744F"/>
    <w:rsid w:val="001A7997"/>
    <w:rsid w:val="001B0340"/>
    <w:rsid w:val="001B0E7F"/>
    <w:rsid w:val="001B0F26"/>
    <w:rsid w:val="001B1086"/>
    <w:rsid w:val="001B1171"/>
    <w:rsid w:val="001B139D"/>
    <w:rsid w:val="001B1477"/>
    <w:rsid w:val="001B1583"/>
    <w:rsid w:val="001B16D6"/>
    <w:rsid w:val="001B1F55"/>
    <w:rsid w:val="001B272D"/>
    <w:rsid w:val="001B2FD2"/>
    <w:rsid w:val="001B3B08"/>
    <w:rsid w:val="001B3DAB"/>
    <w:rsid w:val="001B43A4"/>
    <w:rsid w:val="001B4600"/>
    <w:rsid w:val="001B4C8A"/>
    <w:rsid w:val="001B4D16"/>
    <w:rsid w:val="001B4FD1"/>
    <w:rsid w:val="001B50E4"/>
    <w:rsid w:val="001B51F2"/>
    <w:rsid w:val="001B5328"/>
    <w:rsid w:val="001B5C5A"/>
    <w:rsid w:val="001B5CC6"/>
    <w:rsid w:val="001B602F"/>
    <w:rsid w:val="001B604B"/>
    <w:rsid w:val="001B673C"/>
    <w:rsid w:val="001B6C45"/>
    <w:rsid w:val="001B77B5"/>
    <w:rsid w:val="001C0107"/>
    <w:rsid w:val="001C033D"/>
    <w:rsid w:val="001C0363"/>
    <w:rsid w:val="001C0CC7"/>
    <w:rsid w:val="001C0D9F"/>
    <w:rsid w:val="001C126E"/>
    <w:rsid w:val="001C18EE"/>
    <w:rsid w:val="001C1A47"/>
    <w:rsid w:val="001C1AC8"/>
    <w:rsid w:val="001C2356"/>
    <w:rsid w:val="001C2DCA"/>
    <w:rsid w:val="001C2F72"/>
    <w:rsid w:val="001C322C"/>
    <w:rsid w:val="001C32C6"/>
    <w:rsid w:val="001C3754"/>
    <w:rsid w:val="001C382A"/>
    <w:rsid w:val="001C3B64"/>
    <w:rsid w:val="001C3D7B"/>
    <w:rsid w:val="001C3E44"/>
    <w:rsid w:val="001C3FE0"/>
    <w:rsid w:val="001C440D"/>
    <w:rsid w:val="001C450E"/>
    <w:rsid w:val="001C4628"/>
    <w:rsid w:val="001C5054"/>
    <w:rsid w:val="001C5141"/>
    <w:rsid w:val="001C5225"/>
    <w:rsid w:val="001C5C6C"/>
    <w:rsid w:val="001C60FA"/>
    <w:rsid w:val="001C6A40"/>
    <w:rsid w:val="001C7683"/>
    <w:rsid w:val="001C787A"/>
    <w:rsid w:val="001D0264"/>
    <w:rsid w:val="001D059D"/>
    <w:rsid w:val="001D09BC"/>
    <w:rsid w:val="001D0A06"/>
    <w:rsid w:val="001D0BA2"/>
    <w:rsid w:val="001D0C6D"/>
    <w:rsid w:val="001D128B"/>
    <w:rsid w:val="001D14C7"/>
    <w:rsid w:val="001D18D1"/>
    <w:rsid w:val="001D1BE5"/>
    <w:rsid w:val="001D20AE"/>
    <w:rsid w:val="001D20D1"/>
    <w:rsid w:val="001D20F9"/>
    <w:rsid w:val="001D30B7"/>
    <w:rsid w:val="001D3140"/>
    <w:rsid w:val="001D33CE"/>
    <w:rsid w:val="001D3755"/>
    <w:rsid w:val="001D3AA8"/>
    <w:rsid w:val="001D3EBE"/>
    <w:rsid w:val="001D3FB1"/>
    <w:rsid w:val="001D4606"/>
    <w:rsid w:val="001D4847"/>
    <w:rsid w:val="001D495D"/>
    <w:rsid w:val="001D50DC"/>
    <w:rsid w:val="001D5296"/>
    <w:rsid w:val="001D5A7B"/>
    <w:rsid w:val="001D5CFE"/>
    <w:rsid w:val="001D5EC8"/>
    <w:rsid w:val="001D5FC3"/>
    <w:rsid w:val="001D635A"/>
    <w:rsid w:val="001D63ED"/>
    <w:rsid w:val="001D663F"/>
    <w:rsid w:val="001D665A"/>
    <w:rsid w:val="001D6B4C"/>
    <w:rsid w:val="001D6DF2"/>
    <w:rsid w:val="001D7001"/>
    <w:rsid w:val="001D7205"/>
    <w:rsid w:val="001D72BF"/>
    <w:rsid w:val="001D79DF"/>
    <w:rsid w:val="001D7AD9"/>
    <w:rsid w:val="001D7AF7"/>
    <w:rsid w:val="001D7D9A"/>
    <w:rsid w:val="001E0471"/>
    <w:rsid w:val="001E04D4"/>
    <w:rsid w:val="001E0BC4"/>
    <w:rsid w:val="001E0DEE"/>
    <w:rsid w:val="001E10B8"/>
    <w:rsid w:val="001E1344"/>
    <w:rsid w:val="001E142F"/>
    <w:rsid w:val="001E18E5"/>
    <w:rsid w:val="001E1B33"/>
    <w:rsid w:val="001E1FDF"/>
    <w:rsid w:val="001E203A"/>
    <w:rsid w:val="001E25E4"/>
    <w:rsid w:val="001E26A9"/>
    <w:rsid w:val="001E27B4"/>
    <w:rsid w:val="001E299C"/>
    <w:rsid w:val="001E2BFF"/>
    <w:rsid w:val="001E3124"/>
    <w:rsid w:val="001E3688"/>
    <w:rsid w:val="001E38DB"/>
    <w:rsid w:val="001E3ABA"/>
    <w:rsid w:val="001E62F8"/>
    <w:rsid w:val="001E6397"/>
    <w:rsid w:val="001E67DA"/>
    <w:rsid w:val="001E6B1A"/>
    <w:rsid w:val="001E6D44"/>
    <w:rsid w:val="001E73DB"/>
    <w:rsid w:val="001E74E8"/>
    <w:rsid w:val="001E795B"/>
    <w:rsid w:val="001E7F66"/>
    <w:rsid w:val="001F06A0"/>
    <w:rsid w:val="001F07DD"/>
    <w:rsid w:val="001F0B80"/>
    <w:rsid w:val="001F0F00"/>
    <w:rsid w:val="001F12DA"/>
    <w:rsid w:val="001F18C3"/>
    <w:rsid w:val="001F18ED"/>
    <w:rsid w:val="001F1A01"/>
    <w:rsid w:val="001F206E"/>
    <w:rsid w:val="001F2203"/>
    <w:rsid w:val="001F23AC"/>
    <w:rsid w:val="001F2AC9"/>
    <w:rsid w:val="001F2C8D"/>
    <w:rsid w:val="001F2CE8"/>
    <w:rsid w:val="001F2CFC"/>
    <w:rsid w:val="001F33E9"/>
    <w:rsid w:val="001F35F6"/>
    <w:rsid w:val="001F3CB9"/>
    <w:rsid w:val="001F44AB"/>
    <w:rsid w:val="001F4696"/>
    <w:rsid w:val="001F46F5"/>
    <w:rsid w:val="001F4A89"/>
    <w:rsid w:val="001F4FB9"/>
    <w:rsid w:val="001F5172"/>
    <w:rsid w:val="001F578C"/>
    <w:rsid w:val="001F5883"/>
    <w:rsid w:val="001F5952"/>
    <w:rsid w:val="001F6544"/>
    <w:rsid w:val="001F66CC"/>
    <w:rsid w:val="001F67DA"/>
    <w:rsid w:val="001F7348"/>
    <w:rsid w:val="001F745F"/>
    <w:rsid w:val="001F763C"/>
    <w:rsid w:val="001F7665"/>
    <w:rsid w:val="001F7C29"/>
    <w:rsid w:val="001F7E46"/>
    <w:rsid w:val="002000AC"/>
    <w:rsid w:val="002001F7"/>
    <w:rsid w:val="00200495"/>
    <w:rsid w:val="00200A17"/>
    <w:rsid w:val="0020165D"/>
    <w:rsid w:val="002019C5"/>
    <w:rsid w:val="00202405"/>
    <w:rsid w:val="00203736"/>
    <w:rsid w:val="0020382F"/>
    <w:rsid w:val="00204777"/>
    <w:rsid w:val="00204934"/>
    <w:rsid w:val="00204C67"/>
    <w:rsid w:val="00204EE0"/>
    <w:rsid w:val="002051FC"/>
    <w:rsid w:val="00205207"/>
    <w:rsid w:val="002053C1"/>
    <w:rsid w:val="0020634A"/>
    <w:rsid w:val="002066AF"/>
    <w:rsid w:val="00206764"/>
    <w:rsid w:val="002068E6"/>
    <w:rsid w:val="00206CC1"/>
    <w:rsid w:val="0020798C"/>
    <w:rsid w:val="00210101"/>
    <w:rsid w:val="00210762"/>
    <w:rsid w:val="00211931"/>
    <w:rsid w:val="00211AC2"/>
    <w:rsid w:val="00211EAF"/>
    <w:rsid w:val="002129A1"/>
    <w:rsid w:val="00213560"/>
    <w:rsid w:val="0021393B"/>
    <w:rsid w:val="00213959"/>
    <w:rsid w:val="00214092"/>
    <w:rsid w:val="002147F0"/>
    <w:rsid w:val="0021494B"/>
    <w:rsid w:val="00214D9F"/>
    <w:rsid w:val="00214F6E"/>
    <w:rsid w:val="00215085"/>
    <w:rsid w:val="00215237"/>
    <w:rsid w:val="002160F0"/>
    <w:rsid w:val="00216184"/>
    <w:rsid w:val="00216391"/>
    <w:rsid w:val="00216926"/>
    <w:rsid w:val="0021696F"/>
    <w:rsid w:val="00216C2B"/>
    <w:rsid w:val="0021754A"/>
    <w:rsid w:val="0022060A"/>
    <w:rsid w:val="00220A8E"/>
    <w:rsid w:val="00220CE2"/>
    <w:rsid w:val="00220E3C"/>
    <w:rsid w:val="00220E75"/>
    <w:rsid w:val="00221088"/>
    <w:rsid w:val="0022109F"/>
    <w:rsid w:val="002212A5"/>
    <w:rsid w:val="00221BAA"/>
    <w:rsid w:val="00222083"/>
    <w:rsid w:val="002234B0"/>
    <w:rsid w:val="00223A6E"/>
    <w:rsid w:val="00224883"/>
    <w:rsid w:val="0022505C"/>
    <w:rsid w:val="00225681"/>
    <w:rsid w:val="00225EE4"/>
    <w:rsid w:val="00225FB6"/>
    <w:rsid w:val="00226181"/>
    <w:rsid w:val="00226806"/>
    <w:rsid w:val="00226C8A"/>
    <w:rsid w:val="002303B7"/>
    <w:rsid w:val="00230E03"/>
    <w:rsid w:val="00231067"/>
    <w:rsid w:val="00231584"/>
    <w:rsid w:val="002316BD"/>
    <w:rsid w:val="00231849"/>
    <w:rsid w:val="0023193F"/>
    <w:rsid w:val="002320FB"/>
    <w:rsid w:val="00232448"/>
    <w:rsid w:val="002324F2"/>
    <w:rsid w:val="002332BD"/>
    <w:rsid w:val="002334EC"/>
    <w:rsid w:val="00233E4E"/>
    <w:rsid w:val="002343D5"/>
    <w:rsid w:val="002345A8"/>
    <w:rsid w:val="00234647"/>
    <w:rsid w:val="002346D3"/>
    <w:rsid w:val="0023478A"/>
    <w:rsid w:val="00234EC2"/>
    <w:rsid w:val="002352F8"/>
    <w:rsid w:val="00235A1F"/>
    <w:rsid w:val="00235C1A"/>
    <w:rsid w:val="00235E1B"/>
    <w:rsid w:val="00235E38"/>
    <w:rsid w:val="0023632C"/>
    <w:rsid w:val="00236C96"/>
    <w:rsid w:val="0023773C"/>
    <w:rsid w:val="00237DCA"/>
    <w:rsid w:val="00237F66"/>
    <w:rsid w:val="00237FDF"/>
    <w:rsid w:val="00240645"/>
    <w:rsid w:val="0024163D"/>
    <w:rsid w:val="002424B0"/>
    <w:rsid w:val="0024276A"/>
    <w:rsid w:val="00242B22"/>
    <w:rsid w:val="002434B2"/>
    <w:rsid w:val="00243E6D"/>
    <w:rsid w:val="00244217"/>
    <w:rsid w:val="0024429F"/>
    <w:rsid w:val="002452EE"/>
    <w:rsid w:val="0024553B"/>
    <w:rsid w:val="002457D0"/>
    <w:rsid w:val="00245EA4"/>
    <w:rsid w:val="00245EF4"/>
    <w:rsid w:val="00246234"/>
    <w:rsid w:val="00246555"/>
    <w:rsid w:val="00247639"/>
    <w:rsid w:val="002478DD"/>
    <w:rsid w:val="00250147"/>
    <w:rsid w:val="002501D2"/>
    <w:rsid w:val="00250588"/>
    <w:rsid w:val="00250675"/>
    <w:rsid w:val="002511CB"/>
    <w:rsid w:val="0025182D"/>
    <w:rsid w:val="002522BE"/>
    <w:rsid w:val="002524DC"/>
    <w:rsid w:val="00252798"/>
    <w:rsid w:val="00252C38"/>
    <w:rsid w:val="002537E2"/>
    <w:rsid w:val="00254ADB"/>
    <w:rsid w:val="00254B26"/>
    <w:rsid w:val="00254CAA"/>
    <w:rsid w:val="00255255"/>
    <w:rsid w:val="00255711"/>
    <w:rsid w:val="002557B1"/>
    <w:rsid w:val="00255A0A"/>
    <w:rsid w:val="00255EBD"/>
    <w:rsid w:val="00256630"/>
    <w:rsid w:val="00256A0A"/>
    <w:rsid w:val="00256E54"/>
    <w:rsid w:val="002572F0"/>
    <w:rsid w:val="00257568"/>
    <w:rsid w:val="002575FC"/>
    <w:rsid w:val="00257724"/>
    <w:rsid w:val="00257AC3"/>
    <w:rsid w:val="00257DE4"/>
    <w:rsid w:val="00260C14"/>
    <w:rsid w:val="00260C83"/>
    <w:rsid w:val="0026179C"/>
    <w:rsid w:val="002618A5"/>
    <w:rsid w:val="00261AEC"/>
    <w:rsid w:val="0026227A"/>
    <w:rsid w:val="00262503"/>
    <w:rsid w:val="00262D26"/>
    <w:rsid w:val="00262E80"/>
    <w:rsid w:val="002632A2"/>
    <w:rsid w:val="0026337A"/>
    <w:rsid w:val="00263AF9"/>
    <w:rsid w:val="00263DFF"/>
    <w:rsid w:val="00263FC7"/>
    <w:rsid w:val="002643EE"/>
    <w:rsid w:val="002647D7"/>
    <w:rsid w:val="00264BBA"/>
    <w:rsid w:val="00265D07"/>
    <w:rsid w:val="00266281"/>
    <w:rsid w:val="00266323"/>
    <w:rsid w:val="002676CE"/>
    <w:rsid w:val="002678B3"/>
    <w:rsid w:val="0027093E"/>
    <w:rsid w:val="00270A9C"/>
    <w:rsid w:val="00270E1C"/>
    <w:rsid w:val="00270E99"/>
    <w:rsid w:val="00271B10"/>
    <w:rsid w:val="002720C4"/>
    <w:rsid w:val="00272153"/>
    <w:rsid w:val="00273923"/>
    <w:rsid w:val="00273A18"/>
    <w:rsid w:val="00273BD7"/>
    <w:rsid w:val="00273CDE"/>
    <w:rsid w:val="00273D91"/>
    <w:rsid w:val="00274236"/>
    <w:rsid w:val="002747AD"/>
    <w:rsid w:val="002748C3"/>
    <w:rsid w:val="0027656F"/>
    <w:rsid w:val="0027670F"/>
    <w:rsid w:val="00276ECD"/>
    <w:rsid w:val="0028017A"/>
    <w:rsid w:val="00280264"/>
    <w:rsid w:val="00280A9D"/>
    <w:rsid w:val="00280D1E"/>
    <w:rsid w:val="00281490"/>
    <w:rsid w:val="00281EA4"/>
    <w:rsid w:val="00281F8E"/>
    <w:rsid w:val="00282476"/>
    <w:rsid w:val="00282ADF"/>
    <w:rsid w:val="00282DE6"/>
    <w:rsid w:val="00283ABA"/>
    <w:rsid w:val="00284054"/>
    <w:rsid w:val="002840F1"/>
    <w:rsid w:val="00284ED3"/>
    <w:rsid w:val="002852DD"/>
    <w:rsid w:val="00285B67"/>
    <w:rsid w:val="00286047"/>
    <w:rsid w:val="0028634D"/>
    <w:rsid w:val="00286544"/>
    <w:rsid w:val="00286C37"/>
    <w:rsid w:val="00286DAA"/>
    <w:rsid w:val="00287071"/>
    <w:rsid w:val="00287963"/>
    <w:rsid w:val="00287A1C"/>
    <w:rsid w:val="002909A6"/>
    <w:rsid w:val="00290E20"/>
    <w:rsid w:val="00290E46"/>
    <w:rsid w:val="00292129"/>
    <w:rsid w:val="002921E6"/>
    <w:rsid w:val="002928E7"/>
    <w:rsid w:val="00292D0E"/>
    <w:rsid w:val="00292E78"/>
    <w:rsid w:val="00292EF5"/>
    <w:rsid w:val="00292F98"/>
    <w:rsid w:val="0029349F"/>
    <w:rsid w:val="002935BE"/>
    <w:rsid w:val="00293CEB"/>
    <w:rsid w:val="00293F8E"/>
    <w:rsid w:val="0029410C"/>
    <w:rsid w:val="00294847"/>
    <w:rsid w:val="00295EC9"/>
    <w:rsid w:val="00296232"/>
    <w:rsid w:val="002965D8"/>
    <w:rsid w:val="00296CC3"/>
    <w:rsid w:val="00296DFB"/>
    <w:rsid w:val="00297890"/>
    <w:rsid w:val="00297B6A"/>
    <w:rsid w:val="002A0042"/>
    <w:rsid w:val="002A04D5"/>
    <w:rsid w:val="002A06A3"/>
    <w:rsid w:val="002A08C1"/>
    <w:rsid w:val="002A08D7"/>
    <w:rsid w:val="002A0987"/>
    <w:rsid w:val="002A0DE2"/>
    <w:rsid w:val="002A1475"/>
    <w:rsid w:val="002A1A7B"/>
    <w:rsid w:val="002A2B12"/>
    <w:rsid w:val="002A38F7"/>
    <w:rsid w:val="002A39C1"/>
    <w:rsid w:val="002A3D81"/>
    <w:rsid w:val="002A5246"/>
    <w:rsid w:val="002A59B4"/>
    <w:rsid w:val="002A68F8"/>
    <w:rsid w:val="002A6D3E"/>
    <w:rsid w:val="002A6F63"/>
    <w:rsid w:val="002A70EB"/>
    <w:rsid w:val="002A76E7"/>
    <w:rsid w:val="002A79FA"/>
    <w:rsid w:val="002A7F5A"/>
    <w:rsid w:val="002B019C"/>
    <w:rsid w:val="002B10C7"/>
    <w:rsid w:val="002B18A6"/>
    <w:rsid w:val="002B1B86"/>
    <w:rsid w:val="002B412C"/>
    <w:rsid w:val="002B4440"/>
    <w:rsid w:val="002B556E"/>
    <w:rsid w:val="002B57CE"/>
    <w:rsid w:val="002B580C"/>
    <w:rsid w:val="002B596C"/>
    <w:rsid w:val="002B6CFB"/>
    <w:rsid w:val="002B7229"/>
    <w:rsid w:val="002B7524"/>
    <w:rsid w:val="002B7765"/>
    <w:rsid w:val="002B782D"/>
    <w:rsid w:val="002B7A2F"/>
    <w:rsid w:val="002C05AF"/>
    <w:rsid w:val="002C09CE"/>
    <w:rsid w:val="002C0A70"/>
    <w:rsid w:val="002C1B07"/>
    <w:rsid w:val="002C1D2D"/>
    <w:rsid w:val="002C1EFD"/>
    <w:rsid w:val="002C21B6"/>
    <w:rsid w:val="002C222D"/>
    <w:rsid w:val="002C256A"/>
    <w:rsid w:val="002C258A"/>
    <w:rsid w:val="002C2B5F"/>
    <w:rsid w:val="002C2F7C"/>
    <w:rsid w:val="002C2F9E"/>
    <w:rsid w:val="002C2FBB"/>
    <w:rsid w:val="002C2FEE"/>
    <w:rsid w:val="002C303F"/>
    <w:rsid w:val="002C3802"/>
    <w:rsid w:val="002C38F0"/>
    <w:rsid w:val="002C39C6"/>
    <w:rsid w:val="002C3D80"/>
    <w:rsid w:val="002C41F1"/>
    <w:rsid w:val="002C44DD"/>
    <w:rsid w:val="002C545E"/>
    <w:rsid w:val="002C5E24"/>
    <w:rsid w:val="002C635F"/>
    <w:rsid w:val="002C6418"/>
    <w:rsid w:val="002C6DE4"/>
    <w:rsid w:val="002C755C"/>
    <w:rsid w:val="002D061B"/>
    <w:rsid w:val="002D0806"/>
    <w:rsid w:val="002D0E2D"/>
    <w:rsid w:val="002D0EBA"/>
    <w:rsid w:val="002D107F"/>
    <w:rsid w:val="002D1D53"/>
    <w:rsid w:val="002D21BC"/>
    <w:rsid w:val="002D242B"/>
    <w:rsid w:val="002D258D"/>
    <w:rsid w:val="002D2636"/>
    <w:rsid w:val="002D288E"/>
    <w:rsid w:val="002D2A93"/>
    <w:rsid w:val="002D2B7A"/>
    <w:rsid w:val="002D3730"/>
    <w:rsid w:val="002D37DE"/>
    <w:rsid w:val="002D3FB6"/>
    <w:rsid w:val="002D4068"/>
    <w:rsid w:val="002D42B0"/>
    <w:rsid w:val="002D4B46"/>
    <w:rsid w:val="002D4E7D"/>
    <w:rsid w:val="002D4F8A"/>
    <w:rsid w:val="002D561F"/>
    <w:rsid w:val="002D58BD"/>
    <w:rsid w:val="002D5AD7"/>
    <w:rsid w:val="002D5B8D"/>
    <w:rsid w:val="002D5C7E"/>
    <w:rsid w:val="002D5D86"/>
    <w:rsid w:val="002D5E20"/>
    <w:rsid w:val="002D6DDA"/>
    <w:rsid w:val="002D7035"/>
    <w:rsid w:val="002D7373"/>
    <w:rsid w:val="002E088B"/>
    <w:rsid w:val="002E1092"/>
    <w:rsid w:val="002E114A"/>
    <w:rsid w:val="002E11EF"/>
    <w:rsid w:val="002E1591"/>
    <w:rsid w:val="002E1893"/>
    <w:rsid w:val="002E1D75"/>
    <w:rsid w:val="002E2A81"/>
    <w:rsid w:val="002E36ED"/>
    <w:rsid w:val="002E38A6"/>
    <w:rsid w:val="002E3C47"/>
    <w:rsid w:val="002E47E8"/>
    <w:rsid w:val="002E48BF"/>
    <w:rsid w:val="002E4B62"/>
    <w:rsid w:val="002E551E"/>
    <w:rsid w:val="002E56CD"/>
    <w:rsid w:val="002E5974"/>
    <w:rsid w:val="002E6912"/>
    <w:rsid w:val="002E6E31"/>
    <w:rsid w:val="002E6FA9"/>
    <w:rsid w:val="002E74F6"/>
    <w:rsid w:val="002E7A74"/>
    <w:rsid w:val="002E7D06"/>
    <w:rsid w:val="002F0704"/>
    <w:rsid w:val="002F11FA"/>
    <w:rsid w:val="002F12A1"/>
    <w:rsid w:val="002F1345"/>
    <w:rsid w:val="002F1C2F"/>
    <w:rsid w:val="002F1D0A"/>
    <w:rsid w:val="002F219F"/>
    <w:rsid w:val="002F260B"/>
    <w:rsid w:val="002F2741"/>
    <w:rsid w:val="002F27B0"/>
    <w:rsid w:val="002F2A79"/>
    <w:rsid w:val="002F2F9B"/>
    <w:rsid w:val="002F36C2"/>
    <w:rsid w:val="002F4592"/>
    <w:rsid w:val="002F4757"/>
    <w:rsid w:val="002F5D90"/>
    <w:rsid w:val="002F5F83"/>
    <w:rsid w:val="002F6843"/>
    <w:rsid w:val="002F6A0A"/>
    <w:rsid w:val="002F6ABC"/>
    <w:rsid w:val="002F6D5E"/>
    <w:rsid w:val="002F6F06"/>
    <w:rsid w:val="002F716F"/>
    <w:rsid w:val="002F75C0"/>
    <w:rsid w:val="002F75DD"/>
    <w:rsid w:val="002F778A"/>
    <w:rsid w:val="002F7926"/>
    <w:rsid w:val="00300317"/>
    <w:rsid w:val="00300549"/>
    <w:rsid w:val="00300716"/>
    <w:rsid w:val="00300CCE"/>
    <w:rsid w:val="003015F5"/>
    <w:rsid w:val="00301616"/>
    <w:rsid w:val="00301B6C"/>
    <w:rsid w:val="00302221"/>
    <w:rsid w:val="00302794"/>
    <w:rsid w:val="003027B0"/>
    <w:rsid w:val="00302EA6"/>
    <w:rsid w:val="00302FE1"/>
    <w:rsid w:val="0030360F"/>
    <w:rsid w:val="00303D82"/>
    <w:rsid w:val="00304433"/>
    <w:rsid w:val="00304719"/>
    <w:rsid w:val="003048AE"/>
    <w:rsid w:val="00304A78"/>
    <w:rsid w:val="00304D42"/>
    <w:rsid w:val="003051BB"/>
    <w:rsid w:val="003053D5"/>
    <w:rsid w:val="00305973"/>
    <w:rsid w:val="00305CF2"/>
    <w:rsid w:val="003067E3"/>
    <w:rsid w:val="003074FD"/>
    <w:rsid w:val="00307536"/>
    <w:rsid w:val="00310065"/>
    <w:rsid w:val="00310239"/>
    <w:rsid w:val="003104CE"/>
    <w:rsid w:val="003104D6"/>
    <w:rsid w:val="0031097E"/>
    <w:rsid w:val="00310C07"/>
    <w:rsid w:val="003116BA"/>
    <w:rsid w:val="0031187B"/>
    <w:rsid w:val="00311E4B"/>
    <w:rsid w:val="003128D5"/>
    <w:rsid w:val="00313228"/>
    <w:rsid w:val="003133B7"/>
    <w:rsid w:val="0031380A"/>
    <w:rsid w:val="00313893"/>
    <w:rsid w:val="00313A27"/>
    <w:rsid w:val="00313B7D"/>
    <w:rsid w:val="00314645"/>
    <w:rsid w:val="0031491D"/>
    <w:rsid w:val="003149C5"/>
    <w:rsid w:val="00315048"/>
    <w:rsid w:val="0031543F"/>
    <w:rsid w:val="00316A43"/>
    <w:rsid w:val="00316A74"/>
    <w:rsid w:val="0031705F"/>
    <w:rsid w:val="003170DF"/>
    <w:rsid w:val="003214B3"/>
    <w:rsid w:val="00321930"/>
    <w:rsid w:val="00321ECF"/>
    <w:rsid w:val="00321FC0"/>
    <w:rsid w:val="00322022"/>
    <w:rsid w:val="0032269C"/>
    <w:rsid w:val="0032291C"/>
    <w:rsid w:val="00322BAD"/>
    <w:rsid w:val="003230F5"/>
    <w:rsid w:val="003236C1"/>
    <w:rsid w:val="003242FF"/>
    <w:rsid w:val="003244D6"/>
    <w:rsid w:val="00324B88"/>
    <w:rsid w:val="00324BF2"/>
    <w:rsid w:val="0032568C"/>
    <w:rsid w:val="0032577D"/>
    <w:rsid w:val="00325E44"/>
    <w:rsid w:val="00325EC4"/>
    <w:rsid w:val="00326512"/>
    <w:rsid w:val="00326BD0"/>
    <w:rsid w:val="00326FAE"/>
    <w:rsid w:val="00326FEC"/>
    <w:rsid w:val="00327E0A"/>
    <w:rsid w:val="00330B2A"/>
    <w:rsid w:val="00331239"/>
    <w:rsid w:val="00331278"/>
    <w:rsid w:val="003315F7"/>
    <w:rsid w:val="00331642"/>
    <w:rsid w:val="00331EB8"/>
    <w:rsid w:val="003324F5"/>
    <w:rsid w:val="0033272B"/>
    <w:rsid w:val="00333407"/>
    <w:rsid w:val="00333847"/>
    <w:rsid w:val="00333FBF"/>
    <w:rsid w:val="00334819"/>
    <w:rsid w:val="0033495C"/>
    <w:rsid w:val="0033508F"/>
    <w:rsid w:val="00335376"/>
    <w:rsid w:val="003353EC"/>
    <w:rsid w:val="003354D1"/>
    <w:rsid w:val="003355DB"/>
    <w:rsid w:val="003356C3"/>
    <w:rsid w:val="00335B00"/>
    <w:rsid w:val="00336311"/>
    <w:rsid w:val="00336E74"/>
    <w:rsid w:val="003378B9"/>
    <w:rsid w:val="00340454"/>
    <w:rsid w:val="00340977"/>
    <w:rsid w:val="00340A47"/>
    <w:rsid w:val="00341606"/>
    <w:rsid w:val="00341CF6"/>
    <w:rsid w:val="0034323B"/>
    <w:rsid w:val="003436F5"/>
    <w:rsid w:val="003439A5"/>
    <w:rsid w:val="00343C02"/>
    <w:rsid w:val="00344A45"/>
    <w:rsid w:val="00344C5F"/>
    <w:rsid w:val="00344D56"/>
    <w:rsid w:val="00344D69"/>
    <w:rsid w:val="00344F8C"/>
    <w:rsid w:val="003451B3"/>
    <w:rsid w:val="003453D6"/>
    <w:rsid w:val="003454E6"/>
    <w:rsid w:val="0034595D"/>
    <w:rsid w:val="0034618D"/>
    <w:rsid w:val="00346450"/>
    <w:rsid w:val="0034685E"/>
    <w:rsid w:val="0034701D"/>
    <w:rsid w:val="00347201"/>
    <w:rsid w:val="00347246"/>
    <w:rsid w:val="00347845"/>
    <w:rsid w:val="00350D28"/>
    <w:rsid w:val="00351DAC"/>
    <w:rsid w:val="00351FDC"/>
    <w:rsid w:val="003532A2"/>
    <w:rsid w:val="00353447"/>
    <w:rsid w:val="003535BB"/>
    <w:rsid w:val="00353696"/>
    <w:rsid w:val="00353CCE"/>
    <w:rsid w:val="003541B6"/>
    <w:rsid w:val="0035437C"/>
    <w:rsid w:val="003543A2"/>
    <w:rsid w:val="00354C8E"/>
    <w:rsid w:val="0035505B"/>
    <w:rsid w:val="0035542B"/>
    <w:rsid w:val="003555ED"/>
    <w:rsid w:val="003557D0"/>
    <w:rsid w:val="00356180"/>
    <w:rsid w:val="00356EEC"/>
    <w:rsid w:val="0035717B"/>
    <w:rsid w:val="003573F6"/>
    <w:rsid w:val="003604AB"/>
    <w:rsid w:val="00360849"/>
    <w:rsid w:val="00360B25"/>
    <w:rsid w:val="00360BA4"/>
    <w:rsid w:val="00360E3A"/>
    <w:rsid w:val="00361377"/>
    <w:rsid w:val="00362059"/>
    <w:rsid w:val="003621B9"/>
    <w:rsid w:val="00362DD3"/>
    <w:rsid w:val="003630F3"/>
    <w:rsid w:val="00363114"/>
    <w:rsid w:val="003631F2"/>
    <w:rsid w:val="00363640"/>
    <w:rsid w:val="00363EE3"/>
    <w:rsid w:val="0036519D"/>
    <w:rsid w:val="00365232"/>
    <w:rsid w:val="00365399"/>
    <w:rsid w:val="003654F2"/>
    <w:rsid w:val="00365D66"/>
    <w:rsid w:val="00366579"/>
    <w:rsid w:val="00366987"/>
    <w:rsid w:val="003669B5"/>
    <w:rsid w:val="00367284"/>
    <w:rsid w:val="0036730E"/>
    <w:rsid w:val="003676B8"/>
    <w:rsid w:val="003704BA"/>
    <w:rsid w:val="003707C7"/>
    <w:rsid w:val="00370B42"/>
    <w:rsid w:val="00371736"/>
    <w:rsid w:val="003718D8"/>
    <w:rsid w:val="0037193F"/>
    <w:rsid w:val="00371BE1"/>
    <w:rsid w:val="00371D95"/>
    <w:rsid w:val="00372107"/>
    <w:rsid w:val="00372297"/>
    <w:rsid w:val="003722BD"/>
    <w:rsid w:val="0037242B"/>
    <w:rsid w:val="0037252B"/>
    <w:rsid w:val="0037273F"/>
    <w:rsid w:val="0037290F"/>
    <w:rsid w:val="003729B9"/>
    <w:rsid w:val="00372B6F"/>
    <w:rsid w:val="00372C3A"/>
    <w:rsid w:val="00373170"/>
    <w:rsid w:val="003733EE"/>
    <w:rsid w:val="00373594"/>
    <w:rsid w:val="00373A41"/>
    <w:rsid w:val="00373D03"/>
    <w:rsid w:val="0037433A"/>
    <w:rsid w:val="0037480E"/>
    <w:rsid w:val="003748A3"/>
    <w:rsid w:val="003748D5"/>
    <w:rsid w:val="003755BE"/>
    <w:rsid w:val="00375957"/>
    <w:rsid w:val="00375F27"/>
    <w:rsid w:val="00376410"/>
    <w:rsid w:val="00376579"/>
    <w:rsid w:val="00376827"/>
    <w:rsid w:val="0037739C"/>
    <w:rsid w:val="00377C5D"/>
    <w:rsid w:val="00377CA8"/>
    <w:rsid w:val="0038028C"/>
    <w:rsid w:val="00380823"/>
    <w:rsid w:val="003808F1"/>
    <w:rsid w:val="003819D1"/>
    <w:rsid w:val="00381F31"/>
    <w:rsid w:val="00382209"/>
    <w:rsid w:val="003827C6"/>
    <w:rsid w:val="00382E5E"/>
    <w:rsid w:val="00383E27"/>
    <w:rsid w:val="00383F24"/>
    <w:rsid w:val="003853A9"/>
    <w:rsid w:val="00386162"/>
    <w:rsid w:val="003864D2"/>
    <w:rsid w:val="003867A9"/>
    <w:rsid w:val="00386E48"/>
    <w:rsid w:val="00386F94"/>
    <w:rsid w:val="00387311"/>
    <w:rsid w:val="003875BE"/>
    <w:rsid w:val="00390050"/>
    <w:rsid w:val="003905F9"/>
    <w:rsid w:val="003906F7"/>
    <w:rsid w:val="00390D46"/>
    <w:rsid w:val="003911DE"/>
    <w:rsid w:val="00391200"/>
    <w:rsid w:val="003914D9"/>
    <w:rsid w:val="0039155C"/>
    <w:rsid w:val="00391D1E"/>
    <w:rsid w:val="003920B2"/>
    <w:rsid w:val="00392120"/>
    <w:rsid w:val="003926DA"/>
    <w:rsid w:val="00392D1F"/>
    <w:rsid w:val="00392F5F"/>
    <w:rsid w:val="003937C2"/>
    <w:rsid w:val="00393AF6"/>
    <w:rsid w:val="00393C49"/>
    <w:rsid w:val="00393CBD"/>
    <w:rsid w:val="00393D81"/>
    <w:rsid w:val="0039413E"/>
    <w:rsid w:val="0039473F"/>
    <w:rsid w:val="003949AB"/>
    <w:rsid w:val="003952FB"/>
    <w:rsid w:val="003958B9"/>
    <w:rsid w:val="00396CC8"/>
    <w:rsid w:val="00397261"/>
    <w:rsid w:val="00397508"/>
    <w:rsid w:val="00397820"/>
    <w:rsid w:val="00397A6A"/>
    <w:rsid w:val="00397E3C"/>
    <w:rsid w:val="003A0563"/>
    <w:rsid w:val="003A066B"/>
    <w:rsid w:val="003A0DE7"/>
    <w:rsid w:val="003A15EF"/>
    <w:rsid w:val="003A1A44"/>
    <w:rsid w:val="003A1A60"/>
    <w:rsid w:val="003A1BBE"/>
    <w:rsid w:val="003A2E82"/>
    <w:rsid w:val="003A3159"/>
    <w:rsid w:val="003A3D02"/>
    <w:rsid w:val="003A404E"/>
    <w:rsid w:val="003A4999"/>
    <w:rsid w:val="003A5412"/>
    <w:rsid w:val="003A5495"/>
    <w:rsid w:val="003A5A7D"/>
    <w:rsid w:val="003A5ACD"/>
    <w:rsid w:val="003A5F02"/>
    <w:rsid w:val="003A61B5"/>
    <w:rsid w:val="003A63BC"/>
    <w:rsid w:val="003A6597"/>
    <w:rsid w:val="003A6726"/>
    <w:rsid w:val="003A6B30"/>
    <w:rsid w:val="003A6C69"/>
    <w:rsid w:val="003A6CA8"/>
    <w:rsid w:val="003A6F75"/>
    <w:rsid w:val="003A6FB3"/>
    <w:rsid w:val="003A7A47"/>
    <w:rsid w:val="003A7AB5"/>
    <w:rsid w:val="003A7C9C"/>
    <w:rsid w:val="003B01D8"/>
    <w:rsid w:val="003B1870"/>
    <w:rsid w:val="003B1C10"/>
    <w:rsid w:val="003B1C7D"/>
    <w:rsid w:val="003B1FC8"/>
    <w:rsid w:val="003B1FC9"/>
    <w:rsid w:val="003B2837"/>
    <w:rsid w:val="003B300A"/>
    <w:rsid w:val="003B31AB"/>
    <w:rsid w:val="003B31FC"/>
    <w:rsid w:val="003B35F4"/>
    <w:rsid w:val="003B3721"/>
    <w:rsid w:val="003B38D2"/>
    <w:rsid w:val="003B3D15"/>
    <w:rsid w:val="003B435F"/>
    <w:rsid w:val="003B45DC"/>
    <w:rsid w:val="003B4807"/>
    <w:rsid w:val="003B5074"/>
    <w:rsid w:val="003B57E8"/>
    <w:rsid w:val="003B5AE4"/>
    <w:rsid w:val="003B5CC9"/>
    <w:rsid w:val="003B5E8E"/>
    <w:rsid w:val="003B6EBB"/>
    <w:rsid w:val="003B6FB7"/>
    <w:rsid w:val="003B74E8"/>
    <w:rsid w:val="003B7585"/>
    <w:rsid w:val="003B7BC9"/>
    <w:rsid w:val="003B7E33"/>
    <w:rsid w:val="003C07A0"/>
    <w:rsid w:val="003C0E1F"/>
    <w:rsid w:val="003C102A"/>
    <w:rsid w:val="003C1047"/>
    <w:rsid w:val="003C1160"/>
    <w:rsid w:val="003C120A"/>
    <w:rsid w:val="003C32A4"/>
    <w:rsid w:val="003C3D68"/>
    <w:rsid w:val="003C418C"/>
    <w:rsid w:val="003C446C"/>
    <w:rsid w:val="003C4841"/>
    <w:rsid w:val="003C4E51"/>
    <w:rsid w:val="003C5C5B"/>
    <w:rsid w:val="003C6635"/>
    <w:rsid w:val="003C6A40"/>
    <w:rsid w:val="003C6ED0"/>
    <w:rsid w:val="003C77FD"/>
    <w:rsid w:val="003C7D2B"/>
    <w:rsid w:val="003C7E5C"/>
    <w:rsid w:val="003C7F10"/>
    <w:rsid w:val="003D06C2"/>
    <w:rsid w:val="003D089E"/>
    <w:rsid w:val="003D0DAA"/>
    <w:rsid w:val="003D10B3"/>
    <w:rsid w:val="003D11D5"/>
    <w:rsid w:val="003D11EB"/>
    <w:rsid w:val="003D1491"/>
    <w:rsid w:val="003D2186"/>
    <w:rsid w:val="003D2412"/>
    <w:rsid w:val="003D3039"/>
    <w:rsid w:val="003D3115"/>
    <w:rsid w:val="003D31E2"/>
    <w:rsid w:val="003D349E"/>
    <w:rsid w:val="003D3BA7"/>
    <w:rsid w:val="003D47A2"/>
    <w:rsid w:val="003D4A0F"/>
    <w:rsid w:val="003D4E3A"/>
    <w:rsid w:val="003D582F"/>
    <w:rsid w:val="003D58E0"/>
    <w:rsid w:val="003D5B7A"/>
    <w:rsid w:val="003D607A"/>
    <w:rsid w:val="003D6532"/>
    <w:rsid w:val="003D6810"/>
    <w:rsid w:val="003D6CFF"/>
    <w:rsid w:val="003D7FC9"/>
    <w:rsid w:val="003E07C9"/>
    <w:rsid w:val="003E1115"/>
    <w:rsid w:val="003E1492"/>
    <w:rsid w:val="003E158E"/>
    <w:rsid w:val="003E17EC"/>
    <w:rsid w:val="003E180E"/>
    <w:rsid w:val="003E1844"/>
    <w:rsid w:val="003E2C00"/>
    <w:rsid w:val="003E2E12"/>
    <w:rsid w:val="003E3215"/>
    <w:rsid w:val="003E34BF"/>
    <w:rsid w:val="003E410F"/>
    <w:rsid w:val="003E4225"/>
    <w:rsid w:val="003E455D"/>
    <w:rsid w:val="003E4724"/>
    <w:rsid w:val="003E5224"/>
    <w:rsid w:val="003E55D7"/>
    <w:rsid w:val="003E57BF"/>
    <w:rsid w:val="003E5A37"/>
    <w:rsid w:val="003E5C4B"/>
    <w:rsid w:val="003E5D51"/>
    <w:rsid w:val="003E5E99"/>
    <w:rsid w:val="003E6169"/>
    <w:rsid w:val="003E7A5F"/>
    <w:rsid w:val="003E7BC5"/>
    <w:rsid w:val="003F02C3"/>
    <w:rsid w:val="003F09CD"/>
    <w:rsid w:val="003F0EC8"/>
    <w:rsid w:val="003F1030"/>
    <w:rsid w:val="003F1113"/>
    <w:rsid w:val="003F222E"/>
    <w:rsid w:val="003F2468"/>
    <w:rsid w:val="003F27F0"/>
    <w:rsid w:val="003F2896"/>
    <w:rsid w:val="003F3289"/>
    <w:rsid w:val="003F38BB"/>
    <w:rsid w:val="003F3BAE"/>
    <w:rsid w:val="003F4062"/>
    <w:rsid w:val="003F4104"/>
    <w:rsid w:val="003F4A8E"/>
    <w:rsid w:val="003F4BBA"/>
    <w:rsid w:val="003F5F58"/>
    <w:rsid w:val="003F602B"/>
    <w:rsid w:val="003F60F4"/>
    <w:rsid w:val="003F7254"/>
    <w:rsid w:val="003F732B"/>
    <w:rsid w:val="003F740C"/>
    <w:rsid w:val="003F77E6"/>
    <w:rsid w:val="003F77F8"/>
    <w:rsid w:val="003F7823"/>
    <w:rsid w:val="003F7B4B"/>
    <w:rsid w:val="003F7E13"/>
    <w:rsid w:val="004000A7"/>
    <w:rsid w:val="0040021D"/>
    <w:rsid w:val="004008BC"/>
    <w:rsid w:val="00400B67"/>
    <w:rsid w:val="004011E8"/>
    <w:rsid w:val="00401275"/>
    <w:rsid w:val="004022DD"/>
    <w:rsid w:val="00402716"/>
    <w:rsid w:val="00402FD6"/>
    <w:rsid w:val="004034DF"/>
    <w:rsid w:val="00403D72"/>
    <w:rsid w:val="00403E3B"/>
    <w:rsid w:val="00404696"/>
    <w:rsid w:val="0040490C"/>
    <w:rsid w:val="00404ADA"/>
    <w:rsid w:val="00404E0F"/>
    <w:rsid w:val="00404E59"/>
    <w:rsid w:val="004054CB"/>
    <w:rsid w:val="00406255"/>
    <w:rsid w:val="00406E81"/>
    <w:rsid w:val="00407165"/>
    <w:rsid w:val="0040764A"/>
    <w:rsid w:val="00407CBC"/>
    <w:rsid w:val="00407D1C"/>
    <w:rsid w:val="004108F6"/>
    <w:rsid w:val="00410E74"/>
    <w:rsid w:val="004118C8"/>
    <w:rsid w:val="00411AA7"/>
    <w:rsid w:val="0041256B"/>
    <w:rsid w:val="0041266C"/>
    <w:rsid w:val="00412C47"/>
    <w:rsid w:val="00412DA9"/>
    <w:rsid w:val="004135F2"/>
    <w:rsid w:val="00413697"/>
    <w:rsid w:val="00414110"/>
    <w:rsid w:val="004141F9"/>
    <w:rsid w:val="004143A0"/>
    <w:rsid w:val="004150AB"/>
    <w:rsid w:val="004150E3"/>
    <w:rsid w:val="00416ABC"/>
    <w:rsid w:val="00416C9F"/>
    <w:rsid w:val="00416DD9"/>
    <w:rsid w:val="00416EE3"/>
    <w:rsid w:val="00416FD5"/>
    <w:rsid w:val="004170DB"/>
    <w:rsid w:val="004173A1"/>
    <w:rsid w:val="00417BBD"/>
    <w:rsid w:val="00417BFA"/>
    <w:rsid w:val="00417F22"/>
    <w:rsid w:val="00420452"/>
    <w:rsid w:val="00420A14"/>
    <w:rsid w:val="00420B1B"/>
    <w:rsid w:val="00421058"/>
    <w:rsid w:val="00421AE9"/>
    <w:rsid w:val="00421FCD"/>
    <w:rsid w:val="00422B93"/>
    <w:rsid w:val="00422BCA"/>
    <w:rsid w:val="00422FF1"/>
    <w:rsid w:val="0042388B"/>
    <w:rsid w:val="00424611"/>
    <w:rsid w:val="004247C3"/>
    <w:rsid w:val="00424B35"/>
    <w:rsid w:val="00425119"/>
    <w:rsid w:val="00425838"/>
    <w:rsid w:val="004259E8"/>
    <w:rsid w:val="004262AE"/>
    <w:rsid w:val="004267A3"/>
    <w:rsid w:val="00426DAB"/>
    <w:rsid w:val="004271C2"/>
    <w:rsid w:val="00427932"/>
    <w:rsid w:val="004301A0"/>
    <w:rsid w:val="0043063A"/>
    <w:rsid w:val="00430C5B"/>
    <w:rsid w:val="00431009"/>
    <w:rsid w:val="004316A0"/>
    <w:rsid w:val="00431A7A"/>
    <w:rsid w:val="00431CB3"/>
    <w:rsid w:val="00431FF9"/>
    <w:rsid w:val="004325FD"/>
    <w:rsid w:val="00432881"/>
    <w:rsid w:val="00432CDB"/>
    <w:rsid w:val="00433522"/>
    <w:rsid w:val="00433586"/>
    <w:rsid w:val="004337AD"/>
    <w:rsid w:val="0043481C"/>
    <w:rsid w:val="00434827"/>
    <w:rsid w:val="00434C83"/>
    <w:rsid w:val="00435188"/>
    <w:rsid w:val="004353B6"/>
    <w:rsid w:val="004356CE"/>
    <w:rsid w:val="00435945"/>
    <w:rsid w:val="004360B1"/>
    <w:rsid w:val="00436CA0"/>
    <w:rsid w:val="00436D79"/>
    <w:rsid w:val="0043750E"/>
    <w:rsid w:val="00437655"/>
    <w:rsid w:val="00437928"/>
    <w:rsid w:val="00437BA2"/>
    <w:rsid w:val="004402F6"/>
    <w:rsid w:val="004408CB"/>
    <w:rsid w:val="00441205"/>
    <w:rsid w:val="00441A11"/>
    <w:rsid w:val="00441A2E"/>
    <w:rsid w:val="0044208F"/>
    <w:rsid w:val="004425C9"/>
    <w:rsid w:val="004428E1"/>
    <w:rsid w:val="00442D30"/>
    <w:rsid w:val="0044338E"/>
    <w:rsid w:val="00443623"/>
    <w:rsid w:val="00443E25"/>
    <w:rsid w:val="00444A48"/>
    <w:rsid w:val="00444AF2"/>
    <w:rsid w:val="00445614"/>
    <w:rsid w:val="00445654"/>
    <w:rsid w:val="00445A6C"/>
    <w:rsid w:val="00445C09"/>
    <w:rsid w:val="00445D17"/>
    <w:rsid w:val="00445ECD"/>
    <w:rsid w:val="004461C3"/>
    <w:rsid w:val="0044646F"/>
    <w:rsid w:val="00446A59"/>
    <w:rsid w:val="00446C8C"/>
    <w:rsid w:val="0044711B"/>
    <w:rsid w:val="00447D10"/>
    <w:rsid w:val="004501D5"/>
    <w:rsid w:val="00450514"/>
    <w:rsid w:val="00450860"/>
    <w:rsid w:val="00450D48"/>
    <w:rsid w:val="00450E10"/>
    <w:rsid w:val="0045119C"/>
    <w:rsid w:val="00451890"/>
    <w:rsid w:val="0045198E"/>
    <w:rsid w:val="00451C1E"/>
    <w:rsid w:val="00451C1F"/>
    <w:rsid w:val="00451F77"/>
    <w:rsid w:val="00451F9B"/>
    <w:rsid w:val="0045206C"/>
    <w:rsid w:val="004524C2"/>
    <w:rsid w:val="0045262E"/>
    <w:rsid w:val="004531A5"/>
    <w:rsid w:val="0045369B"/>
    <w:rsid w:val="004537EA"/>
    <w:rsid w:val="00453923"/>
    <w:rsid w:val="00454014"/>
    <w:rsid w:val="00454136"/>
    <w:rsid w:val="00454187"/>
    <w:rsid w:val="00454797"/>
    <w:rsid w:val="00454FB3"/>
    <w:rsid w:val="0045531D"/>
    <w:rsid w:val="004555EA"/>
    <w:rsid w:val="004555F0"/>
    <w:rsid w:val="004556B8"/>
    <w:rsid w:val="00455886"/>
    <w:rsid w:val="00455E54"/>
    <w:rsid w:val="00457181"/>
    <w:rsid w:val="004576A0"/>
    <w:rsid w:val="00457A96"/>
    <w:rsid w:val="00457BEB"/>
    <w:rsid w:val="00457E74"/>
    <w:rsid w:val="00461731"/>
    <w:rsid w:val="00461A7C"/>
    <w:rsid w:val="00461E21"/>
    <w:rsid w:val="00461F01"/>
    <w:rsid w:val="0046237F"/>
    <w:rsid w:val="00462A67"/>
    <w:rsid w:val="00462C23"/>
    <w:rsid w:val="00463203"/>
    <w:rsid w:val="00463507"/>
    <w:rsid w:val="0046358B"/>
    <w:rsid w:val="00463E60"/>
    <w:rsid w:val="00463E93"/>
    <w:rsid w:val="00463F40"/>
    <w:rsid w:val="004644DF"/>
    <w:rsid w:val="00464C25"/>
    <w:rsid w:val="00467152"/>
    <w:rsid w:val="004702D0"/>
    <w:rsid w:val="00470441"/>
    <w:rsid w:val="00470613"/>
    <w:rsid w:val="0047077B"/>
    <w:rsid w:val="00470F88"/>
    <w:rsid w:val="00471188"/>
    <w:rsid w:val="004714E2"/>
    <w:rsid w:val="00471F4D"/>
    <w:rsid w:val="00472431"/>
    <w:rsid w:val="004724FB"/>
    <w:rsid w:val="00472950"/>
    <w:rsid w:val="00472B1E"/>
    <w:rsid w:val="00472D08"/>
    <w:rsid w:val="00473377"/>
    <w:rsid w:val="004736B6"/>
    <w:rsid w:val="004736BF"/>
    <w:rsid w:val="0047371C"/>
    <w:rsid w:val="00474174"/>
    <w:rsid w:val="004741A0"/>
    <w:rsid w:val="004742D0"/>
    <w:rsid w:val="004742EB"/>
    <w:rsid w:val="00474509"/>
    <w:rsid w:val="00474E38"/>
    <w:rsid w:val="00474F09"/>
    <w:rsid w:val="0047559F"/>
    <w:rsid w:val="004759AF"/>
    <w:rsid w:val="004759EA"/>
    <w:rsid w:val="00475DD2"/>
    <w:rsid w:val="0047671C"/>
    <w:rsid w:val="00476E3E"/>
    <w:rsid w:val="00477055"/>
    <w:rsid w:val="004770F5"/>
    <w:rsid w:val="00477439"/>
    <w:rsid w:val="00477892"/>
    <w:rsid w:val="00477E17"/>
    <w:rsid w:val="004802C1"/>
    <w:rsid w:val="00480852"/>
    <w:rsid w:val="0048087B"/>
    <w:rsid w:val="00480AFC"/>
    <w:rsid w:val="0048159D"/>
    <w:rsid w:val="0048161A"/>
    <w:rsid w:val="00481CDF"/>
    <w:rsid w:val="004831E6"/>
    <w:rsid w:val="00483624"/>
    <w:rsid w:val="00483D9D"/>
    <w:rsid w:val="00483DC6"/>
    <w:rsid w:val="00484131"/>
    <w:rsid w:val="00484371"/>
    <w:rsid w:val="00484998"/>
    <w:rsid w:val="00484E50"/>
    <w:rsid w:val="00484F08"/>
    <w:rsid w:val="0048512B"/>
    <w:rsid w:val="0048529C"/>
    <w:rsid w:val="00486210"/>
    <w:rsid w:val="004864F8"/>
    <w:rsid w:val="00486A31"/>
    <w:rsid w:val="004875EE"/>
    <w:rsid w:val="004877D6"/>
    <w:rsid w:val="0048795B"/>
    <w:rsid w:val="00490683"/>
    <w:rsid w:val="004909FD"/>
    <w:rsid w:val="00491090"/>
    <w:rsid w:val="0049112C"/>
    <w:rsid w:val="0049139E"/>
    <w:rsid w:val="004914E3"/>
    <w:rsid w:val="00491B45"/>
    <w:rsid w:val="004923F7"/>
    <w:rsid w:val="0049259A"/>
    <w:rsid w:val="00492C22"/>
    <w:rsid w:val="00492DA1"/>
    <w:rsid w:val="00492DAF"/>
    <w:rsid w:val="00493C21"/>
    <w:rsid w:val="00494118"/>
    <w:rsid w:val="004942FC"/>
    <w:rsid w:val="004947BF"/>
    <w:rsid w:val="00494E49"/>
    <w:rsid w:val="0049569E"/>
    <w:rsid w:val="004958CF"/>
    <w:rsid w:val="00495C7E"/>
    <w:rsid w:val="00495F51"/>
    <w:rsid w:val="00495FF8"/>
    <w:rsid w:val="0049655D"/>
    <w:rsid w:val="004966B7"/>
    <w:rsid w:val="00496D3B"/>
    <w:rsid w:val="004974B6"/>
    <w:rsid w:val="0049765E"/>
    <w:rsid w:val="00497ACA"/>
    <w:rsid w:val="00497B61"/>
    <w:rsid w:val="00497D2E"/>
    <w:rsid w:val="004A0BD9"/>
    <w:rsid w:val="004A10A1"/>
    <w:rsid w:val="004A15C4"/>
    <w:rsid w:val="004A19F2"/>
    <w:rsid w:val="004A1B19"/>
    <w:rsid w:val="004A1F81"/>
    <w:rsid w:val="004A2167"/>
    <w:rsid w:val="004A2660"/>
    <w:rsid w:val="004A30F1"/>
    <w:rsid w:val="004A3A0D"/>
    <w:rsid w:val="004A3A7B"/>
    <w:rsid w:val="004A3C5D"/>
    <w:rsid w:val="004A4264"/>
    <w:rsid w:val="004A45A1"/>
    <w:rsid w:val="004A553C"/>
    <w:rsid w:val="004A6646"/>
    <w:rsid w:val="004A73F9"/>
    <w:rsid w:val="004A756E"/>
    <w:rsid w:val="004A79B5"/>
    <w:rsid w:val="004B0012"/>
    <w:rsid w:val="004B0574"/>
    <w:rsid w:val="004B0C5C"/>
    <w:rsid w:val="004B0CFE"/>
    <w:rsid w:val="004B1335"/>
    <w:rsid w:val="004B1647"/>
    <w:rsid w:val="004B193A"/>
    <w:rsid w:val="004B1A3D"/>
    <w:rsid w:val="004B1D45"/>
    <w:rsid w:val="004B1E61"/>
    <w:rsid w:val="004B217E"/>
    <w:rsid w:val="004B2986"/>
    <w:rsid w:val="004B29FB"/>
    <w:rsid w:val="004B2FF1"/>
    <w:rsid w:val="004B305B"/>
    <w:rsid w:val="004B30C5"/>
    <w:rsid w:val="004B38CD"/>
    <w:rsid w:val="004B3D5A"/>
    <w:rsid w:val="004B3FDA"/>
    <w:rsid w:val="004B4F6C"/>
    <w:rsid w:val="004B5670"/>
    <w:rsid w:val="004B5861"/>
    <w:rsid w:val="004B65D7"/>
    <w:rsid w:val="004B65F8"/>
    <w:rsid w:val="004B69F4"/>
    <w:rsid w:val="004B6B3F"/>
    <w:rsid w:val="004B6EF7"/>
    <w:rsid w:val="004B70FF"/>
    <w:rsid w:val="004B740D"/>
    <w:rsid w:val="004B76E6"/>
    <w:rsid w:val="004B783A"/>
    <w:rsid w:val="004B7925"/>
    <w:rsid w:val="004C04B6"/>
    <w:rsid w:val="004C076A"/>
    <w:rsid w:val="004C0A8B"/>
    <w:rsid w:val="004C1D23"/>
    <w:rsid w:val="004C1DFE"/>
    <w:rsid w:val="004C2371"/>
    <w:rsid w:val="004C3774"/>
    <w:rsid w:val="004C3927"/>
    <w:rsid w:val="004C39BB"/>
    <w:rsid w:val="004C4150"/>
    <w:rsid w:val="004C44E7"/>
    <w:rsid w:val="004C48B9"/>
    <w:rsid w:val="004C4C1C"/>
    <w:rsid w:val="004C54F4"/>
    <w:rsid w:val="004C560C"/>
    <w:rsid w:val="004C5719"/>
    <w:rsid w:val="004C5AD9"/>
    <w:rsid w:val="004C5C32"/>
    <w:rsid w:val="004C5CB5"/>
    <w:rsid w:val="004C6791"/>
    <w:rsid w:val="004C71D6"/>
    <w:rsid w:val="004C735B"/>
    <w:rsid w:val="004C77CB"/>
    <w:rsid w:val="004D0701"/>
    <w:rsid w:val="004D0892"/>
    <w:rsid w:val="004D1018"/>
    <w:rsid w:val="004D10E4"/>
    <w:rsid w:val="004D1594"/>
    <w:rsid w:val="004D178F"/>
    <w:rsid w:val="004D1856"/>
    <w:rsid w:val="004D3640"/>
    <w:rsid w:val="004D3795"/>
    <w:rsid w:val="004D3943"/>
    <w:rsid w:val="004D3CAD"/>
    <w:rsid w:val="004D3DED"/>
    <w:rsid w:val="004D4210"/>
    <w:rsid w:val="004D4362"/>
    <w:rsid w:val="004D466A"/>
    <w:rsid w:val="004D4903"/>
    <w:rsid w:val="004D4D2F"/>
    <w:rsid w:val="004D5365"/>
    <w:rsid w:val="004D55A2"/>
    <w:rsid w:val="004D581C"/>
    <w:rsid w:val="004D5983"/>
    <w:rsid w:val="004D5996"/>
    <w:rsid w:val="004D5CBC"/>
    <w:rsid w:val="004D5D6D"/>
    <w:rsid w:val="004D6650"/>
    <w:rsid w:val="004D6ED1"/>
    <w:rsid w:val="004D6F0C"/>
    <w:rsid w:val="004D75B0"/>
    <w:rsid w:val="004D7ADF"/>
    <w:rsid w:val="004E03AC"/>
    <w:rsid w:val="004E0CFC"/>
    <w:rsid w:val="004E0DDC"/>
    <w:rsid w:val="004E0E73"/>
    <w:rsid w:val="004E14CB"/>
    <w:rsid w:val="004E1630"/>
    <w:rsid w:val="004E1755"/>
    <w:rsid w:val="004E19F2"/>
    <w:rsid w:val="004E1DC5"/>
    <w:rsid w:val="004E276A"/>
    <w:rsid w:val="004E2A92"/>
    <w:rsid w:val="004E2CB7"/>
    <w:rsid w:val="004E314B"/>
    <w:rsid w:val="004E39BB"/>
    <w:rsid w:val="004E4342"/>
    <w:rsid w:val="004E4B3C"/>
    <w:rsid w:val="004E4EB6"/>
    <w:rsid w:val="004E4F5C"/>
    <w:rsid w:val="004E510F"/>
    <w:rsid w:val="004E5B50"/>
    <w:rsid w:val="004E5E17"/>
    <w:rsid w:val="004E5FE9"/>
    <w:rsid w:val="004E657C"/>
    <w:rsid w:val="004E67CF"/>
    <w:rsid w:val="004E6882"/>
    <w:rsid w:val="004E6EF6"/>
    <w:rsid w:val="004E6F08"/>
    <w:rsid w:val="004E6F61"/>
    <w:rsid w:val="004E727A"/>
    <w:rsid w:val="004E76A1"/>
    <w:rsid w:val="004E7EE7"/>
    <w:rsid w:val="004F0052"/>
    <w:rsid w:val="004F0483"/>
    <w:rsid w:val="004F04E8"/>
    <w:rsid w:val="004F0993"/>
    <w:rsid w:val="004F0D50"/>
    <w:rsid w:val="004F0F0A"/>
    <w:rsid w:val="004F146F"/>
    <w:rsid w:val="004F17FC"/>
    <w:rsid w:val="004F195A"/>
    <w:rsid w:val="004F1A7B"/>
    <w:rsid w:val="004F1B82"/>
    <w:rsid w:val="004F2A64"/>
    <w:rsid w:val="004F2F38"/>
    <w:rsid w:val="004F35B0"/>
    <w:rsid w:val="004F3C2F"/>
    <w:rsid w:val="004F3EC2"/>
    <w:rsid w:val="004F400B"/>
    <w:rsid w:val="004F50FC"/>
    <w:rsid w:val="004F5663"/>
    <w:rsid w:val="004F6018"/>
    <w:rsid w:val="004F60D0"/>
    <w:rsid w:val="004F66C2"/>
    <w:rsid w:val="004F6871"/>
    <w:rsid w:val="004F6972"/>
    <w:rsid w:val="004F69A1"/>
    <w:rsid w:val="004F7103"/>
    <w:rsid w:val="004F7506"/>
    <w:rsid w:val="004F77A0"/>
    <w:rsid w:val="004F7FD1"/>
    <w:rsid w:val="005000EE"/>
    <w:rsid w:val="00500401"/>
    <w:rsid w:val="0050074D"/>
    <w:rsid w:val="0050110F"/>
    <w:rsid w:val="0050169E"/>
    <w:rsid w:val="00501B1B"/>
    <w:rsid w:val="00502537"/>
    <w:rsid w:val="005025D5"/>
    <w:rsid w:val="00502C5F"/>
    <w:rsid w:val="005033DC"/>
    <w:rsid w:val="00503A19"/>
    <w:rsid w:val="00503C9E"/>
    <w:rsid w:val="00503E32"/>
    <w:rsid w:val="00503F30"/>
    <w:rsid w:val="00504F56"/>
    <w:rsid w:val="00505114"/>
    <w:rsid w:val="00505347"/>
    <w:rsid w:val="00505F7E"/>
    <w:rsid w:val="00506210"/>
    <w:rsid w:val="0050647B"/>
    <w:rsid w:val="0050680C"/>
    <w:rsid w:val="00507DC9"/>
    <w:rsid w:val="00507EB7"/>
    <w:rsid w:val="0051068A"/>
    <w:rsid w:val="00510A3F"/>
    <w:rsid w:val="00510E3F"/>
    <w:rsid w:val="00510E60"/>
    <w:rsid w:val="00510EF1"/>
    <w:rsid w:val="00510EF5"/>
    <w:rsid w:val="00511A83"/>
    <w:rsid w:val="00511A90"/>
    <w:rsid w:val="00511AF2"/>
    <w:rsid w:val="00511C96"/>
    <w:rsid w:val="005122D9"/>
    <w:rsid w:val="005123F8"/>
    <w:rsid w:val="00512BF7"/>
    <w:rsid w:val="0051320D"/>
    <w:rsid w:val="00513329"/>
    <w:rsid w:val="0051376E"/>
    <w:rsid w:val="005137EA"/>
    <w:rsid w:val="0051386E"/>
    <w:rsid w:val="0051395C"/>
    <w:rsid w:val="00513A99"/>
    <w:rsid w:val="00513E15"/>
    <w:rsid w:val="00513EC0"/>
    <w:rsid w:val="0051424C"/>
    <w:rsid w:val="00514975"/>
    <w:rsid w:val="00515682"/>
    <w:rsid w:val="00515C0A"/>
    <w:rsid w:val="005160C6"/>
    <w:rsid w:val="005161AB"/>
    <w:rsid w:val="00516297"/>
    <w:rsid w:val="005163F0"/>
    <w:rsid w:val="005168B8"/>
    <w:rsid w:val="00516C2A"/>
    <w:rsid w:val="00516C99"/>
    <w:rsid w:val="00516D1D"/>
    <w:rsid w:val="0051714E"/>
    <w:rsid w:val="00517235"/>
    <w:rsid w:val="00517B6A"/>
    <w:rsid w:val="00517DFB"/>
    <w:rsid w:val="00520AEE"/>
    <w:rsid w:val="00520C85"/>
    <w:rsid w:val="00520DF0"/>
    <w:rsid w:val="00521000"/>
    <w:rsid w:val="005211B3"/>
    <w:rsid w:val="005217F3"/>
    <w:rsid w:val="00522375"/>
    <w:rsid w:val="005223CB"/>
    <w:rsid w:val="00522597"/>
    <w:rsid w:val="005228F3"/>
    <w:rsid w:val="00522B28"/>
    <w:rsid w:val="00523327"/>
    <w:rsid w:val="00524E4B"/>
    <w:rsid w:val="00524E74"/>
    <w:rsid w:val="00524EE9"/>
    <w:rsid w:val="0052553E"/>
    <w:rsid w:val="00525866"/>
    <w:rsid w:val="00525AEC"/>
    <w:rsid w:val="00525B4C"/>
    <w:rsid w:val="00525C3D"/>
    <w:rsid w:val="005265CD"/>
    <w:rsid w:val="00527A29"/>
    <w:rsid w:val="00527E59"/>
    <w:rsid w:val="005300C1"/>
    <w:rsid w:val="005300F0"/>
    <w:rsid w:val="005301A9"/>
    <w:rsid w:val="00530735"/>
    <w:rsid w:val="00531595"/>
    <w:rsid w:val="00531745"/>
    <w:rsid w:val="00532991"/>
    <w:rsid w:val="00532E89"/>
    <w:rsid w:val="005332DC"/>
    <w:rsid w:val="005336B0"/>
    <w:rsid w:val="00533BD5"/>
    <w:rsid w:val="00533EC0"/>
    <w:rsid w:val="005343D5"/>
    <w:rsid w:val="0053495D"/>
    <w:rsid w:val="005352A0"/>
    <w:rsid w:val="0053708C"/>
    <w:rsid w:val="00537091"/>
    <w:rsid w:val="005373E1"/>
    <w:rsid w:val="00540225"/>
    <w:rsid w:val="005406EE"/>
    <w:rsid w:val="00540A81"/>
    <w:rsid w:val="00540E0E"/>
    <w:rsid w:val="00541174"/>
    <w:rsid w:val="005414D0"/>
    <w:rsid w:val="005415C1"/>
    <w:rsid w:val="00542323"/>
    <w:rsid w:val="005423CD"/>
    <w:rsid w:val="00542517"/>
    <w:rsid w:val="00543944"/>
    <w:rsid w:val="0054395E"/>
    <w:rsid w:val="00543A42"/>
    <w:rsid w:val="00544841"/>
    <w:rsid w:val="00545225"/>
    <w:rsid w:val="00545C15"/>
    <w:rsid w:val="00545D2C"/>
    <w:rsid w:val="00545D83"/>
    <w:rsid w:val="005465E2"/>
    <w:rsid w:val="00546C53"/>
    <w:rsid w:val="00547663"/>
    <w:rsid w:val="00547AA5"/>
    <w:rsid w:val="00547CC7"/>
    <w:rsid w:val="00547D08"/>
    <w:rsid w:val="0055043F"/>
    <w:rsid w:val="005508C4"/>
    <w:rsid w:val="00550BD6"/>
    <w:rsid w:val="00550C4E"/>
    <w:rsid w:val="00550E6C"/>
    <w:rsid w:val="00550EE5"/>
    <w:rsid w:val="00550F1A"/>
    <w:rsid w:val="0055110E"/>
    <w:rsid w:val="00551180"/>
    <w:rsid w:val="00551913"/>
    <w:rsid w:val="005519C0"/>
    <w:rsid w:val="00551BC4"/>
    <w:rsid w:val="00551C16"/>
    <w:rsid w:val="005520C9"/>
    <w:rsid w:val="005521DF"/>
    <w:rsid w:val="0055262F"/>
    <w:rsid w:val="00552ADA"/>
    <w:rsid w:val="00552B57"/>
    <w:rsid w:val="00552E30"/>
    <w:rsid w:val="0055359A"/>
    <w:rsid w:val="00553755"/>
    <w:rsid w:val="0055384C"/>
    <w:rsid w:val="00553B57"/>
    <w:rsid w:val="0055419A"/>
    <w:rsid w:val="005544F9"/>
    <w:rsid w:val="00555094"/>
    <w:rsid w:val="005557E7"/>
    <w:rsid w:val="005558BF"/>
    <w:rsid w:val="005558EA"/>
    <w:rsid w:val="00555931"/>
    <w:rsid w:val="00556092"/>
    <w:rsid w:val="005563D2"/>
    <w:rsid w:val="0055658D"/>
    <w:rsid w:val="00556CE0"/>
    <w:rsid w:val="005571E8"/>
    <w:rsid w:val="00557731"/>
    <w:rsid w:val="005578D2"/>
    <w:rsid w:val="0055794C"/>
    <w:rsid w:val="00557A67"/>
    <w:rsid w:val="0056001C"/>
    <w:rsid w:val="0056027E"/>
    <w:rsid w:val="005603A9"/>
    <w:rsid w:val="005607A0"/>
    <w:rsid w:val="005608DE"/>
    <w:rsid w:val="00560A2B"/>
    <w:rsid w:val="00560C07"/>
    <w:rsid w:val="00560C09"/>
    <w:rsid w:val="00560FB6"/>
    <w:rsid w:val="005617E0"/>
    <w:rsid w:val="00561800"/>
    <w:rsid w:val="00562A27"/>
    <w:rsid w:val="00562F32"/>
    <w:rsid w:val="00564633"/>
    <w:rsid w:val="00565399"/>
    <w:rsid w:val="005655D4"/>
    <w:rsid w:val="00565BA4"/>
    <w:rsid w:val="00566518"/>
    <w:rsid w:val="005665D4"/>
    <w:rsid w:val="005665D8"/>
    <w:rsid w:val="00566601"/>
    <w:rsid w:val="00566A41"/>
    <w:rsid w:val="00567BDE"/>
    <w:rsid w:val="00570022"/>
    <w:rsid w:val="005708E3"/>
    <w:rsid w:val="00570B9B"/>
    <w:rsid w:val="00570BCB"/>
    <w:rsid w:val="0057118B"/>
    <w:rsid w:val="005711B2"/>
    <w:rsid w:val="00571900"/>
    <w:rsid w:val="005722E5"/>
    <w:rsid w:val="0057237A"/>
    <w:rsid w:val="00572718"/>
    <w:rsid w:val="00572C35"/>
    <w:rsid w:val="00573C8D"/>
    <w:rsid w:val="00573F3D"/>
    <w:rsid w:val="00574072"/>
    <w:rsid w:val="005741CB"/>
    <w:rsid w:val="005741DE"/>
    <w:rsid w:val="00574760"/>
    <w:rsid w:val="00574820"/>
    <w:rsid w:val="00574A0A"/>
    <w:rsid w:val="005752AC"/>
    <w:rsid w:val="005758F5"/>
    <w:rsid w:val="00575D97"/>
    <w:rsid w:val="0057624A"/>
    <w:rsid w:val="00576254"/>
    <w:rsid w:val="005763D3"/>
    <w:rsid w:val="00576855"/>
    <w:rsid w:val="00576B50"/>
    <w:rsid w:val="00576D8E"/>
    <w:rsid w:val="00577197"/>
    <w:rsid w:val="00577CF6"/>
    <w:rsid w:val="005800BB"/>
    <w:rsid w:val="00580583"/>
    <w:rsid w:val="00580639"/>
    <w:rsid w:val="005812AF"/>
    <w:rsid w:val="00581345"/>
    <w:rsid w:val="005819A1"/>
    <w:rsid w:val="00581D97"/>
    <w:rsid w:val="0058244D"/>
    <w:rsid w:val="00582684"/>
    <w:rsid w:val="00582802"/>
    <w:rsid w:val="005836EB"/>
    <w:rsid w:val="00583DAA"/>
    <w:rsid w:val="00583E6C"/>
    <w:rsid w:val="005842A5"/>
    <w:rsid w:val="00584AB0"/>
    <w:rsid w:val="00584D07"/>
    <w:rsid w:val="005851B8"/>
    <w:rsid w:val="005852C1"/>
    <w:rsid w:val="00585E9A"/>
    <w:rsid w:val="00585EE4"/>
    <w:rsid w:val="00586262"/>
    <w:rsid w:val="00586618"/>
    <w:rsid w:val="005866CF"/>
    <w:rsid w:val="00586D37"/>
    <w:rsid w:val="00587200"/>
    <w:rsid w:val="0058758F"/>
    <w:rsid w:val="005906BA"/>
    <w:rsid w:val="00590762"/>
    <w:rsid w:val="00590886"/>
    <w:rsid w:val="00590CA6"/>
    <w:rsid w:val="00591506"/>
    <w:rsid w:val="005916A3"/>
    <w:rsid w:val="005916E1"/>
    <w:rsid w:val="005920E9"/>
    <w:rsid w:val="005924D5"/>
    <w:rsid w:val="00592FA7"/>
    <w:rsid w:val="00593E52"/>
    <w:rsid w:val="00593F55"/>
    <w:rsid w:val="005948C1"/>
    <w:rsid w:val="005951C8"/>
    <w:rsid w:val="00595344"/>
    <w:rsid w:val="005954BE"/>
    <w:rsid w:val="00595E72"/>
    <w:rsid w:val="00595F07"/>
    <w:rsid w:val="005964EB"/>
    <w:rsid w:val="0059668A"/>
    <w:rsid w:val="00596D86"/>
    <w:rsid w:val="0059769F"/>
    <w:rsid w:val="005979CC"/>
    <w:rsid w:val="00597DE0"/>
    <w:rsid w:val="005A006F"/>
    <w:rsid w:val="005A013F"/>
    <w:rsid w:val="005A071C"/>
    <w:rsid w:val="005A0970"/>
    <w:rsid w:val="005A119C"/>
    <w:rsid w:val="005A1EE9"/>
    <w:rsid w:val="005A2018"/>
    <w:rsid w:val="005A203A"/>
    <w:rsid w:val="005A2815"/>
    <w:rsid w:val="005A2B04"/>
    <w:rsid w:val="005A3BA1"/>
    <w:rsid w:val="005A3F19"/>
    <w:rsid w:val="005A422F"/>
    <w:rsid w:val="005A42AA"/>
    <w:rsid w:val="005A436C"/>
    <w:rsid w:val="005A4DA9"/>
    <w:rsid w:val="005A4E4C"/>
    <w:rsid w:val="005A5452"/>
    <w:rsid w:val="005A54E8"/>
    <w:rsid w:val="005A57B4"/>
    <w:rsid w:val="005A5962"/>
    <w:rsid w:val="005A5AE4"/>
    <w:rsid w:val="005A5D20"/>
    <w:rsid w:val="005A6034"/>
    <w:rsid w:val="005A6B05"/>
    <w:rsid w:val="005A6C1B"/>
    <w:rsid w:val="005A6EFE"/>
    <w:rsid w:val="005A7B3A"/>
    <w:rsid w:val="005A7C56"/>
    <w:rsid w:val="005A7F38"/>
    <w:rsid w:val="005B0287"/>
    <w:rsid w:val="005B04BF"/>
    <w:rsid w:val="005B054A"/>
    <w:rsid w:val="005B0589"/>
    <w:rsid w:val="005B06DD"/>
    <w:rsid w:val="005B12BD"/>
    <w:rsid w:val="005B1A34"/>
    <w:rsid w:val="005B1F80"/>
    <w:rsid w:val="005B27D3"/>
    <w:rsid w:val="005B2ACD"/>
    <w:rsid w:val="005B3254"/>
    <w:rsid w:val="005B333C"/>
    <w:rsid w:val="005B33F4"/>
    <w:rsid w:val="005B34A1"/>
    <w:rsid w:val="005B3625"/>
    <w:rsid w:val="005B3C7F"/>
    <w:rsid w:val="005B3F2B"/>
    <w:rsid w:val="005B3F5A"/>
    <w:rsid w:val="005B44E7"/>
    <w:rsid w:val="005B466F"/>
    <w:rsid w:val="005B48F0"/>
    <w:rsid w:val="005B53C8"/>
    <w:rsid w:val="005B6641"/>
    <w:rsid w:val="005B681E"/>
    <w:rsid w:val="005B7CBF"/>
    <w:rsid w:val="005B7D12"/>
    <w:rsid w:val="005C07B9"/>
    <w:rsid w:val="005C0966"/>
    <w:rsid w:val="005C0C28"/>
    <w:rsid w:val="005C0DF7"/>
    <w:rsid w:val="005C0F53"/>
    <w:rsid w:val="005C0F7D"/>
    <w:rsid w:val="005C1B45"/>
    <w:rsid w:val="005C1D55"/>
    <w:rsid w:val="005C2730"/>
    <w:rsid w:val="005C2A18"/>
    <w:rsid w:val="005C2DF0"/>
    <w:rsid w:val="005C2EC3"/>
    <w:rsid w:val="005C2FE8"/>
    <w:rsid w:val="005C36C3"/>
    <w:rsid w:val="005C3713"/>
    <w:rsid w:val="005C3D4F"/>
    <w:rsid w:val="005C443E"/>
    <w:rsid w:val="005C4486"/>
    <w:rsid w:val="005C492D"/>
    <w:rsid w:val="005C4E5E"/>
    <w:rsid w:val="005C52E9"/>
    <w:rsid w:val="005C564E"/>
    <w:rsid w:val="005C5F94"/>
    <w:rsid w:val="005C67FD"/>
    <w:rsid w:val="005C6D43"/>
    <w:rsid w:val="005C6E2C"/>
    <w:rsid w:val="005C6FD7"/>
    <w:rsid w:val="005C7860"/>
    <w:rsid w:val="005C79E3"/>
    <w:rsid w:val="005C7BA9"/>
    <w:rsid w:val="005C7D16"/>
    <w:rsid w:val="005D00EA"/>
    <w:rsid w:val="005D076A"/>
    <w:rsid w:val="005D13E6"/>
    <w:rsid w:val="005D177D"/>
    <w:rsid w:val="005D1800"/>
    <w:rsid w:val="005D267F"/>
    <w:rsid w:val="005D2714"/>
    <w:rsid w:val="005D2DAC"/>
    <w:rsid w:val="005D50C8"/>
    <w:rsid w:val="005D56EF"/>
    <w:rsid w:val="005D58BD"/>
    <w:rsid w:val="005D5B95"/>
    <w:rsid w:val="005D6120"/>
    <w:rsid w:val="005D710F"/>
    <w:rsid w:val="005D72AA"/>
    <w:rsid w:val="005D75A0"/>
    <w:rsid w:val="005D7661"/>
    <w:rsid w:val="005D7AB5"/>
    <w:rsid w:val="005D7D5B"/>
    <w:rsid w:val="005E03A1"/>
    <w:rsid w:val="005E10A1"/>
    <w:rsid w:val="005E1174"/>
    <w:rsid w:val="005E1275"/>
    <w:rsid w:val="005E18B2"/>
    <w:rsid w:val="005E1972"/>
    <w:rsid w:val="005E1C2B"/>
    <w:rsid w:val="005E1EF1"/>
    <w:rsid w:val="005E214D"/>
    <w:rsid w:val="005E2BC7"/>
    <w:rsid w:val="005E325E"/>
    <w:rsid w:val="005E3944"/>
    <w:rsid w:val="005E4438"/>
    <w:rsid w:val="005E4F3A"/>
    <w:rsid w:val="005E5376"/>
    <w:rsid w:val="005E56B6"/>
    <w:rsid w:val="005E6D99"/>
    <w:rsid w:val="005E6F6F"/>
    <w:rsid w:val="005E7EF0"/>
    <w:rsid w:val="005F004E"/>
    <w:rsid w:val="005F007E"/>
    <w:rsid w:val="005F0189"/>
    <w:rsid w:val="005F0222"/>
    <w:rsid w:val="005F0B09"/>
    <w:rsid w:val="005F0B50"/>
    <w:rsid w:val="005F0D6E"/>
    <w:rsid w:val="005F0DFF"/>
    <w:rsid w:val="005F1325"/>
    <w:rsid w:val="005F13FA"/>
    <w:rsid w:val="005F20AC"/>
    <w:rsid w:val="005F2264"/>
    <w:rsid w:val="005F27D2"/>
    <w:rsid w:val="005F2A2C"/>
    <w:rsid w:val="005F2D17"/>
    <w:rsid w:val="005F2D93"/>
    <w:rsid w:val="005F2E5A"/>
    <w:rsid w:val="005F342F"/>
    <w:rsid w:val="005F3D72"/>
    <w:rsid w:val="005F40A0"/>
    <w:rsid w:val="005F44F2"/>
    <w:rsid w:val="005F4750"/>
    <w:rsid w:val="005F4758"/>
    <w:rsid w:val="005F4EAF"/>
    <w:rsid w:val="005F59B1"/>
    <w:rsid w:val="005F5B56"/>
    <w:rsid w:val="005F6095"/>
    <w:rsid w:val="005F659C"/>
    <w:rsid w:val="005F68BD"/>
    <w:rsid w:val="005F6D0B"/>
    <w:rsid w:val="005F6D94"/>
    <w:rsid w:val="005F6E64"/>
    <w:rsid w:val="005F6EB1"/>
    <w:rsid w:val="005F7395"/>
    <w:rsid w:val="005F7548"/>
    <w:rsid w:val="005F77D6"/>
    <w:rsid w:val="005F7F20"/>
    <w:rsid w:val="005F7FA3"/>
    <w:rsid w:val="00600559"/>
    <w:rsid w:val="00600F22"/>
    <w:rsid w:val="00601B7B"/>
    <w:rsid w:val="00601D19"/>
    <w:rsid w:val="00601ECE"/>
    <w:rsid w:val="006026C4"/>
    <w:rsid w:val="00602729"/>
    <w:rsid w:val="00603C28"/>
    <w:rsid w:val="00604A2B"/>
    <w:rsid w:val="00606480"/>
    <w:rsid w:val="00606D42"/>
    <w:rsid w:val="00606E23"/>
    <w:rsid w:val="00607027"/>
    <w:rsid w:val="006075E5"/>
    <w:rsid w:val="00607BB5"/>
    <w:rsid w:val="00607D0A"/>
    <w:rsid w:val="006101E9"/>
    <w:rsid w:val="00610779"/>
    <w:rsid w:val="00610C3C"/>
    <w:rsid w:val="006114DA"/>
    <w:rsid w:val="00611C94"/>
    <w:rsid w:val="00611CC9"/>
    <w:rsid w:val="00611D3E"/>
    <w:rsid w:val="00612310"/>
    <w:rsid w:val="00612342"/>
    <w:rsid w:val="00613229"/>
    <w:rsid w:val="00613674"/>
    <w:rsid w:val="00613746"/>
    <w:rsid w:val="006138E2"/>
    <w:rsid w:val="00613925"/>
    <w:rsid w:val="00613E68"/>
    <w:rsid w:val="00614858"/>
    <w:rsid w:val="006148FB"/>
    <w:rsid w:val="00614CCB"/>
    <w:rsid w:val="00615FC4"/>
    <w:rsid w:val="006160C1"/>
    <w:rsid w:val="00616618"/>
    <w:rsid w:val="00616885"/>
    <w:rsid w:val="00616911"/>
    <w:rsid w:val="006172FD"/>
    <w:rsid w:val="0061741D"/>
    <w:rsid w:val="00617973"/>
    <w:rsid w:val="00617FBC"/>
    <w:rsid w:val="006209FA"/>
    <w:rsid w:val="00620EED"/>
    <w:rsid w:val="00621023"/>
    <w:rsid w:val="00621349"/>
    <w:rsid w:val="006214EB"/>
    <w:rsid w:val="00621BFF"/>
    <w:rsid w:val="00621DC5"/>
    <w:rsid w:val="00621E5F"/>
    <w:rsid w:val="00621E9B"/>
    <w:rsid w:val="006222B4"/>
    <w:rsid w:val="006227B5"/>
    <w:rsid w:val="0062283E"/>
    <w:rsid w:val="00622870"/>
    <w:rsid w:val="00622951"/>
    <w:rsid w:val="00622BD3"/>
    <w:rsid w:val="00622E8F"/>
    <w:rsid w:val="006231CF"/>
    <w:rsid w:val="0062331D"/>
    <w:rsid w:val="0062363E"/>
    <w:rsid w:val="00623865"/>
    <w:rsid w:val="00623CF4"/>
    <w:rsid w:val="006243A8"/>
    <w:rsid w:val="00624A82"/>
    <w:rsid w:val="00625651"/>
    <w:rsid w:val="00625BA1"/>
    <w:rsid w:val="00626937"/>
    <w:rsid w:val="00626A52"/>
    <w:rsid w:val="006272E4"/>
    <w:rsid w:val="006273A3"/>
    <w:rsid w:val="00630739"/>
    <w:rsid w:val="00630C54"/>
    <w:rsid w:val="00630DE2"/>
    <w:rsid w:val="00631687"/>
    <w:rsid w:val="006323CA"/>
    <w:rsid w:val="00633786"/>
    <w:rsid w:val="00633992"/>
    <w:rsid w:val="006344B6"/>
    <w:rsid w:val="0063487C"/>
    <w:rsid w:val="00634C7D"/>
    <w:rsid w:val="00636104"/>
    <w:rsid w:val="00636472"/>
    <w:rsid w:val="00636489"/>
    <w:rsid w:val="00636EA1"/>
    <w:rsid w:val="006371F7"/>
    <w:rsid w:val="00637EE4"/>
    <w:rsid w:val="00637F43"/>
    <w:rsid w:val="00640024"/>
    <w:rsid w:val="00640358"/>
    <w:rsid w:val="00640CAD"/>
    <w:rsid w:val="00640D30"/>
    <w:rsid w:val="00641801"/>
    <w:rsid w:val="00642F25"/>
    <w:rsid w:val="00643151"/>
    <w:rsid w:val="0064354B"/>
    <w:rsid w:val="00643796"/>
    <w:rsid w:val="00643801"/>
    <w:rsid w:val="006440C7"/>
    <w:rsid w:val="00644844"/>
    <w:rsid w:val="00644B92"/>
    <w:rsid w:val="00644C6E"/>
    <w:rsid w:val="006453B9"/>
    <w:rsid w:val="006455BE"/>
    <w:rsid w:val="00645770"/>
    <w:rsid w:val="006459B6"/>
    <w:rsid w:val="00645DB6"/>
    <w:rsid w:val="00646384"/>
    <w:rsid w:val="00646BBD"/>
    <w:rsid w:val="00646D4B"/>
    <w:rsid w:val="00647064"/>
    <w:rsid w:val="00647AB2"/>
    <w:rsid w:val="00647D1F"/>
    <w:rsid w:val="0065096F"/>
    <w:rsid w:val="0065108F"/>
    <w:rsid w:val="00651338"/>
    <w:rsid w:val="00651517"/>
    <w:rsid w:val="006523DF"/>
    <w:rsid w:val="006531E5"/>
    <w:rsid w:val="00653259"/>
    <w:rsid w:val="00653676"/>
    <w:rsid w:val="006536F6"/>
    <w:rsid w:val="0065371A"/>
    <w:rsid w:val="00653907"/>
    <w:rsid w:val="00653E5B"/>
    <w:rsid w:val="006547DB"/>
    <w:rsid w:val="00654E92"/>
    <w:rsid w:val="00655024"/>
    <w:rsid w:val="00655041"/>
    <w:rsid w:val="006551FC"/>
    <w:rsid w:val="00655C45"/>
    <w:rsid w:val="00656BAA"/>
    <w:rsid w:val="00656D0F"/>
    <w:rsid w:val="00657B8D"/>
    <w:rsid w:val="00657BAB"/>
    <w:rsid w:val="006605E3"/>
    <w:rsid w:val="00660BAD"/>
    <w:rsid w:val="00660F37"/>
    <w:rsid w:val="006617E0"/>
    <w:rsid w:val="00661BB8"/>
    <w:rsid w:val="00661F62"/>
    <w:rsid w:val="006620B4"/>
    <w:rsid w:val="0066264A"/>
    <w:rsid w:val="0066286F"/>
    <w:rsid w:val="00662F60"/>
    <w:rsid w:val="00663436"/>
    <w:rsid w:val="006639D2"/>
    <w:rsid w:val="00663CC9"/>
    <w:rsid w:val="00663F2F"/>
    <w:rsid w:val="00664431"/>
    <w:rsid w:val="006644ED"/>
    <w:rsid w:val="006644F6"/>
    <w:rsid w:val="006645F4"/>
    <w:rsid w:val="00664E1A"/>
    <w:rsid w:val="00665517"/>
    <w:rsid w:val="0066602C"/>
    <w:rsid w:val="00666262"/>
    <w:rsid w:val="0066671B"/>
    <w:rsid w:val="00666899"/>
    <w:rsid w:val="00666E17"/>
    <w:rsid w:val="00666EFE"/>
    <w:rsid w:val="00667CDA"/>
    <w:rsid w:val="0067075D"/>
    <w:rsid w:val="0067098C"/>
    <w:rsid w:val="00670D94"/>
    <w:rsid w:val="00671502"/>
    <w:rsid w:val="006718E8"/>
    <w:rsid w:val="00671E9C"/>
    <w:rsid w:val="0067214D"/>
    <w:rsid w:val="006728AA"/>
    <w:rsid w:val="00672D5F"/>
    <w:rsid w:val="006733A4"/>
    <w:rsid w:val="006736F9"/>
    <w:rsid w:val="00673D10"/>
    <w:rsid w:val="00673F71"/>
    <w:rsid w:val="00673FB6"/>
    <w:rsid w:val="0067405A"/>
    <w:rsid w:val="00674C65"/>
    <w:rsid w:val="006759F0"/>
    <w:rsid w:val="00675C46"/>
    <w:rsid w:val="0067662C"/>
    <w:rsid w:val="006767CE"/>
    <w:rsid w:val="006768E6"/>
    <w:rsid w:val="00676B2A"/>
    <w:rsid w:val="0067743E"/>
    <w:rsid w:val="00677F77"/>
    <w:rsid w:val="0068033D"/>
    <w:rsid w:val="006807F4"/>
    <w:rsid w:val="00680AED"/>
    <w:rsid w:val="006811A6"/>
    <w:rsid w:val="006813C7"/>
    <w:rsid w:val="006817AB"/>
    <w:rsid w:val="00681A97"/>
    <w:rsid w:val="00681D14"/>
    <w:rsid w:val="00681F57"/>
    <w:rsid w:val="00682212"/>
    <w:rsid w:val="00682747"/>
    <w:rsid w:val="006828B3"/>
    <w:rsid w:val="00682CA0"/>
    <w:rsid w:val="00682FDD"/>
    <w:rsid w:val="006832E9"/>
    <w:rsid w:val="006834E1"/>
    <w:rsid w:val="0068351E"/>
    <w:rsid w:val="006837D0"/>
    <w:rsid w:val="00683943"/>
    <w:rsid w:val="00683C38"/>
    <w:rsid w:val="0068474D"/>
    <w:rsid w:val="006847BA"/>
    <w:rsid w:val="00684B47"/>
    <w:rsid w:val="00685B46"/>
    <w:rsid w:val="0068647A"/>
    <w:rsid w:val="00686B48"/>
    <w:rsid w:val="00686C67"/>
    <w:rsid w:val="00686E76"/>
    <w:rsid w:val="00686E7A"/>
    <w:rsid w:val="006875B3"/>
    <w:rsid w:val="00687BD0"/>
    <w:rsid w:val="0069005A"/>
    <w:rsid w:val="006903A0"/>
    <w:rsid w:val="00690409"/>
    <w:rsid w:val="006909F9"/>
    <w:rsid w:val="006910D7"/>
    <w:rsid w:val="0069128D"/>
    <w:rsid w:val="00691696"/>
    <w:rsid w:val="00691890"/>
    <w:rsid w:val="006925EF"/>
    <w:rsid w:val="006925FD"/>
    <w:rsid w:val="00692A25"/>
    <w:rsid w:val="00692D86"/>
    <w:rsid w:val="0069334E"/>
    <w:rsid w:val="006939C1"/>
    <w:rsid w:val="00693BA9"/>
    <w:rsid w:val="00693EDF"/>
    <w:rsid w:val="006947F4"/>
    <w:rsid w:val="00695046"/>
    <w:rsid w:val="00695C7D"/>
    <w:rsid w:val="00695FA8"/>
    <w:rsid w:val="00696056"/>
    <w:rsid w:val="00696673"/>
    <w:rsid w:val="00696AC1"/>
    <w:rsid w:val="00696F7D"/>
    <w:rsid w:val="00697005"/>
    <w:rsid w:val="006970C3"/>
    <w:rsid w:val="00697458"/>
    <w:rsid w:val="0069762B"/>
    <w:rsid w:val="006A000B"/>
    <w:rsid w:val="006A022A"/>
    <w:rsid w:val="006A06EF"/>
    <w:rsid w:val="006A080C"/>
    <w:rsid w:val="006A1339"/>
    <w:rsid w:val="006A13DB"/>
    <w:rsid w:val="006A1565"/>
    <w:rsid w:val="006A1700"/>
    <w:rsid w:val="006A18A5"/>
    <w:rsid w:val="006A19AE"/>
    <w:rsid w:val="006A1A25"/>
    <w:rsid w:val="006A1B1A"/>
    <w:rsid w:val="006A2836"/>
    <w:rsid w:val="006A29B6"/>
    <w:rsid w:val="006A2A07"/>
    <w:rsid w:val="006A32DB"/>
    <w:rsid w:val="006A396A"/>
    <w:rsid w:val="006A39AA"/>
    <w:rsid w:val="006A3F02"/>
    <w:rsid w:val="006A4214"/>
    <w:rsid w:val="006A44E1"/>
    <w:rsid w:val="006A46D4"/>
    <w:rsid w:val="006A486D"/>
    <w:rsid w:val="006A5377"/>
    <w:rsid w:val="006A5678"/>
    <w:rsid w:val="006A5767"/>
    <w:rsid w:val="006A5E5C"/>
    <w:rsid w:val="006A69FD"/>
    <w:rsid w:val="006A6C2D"/>
    <w:rsid w:val="006A6E73"/>
    <w:rsid w:val="006A78B9"/>
    <w:rsid w:val="006B02C6"/>
    <w:rsid w:val="006B0AE8"/>
    <w:rsid w:val="006B0B6A"/>
    <w:rsid w:val="006B0E79"/>
    <w:rsid w:val="006B1311"/>
    <w:rsid w:val="006B136C"/>
    <w:rsid w:val="006B1409"/>
    <w:rsid w:val="006B16F5"/>
    <w:rsid w:val="006B192B"/>
    <w:rsid w:val="006B1D73"/>
    <w:rsid w:val="006B2061"/>
    <w:rsid w:val="006B22B9"/>
    <w:rsid w:val="006B28D1"/>
    <w:rsid w:val="006B2B33"/>
    <w:rsid w:val="006B2DD7"/>
    <w:rsid w:val="006B2EA6"/>
    <w:rsid w:val="006B36E7"/>
    <w:rsid w:val="006B3C9E"/>
    <w:rsid w:val="006B416F"/>
    <w:rsid w:val="006B4744"/>
    <w:rsid w:val="006B4FB5"/>
    <w:rsid w:val="006B5246"/>
    <w:rsid w:val="006B6C40"/>
    <w:rsid w:val="006B722F"/>
    <w:rsid w:val="006B7901"/>
    <w:rsid w:val="006B79B0"/>
    <w:rsid w:val="006B7D89"/>
    <w:rsid w:val="006B7E77"/>
    <w:rsid w:val="006C0A5A"/>
    <w:rsid w:val="006C18F7"/>
    <w:rsid w:val="006C1A30"/>
    <w:rsid w:val="006C2498"/>
    <w:rsid w:val="006C2C6A"/>
    <w:rsid w:val="006C2FA8"/>
    <w:rsid w:val="006C310F"/>
    <w:rsid w:val="006C3B4B"/>
    <w:rsid w:val="006C4118"/>
    <w:rsid w:val="006C43A9"/>
    <w:rsid w:val="006C4409"/>
    <w:rsid w:val="006C4886"/>
    <w:rsid w:val="006C52E2"/>
    <w:rsid w:val="006C5A3C"/>
    <w:rsid w:val="006C5E6C"/>
    <w:rsid w:val="006C664F"/>
    <w:rsid w:val="006C6CD7"/>
    <w:rsid w:val="006C7273"/>
    <w:rsid w:val="006C7EFD"/>
    <w:rsid w:val="006C7FAD"/>
    <w:rsid w:val="006D0D53"/>
    <w:rsid w:val="006D14A9"/>
    <w:rsid w:val="006D1520"/>
    <w:rsid w:val="006D16B9"/>
    <w:rsid w:val="006D177C"/>
    <w:rsid w:val="006D2B08"/>
    <w:rsid w:val="006D2B31"/>
    <w:rsid w:val="006D2DB6"/>
    <w:rsid w:val="006D301A"/>
    <w:rsid w:val="006D35FA"/>
    <w:rsid w:val="006D3B1D"/>
    <w:rsid w:val="006D3E5C"/>
    <w:rsid w:val="006D3F44"/>
    <w:rsid w:val="006D4658"/>
    <w:rsid w:val="006D49DA"/>
    <w:rsid w:val="006D4B2E"/>
    <w:rsid w:val="006D4FED"/>
    <w:rsid w:val="006D506B"/>
    <w:rsid w:val="006D56AE"/>
    <w:rsid w:val="006D5B4C"/>
    <w:rsid w:val="006D5FCB"/>
    <w:rsid w:val="006D64C4"/>
    <w:rsid w:val="006D6AA8"/>
    <w:rsid w:val="006D6DC6"/>
    <w:rsid w:val="006D72BE"/>
    <w:rsid w:val="006D7972"/>
    <w:rsid w:val="006E02C1"/>
    <w:rsid w:val="006E0451"/>
    <w:rsid w:val="006E0829"/>
    <w:rsid w:val="006E0860"/>
    <w:rsid w:val="006E0DBB"/>
    <w:rsid w:val="006E1135"/>
    <w:rsid w:val="006E1172"/>
    <w:rsid w:val="006E14DF"/>
    <w:rsid w:val="006E1868"/>
    <w:rsid w:val="006E1A90"/>
    <w:rsid w:val="006E1B8A"/>
    <w:rsid w:val="006E1BFF"/>
    <w:rsid w:val="006E35AD"/>
    <w:rsid w:val="006E384F"/>
    <w:rsid w:val="006E3CDB"/>
    <w:rsid w:val="006E3F57"/>
    <w:rsid w:val="006E3F71"/>
    <w:rsid w:val="006E3FF3"/>
    <w:rsid w:val="006E4545"/>
    <w:rsid w:val="006E4693"/>
    <w:rsid w:val="006E5078"/>
    <w:rsid w:val="006E598E"/>
    <w:rsid w:val="006E5FD2"/>
    <w:rsid w:val="006E6639"/>
    <w:rsid w:val="006E6B68"/>
    <w:rsid w:val="006E6EC1"/>
    <w:rsid w:val="006E72EC"/>
    <w:rsid w:val="006E72F4"/>
    <w:rsid w:val="006E77FC"/>
    <w:rsid w:val="006E7CE6"/>
    <w:rsid w:val="006F19B2"/>
    <w:rsid w:val="006F2451"/>
    <w:rsid w:val="006F26C9"/>
    <w:rsid w:val="006F28E6"/>
    <w:rsid w:val="006F2A88"/>
    <w:rsid w:val="006F30DB"/>
    <w:rsid w:val="006F3880"/>
    <w:rsid w:val="006F396D"/>
    <w:rsid w:val="006F3A87"/>
    <w:rsid w:val="006F3E34"/>
    <w:rsid w:val="006F4024"/>
    <w:rsid w:val="006F40EE"/>
    <w:rsid w:val="006F43FE"/>
    <w:rsid w:val="006F4462"/>
    <w:rsid w:val="006F5DBF"/>
    <w:rsid w:val="006F5F5E"/>
    <w:rsid w:val="006F60EB"/>
    <w:rsid w:val="006F6224"/>
    <w:rsid w:val="006F625E"/>
    <w:rsid w:val="006F6922"/>
    <w:rsid w:val="006F6CDF"/>
    <w:rsid w:val="006F7573"/>
    <w:rsid w:val="006F7CFD"/>
    <w:rsid w:val="006F7E9B"/>
    <w:rsid w:val="00700498"/>
    <w:rsid w:val="007005E3"/>
    <w:rsid w:val="00700731"/>
    <w:rsid w:val="007008AB"/>
    <w:rsid w:val="007008D9"/>
    <w:rsid w:val="00700D72"/>
    <w:rsid w:val="007014D6"/>
    <w:rsid w:val="007022C2"/>
    <w:rsid w:val="007028D0"/>
    <w:rsid w:val="00702983"/>
    <w:rsid w:val="007047A0"/>
    <w:rsid w:val="00705090"/>
    <w:rsid w:val="007051E5"/>
    <w:rsid w:val="00706172"/>
    <w:rsid w:val="007066A7"/>
    <w:rsid w:val="0070684A"/>
    <w:rsid w:val="00706859"/>
    <w:rsid w:val="00706957"/>
    <w:rsid w:val="00706C9D"/>
    <w:rsid w:val="00706D05"/>
    <w:rsid w:val="00706DBA"/>
    <w:rsid w:val="007073CB"/>
    <w:rsid w:val="007075CC"/>
    <w:rsid w:val="00707905"/>
    <w:rsid w:val="00707A38"/>
    <w:rsid w:val="00707AF6"/>
    <w:rsid w:val="00707B51"/>
    <w:rsid w:val="00707CBE"/>
    <w:rsid w:val="00707EA6"/>
    <w:rsid w:val="00707FBD"/>
    <w:rsid w:val="00710811"/>
    <w:rsid w:val="00710DAA"/>
    <w:rsid w:val="00711302"/>
    <w:rsid w:val="0071172E"/>
    <w:rsid w:val="00712168"/>
    <w:rsid w:val="00712870"/>
    <w:rsid w:val="00712BEA"/>
    <w:rsid w:val="007131C8"/>
    <w:rsid w:val="00713A93"/>
    <w:rsid w:val="0071480A"/>
    <w:rsid w:val="00714A38"/>
    <w:rsid w:val="00714FA3"/>
    <w:rsid w:val="00715034"/>
    <w:rsid w:val="007157DC"/>
    <w:rsid w:val="00715998"/>
    <w:rsid w:val="00715BB3"/>
    <w:rsid w:val="00715EBA"/>
    <w:rsid w:val="00716BDB"/>
    <w:rsid w:val="00717715"/>
    <w:rsid w:val="007178B9"/>
    <w:rsid w:val="00717E9E"/>
    <w:rsid w:val="00720283"/>
    <w:rsid w:val="007205D9"/>
    <w:rsid w:val="007206C0"/>
    <w:rsid w:val="00720B7A"/>
    <w:rsid w:val="00721202"/>
    <w:rsid w:val="007214EF"/>
    <w:rsid w:val="00721642"/>
    <w:rsid w:val="00721CA6"/>
    <w:rsid w:val="007232FC"/>
    <w:rsid w:val="00723516"/>
    <w:rsid w:val="0072454F"/>
    <w:rsid w:val="0072467F"/>
    <w:rsid w:val="00724728"/>
    <w:rsid w:val="00724879"/>
    <w:rsid w:val="00724DC9"/>
    <w:rsid w:val="00724EA2"/>
    <w:rsid w:val="00724EB3"/>
    <w:rsid w:val="00724F1A"/>
    <w:rsid w:val="007250DA"/>
    <w:rsid w:val="007257C7"/>
    <w:rsid w:val="00725B29"/>
    <w:rsid w:val="00725BA8"/>
    <w:rsid w:val="00725C52"/>
    <w:rsid w:val="007261B2"/>
    <w:rsid w:val="007263A5"/>
    <w:rsid w:val="00726786"/>
    <w:rsid w:val="00726903"/>
    <w:rsid w:val="00726B78"/>
    <w:rsid w:val="00726B8F"/>
    <w:rsid w:val="00726C6F"/>
    <w:rsid w:val="00727243"/>
    <w:rsid w:val="00727816"/>
    <w:rsid w:val="00727A03"/>
    <w:rsid w:val="00727B71"/>
    <w:rsid w:val="00727DAB"/>
    <w:rsid w:val="00727EBA"/>
    <w:rsid w:val="00727FDA"/>
    <w:rsid w:val="00730E41"/>
    <w:rsid w:val="0073137C"/>
    <w:rsid w:val="00731553"/>
    <w:rsid w:val="00731A35"/>
    <w:rsid w:val="00732AC3"/>
    <w:rsid w:val="0073313A"/>
    <w:rsid w:val="00733641"/>
    <w:rsid w:val="00733A8C"/>
    <w:rsid w:val="00733B59"/>
    <w:rsid w:val="00733E9B"/>
    <w:rsid w:val="00734482"/>
    <w:rsid w:val="00734DC8"/>
    <w:rsid w:val="007351D1"/>
    <w:rsid w:val="00735817"/>
    <w:rsid w:val="00735A9F"/>
    <w:rsid w:val="00735E1A"/>
    <w:rsid w:val="00736517"/>
    <w:rsid w:val="00736977"/>
    <w:rsid w:val="00736E18"/>
    <w:rsid w:val="00736F13"/>
    <w:rsid w:val="0073703F"/>
    <w:rsid w:val="00737727"/>
    <w:rsid w:val="00737DF2"/>
    <w:rsid w:val="00737E24"/>
    <w:rsid w:val="007401AE"/>
    <w:rsid w:val="00741015"/>
    <w:rsid w:val="0074145A"/>
    <w:rsid w:val="00741AE6"/>
    <w:rsid w:val="0074224D"/>
    <w:rsid w:val="00742739"/>
    <w:rsid w:val="00742B37"/>
    <w:rsid w:val="00742BB3"/>
    <w:rsid w:val="0074301F"/>
    <w:rsid w:val="0074325B"/>
    <w:rsid w:val="0074373B"/>
    <w:rsid w:val="00744331"/>
    <w:rsid w:val="007443E6"/>
    <w:rsid w:val="007454F6"/>
    <w:rsid w:val="0074550D"/>
    <w:rsid w:val="007458AD"/>
    <w:rsid w:val="00745B61"/>
    <w:rsid w:val="00745E91"/>
    <w:rsid w:val="00745F58"/>
    <w:rsid w:val="00746D7C"/>
    <w:rsid w:val="00747CF1"/>
    <w:rsid w:val="007507A5"/>
    <w:rsid w:val="00750884"/>
    <w:rsid w:val="00750F72"/>
    <w:rsid w:val="00751521"/>
    <w:rsid w:val="0075214D"/>
    <w:rsid w:val="007528F6"/>
    <w:rsid w:val="00752CBF"/>
    <w:rsid w:val="0075360D"/>
    <w:rsid w:val="00753B56"/>
    <w:rsid w:val="00753C13"/>
    <w:rsid w:val="00753CCF"/>
    <w:rsid w:val="00753F7F"/>
    <w:rsid w:val="00754943"/>
    <w:rsid w:val="00754AA3"/>
    <w:rsid w:val="00754FE9"/>
    <w:rsid w:val="00755826"/>
    <w:rsid w:val="00755953"/>
    <w:rsid w:val="00755B24"/>
    <w:rsid w:val="0075693A"/>
    <w:rsid w:val="00756B8D"/>
    <w:rsid w:val="00756F68"/>
    <w:rsid w:val="00757241"/>
    <w:rsid w:val="007576D7"/>
    <w:rsid w:val="00757719"/>
    <w:rsid w:val="007600FF"/>
    <w:rsid w:val="007604DC"/>
    <w:rsid w:val="00760A98"/>
    <w:rsid w:val="00760B12"/>
    <w:rsid w:val="00760C87"/>
    <w:rsid w:val="00760E0E"/>
    <w:rsid w:val="0076130C"/>
    <w:rsid w:val="007617B9"/>
    <w:rsid w:val="00761A56"/>
    <w:rsid w:val="00761ACD"/>
    <w:rsid w:val="00761AF6"/>
    <w:rsid w:val="00761CC5"/>
    <w:rsid w:val="0076206C"/>
    <w:rsid w:val="00762287"/>
    <w:rsid w:val="00762574"/>
    <w:rsid w:val="00762D36"/>
    <w:rsid w:val="00762FF2"/>
    <w:rsid w:val="00763A1B"/>
    <w:rsid w:val="007643D4"/>
    <w:rsid w:val="00764918"/>
    <w:rsid w:val="00764B31"/>
    <w:rsid w:val="0076516B"/>
    <w:rsid w:val="00765F13"/>
    <w:rsid w:val="00766223"/>
    <w:rsid w:val="00766539"/>
    <w:rsid w:val="00766A7E"/>
    <w:rsid w:val="00766D77"/>
    <w:rsid w:val="0076737D"/>
    <w:rsid w:val="00767A3E"/>
    <w:rsid w:val="00767F7E"/>
    <w:rsid w:val="007708D1"/>
    <w:rsid w:val="0077122B"/>
    <w:rsid w:val="0077128D"/>
    <w:rsid w:val="00771709"/>
    <w:rsid w:val="00771A00"/>
    <w:rsid w:val="00771B82"/>
    <w:rsid w:val="00772086"/>
    <w:rsid w:val="00772605"/>
    <w:rsid w:val="00772C4B"/>
    <w:rsid w:val="00773BFD"/>
    <w:rsid w:val="00773E81"/>
    <w:rsid w:val="0077407E"/>
    <w:rsid w:val="00774C0F"/>
    <w:rsid w:val="0077535F"/>
    <w:rsid w:val="007753E7"/>
    <w:rsid w:val="007754F1"/>
    <w:rsid w:val="0077562B"/>
    <w:rsid w:val="00775BED"/>
    <w:rsid w:val="00775D57"/>
    <w:rsid w:val="00775EFD"/>
    <w:rsid w:val="00775F41"/>
    <w:rsid w:val="00775FB6"/>
    <w:rsid w:val="007760AE"/>
    <w:rsid w:val="0077662B"/>
    <w:rsid w:val="00776876"/>
    <w:rsid w:val="00776DFB"/>
    <w:rsid w:val="0077757D"/>
    <w:rsid w:val="00777819"/>
    <w:rsid w:val="00777F3F"/>
    <w:rsid w:val="00777FB1"/>
    <w:rsid w:val="00780169"/>
    <w:rsid w:val="007801F9"/>
    <w:rsid w:val="007804C5"/>
    <w:rsid w:val="00780573"/>
    <w:rsid w:val="00781051"/>
    <w:rsid w:val="0078106E"/>
    <w:rsid w:val="00781180"/>
    <w:rsid w:val="0078126A"/>
    <w:rsid w:val="00781510"/>
    <w:rsid w:val="00781545"/>
    <w:rsid w:val="00781573"/>
    <w:rsid w:val="0078168A"/>
    <w:rsid w:val="0078212A"/>
    <w:rsid w:val="007827B6"/>
    <w:rsid w:val="00783235"/>
    <w:rsid w:val="00783277"/>
    <w:rsid w:val="00783522"/>
    <w:rsid w:val="0078384A"/>
    <w:rsid w:val="007839FB"/>
    <w:rsid w:val="00783E60"/>
    <w:rsid w:val="00783EE9"/>
    <w:rsid w:val="00783F18"/>
    <w:rsid w:val="007840B8"/>
    <w:rsid w:val="007842DD"/>
    <w:rsid w:val="00784446"/>
    <w:rsid w:val="00784B10"/>
    <w:rsid w:val="0078500E"/>
    <w:rsid w:val="007856D2"/>
    <w:rsid w:val="007867EF"/>
    <w:rsid w:val="00786B61"/>
    <w:rsid w:val="00787027"/>
    <w:rsid w:val="0078742B"/>
    <w:rsid w:val="0078752A"/>
    <w:rsid w:val="00790481"/>
    <w:rsid w:val="007909DD"/>
    <w:rsid w:val="00791027"/>
    <w:rsid w:val="00791229"/>
    <w:rsid w:val="0079198E"/>
    <w:rsid w:val="00791C39"/>
    <w:rsid w:val="00791F61"/>
    <w:rsid w:val="007928E4"/>
    <w:rsid w:val="00792BEE"/>
    <w:rsid w:val="00792CB5"/>
    <w:rsid w:val="00792CE9"/>
    <w:rsid w:val="007932C8"/>
    <w:rsid w:val="007947D5"/>
    <w:rsid w:val="00794936"/>
    <w:rsid w:val="007950AC"/>
    <w:rsid w:val="00795482"/>
    <w:rsid w:val="007954B3"/>
    <w:rsid w:val="00795A08"/>
    <w:rsid w:val="00795B53"/>
    <w:rsid w:val="007960F4"/>
    <w:rsid w:val="007962F4"/>
    <w:rsid w:val="007963AF"/>
    <w:rsid w:val="00797094"/>
    <w:rsid w:val="007978B4"/>
    <w:rsid w:val="00797A49"/>
    <w:rsid w:val="007A058A"/>
    <w:rsid w:val="007A07CB"/>
    <w:rsid w:val="007A0AAB"/>
    <w:rsid w:val="007A115A"/>
    <w:rsid w:val="007A12AC"/>
    <w:rsid w:val="007A144E"/>
    <w:rsid w:val="007A1458"/>
    <w:rsid w:val="007A1573"/>
    <w:rsid w:val="007A1784"/>
    <w:rsid w:val="007A1F36"/>
    <w:rsid w:val="007A222C"/>
    <w:rsid w:val="007A2D64"/>
    <w:rsid w:val="007A32ED"/>
    <w:rsid w:val="007A3E92"/>
    <w:rsid w:val="007A42CD"/>
    <w:rsid w:val="007A4323"/>
    <w:rsid w:val="007A481E"/>
    <w:rsid w:val="007A48A4"/>
    <w:rsid w:val="007A4CDA"/>
    <w:rsid w:val="007A5486"/>
    <w:rsid w:val="007A57C7"/>
    <w:rsid w:val="007A5AB0"/>
    <w:rsid w:val="007A653C"/>
    <w:rsid w:val="007A669F"/>
    <w:rsid w:val="007A680C"/>
    <w:rsid w:val="007A6972"/>
    <w:rsid w:val="007A7CD7"/>
    <w:rsid w:val="007A7EEC"/>
    <w:rsid w:val="007B060D"/>
    <w:rsid w:val="007B1FE7"/>
    <w:rsid w:val="007B2304"/>
    <w:rsid w:val="007B2471"/>
    <w:rsid w:val="007B259D"/>
    <w:rsid w:val="007B2FE2"/>
    <w:rsid w:val="007B3422"/>
    <w:rsid w:val="007B35FF"/>
    <w:rsid w:val="007B41F8"/>
    <w:rsid w:val="007B4E1B"/>
    <w:rsid w:val="007B656A"/>
    <w:rsid w:val="007B6604"/>
    <w:rsid w:val="007B667F"/>
    <w:rsid w:val="007B6E83"/>
    <w:rsid w:val="007B77BD"/>
    <w:rsid w:val="007B7A12"/>
    <w:rsid w:val="007C0466"/>
    <w:rsid w:val="007C06E5"/>
    <w:rsid w:val="007C0C1F"/>
    <w:rsid w:val="007C0D88"/>
    <w:rsid w:val="007C1162"/>
    <w:rsid w:val="007C1382"/>
    <w:rsid w:val="007C140B"/>
    <w:rsid w:val="007C14C5"/>
    <w:rsid w:val="007C185E"/>
    <w:rsid w:val="007C260D"/>
    <w:rsid w:val="007C3D3A"/>
    <w:rsid w:val="007C486E"/>
    <w:rsid w:val="007C4C4D"/>
    <w:rsid w:val="007C4CDA"/>
    <w:rsid w:val="007C601D"/>
    <w:rsid w:val="007C6413"/>
    <w:rsid w:val="007C73C7"/>
    <w:rsid w:val="007C7B13"/>
    <w:rsid w:val="007C7F9D"/>
    <w:rsid w:val="007D00EF"/>
    <w:rsid w:val="007D019B"/>
    <w:rsid w:val="007D02D3"/>
    <w:rsid w:val="007D0331"/>
    <w:rsid w:val="007D03A1"/>
    <w:rsid w:val="007D114A"/>
    <w:rsid w:val="007D1948"/>
    <w:rsid w:val="007D1F35"/>
    <w:rsid w:val="007D204C"/>
    <w:rsid w:val="007D21F3"/>
    <w:rsid w:val="007D2718"/>
    <w:rsid w:val="007D2947"/>
    <w:rsid w:val="007D2CA7"/>
    <w:rsid w:val="007D2F4E"/>
    <w:rsid w:val="007D314D"/>
    <w:rsid w:val="007D3528"/>
    <w:rsid w:val="007D3820"/>
    <w:rsid w:val="007D38C2"/>
    <w:rsid w:val="007D39DA"/>
    <w:rsid w:val="007D3BDA"/>
    <w:rsid w:val="007D43D2"/>
    <w:rsid w:val="007D4953"/>
    <w:rsid w:val="007D4E65"/>
    <w:rsid w:val="007D5209"/>
    <w:rsid w:val="007D5870"/>
    <w:rsid w:val="007D58A5"/>
    <w:rsid w:val="007D5ABC"/>
    <w:rsid w:val="007D5D88"/>
    <w:rsid w:val="007D6511"/>
    <w:rsid w:val="007D6581"/>
    <w:rsid w:val="007D6A08"/>
    <w:rsid w:val="007D6AC1"/>
    <w:rsid w:val="007D6D22"/>
    <w:rsid w:val="007D6ED7"/>
    <w:rsid w:val="007D6FF8"/>
    <w:rsid w:val="007D7076"/>
    <w:rsid w:val="007D71B9"/>
    <w:rsid w:val="007D77E9"/>
    <w:rsid w:val="007E02B3"/>
    <w:rsid w:val="007E03C8"/>
    <w:rsid w:val="007E06BA"/>
    <w:rsid w:val="007E09A9"/>
    <w:rsid w:val="007E0CBE"/>
    <w:rsid w:val="007E1845"/>
    <w:rsid w:val="007E1B20"/>
    <w:rsid w:val="007E1E05"/>
    <w:rsid w:val="007E242C"/>
    <w:rsid w:val="007E28DD"/>
    <w:rsid w:val="007E2B0F"/>
    <w:rsid w:val="007E2C2C"/>
    <w:rsid w:val="007E375E"/>
    <w:rsid w:val="007E3878"/>
    <w:rsid w:val="007E3905"/>
    <w:rsid w:val="007E3A47"/>
    <w:rsid w:val="007E3D73"/>
    <w:rsid w:val="007E421E"/>
    <w:rsid w:val="007E49AE"/>
    <w:rsid w:val="007E4C98"/>
    <w:rsid w:val="007E546C"/>
    <w:rsid w:val="007E606E"/>
    <w:rsid w:val="007E740B"/>
    <w:rsid w:val="007E7F83"/>
    <w:rsid w:val="007F04E1"/>
    <w:rsid w:val="007F087F"/>
    <w:rsid w:val="007F08B3"/>
    <w:rsid w:val="007F0F38"/>
    <w:rsid w:val="007F11D3"/>
    <w:rsid w:val="007F12A0"/>
    <w:rsid w:val="007F1D02"/>
    <w:rsid w:val="007F1D83"/>
    <w:rsid w:val="007F1F2A"/>
    <w:rsid w:val="007F25D6"/>
    <w:rsid w:val="007F2ABA"/>
    <w:rsid w:val="007F2D6D"/>
    <w:rsid w:val="007F2F2D"/>
    <w:rsid w:val="007F313A"/>
    <w:rsid w:val="007F3670"/>
    <w:rsid w:val="007F42A6"/>
    <w:rsid w:val="007F4346"/>
    <w:rsid w:val="007F501A"/>
    <w:rsid w:val="007F5411"/>
    <w:rsid w:val="007F5988"/>
    <w:rsid w:val="007F5D9B"/>
    <w:rsid w:val="007F5E28"/>
    <w:rsid w:val="007F5E5B"/>
    <w:rsid w:val="007F6182"/>
    <w:rsid w:val="007F6392"/>
    <w:rsid w:val="007F654C"/>
    <w:rsid w:val="007F6AD7"/>
    <w:rsid w:val="007F6EB9"/>
    <w:rsid w:val="007F6F18"/>
    <w:rsid w:val="007F7593"/>
    <w:rsid w:val="007F77E1"/>
    <w:rsid w:val="00800AB6"/>
    <w:rsid w:val="00800F5E"/>
    <w:rsid w:val="00801278"/>
    <w:rsid w:val="00801453"/>
    <w:rsid w:val="00802028"/>
    <w:rsid w:val="0080242C"/>
    <w:rsid w:val="00802F10"/>
    <w:rsid w:val="00803650"/>
    <w:rsid w:val="008036D4"/>
    <w:rsid w:val="00803D6F"/>
    <w:rsid w:val="00803F79"/>
    <w:rsid w:val="00804027"/>
    <w:rsid w:val="00804DA1"/>
    <w:rsid w:val="00805132"/>
    <w:rsid w:val="00805747"/>
    <w:rsid w:val="00805F91"/>
    <w:rsid w:val="0080618C"/>
    <w:rsid w:val="00806709"/>
    <w:rsid w:val="0080712D"/>
    <w:rsid w:val="0080713A"/>
    <w:rsid w:val="008078F5"/>
    <w:rsid w:val="00807CA5"/>
    <w:rsid w:val="00807DDF"/>
    <w:rsid w:val="00810D61"/>
    <w:rsid w:val="00811116"/>
    <w:rsid w:val="00811835"/>
    <w:rsid w:val="00812108"/>
    <w:rsid w:val="008122AB"/>
    <w:rsid w:val="00813A51"/>
    <w:rsid w:val="00813E80"/>
    <w:rsid w:val="00814043"/>
    <w:rsid w:val="0081412C"/>
    <w:rsid w:val="00814530"/>
    <w:rsid w:val="00814EAC"/>
    <w:rsid w:val="00814F59"/>
    <w:rsid w:val="0081587E"/>
    <w:rsid w:val="00815B35"/>
    <w:rsid w:val="0081605E"/>
    <w:rsid w:val="00816D03"/>
    <w:rsid w:val="00816D5E"/>
    <w:rsid w:val="008172F9"/>
    <w:rsid w:val="00817A8B"/>
    <w:rsid w:val="0082088D"/>
    <w:rsid w:val="00821B7A"/>
    <w:rsid w:val="00821D71"/>
    <w:rsid w:val="00821DCC"/>
    <w:rsid w:val="00821DF2"/>
    <w:rsid w:val="0082208D"/>
    <w:rsid w:val="00822117"/>
    <w:rsid w:val="008233D6"/>
    <w:rsid w:val="008233FE"/>
    <w:rsid w:val="008239CC"/>
    <w:rsid w:val="00823A3C"/>
    <w:rsid w:val="00824B0C"/>
    <w:rsid w:val="008251C6"/>
    <w:rsid w:val="008251E6"/>
    <w:rsid w:val="00825A71"/>
    <w:rsid w:val="00825B02"/>
    <w:rsid w:val="00826124"/>
    <w:rsid w:val="008264DC"/>
    <w:rsid w:val="00826756"/>
    <w:rsid w:val="00826C4A"/>
    <w:rsid w:val="00826CE7"/>
    <w:rsid w:val="0082712E"/>
    <w:rsid w:val="0082745C"/>
    <w:rsid w:val="0082745E"/>
    <w:rsid w:val="00827532"/>
    <w:rsid w:val="00827A01"/>
    <w:rsid w:val="00827BB1"/>
    <w:rsid w:val="00827E7A"/>
    <w:rsid w:val="008308BE"/>
    <w:rsid w:val="0083125C"/>
    <w:rsid w:val="0083127A"/>
    <w:rsid w:val="008312F2"/>
    <w:rsid w:val="008317CC"/>
    <w:rsid w:val="00831F3F"/>
    <w:rsid w:val="00832451"/>
    <w:rsid w:val="008327D2"/>
    <w:rsid w:val="00832A58"/>
    <w:rsid w:val="00832B8B"/>
    <w:rsid w:val="00833176"/>
    <w:rsid w:val="0083320B"/>
    <w:rsid w:val="008339F5"/>
    <w:rsid w:val="00833C9E"/>
    <w:rsid w:val="00833E69"/>
    <w:rsid w:val="008342E0"/>
    <w:rsid w:val="0083438E"/>
    <w:rsid w:val="008345C3"/>
    <w:rsid w:val="008346B6"/>
    <w:rsid w:val="0083484D"/>
    <w:rsid w:val="00835151"/>
    <w:rsid w:val="008351B2"/>
    <w:rsid w:val="008351B6"/>
    <w:rsid w:val="00835370"/>
    <w:rsid w:val="00835967"/>
    <w:rsid w:val="00835FE4"/>
    <w:rsid w:val="00836960"/>
    <w:rsid w:val="00836D51"/>
    <w:rsid w:val="00836ED4"/>
    <w:rsid w:val="008373DD"/>
    <w:rsid w:val="00840753"/>
    <w:rsid w:val="00840882"/>
    <w:rsid w:val="0084123D"/>
    <w:rsid w:val="00841344"/>
    <w:rsid w:val="0084155E"/>
    <w:rsid w:val="008419F9"/>
    <w:rsid w:val="00841B13"/>
    <w:rsid w:val="00841B3B"/>
    <w:rsid w:val="008422B8"/>
    <w:rsid w:val="008429C0"/>
    <w:rsid w:val="00842C45"/>
    <w:rsid w:val="00842C91"/>
    <w:rsid w:val="00842EB7"/>
    <w:rsid w:val="00843137"/>
    <w:rsid w:val="00843E6F"/>
    <w:rsid w:val="008444E9"/>
    <w:rsid w:val="00844559"/>
    <w:rsid w:val="00844B38"/>
    <w:rsid w:val="00844EA3"/>
    <w:rsid w:val="00845065"/>
    <w:rsid w:val="008451E4"/>
    <w:rsid w:val="00845E5B"/>
    <w:rsid w:val="0084642C"/>
    <w:rsid w:val="008464AC"/>
    <w:rsid w:val="00846778"/>
    <w:rsid w:val="0084677C"/>
    <w:rsid w:val="00847082"/>
    <w:rsid w:val="0084727D"/>
    <w:rsid w:val="008473CF"/>
    <w:rsid w:val="00847506"/>
    <w:rsid w:val="008477E1"/>
    <w:rsid w:val="0084782E"/>
    <w:rsid w:val="00847C97"/>
    <w:rsid w:val="0085005E"/>
    <w:rsid w:val="00850781"/>
    <w:rsid w:val="00850C59"/>
    <w:rsid w:val="00851107"/>
    <w:rsid w:val="008515F9"/>
    <w:rsid w:val="00851A53"/>
    <w:rsid w:val="00851F3A"/>
    <w:rsid w:val="00852913"/>
    <w:rsid w:val="00852FBD"/>
    <w:rsid w:val="0085331F"/>
    <w:rsid w:val="00853BD5"/>
    <w:rsid w:val="0085496D"/>
    <w:rsid w:val="00854F78"/>
    <w:rsid w:val="008550FB"/>
    <w:rsid w:val="00855155"/>
    <w:rsid w:val="00855601"/>
    <w:rsid w:val="00855650"/>
    <w:rsid w:val="00855D37"/>
    <w:rsid w:val="00855DB5"/>
    <w:rsid w:val="00856011"/>
    <w:rsid w:val="008562C7"/>
    <w:rsid w:val="0085654C"/>
    <w:rsid w:val="00856ADA"/>
    <w:rsid w:val="00856CEC"/>
    <w:rsid w:val="00856E78"/>
    <w:rsid w:val="00857119"/>
    <w:rsid w:val="008571CC"/>
    <w:rsid w:val="008571D7"/>
    <w:rsid w:val="0085794D"/>
    <w:rsid w:val="00857B3C"/>
    <w:rsid w:val="00857D65"/>
    <w:rsid w:val="00857FDC"/>
    <w:rsid w:val="0086038D"/>
    <w:rsid w:val="00860519"/>
    <w:rsid w:val="008606A4"/>
    <w:rsid w:val="00860A43"/>
    <w:rsid w:val="00860C7A"/>
    <w:rsid w:val="008610A4"/>
    <w:rsid w:val="00861AD1"/>
    <w:rsid w:val="00861B15"/>
    <w:rsid w:val="00862153"/>
    <w:rsid w:val="008623B4"/>
    <w:rsid w:val="00862844"/>
    <w:rsid w:val="00862EEA"/>
    <w:rsid w:val="00863E1F"/>
    <w:rsid w:val="00864322"/>
    <w:rsid w:val="00865EFC"/>
    <w:rsid w:val="00865F3E"/>
    <w:rsid w:val="00866451"/>
    <w:rsid w:val="00866527"/>
    <w:rsid w:val="00866CBA"/>
    <w:rsid w:val="00866E26"/>
    <w:rsid w:val="00866E71"/>
    <w:rsid w:val="00866EDA"/>
    <w:rsid w:val="00866FBF"/>
    <w:rsid w:val="008673EF"/>
    <w:rsid w:val="008676A3"/>
    <w:rsid w:val="008678A2"/>
    <w:rsid w:val="00867A0C"/>
    <w:rsid w:val="00870194"/>
    <w:rsid w:val="00870502"/>
    <w:rsid w:val="00870639"/>
    <w:rsid w:val="00870773"/>
    <w:rsid w:val="00870968"/>
    <w:rsid w:val="00870D57"/>
    <w:rsid w:val="00870F44"/>
    <w:rsid w:val="00870FC0"/>
    <w:rsid w:val="0087138D"/>
    <w:rsid w:val="00871653"/>
    <w:rsid w:val="0087182B"/>
    <w:rsid w:val="008722DE"/>
    <w:rsid w:val="008725BB"/>
    <w:rsid w:val="008728BC"/>
    <w:rsid w:val="00872E1F"/>
    <w:rsid w:val="00872E4E"/>
    <w:rsid w:val="00873A5A"/>
    <w:rsid w:val="00873AFB"/>
    <w:rsid w:val="00873E79"/>
    <w:rsid w:val="00874E02"/>
    <w:rsid w:val="00874EAE"/>
    <w:rsid w:val="00874F59"/>
    <w:rsid w:val="008751F5"/>
    <w:rsid w:val="00875351"/>
    <w:rsid w:val="00875849"/>
    <w:rsid w:val="00875B34"/>
    <w:rsid w:val="0087684B"/>
    <w:rsid w:val="00876ADA"/>
    <w:rsid w:val="00876AE7"/>
    <w:rsid w:val="00876DEC"/>
    <w:rsid w:val="00877A03"/>
    <w:rsid w:val="0088007C"/>
    <w:rsid w:val="0088106D"/>
    <w:rsid w:val="0088177E"/>
    <w:rsid w:val="00881A62"/>
    <w:rsid w:val="008823CA"/>
    <w:rsid w:val="00883031"/>
    <w:rsid w:val="008831B8"/>
    <w:rsid w:val="0088358D"/>
    <w:rsid w:val="008839C0"/>
    <w:rsid w:val="0088411C"/>
    <w:rsid w:val="00884171"/>
    <w:rsid w:val="0088458A"/>
    <w:rsid w:val="00884600"/>
    <w:rsid w:val="00884A01"/>
    <w:rsid w:val="00884A48"/>
    <w:rsid w:val="00884C11"/>
    <w:rsid w:val="00884D32"/>
    <w:rsid w:val="00886272"/>
    <w:rsid w:val="008865C7"/>
    <w:rsid w:val="00887331"/>
    <w:rsid w:val="0089078D"/>
    <w:rsid w:val="00890E78"/>
    <w:rsid w:val="00891705"/>
    <w:rsid w:val="00891983"/>
    <w:rsid w:val="00891B0B"/>
    <w:rsid w:val="00891B6D"/>
    <w:rsid w:val="00892A20"/>
    <w:rsid w:val="00892A63"/>
    <w:rsid w:val="00892BA5"/>
    <w:rsid w:val="0089370F"/>
    <w:rsid w:val="00893D82"/>
    <w:rsid w:val="0089427C"/>
    <w:rsid w:val="008944CC"/>
    <w:rsid w:val="00894533"/>
    <w:rsid w:val="00894C26"/>
    <w:rsid w:val="008954EC"/>
    <w:rsid w:val="0089647E"/>
    <w:rsid w:val="00896D99"/>
    <w:rsid w:val="00896E2E"/>
    <w:rsid w:val="0089742E"/>
    <w:rsid w:val="0089774A"/>
    <w:rsid w:val="00897AC6"/>
    <w:rsid w:val="008A076F"/>
    <w:rsid w:val="008A1668"/>
    <w:rsid w:val="008A174E"/>
    <w:rsid w:val="008A1953"/>
    <w:rsid w:val="008A3377"/>
    <w:rsid w:val="008A398B"/>
    <w:rsid w:val="008A43C7"/>
    <w:rsid w:val="008A4456"/>
    <w:rsid w:val="008A4D77"/>
    <w:rsid w:val="008A554E"/>
    <w:rsid w:val="008A5904"/>
    <w:rsid w:val="008A5CAB"/>
    <w:rsid w:val="008A72B7"/>
    <w:rsid w:val="008A73A5"/>
    <w:rsid w:val="008A73C7"/>
    <w:rsid w:val="008A7EB2"/>
    <w:rsid w:val="008A7EF5"/>
    <w:rsid w:val="008B0ACC"/>
    <w:rsid w:val="008B0B52"/>
    <w:rsid w:val="008B0BF2"/>
    <w:rsid w:val="008B0E67"/>
    <w:rsid w:val="008B0F60"/>
    <w:rsid w:val="008B10A8"/>
    <w:rsid w:val="008B16E5"/>
    <w:rsid w:val="008B1905"/>
    <w:rsid w:val="008B1E1F"/>
    <w:rsid w:val="008B2106"/>
    <w:rsid w:val="008B302D"/>
    <w:rsid w:val="008B3424"/>
    <w:rsid w:val="008B3533"/>
    <w:rsid w:val="008B355B"/>
    <w:rsid w:val="008B3783"/>
    <w:rsid w:val="008B3DCC"/>
    <w:rsid w:val="008B4115"/>
    <w:rsid w:val="008B4771"/>
    <w:rsid w:val="008B4C07"/>
    <w:rsid w:val="008B4E09"/>
    <w:rsid w:val="008B504C"/>
    <w:rsid w:val="008B50A3"/>
    <w:rsid w:val="008B66F5"/>
    <w:rsid w:val="008B7480"/>
    <w:rsid w:val="008B765F"/>
    <w:rsid w:val="008B7736"/>
    <w:rsid w:val="008B790F"/>
    <w:rsid w:val="008B79A2"/>
    <w:rsid w:val="008B7FAB"/>
    <w:rsid w:val="008C0659"/>
    <w:rsid w:val="008C07ED"/>
    <w:rsid w:val="008C08FC"/>
    <w:rsid w:val="008C0E2D"/>
    <w:rsid w:val="008C0EEA"/>
    <w:rsid w:val="008C114D"/>
    <w:rsid w:val="008C288E"/>
    <w:rsid w:val="008C348E"/>
    <w:rsid w:val="008C392B"/>
    <w:rsid w:val="008C399A"/>
    <w:rsid w:val="008C3FC8"/>
    <w:rsid w:val="008C457F"/>
    <w:rsid w:val="008C46CC"/>
    <w:rsid w:val="008C5AA6"/>
    <w:rsid w:val="008C5B8E"/>
    <w:rsid w:val="008C671D"/>
    <w:rsid w:val="008C6F9F"/>
    <w:rsid w:val="008C701D"/>
    <w:rsid w:val="008C7190"/>
    <w:rsid w:val="008C75AC"/>
    <w:rsid w:val="008C796D"/>
    <w:rsid w:val="008D0A5D"/>
    <w:rsid w:val="008D0D93"/>
    <w:rsid w:val="008D0E1E"/>
    <w:rsid w:val="008D0EFA"/>
    <w:rsid w:val="008D12DB"/>
    <w:rsid w:val="008D178D"/>
    <w:rsid w:val="008D18F7"/>
    <w:rsid w:val="008D1E12"/>
    <w:rsid w:val="008D203E"/>
    <w:rsid w:val="008D3426"/>
    <w:rsid w:val="008D34CB"/>
    <w:rsid w:val="008D3508"/>
    <w:rsid w:val="008D450B"/>
    <w:rsid w:val="008D485B"/>
    <w:rsid w:val="008D4A0C"/>
    <w:rsid w:val="008D5CB5"/>
    <w:rsid w:val="008D5F6F"/>
    <w:rsid w:val="008D614F"/>
    <w:rsid w:val="008D681E"/>
    <w:rsid w:val="008D6C07"/>
    <w:rsid w:val="008D6C99"/>
    <w:rsid w:val="008D6FC2"/>
    <w:rsid w:val="008D7288"/>
    <w:rsid w:val="008D7E1F"/>
    <w:rsid w:val="008D7F15"/>
    <w:rsid w:val="008D7F7B"/>
    <w:rsid w:val="008E0174"/>
    <w:rsid w:val="008E0638"/>
    <w:rsid w:val="008E0CBB"/>
    <w:rsid w:val="008E1477"/>
    <w:rsid w:val="008E148B"/>
    <w:rsid w:val="008E15D2"/>
    <w:rsid w:val="008E18BD"/>
    <w:rsid w:val="008E1DC9"/>
    <w:rsid w:val="008E2374"/>
    <w:rsid w:val="008E2798"/>
    <w:rsid w:val="008E27DC"/>
    <w:rsid w:val="008E2AE6"/>
    <w:rsid w:val="008E2D47"/>
    <w:rsid w:val="008E2DB8"/>
    <w:rsid w:val="008E300D"/>
    <w:rsid w:val="008E3556"/>
    <w:rsid w:val="008E3984"/>
    <w:rsid w:val="008E3E2F"/>
    <w:rsid w:val="008E4119"/>
    <w:rsid w:val="008E412D"/>
    <w:rsid w:val="008E41B8"/>
    <w:rsid w:val="008E43E7"/>
    <w:rsid w:val="008E46B7"/>
    <w:rsid w:val="008E4737"/>
    <w:rsid w:val="008E4946"/>
    <w:rsid w:val="008E494C"/>
    <w:rsid w:val="008E4CAD"/>
    <w:rsid w:val="008E500B"/>
    <w:rsid w:val="008E5099"/>
    <w:rsid w:val="008E5A10"/>
    <w:rsid w:val="008E5D9D"/>
    <w:rsid w:val="008E64DA"/>
    <w:rsid w:val="008E71A1"/>
    <w:rsid w:val="008E7461"/>
    <w:rsid w:val="008E75C1"/>
    <w:rsid w:val="008E7E27"/>
    <w:rsid w:val="008F005C"/>
    <w:rsid w:val="008F018D"/>
    <w:rsid w:val="008F0363"/>
    <w:rsid w:val="008F0366"/>
    <w:rsid w:val="008F078B"/>
    <w:rsid w:val="008F09E9"/>
    <w:rsid w:val="008F0B52"/>
    <w:rsid w:val="008F0D65"/>
    <w:rsid w:val="008F0DC8"/>
    <w:rsid w:val="008F0E02"/>
    <w:rsid w:val="008F1357"/>
    <w:rsid w:val="008F1A9A"/>
    <w:rsid w:val="008F1C2E"/>
    <w:rsid w:val="008F260C"/>
    <w:rsid w:val="008F2817"/>
    <w:rsid w:val="008F2CB6"/>
    <w:rsid w:val="008F3FF4"/>
    <w:rsid w:val="008F4576"/>
    <w:rsid w:val="008F5CAA"/>
    <w:rsid w:val="008F5CE1"/>
    <w:rsid w:val="008F5E33"/>
    <w:rsid w:val="008F5ECE"/>
    <w:rsid w:val="008F63A0"/>
    <w:rsid w:val="008F708F"/>
    <w:rsid w:val="008F7252"/>
    <w:rsid w:val="008F7BD9"/>
    <w:rsid w:val="008F7D41"/>
    <w:rsid w:val="00900004"/>
    <w:rsid w:val="00900778"/>
    <w:rsid w:val="00901AE3"/>
    <w:rsid w:val="00901BBD"/>
    <w:rsid w:val="00902A2D"/>
    <w:rsid w:val="0090376C"/>
    <w:rsid w:val="0090385B"/>
    <w:rsid w:val="009040CC"/>
    <w:rsid w:val="00904121"/>
    <w:rsid w:val="00904EBA"/>
    <w:rsid w:val="00904F36"/>
    <w:rsid w:val="00905133"/>
    <w:rsid w:val="0090543B"/>
    <w:rsid w:val="00905D9B"/>
    <w:rsid w:val="00905F32"/>
    <w:rsid w:val="00906549"/>
    <w:rsid w:val="00906F37"/>
    <w:rsid w:val="009071F7"/>
    <w:rsid w:val="0090727D"/>
    <w:rsid w:val="009105C2"/>
    <w:rsid w:val="0091077C"/>
    <w:rsid w:val="0091094B"/>
    <w:rsid w:val="00910961"/>
    <w:rsid w:val="00910AB2"/>
    <w:rsid w:val="00911401"/>
    <w:rsid w:val="00911D42"/>
    <w:rsid w:val="00911EA8"/>
    <w:rsid w:val="009122F4"/>
    <w:rsid w:val="00912527"/>
    <w:rsid w:val="00912F71"/>
    <w:rsid w:val="0091347D"/>
    <w:rsid w:val="00913A3B"/>
    <w:rsid w:val="00913EF4"/>
    <w:rsid w:val="00914430"/>
    <w:rsid w:val="0091463F"/>
    <w:rsid w:val="00914E9B"/>
    <w:rsid w:val="009152B3"/>
    <w:rsid w:val="0091555E"/>
    <w:rsid w:val="00916732"/>
    <w:rsid w:val="00917113"/>
    <w:rsid w:val="0091745E"/>
    <w:rsid w:val="009176DA"/>
    <w:rsid w:val="009177A7"/>
    <w:rsid w:val="00917CC3"/>
    <w:rsid w:val="00920306"/>
    <w:rsid w:val="009209EC"/>
    <w:rsid w:val="00920BCA"/>
    <w:rsid w:val="00921392"/>
    <w:rsid w:val="009214B3"/>
    <w:rsid w:val="00921560"/>
    <w:rsid w:val="0092185C"/>
    <w:rsid w:val="00921B0C"/>
    <w:rsid w:val="00921D59"/>
    <w:rsid w:val="00922555"/>
    <w:rsid w:val="00922D99"/>
    <w:rsid w:val="009231B2"/>
    <w:rsid w:val="0092344C"/>
    <w:rsid w:val="0092345E"/>
    <w:rsid w:val="00923547"/>
    <w:rsid w:val="009237EE"/>
    <w:rsid w:val="00923BA0"/>
    <w:rsid w:val="00923E12"/>
    <w:rsid w:val="009244EF"/>
    <w:rsid w:val="0092483A"/>
    <w:rsid w:val="00924A83"/>
    <w:rsid w:val="00924E2A"/>
    <w:rsid w:val="0092556D"/>
    <w:rsid w:val="0092568C"/>
    <w:rsid w:val="009256B1"/>
    <w:rsid w:val="00925DE7"/>
    <w:rsid w:val="009261C4"/>
    <w:rsid w:val="009263B6"/>
    <w:rsid w:val="00926514"/>
    <w:rsid w:val="0092688B"/>
    <w:rsid w:val="00926B7B"/>
    <w:rsid w:val="009272BF"/>
    <w:rsid w:val="00927733"/>
    <w:rsid w:val="009279A3"/>
    <w:rsid w:val="00930081"/>
    <w:rsid w:val="0093064F"/>
    <w:rsid w:val="009306F5"/>
    <w:rsid w:val="009308C4"/>
    <w:rsid w:val="0093106A"/>
    <w:rsid w:val="00931B34"/>
    <w:rsid w:val="00932585"/>
    <w:rsid w:val="00932781"/>
    <w:rsid w:val="009337AB"/>
    <w:rsid w:val="00933A1D"/>
    <w:rsid w:val="00933A24"/>
    <w:rsid w:val="009340FE"/>
    <w:rsid w:val="0093425C"/>
    <w:rsid w:val="00934444"/>
    <w:rsid w:val="00934839"/>
    <w:rsid w:val="00934907"/>
    <w:rsid w:val="00934E2C"/>
    <w:rsid w:val="00934E47"/>
    <w:rsid w:val="0093568E"/>
    <w:rsid w:val="0093578E"/>
    <w:rsid w:val="009357DC"/>
    <w:rsid w:val="00935C78"/>
    <w:rsid w:val="00935CEC"/>
    <w:rsid w:val="009360F1"/>
    <w:rsid w:val="00936481"/>
    <w:rsid w:val="009365E9"/>
    <w:rsid w:val="00936855"/>
    <w:rsid w:val="00936953"/>
    <w:rsid w:val="00936CAE"/>
    <w:rsid w:val="00936E0C"/>
    <w:rsid w:val="00936E0F"/>
    <w:rsid w:val="00936EDA"/>
    <w:rsid w:val="00936F36"/>
    <w:rsid w:val="009371A3"/>
    <w:rsid w:val="0093740F"/>
    <w:rsid w:val="0093783E"/>
    <w:rsid w:val="009402A1"/>
    <w:rsid w:val="00940532"/>
    <w:rsid w:val="00940594"/>
    <w:rsid w:val="00940733"/>
    <w:rsid w:val="00940B89"/>
    <w:rsid w:val="00940CD2"/>
    <w:rsid w:val="00940F26"/>
    <w:rsid w:val="00941018"/>
    <w:rsid w:val="00941460"/>
    <w:rsid w:val="00941696"/>
    <w:rsid w:val="00941A3F"/>
    <w:rsid w:val="00941B4A"/>
    <w:rsid w:val="00941C0F"/>
    <w:rsid w:val="00943563"/>
    <w:rsid w:val="0094472B"/>
    <w:rsid w:val="00944B9D"/>
    <w:rsid w:val="00944FA3"/>
    <w:rsid w:val="00945310"/>
    <w:rsid w:val="0094546A"/>
    <w:rsid w:val="009458EE"/>
    <w:rsid w:val="00946DD6"/>
    <w:rsid w:val="009470C8"/>
    <w:rsid w:val="009471CC"/>
    <w:rsid w:val="00947543"/>
    <w:rsid w:val="009476F5"/>
    <w:rsid w:val="009503CB"/>
    <w:rsid w:val="0095042B"/>
    <w:rsid w:val="0095049F"/>
    <w:rsid w:val="00950841"/>
    <w:rsid w:val="00950909"/>
    <w:rsid w:val="00951F04"/>
    <w:rsid w:val="00951FFB"/>
    <w:rsid w:val="00952188"/>
    <w:rsid w:val="009521FC"/>
    <w:rsid w:val="009523EB"/>
    <w:rsid w:val="00952C52"/>
    <w:rsid w:val="00953991"/>
    <w:rsid w:val="009539CC"/>
    <w:rsid w:val="009542B7"/>
    <w:rsid w:val="00954759"/>
    <w:rsid w:val="00954A06"/>
    <w:rsid w:val="0095560E"/>
    <w:rsid w:val="009557B7"/>
    <w:rsid w:val="00955F8B"/>
    <w:rsid w:val="00956071"/>
    <w:rsid w:val="00956516"/>
    <w:rsid w:val="009566E1"/>
    <w:rsid w:val="00957556"/>
    <w:rsid w:val="009577CC"/>
    <w:rsid w:val="009578D2"/>
    <w:rsid w:val="00957BBF"/>
    <w:rsid w:val="00957C01"/>
    <w:rsid w:val="00957C8A"/>
    <w:rsid w:val="009608F4"/>
    <w:rsid w:val="009609C8"/>
    <w:rsid w:val="00960F6E"/>
    <w:rsid w:val="00961C7C"/>
    <w:rsid w:val="00962BAD"/>
    <w:rsid w:val="009631DA"/>
    <w:rsid w:val="00963511"/>
    <w:rsid w:val="00963A7C"/>
    <w:rsid w:val="00964A1A"/>
    <w:rsid w:val="00964B82"/>
    <w:rsid w:val="00964D46"/>
    <w:rsid w:val="0096568A"/>
    <w:rsid w:val="00965ABB"/>
    <w:rsid w:val="00965C22"/>
    <w:rsid w:val="0096641D"/>
    <w:rsid w:val="009667B2"/>
    <w:rsid w:val="00966BDE"/>
    <w:rsid w:val="00966C1F"/>
    <w:rsid w:val="00966C35"/>
    <w:rsid w:val="009670B4"/>
    <w:rsid w:val="00967738"/>
    <w:rsid w:val="009703C0"/>
    <w:rsid w:val="00970A8A"/>
    <w:rsid w:val="00970E86"/>
    <w:rsid w:val="00970E96"/>
    <w:rsid w:val="00970F71"/>
    <w:rsid w:val="0097147E"/>
    <w:rsid w:val="00971F49"/>
    <w:rsid w:val="00972016"/>
    <w:rsid w:val="009730CA"/>
    <w:rsid w:val="009737A0"/>
    <w:rsid w:val="009757A3"/>
    <w:rsid w:val="00975B23"/>
    <w:rsid w:val="00976E16"/>
    <w:rsid w:val="00977863"/>
    <w:rsid w:val="00977FF5"/>
    <w:rsid w:val="009806E2"/>
    <w:rsid w:val="00980C29"/>
    <w:rsid w:val="00980FB7"/>
    <w:rsid w:val="0098115A"/>
    <w:rsid w:val="00981DB2"/>
    <w:rsid w:val="009821F9"/>
    <w:rsid w:val="009824B7"/>
    <w:rsid w:val="0098271B"/>
    <w:rsid w:val="00982D99"/>
    <w:rsid w:val="00983F06"/>
    <w:rsid w:val="00983FB8"/>
    <w:rsid w:val="00984D6B"/>
    <w:rsid w:val="00984DE7"/>
    <w:rsid w:val="00984FEA"/>
    <w:rsid w:val="009851E8"/>
    <w:rsid w:val="00986A9E"/>
    <w:rsid w:val="0098780D"/>
    <w:rsid w:val="00990369"/>
    <w:rsid w:val="009908B8"/>
    <w:rsid w:val="00990E3F"/>
    <w:rsid w:val="0099182E"/>
    <w:rsid w:val="00991F0C"/>
    <w:rsid w:val="00992F42"/>
    <w:rsid w:val="0099332C"/>
    <w:rsid w:val="009935CF"/>
    <w:rsid w:val="00993E98"/>
    <w:rsid w:val="00994184"/>
    <w:rsid w:val="0099432F"/>
    <w:rsid w:val="00994EBD"/>
    <w:rsid w:val="00995526"/>
    <w:rsid w:val="00995646"/>
    <w:rsid w:val="00995B84"/>
    <w:rsid w:val="009960F8"/>
    <w:rsid w:val="0099618E"/>
    <w:rsid w:val="009961DC"/>
    <w:rsid w:val="00996256"/>
    <w:rsid w:val="00996AF2"/>
    <w:rsid w:val="00996BCB"/>
    <w:rsid w:val="00996CF2"/>
    <w:rsid w:val="00996F71"/>
    <w:rsid w:val="0099712F"/>
    <w:rsid w:val="009972E7"/>
    <w:rsid w:val="00997450"/>
    <w:rsid w:val="00997727"/>
    <w:rsid w:val="009A0030"/>
    <w:rsid w:val="009A0808"/>
    <w:rsid w:val="009A0D9F"/>
    <w:rsid w:val="009A0DDB"/>
    <w:rsid w:val="009A10BE"/>
    <w:rsid w:val="009A1833"/>
    <w:rsid w:val="009A1853"/>
    <w:rsid w:val="009A187D"/>
    <w:rsid w:val="009A1AF5"/>
    <w:rsid w:val="009A1F2A"/>
    <w:rsid w:val="009A1F62"/>
    <w:rsid w:val="009A2592"/>
    <w:rsid w:val="009A2C25"/>
    <w:rsid w:val="009A33A4"/>
    <w:rsid w:val="009A4157"/>
    <w:rsid w:val="009A42FA"/>
    <w:rsid w:val="009A4415"/>
    <w:rsid w:val="009A48C0"/>
    <w:rsid w:val="009A5090"/>
    <w:rsid w:val="009A52E3"/>
    <w:rsid w:val="009A57DE"/>
    <w:rsid w:val="009A5EE0"/>
    <w:rsid w:val="009A6181"/>
    <w:rsid w:val="009A6848"/>
    <w:rsid w:val="009A687E"/>
    <w:rsid w:val="009A701A"/>
    <w:rsid w:val="009A70E6"/>
    <w:rsid w:val="009A79E9"/>
    <w:rsid w:val="009A7AD3"/>
    <w:rsid w:val="009A7EA8"/>
    <w:rsid w:val="009B00D3"/>
    <w:rsid w:val="009B0131"/>
    <w:rsid w:val="009B0556"/>
    <w:rsid w:val="009B0745"/>
    <w:rsid w:val="009B0AC2"/>
    <w:rsid w:val="009B0D31"/>
    <w:rsid w:val="009B184C"/>
    <w:rsid w:val="009B1E91"/>
    <w:rsid w:val="009B237D"/>
    <w:rsid w:val="009B252C"/>
    <w:rsid w:val="009B2B15"/>
    <w:rsid w:val="009B2CF5"/>
    <w:rsid w:val="009B3389"/>
    <w:rsid w:val="009B3EB0"/>
    <w:rsid w:val="009B46A4"/>
    <w:rsid w:val="009B496E"/>
    <w:rsid w:val="009B49F9"/>
    <w:rsid w:val="009B4F62"/>
    <w:rsid w:val="009B5028"/>
    <w:rsid w:val="009B516E"/>
    <w:rsid w:val="009B5204"/>
    <w:rsid w:val="009B5735"/>
    <w:rsid w:val="009B6F64"/>
    <w:rsid w:val="009B7419"/>
    <w:rsid w:val="009B755F"/>
    <w:rsid w:val="009B7599"/>
    <w:rsid w:val="009B75FD"/>
    <w:rsid w:val="009B7613"/>
    <w:rsid w:val="009B7A11"/>
    <w:rsid w:val="009B7BE3"/>
    <w:rsid w:val="009C0071"/>
    <w:rsid w:val="009C0427"/>
    <w:rsid w:val="009C081B"/>
    <w:rsid w:val="009C0BCA"/>
    <w:rsid w:val="009C0E8A"/>
    <w:rsid w:val="009C0F4F"/>
    <w:rsid w:val="009C11B0"/>
    <w:rsid w:val="009C1680"/>
    <w:rsid w:val="009C17AF"/>
    <w:rsid w:val="009C21D1"/>
    <w:rsid w:val="009C2389"/>
    <w:rsid w:val="009C2956"/>
    <w:rsid w:val="009C2A34"/>
    <w:rsid w:val="009C316A"/>
    <w:rsid w:val="009C3D66"/>
    <w:rsid w:val="009C4BE6"/>
    <w:rsid w:val="009C50CC"/>
    <w:rsid w:val="009C5360"/>
    <w:rsid w:val="009C5F17"/>
    <w:rsid w:val="009C61BF"/>
    <w:rsid w:val="009C7DE7"/>
    <w:rsid w:val="009D0A85"/>
    <w:rsid w:val="009D0FEF"/>
    <w:rsid w:val="009D11BE"/>
    <w:rsid w:val="009D1561"/>
    <w:rsid w:val="009D172B"/>
    <w:rsid w:val="009D2061"/>
    <w:rsid w:val="009D2A00"/>
    <w:rsid w:val="009D2CE6"/>
    <w:rsid w:val="009D2D54"/>
    <w:rsid w:val="009D2EEC"/>
    <w:rsid w:val="009D2FFC"/>
    <w:rsid w:val="009D325D"/>
    <w:rsid w:val="009D38D6"/>
    <w:rsid w:val="009D3A3B"/>
    <w:rsid w:val="009D3C39"/>
    <w:rsid w:val="009D40B5"/>
    <w:rsid w:val="009D5999"/>
    <w:rsid w:val="009D5E07"/>
    <w:rsid w:val="009D5E3C"/>
    <w:rsid w:val="009D5EC0"/>
    <w:rsid w:val="009D6765"/>
    <w:rsid w:val="009D6CD7"/>
    <w:rsid w:val="009D6FCC"/>
    <w:rsid w:val="009D727E"/>
    <w:rsid w:val="009D73B4"/>
    <w:rsid w:val="009D751A"/>
    <w:rsid w:val="009D7520"/>
    <w:rsid w:val="009D78EA"/>
    <w:rsid w:val="009D7E00"/>
    <w:rsid w:val="009E0133"/>
    <w:rsid w:val="009E01FC"/>
    <w:rsid w:val="009E0275"/>
    <w:rsid w:val="009E0A0F"/>
    <w:rsid w:val="009E1F3B"/>
    <w:rsid w:val="009E2311"/>
    <w:rsid w:val="009E332B"/>
    <w:rsid w:val="009E3396"/>
    <w:rsid w:val="009E374F"/>
    <w:rsid w:val="009E3F81"/>
    <w:rsid w:val="009E4017"/>
    <w:rsid w:val="009E4658"/>
    <w:rsid w:val="009E4949"/>
    <w:rsid w:val="009E498C"/>
    <w:rsid w:val="009E5374"/>
    <w:rsid w:val="009E56B5"/>
    <w:rsid w:val="009E5C81"/>
    <w:rsid w:val="009E7002"/>
    <w:rsid w:val="009E790E"/>
    <w:rsid w:val="009E7F16"/>
    <w:rsid w:val="009F0507"/>
    <w:rsid w:val="009F07E7"/>
    <w:rsid w:val="009F0AE5"/>
    <w:rsid w:val="009F25B1"/>
    <w:rsid w:val="009F3194"/>
    <w:rsid w:val="009F337D"/>
    <w:rsid w:val="009F33A4"/>
    <w:rsid w:val="009F40B9"/>
    <w:rsid w:val="009F43EE"/>
    <w:rsid w:val="009F458A"/>
    <w:rsid w:val="009F4832"/>
    <w:rsid w:val="009F49E0"/>
    <w:rsid w:val="009F6052"/>
    <w:rsid w:val="009F69C1"/>
    <w:rsid w:val="009F6C1C"/>
    <w:rsid w:val="009F6E9F"/>
    <w:rsid w:val="009F6F11"/>
    <w:rsid w:val="009F76FA"/>
    <w:rsid w:val="009F7827"/>
    <w:rsid w:val="009F7954"/>
    <w:rsid w:val="009F7996"/>
    <w:rsid w:val="009F7A1A"/>
    <w:rsid w:val="009F7ECD"/>
    <w:rsid w:val="00A00102"/>
    <w:rsid w:val="00A00483"/>
    <w:rsid w:val="00A00679"/>
    <w:rsid w:val="00A00AA1"/>
    <w:rsid w:val="00A00B29"/>
    <w:rsid w:val="00A01719"/>
    <w:rsid w:val="00A03034"/>
    <w:rsid w:val="00A0309F"/>
    <w:rsid w:val="00A038DD"/>
    <w:rsid w:val="00A040A1"/>
    <w:rsid w:val="00A04272"/>
    <w:rsid w:val="00A04994"/>
    <w:rsid w:val="00A04C36"/>
    <w:rsid w:val="00A04E15"/>
    <w:rsid w:val="00A04E99"/>
    <w:rsid w:val="00A05259"/>
    <w:rsid w:val="00A05444"/>
    <w:rsid w:val="00A055A3"/>
    <w:rsid w:val="00A05941"/>
    <w:rsid w:val="00A05ED1"/>
    <w:rsid w:val="00A0604E"/>
    <w:rsid w:val="00A0668F"/>
    <w:rsid w:val="00A072E7"/>
    <w:rsid w:val="00A0741E"/>
    <w:rsid w:val="00A1045B"/>
    <w:rsid w:val="00A10719"/>
    <w:rsid w:val="00A11A36"/>
    <w:rsid w:val="00A123F4"/>
    <w:rsid w:val="00A130E4"/>
    <w:rsid w:val="00A13C18"/>
    <w:rsid w:val="00A14464"/>
    <w:rsid w:val="00A14540"/>
    <w:rsid w:val="00A14691"/>
    <w:rsid w:val="00A157C6"/>
    <w:rsid w:val="00A15C05"/>
    <w:rsid w:val="00A15CA9"/>
    <w:rsid w:val="00A15F53"/>
    <w:rsid w:val="00A16203"/>
    <w:rsid w:val="00A1643F"/>
    <w:rsid w:val="00A1714F"/>
    <w:rsid w:val="00A1785F"/>
    <w:rsid w:val="00A20235"/>
    <w:rsid w:val="00A202FE"/>
    <w:rsid w:val="00A21564"/>
    <w:rsid w:val="00A218F2"/>
    <w:rsid w:val="00A21C08"/>
    <w:rsid w:val="00A22592"/>
    <w:rsid w:val="00A22844"/>
    <w:rsid w:val="00A22BB2"/>
    <w:rsid w:val="00A24678"/>
    <w:rsid w:val="00A24BBA"/>
    <w:rsid w:val="00A24E0D"/>
    <w:rsid w:val="00A24E9F"/>
    <w:rsid w:val="00A2508B"/>
    <w:rsid w:val="00A25415"/>
    <w:rsid w:val="00A25736"/>
    <w:rsid w:val="00A25770"/>
    <w:rsid w:val="00A25F8B"/>
    <w:rsid w:val="00A26122"/>
    <w:rsid w:val="00A26253"/>
    <w:rsid w:val="00A26303"/>
    <w:rsid w:val="00A264D6"/>
    <w:rsid w:val="00A26533"/>
    <w:rsid w:val="00A26728"/>
    <w:rsid w:val="00A273E1"/>
    <w:rsid w:val="00A275E1"/>
    <w:rsid w:val="00A276F3"/>
    <w:rsid w:val="00A27DA0"/>
    <w:rsid w:val="00A27EF4"/>
    <w:rsid w:val="00A30188"/>
    <w:rsid w:val="00A3039D"/>
    <w:rsid w:val="00A304C7"/>
    <w:rsid w:val="00A3079A"/>
    <w:rsid w:val="00A30C68"/>
    <w:rsid w:val="00A30F01"/>
    <w:rsid w:val="00A31208"/>
    <w:rsid w:val="00A31FE2"/>
    <w:rsid w:val="00A32086"/>
    <w:rsid w:val="00A32414"/>
    <w:rsid w:val="00A33364"/>
    <w:rsid w:val="00A335E6"/>
    <w:rsid w:val="00A335EB"/>
    <w:rsid w:val="00A33E4C"/>
    <w:rsid w:val="00A34720"/>
    <w:rsid w:val="00A3475C"/>
    <w:rsid w:val="00A34D2D"/>
    <w:rsid w:val="00A34F3E"/>
    <w:rsid w:val="00A352CE"/>
    <w:rsid w:val="00A35BB8"/>
    <w:rsid w:val="00A36488"/>
    <w:rsid w:val="00A37108"/>
    <w:rsid w:val="00A374AB"/>
    <w:rsid w:val="00A37A5D"/>
    <w:rsid w:val="00A408B4"/>
    <w:rsid w:val="00A4098A"/>
    <w:rsid w:val="00A40A22"/>
    <w:rsid w:val="00A41201"/>
    <w:rsid w:val="00A4127B"/>
    <w:rsid w:val="00A412D2"/>
    <w:rsid w:val="00A4172E"/>
    <w:rsid w:val="00A41D5F"/>
    <w:rsid w:val="00A41D72"/>
    <w:rsid w:val="00A41E22"/>
    <w:rsid w:val="00A42E78"/>
    <w:rsid w:val="00A43776"/>
    <w:rsid w:val="00A43837"/>
    <w:rsid w:val="00A443BE"/>
    <w:rsid w:val="00A443E9"/>
    <w:rsid w:val="00A450CD"/>
    <w:rsid w:val="00A458FA"/>
    <w:rsid w:val="00A45D2A"/>
    <w:rsid w:val="00A45FC6"/>
    <w:rsid w:val="00A46351"/>
    <w:rsid w:val="00A4673A"/>
    <w:rsid w:val="00A46D67"/>
    <w:rsid w:val="00A47363"/>
    <w:rsid w:val="00A47842"/>
    <w:rsid w:val="00A47D19"/>
    <w:rsid w:val="00A47D2C"/>
    <w:rsid w:val="00A50122"/>
    <w:rsid w:val="00A507C3"/>
    <w:rsid w:val="00A5124F"/>
    <w:rsid w:val="00A51540"/>
    <w:rsid w:val="00A517D0"/>
    <w:rsid w:val="00A51F31"/>
    <w:rsid w:val="00A51F76"/>
    <w:rsid w:val="00A5218D"/>
    <w:rsid w:val="00A522E1"/>
    <w:rsid w:val="00A5246C"/>
    <w:rsid w:val="00A524C0"/>
    <w:rsid w:val="00A52548"/>
    <w:rsid w:val="00A5270C"/>
    <w:rsid w:val="00A52CF9"/>
    <w:rsid w:val="00A53794"/>
    <w:rsid w:val="00A53A86"/>
    <w:rsid w:val="00A53A90"/>
    <w:rsid w:val="00A5453A"/>
    <w:rsid w:val="00A54592"/>
    <w:rsid w:val="00A5483A"/>
    <w:rsid w:val="00A54B50"/>
    <w:rsid w:val="00A54FAF"/>
    <w:rsid w:val="00A550A5"/>
    <w:rsid w:val="00A553CD"/>
    <w:rsid w:val="00A555DB"/>
    <w:rsid w:val="00A55A54"/>
    <w:rsid w:val="00A568DF"/>
    <w:rsid w:val="00A56DB2"/>
    <w:rsid w:val="00A5709C"/>
    <w:rsid w:val="00A57819"/>
    <w:rsid w:val="00A57C71"/>
    <w:rsid w:val="00A60066"/>
    <w:rsid w:val="00A603E1"/>
    <w:rsid w:val="00A6046B"/>
    <w:rsid w:val="00A6057F"/>
    <w:rsid w:val="00A6080B"/>
    <w:rsid w:val="00A610B0"/>
    <w:rsid w:val="00A618C0"/>
    <w:rsid w:val="00A61D3A"/>
    <w:rsid w:val="00A61D71"/>
    <w:rsid w:val="00A6272D"/>
    <w:rsid w:val="00A63265"/>
    <w:rsid w:val="00A6342A"/>
    <w:rsid w:val="00A63D38"/>
    <w:rsid w:val="00A642B6"/>
    <w:rsid w:val="00A646B6"/>
    <w:rsid w:val="00A64A62"/>
    <w:rsid w:val="00A64C5E"/>
    <w:rsid w:val="00A64DA6"/>
    <w:rsid w:val="00A64F32"/>
    <w:rsid w:val="00A656BD"/>
    <w:rsid w:val="00A65940"/>
    <w:rsid w:val="00A66ACA"/>
    <w:rsid w:val="00A66DCB"/>
    <w:rsid w:val="00A6710A"/>
    <w:rsid w:val="00A67547"/>
    <w:rsid w:val="00A67869"/>
    <w:rsid w:val="00A67B12"/>
    <w:rsid w:val="00A67C07"/>
    <w:rsid w:val="00A713AB"/>
    <w:rsid w:val="00A71486"/>
    <w:rsid w:val="00A714B9"/>
    <w:rsid w:val="00A7169C"/>
    <w:rsid w:val="00A71EDA"/>
    <w:rsid w:val="00A71EEA"/>
    <w:rsid w:val="00A7240E"/>
    <w:rsid w:val="00A7252A"/>
    <w:rsid w:val="00A72A62"/>
    <w:rsid w:val="00A72BF0"/>
    <w:rsid w:val="00A72DBE"/>
    <w:rsid w:val="00A73700"/>
    <w:rsid w:val="00A73A88"/>
    <w:rsid w:val="00A73BC2"/>
    <w:rsid w:val="00A73BED"/>
    <w:rsid w:val="00A74009"/>
    <w:rsid w:val="00A7419D"/>
    <w:rsid w:val="00A74430"/>
    <w:rsid w:val="00A74913"/>
    <w:rsid w:val="00A750E9"/>
    <w:rsid w:val="00A75473"/>
    <w:rsid w:val="00A7622C"/>
    <w:rsid w:val="00A7679B"/>
    <w:rsid w:val="00A77163"/>
    <w:rsid w:val="00A77632"/>
    <w:rsid w:val="00A77A47"/>
    <w:rsid w:val="00A77E7C"/>
    <w:rsid w:val="00A77FDA"/>
    <w:rsid w:val="00A80896"/>
    <w:rsid w:val="00A80B28"/>
    <w:rsid w:val="00A80B85"/>
    <w:rsid w:val="00A80D73"/>
    <w:rsid w:val="00A811EF"/>
    <w:rsid w:val="00A81386"/>
    <w:rsid w:val="00A816E6"/>
    <w:rsid w:val="00A81829"/>
    <w:rsid w:val="00A818CC"/>
    <w:rsid w:val="00A81D3E"/>
    <w:rsid w:val="00A83074"/>
    <w:rsid w:val="00A833CC"/>
    <w:rsid w:val="00A83E86"/>
    <w:rsid w:val="00A84017"/>
    <w:rsid w:val="00A845EE"/>
    <w:rsid w:val="00A84766"/>
    <w:rsid w:val="00A8558D"/>
    <w:rsid w:val="00A858F7"/>
    <w:rsid w:val="00A85AD0"/>
    <w:rsid w:val="00A85AD7"/>
    <w:rsid w:val="00A86190"/>
    <w:rsid w:val="00A867D2"/>
    <w:rsid w:val="00A8731F"/>
    <w:rsid w:val="00A8755E"/>
    <w:rsid w:val="00A8763A"/>
    <w:rsid w:val="00A8790C"/>
    <w:rsid w:val="00A87A1E"/>
    <w:rsid w:val="00A87E27"/>
    <w:rsid w:val="00A902CD"/>
    <w:rsid w:val="00A90740"/>
    <w:rsid w:val="00A908F1"/>
    <w:rsid w:val="00A909AC"/>
    <w:rsid w:val="00A9116D"/>
    <w:rsid w:val="00A91693"/>
    <w:rsid w:val="00A9196A"/>
    <w:rsid w:val="00A91AEF"/>
    <w:rsid w:val="00A92114"/>
    <w:rsid w:val="00A92455"/>
    <w:rsid w:val="00A92908"/>
    <w:rsid w:val="00A932D4"/>
    <w:rsid w:val="00A932F7"/>
    <w:rsid w:val="00A93C36"/>
    <w:rsid w:val="00A93D17"/>
    <w:rsid w:val="00A93D3B"/>
    <w:rsid w:val="00A941FA"/>
    <w:rsid w:val="00A945D6"/>
    <w:rsid w:val="00A94EC9"/>
    <w:rsid w:val="00A94F2A"/>
    <w:rsid w:val="00A9516B"/>
    <w:rsid w:val="00A952A7"/>
    <w:rsid w:val="00A954B3"/>
    <w:rsid w:val="00A955EE"/>
    <w:rsid w:val="00A958AF"/>
    <w:rsid w:val="00A9609A"/>
    <w:rsid w:val="00A9656F"/>
    <w:rsid w:val="00A9658D"/>
    <w:rsid w:val="00A96EEF"/>
    <w:rsid w:val="00A9770C"/>
    <w:rsid w:val="00A97B0F"/>
    <w:rsid w:val="00A97E28"/>
    <w:rsid w:val="00A97F26"/>
    <w:rsid w:val="00A97FE1"/>
    <w:rsid w:val="00AA004E"/>
    <w:rsid w:val="00AA0186"/>
    <w:rsid w:val="00AA0378"/>
    <w:rsid w:val="00AA04D1"/>
    <w:rsid w:val="00AA0CF0"/>
    <w:rsid w:val="00AA1489"/>
    <w:rsid w:val="00AA165B"/>
    <w:rsid w:val="00AA1BFE"/>
    <w:rsid w:val="00AA242C"/>
    <w:rsid w:val="00AA29AB"/>
    <w:rsid w:val="00AA2FFF"/>
    <w:rsid w:val="00AA3163"/>
    <w:rsid w:val="00AA388B"/>
    <w:rsid w:val="00AA3A0F"/>
    <w:rsid w:val="00AA41EC"/>
    <w:rsid w:val="00AA4287"/>
    <w:rsid w:val="00AA505A"/>
    <w:rsid w:val="00AA5390"/>
    <w:rsid w:val="00AA5597"/>
    <w:rsid w:val="00AA5B44"/>
    <w:rsid w:val="00AA67D3"/>
    <w:rsid w:val="00AA68A8"/>
    <w:rsid w:val="00AA6F7C"/>
    <w:rsid w:val="00AB0380"/>
    <w:rsid w:val="00AB0FD8"/>
    <w:rsid w:val="00AB1002"/>
    <w:rsid w:val="00AB1422"/>
    <w:rsid w:val="00AB177D"/>
    <w:rsid w:val="00AB1889"/>
    <w:rsid w:val="00AB1C0E"/>
    <w:rsid w:val="00AB2CF7"/>
    <w:rsid w:val="00AB2D68"/>
    <w:rsid w:val="00AB2DCE"/>
    <w:rsid w:val="00AB31BB"/>
    <w:rsid w:val="00AB38F9"/>
    <w:rsid w:val="00AB3C77"/>
    <w:rsid w:val="00AB3D94"/>
    <w:rsid w:val="00AB3FB3"/>
    <w:rsid w:val="00AB43B0"/>
    <w:rsid w:val="00AB43EB"/>
    <w:rsid w:val="00AB5E7E"/>
    <w:rsid w:val="00AB6036"/>
    <w:rsid w:val="00AB6CE5"/>
    <w:rsid w:val="00AB6DA0"/>
    <w:rsid w:val="00AB7DA0"/>
    <w:rsid w:val="00AB7F13"/>
    <w:rsid w:val="00AC0075"/>
    <w:rsid w:val="00AC0DC3"/>
    <w:rsid w:val="00AC27C4"/>
    <w:rsid w:val="00AC2CDF"/>
    <w:rsid w:val="00AC2D86"/>
    <w:rsid w:val="00AC2E31"/>
    <w:rsid w:val="00AC3187"/>
    <w:rsid w:val="00AC37ED"/>
    <w:rsid w:val="00AC3A6A"/>
    <w:rsid w:val="00AC3CF8"/>
    <w:rsid w:val="00AC3F2E"/>
    <w:rsid w:val="00AC4C8D"/>
    <w:rsid w:val="00AC50F0"/>
    <w:rsid w:val="00AC58B4"/>
    <w:rsid w:val="00AC5A80"/>
    <w:rsid w:val="00AC5DA0"/>
    <w:rsid w:val="00AC5F74"/>
    <w:rsid w:val="00AC661D"/>
    <w:rsid w:val="00AC6A1F"/>
    <w:rsid w:val="00AC715B"/>
    <w:rsid w:val="00AC730F"/>
    <w:rsid w:val="00AC7320"/>
    <w:rsid w:val="00AC7C81"/>
    <w:rsid w:val="00AC7F9C"/>
    <w:rsid w:val="00AD094B"/>
    <w:rsid w:val="00AD1CBD"/>
    <w:rsid w:val="00AD1CF0"/>
    <w:rsid w:val="00AD235D"/>
    <w:rsid w:val="00AD2429"/>
    <w:rsid w:val="00AD2469"/>
    <w:rsid w:val="00AD24B0"/>
    <w:rsid w:val="00AD2FC2"/>
    <w:rsid w:val="00AD3B42"/>
    <w:rsid w:val="00AD3CEB"/>
    <w:rsid w:val="00AD4092"/>
    <w:rsid w:val="00AD416C"/>
    <w:rsid w:val="00AD41C2"/>
    <w:rsid w:val="00AD43FD"/>
    <w:rsid w:val="00AD4839"/>
    <w:rsid w:val="00AD5461"/>
    <w:rsid w:val="00AD582F"/>
    <w:rsid w:val="00AD5A8C"/>
    <w:rsid w:val="00AD5B4A"/>
    <w:rsid w:val="00AD5CAF"/>
    <w:rsid w:val="00AD5FBA"/>
    <w:rsid w:val="00AD6B9B"/>
    <w:rsid w:val="00AD769E"/>
    <w:rsid w:val="00AD7AED"/>
    <w:rsid w:val="00AD7B00"/>
    <w:rsid w:val="00AE0289"/>
    <w:rsid w:val="00AE0336"/>
    <w:rsid w:val="00AE039C"/>
    <w:rsid w:val="00AE04FD"/>
    <w:rsid w:val="00AE0DFF"/>
    <w:rsid w:val="00AE18BD"/>
    <w:rsid w:val="00AE208D"/>
    <w:rsid w:val="00AE26BB"/>
    <w:rsid w:val="00AE2EF1"/>
    <w:rsid w:val="00AE3204"/>
    <w:rsid w:val="00AE3E63"/>
    <w:rsid w:val="00AE41AE"/>
    <w:rsid w:val="00AE4517"/>
    <w:rsid w:val="00AE56CA"/>
    <w:rsid w:val="00AE5774"/>
    <w:rsid w:val="00AE5E0E"/>
    <w:rsid w:val="00AE5FE4"/>
    <w:rsid w:val="00AE606E"/>
    <w:rsid w:val="00AE6794"/>
    <w:rsid w:val="00AE67E3"/>
    <w:rsid w:val="00AE7674"/>
    <w:rsid w:val="00AE7DB9"/>
    <w:rsid w:val="00AE7EA3"/>
    <w:rsid w:val="00AF033C"/>
    <w:rsid w:val="00AF035F"/>
    <w:rsid w:val="00AF0B43"/>
    <w:rsid w:val="00AF14BE"/>
    <w:rsid w:val="00AF16EF"/>
    <w:rsid w:val="00AF20B2"/>
    <w:rsid w:val="00AF2229"/>
    <w:rsid w:val="00AF27A7"/>
    <w:rsid w:val="00AF2828"/>
    <w:rsid w:val="00AF2F17"/>
    <w:rsid w:val="00AF3063"/>
    <w:rsid w:val="00AF366C"/>
    <w:rsid w:val="00AF38F9"/>
    <w:rsid w:val="00AF3ADE"/>
    <w:rsid w:val="00AF444F"/>
    <w:rsid w:val="00AF477C"/>
    <w:rsid w:val="00AF48AB"/>
    <w:rsid w:val="00AF5BE4"/>
    <w:rsid w:val="00AF5FEB"/>
    <w:rsid w:val="00AF62D1"/>
    <w:rsid w:val="00AF6802"/>
    <w:rsid w:val="00AF699B"/>
    <w:rsid w:val="00AF727B"/>
    <w:rsid w:val="00AF7420"/>
    <w:rsid w:val="00B001FE"/>
    <w:rsid w:val="00B007BC"/>
    <w:rsid w:val="00B01532"/>
    <w:rsid w:val="00B017EE"/>
    <w:rsid w:val="00B01808"/>
    <w:rsid w:val="00B01970"/>
    <w:rsid w:val="00B019B9"/>
    <w:rsid w:val="00B01BEE"/>
    <w:rsid w:val="00B02180"/>
    <w:rsid w:val="00B02928"/>
    <w:rsid w:val="00B02AC2"/>
    <w:rsid w:val="00B0392F"/>
    <w:rsid w:val="00B03980"/>
    <w:rsid w:val="00B04024"/>
    <w:rsid w:val="00B04A37"/>
    <w:rsid w:val="00B04E9E"/>
    <w:rsid w:val="00B05272"/>
    <w:rsid w:val="00B0574F"/>
    <w:rsid w:val="00B057CC"/>
    <w:rsid w:val="00B05D32"/>
    <w:rsid w:val="00B06405"/>
    <w:rsid w:val="00B06C09"/>
    <w:rsid w:val="00B06F6D"/>
    <w:rsid w:val="00B0737B"/>
    <w:rsid w:val="00B1020E"/>
    <w:rsid w:val="00B10949"/>
    <w:rsid w:val="00B10E4B"/>
    <w:rsid w:val="00B11157"/>
    <w:rsid w:val="00B11438"/>
    <w:rsid w:val="00B124D3"/>
    <w:rsid w:val="00B12B43"/>
    <w:rsid w:val="00B1322F"/>
    <w:rsid w:val="00B141C9"/>
    <w:rsid w:val="00B1629F"/>
    <w:rsid w:val="00B1630A"/>
    <w:rsid w:val="00B16C64"/>
    <w:rsid w:val="00B171D3"/>
    <w:rsid w:val="00B200AF"/>
    <w:rsid w:val="00B205B5"/>
    <w:rsid w:val="00B20821"/>
    <w:rsid w:val="00B212BF"/>
    <w:rsid w:val="00B2142D"/>
    <w:rsid w:val="00B23994"/>
    <w:rsid w:val="00B23E9A"/>
    <w:rsid w:val="00B2470B"/>
    <w:rsid w:val="00B24DCD"/>
    <w:rsid w:val="00B25026"/>
    <w:rsid w:val="00B25106"/>
    <w:rsid w:val="00B25481"/>
    <w:rsid w:val="00B25523"/>
    <w:rsid w:val="00B25965"/>
    <w:rsid w:val="00B25E63"/>
    <w:rsid w:val="00B25F93"/>
    <w:rsid w:val="00B26F8F"/>
    <w:rsid w:val="00B273FD"/>
    <w:rsid w:val="00B2744B"/>
    <w:rsid w:val="00B27523"/>
    <w:rsid w:val="00B3010B"/>
    <w:rsid w:val="00B30470"/>
    <w:rsid w:val="00B307CB"/>
    <w:rsid w:val="00B30A89"/>
    <w:rsid w:val="00B30B86"/>
    <w:rsid w:val="00B30C3B"/>
    <w:rsid w:val="00B31265"/>
    <w:rsid w:val="00B320AB"/>
    <w:rsid w:val="00B320C9"/>
    <w:rsid w:val="00B320E6"/>
    <w:rsid w:val="00B334F9"/>
    <w:rsid w:val="00B33563"/>
    <w:rsid w:val="00B336E2"/>
    <w:rsid w:val="00B337A0"/>
    <w:rsid w:val="00B338B4"/>
    <w:rsid w:val="00B33D63"/>
    <w:rsid w:val="00B34653"/>
    <w:rsid w:val="00B34B02"/>
    <w:rsid w:val="00B35BAD"/>
    <w:rsid w:val="00B36331"/>
    <w:rsid w:val="00B370EE"/>
    <w:rsid w:val="00B370F1"/>
    <w:rsid w:val="00B37485"/>
    <w:rsid w:val="00B374E2"/>
    <w:rsid w:val="00B3755B"/>
    <w:rsid w:val="00B37E1D"/>
    <w:rsid w:val="00B40364"/>
    <w:rsid w:val="00B40378"/>
    <w:rsid w:val="00B40652"/>
    <w:rsid w:val="00B41ABA"/>
    <w:rsid w:val="00B41C4B"/>
    <w:rsid w:val="00B420B0"/>
    <w:rsid w:val="00B42386"/>
    <w:rsid w:val="00B424D1"/>
    <w:rsid w:val="00B4276D"/>
    <w:rsid w:val="00B42903"/>
    <w:rsid w:val="00B42A64"/>
    <w:rsid w:val="00B434E9"/>
    <w:rsid w:val="00B4358D"/>
    <w:rsid w:val="00B4382C"/>
    <w:rsid w:val="00B439F6"/>
    <w:rsid w:val="00B44432"/>
    <w:rsid w:val="00B44710"/>
    <w:rsid w:val="00B44851"/>
    <w:rsid w:val="00B44946"/>
    <w:rsid w:val="00B44959"/>
    <w:rsid w:val="00B45685"/>
    <w:rsid w:val="00B456FF"/>
    <w:rsid w:val="00B4577D"/>
    <w:rsid w:val="00B45987"/>
    <w:rsid w:val="00B4647A"/>
    <w:rsid w:val="00B4675F"/>
    <w:rsid w:val="00B47317"/>
    <w:rsid w:val="00B473AD"/>
    <w:rsid w:val="00B503B8"/>
    <w:rsid w:val="00B505E3"/>
    <w:rsid w:val="00B50E2C"/>
    <w:rsid w:val="00B50E63"/>
    <w:rsid w:val="00B50FFB"/>
    <w:rsid w:val="00B51167"/>
    <w:rsid w:val="00B512FF"/>
    <w:rsid w:val="00B52646"/>
    <w:rsid w:val="00B5429D"/>
    <w:rsid w:val="00B544D1"/>
    <w:rsid w:val="00B55230"/>
    <w:rsid w:val="00B555D5"/>
    <w:rsid w:val="00B55BD3"/>
    <w:rsid w:val="00B5694E"/>
    <w:rsid w:val="00B569C5"/>
    <w:rsid w:val="00B56C7F"/>
    <w:rsid w:val="00B57531"/>
    <w:rsid w:val="00B577C5"/>
    <w:rsid w:val="00B57C44"/>
    <w:rsid w:val="00B57C5B"/>
    <w:rsid w:val="00B57DB2"/>
    <w:rsid w:val="00B57DFC"/>
    <w:rsid w:val="00B57F12"/>
    <w:rsid w:val="00B6032D"/>
    <w:rsid w:val="00B606B5"/>
    <w:rsid w:val="00B6090F"/>
    <w:rsid w:val="00B60CCD"/>
    <w:rsid w:val="00B612E8"/>
    <w:rsid w:val="00B618B3"/>
    <w:rsid w:val="00B620BA"/>
    <w:rsid w:val="00B62160"/>
    <w:rsid w:val="00B62170"/>
    <w:rsid w:val="00B62770"/>
    <w:rsid w:val="00B63024"/>
    <w:rsid w:val="00B63844"/>
    <w:rsid w:val="00B646A1"/>
    <w:rsid w:val="00B65814"/>
    <w:rsid w:val="00B65DA7"/>
    <w:rsid w:val="00B66146"/>
    <w:rsid w:val="00B6631E"/>
    <w:rsid w:val="00B66716"/>
    <w:rsid w:val="00B667F8"/>
    <w:rsid w:val="00B66F14"/>
    <w:rsid w:val="00B673C9"/>
    <w:rsid w:val="00B6786A"/>
    <w:rsid w:val="00B67C31"/>
    <w:rsid w:val="00B70017"/>
    <w:rsid w:val="00B704EA"/>
    <w:rsid w:val="00B70672"/>
    <w:rsid w:val="00B7069D"/>
    <w:rsid w:val="00B706D7"/>
    <w:rsid w:val="00B709C2"/>
    <w:rsid w:val="00B7122C"/>
    <w:rsid w:val="00B71965"/>
    <w:rsid w:val="00B71C49"/>
    <w:rsid w:val="00B71F6F"/>
    <w:rsid w:val="00B727AD"/>
    <w:rsid w:val="00B72B1A"/>
    <w:rsid w:val="00B72F9B"/>
    <w:rsid w:val="00B74049"/>
    <w:rsid w:val="00B744F2"/>
    <w:rsid w:val="00B7462D"/>
    <w:rsid w:val="00B7467B"/>
    <w:rsid w:val="00B7472A"/>
    <w:rsid w:val="00B74758"/>
    <w:rsid w:val="00B748E9"/>
    <w:rsid w:val="00B74BF0"/>
    <w:rsid w:val="00B74D0A"/>
    <w:rsid w:val="00B759FF"/>
    <w:rsid w:val="00B76579"/>
    <w:rsid w:val="00B765ED"/>
    <w:rsid w:val="00B76BF3"/>
    <w:rsid w:val="00B772A1"/>
    <w:rsid w:val="00B7764D"/>
    <w:rsid w:val="00B80803"/>
    <w:rsid w:val="00B80EE8"/>
    <w:rsid w:val="00B80F36"/>
    <w:rsid w:val="00B81598"/>
    <w:rsid w:val="00B816AA"/>
    <w:rsid w:val="00B8184D"/>
    <w:rsid w:val="00B81A16"/>
    <w:rsid w:val="00B8271E"/>
    <w:rsid w:val="00B837FC"/>
    <w:rsid w:val="00B83D33"/>
    <w:rsid w:val="00B84235"/>
    <w:rsid w:val="00B8489F"/>
    <w:rsid w:val="00B85332"/>
    <w:rsid w:val="00B85D1B"/>
    <w:rsid w:val="00B8602D"/>
    <w:rsid w:val="00B862F7"/>
    <w:rsid w:val="00B864B7"/>
    <w:rsid w:val="00B865C7"/>
    <w:rsid w:val="00B86EA5"/>
    <w:rsid w:val="00B8703E"/>
    <w:rsid w:val="00B877ED"/>
    <w:rsid w:val="00B87D47"/>
    <w:rsid w:val="00B87D9D"/>
    <w:rsid w:val="00B91233"/>
    <w:rsid w:val="00B912DC"/>
    <w:rsid w:val="00B913B9"/>
    <w:rsid w:val="00B913C0"/>
    <w:rsid w:val="00B91A3A"/>
    <w:rsid w:val="00B91B23"/>
    <w:rsid w:val="00B91C4A"/>
    <w:rsid w:val="00B91D26"/>
    <w:rsid w:val="00B91D41"/>
    <w:rsid w:val="00B91E76"/>
    <w:rsid w:val="00B92200"/>
    <w:rsid w:val="00B92681"/>
    <w:rsid w:val="00B92AE2"/>
    <w:rsid w:val="00B92F39"/>
    <w:rsid w:val="00B92F7A"/>
    <w:rsid w:val="00B93039"/>
    <w:rsid w:val="00B9319C"/>
    <w:rsid w:val="00B94369"/>
    <w:rsid w:val="00B945DA"/>
    <w:rsid w:val="00B94BE1"/>
    <w:rsid w:val="00B950C7"/>
    <w:rsid w:val="00B95143"/>
    <w:rsid w:val="00B9651C"/>
    <w:rsid w:val="00B96A95"/>
    <w:rsid w:val="00B975DE"/>
    <w:rsid w:val="00BA07E2"/>
    <w:rsid w:val="00BA0D9B"/>
    <w:rsid w:val="00BA13E2"/>
    <w:rsid w:val="00BA14F6"/>
    <w:rsid w:val="00BA1D1B"/>
    <w:rsid w:val="00BA1DA0"/>
    <w:rsid w:val="00BA22D7"/>
    <w:rsid w:val="00BA2336"/>
    <w:rsid w:val="00BA3068"/>
    <w:rsid w:val="00BA3823"/>
    <w:rsid w:val="00BA38A8"/>
    <w:rsid w:val="00BA3C9E"/>
    <w:rsid w:val="00BA3FCD"/>
    <w:rsid w:val="00BA4E51"/>
    <w:rsid w:val="00BA5857"/>
    <w:rsid w:val="00BA59BD"/>
    <w:rsid w:val="00BA650E"/>
    <w:rsid w:val="00BA65FC"/>
    <w:rsid w:val="00BA678E"/>
    <w:rsid w:val="00BA74C5"/>
    <w:rsid w:val="00BA7DB2"/>
    <w:rsid w:val="00BB0821"/>
    <w:rsid w:val="00BB0D7A"/>
    <w:rsid w:val="00BB1DD0"/>
    <w:rsid w:val="00BB205D"/>
    <w:rsid w:val="00BB2794"/>
    <w:rsid w:val="00BB2854"/>
    <w:rsid w:val="00BB2901"/>
    <w:rsid w:val="00BB2945"/>
    <w:rsid w:val="00BB3642"/>
    <w:rsid w:val="00BB392A"/>
    <w:rsid w:val="00BB3E3E"/>
    <w:rsid w:val="00BB4606"/>
    <w:rsid w:val="00BB4629"/>
    <w:rsid w:val="00BB4D01"/>
    <w:rsid w:val="00BB4F20"/>
    <w:rsid w:val="00BB5808"/>
    <w:rsid w:val="00BB5860"/>
    <w:rsid w:val="00BB6289"/>
    <w:rsid w:val="00BB64F6"/>
    <w:rsid w:val="00BB67AA"/>
    <w:rsid w:val="00BB68CF"/>
    <w:rsid w:val="00BB6ADB"/>
    <w:rsid w:val="00BB7962"/>
    <w:rsid w:val="00BB7BCE"/>
    <w:rsid w:val="00BC02AE"/>
    <w:rsid w:val="00BC02E7"/>
    <w:rsid w:val="00BC0362"/>
    <w:rsid w:val="00BC039D"/>
    <w:rsid w:val="00BC0EDC"/>
    <w:rsid w:val="00BC0F0C"/>
    <w:rsid w:val="00BC1434"/>
    <w:rsid w:val="00BC2627"/>
    <w:rsid w:val="00BC2B81"/>
    <w:rsid w:val="00BC2D5C"/>
    <w:rsid w:val="00BC2E66"/>
    <w:rsid w:val="00BC324B"/>
    <w:rsid w:val="00BC3CEB"/>
    <w:rsid w:val="00BC3E15"/>
    <w:rsid w:val="00BC4318"/>
    <w:rsid w:val="00BC4391"/>
    <w:rsid w:val="00BC4948"/>
    <w:rsid w:val="00BC4EC5"/>
    <w:rsid w:val="00BC5697"/>
    <w:rsid w:val="00BC5A05"/>
    <w:rsid w:val="00BC771C"/>
    <w:rsid w:val="00BD01C9"/>
    <w:rsid w:val="00BD0220"/>
    <w:rsid w:val="00BD1839"/>
    <w:rsid w:val="00BD1979"/>
    <w:rsid w:val="00BD20D6"/>
    <w:rsid w:val="00BD233F"/>
    <w:rsid w:val="00BD2AD3"/>
    <w:rsid w:val="00BD44AF"/>
    <w:rsid w:val="00BD4CAC"/>
    <w:rsid w:val="00BD5102"/>
    <w:rsid w:val="00BD5741"/>
    <w:rsid w:val="00BD5820"/>
    <w:rsid w:val="00BD5A70"/>
    <w:rsid w:val="00BD6660"/>
    <w:rsid w:val="00BD6867"/>
    <w:rsid w:val="00BD6BC4"/>
    <w:rsid w:val="00BD6F09"/>
    <w:rsid w:val="00BD703F"/>
    <w:rsid w:val="00BD76FE"/>
    <w:rsid w:val="00BD7C64"/>
    <w:rsid w:val="00BE0585"/>
    <w:rsid w:val="00BE0867"/>
    <w:rsid w:val="00BE15D6"/>
    <w:rsid w:val="00BE18CA"/>
    <w:rsid w:val="00BE1D53"/>
    <w:rsid w:val="00BE268F"/>
    <w:rsid w:val="00BE26CC"/>
    <w:rsid w:val="00BE38D0"/>
    <w:rsid w:val="00BE39FC"/>
    <w:rsid w:val="00BE3E2F"/>
    <w:rsid w:val="00BE4977"/>
    <w:rsid w:val="00BE49FF"/>
    <w:rsid w:val="00BE4C9F"/>
    <w:rsid w:val="00BE4FF0"/>
    <w:rsid w:val="00BE50B1"/>
    <w:rsid w:val="00BE5119"/>
    <w:rsid w:val="00BE518F"/>
    <w:rsid w:val="00BE54F8"/>
    <w:rsid w:val="00BE606F"/>
    <w:rsid w:val="00BE61E2"/>
    <w:rsid w:val="00BE6B7B"/>
    <w:rsid w:val="00BE6EC1"/>
    <w:rsid w:val="00BE6F83"/>
    <w:rsid w:val="00BE6F9D"/>
    <w:rsid w:val="00BE727B"/>
    <w:rsid w:val="00BE73FD"/>
    <w:rsid w:val="00BF0F82"/>
    <w:rsid w:val="00BF0F94"/>
    <w:rsid w:val="00BF15C1"/>
    <w:rsid w:val="00BF160C"/>
    <w:rsid w:val="00BF24F9"/>
    <w:rsid w:val="00BF2BE6"/>
    <w:rsid w:val="00BF2D73"/>
    <w:rsid w:val="00BF34CF"/>
    <w:rsid w:val="00BF373A"/>
    <w:rsid w:val="00BF4497"/>
    <w:rsid w:val="00BF4D66"/>
    <w:rsid w:val="00BF56C8"/>
    <w:rsid w:val="00BF5D63"/>
    <w:rsid w:val="00BF68F6"/>
    <w:rsid w:val="00BF6EAA"/>
    <w:rsid w:val="00BF71D3"/>
    <w:rsid w:val="00C0018C"/>
    <w:rsid w:val="00C00562"/>
    <w:rsid w:val="00C00D75"/>
    <w:rsid w:val="00C016D7"/>
    <w:rsid w:val="00C023E2"/>
    <w:rsid w:val="00C02415"/>
    <w:rsid w:val="00C02B68"/>
    <w:rsid w:val="00C03284"/>
    <w:rsid w:val="00C03383"/>
    <w:rsid w:val="00C03803"/>
    <w:rsid w:val="00C03909"/>
    <w:rsid w:val="00C04567"/>
    <w:rsid w:val="00C0457D"/>
    <w:rsid w:val="00C04823"/>
    <w:rsid w:val="00C0487F"/>
    <w:rsid w:val="00C052CA"/>
    <w:rsid w:val="00C0545A"/>
    <w:rsid w:val="00C05663"/>
    <w:rsid w:val="00C0581A"/>
    <w:rsid w:val="00C0592C"/>
    <w:rsid w:val="00C05B8F"/>
    <w:rsid w:val="00C06439"/>
    <w:rsid w:val="00C06538"/>
    <w:rsid w:val="00C0672D"/>
    <w:rsid w:val="00C06D17"/>
    <w:rsid w:val="00C06DAD"/>
    <w:rsid w:val="00C073E9"/>
    <w:rsid w:val="00C07A70"/>
    <w:rsid w:val="00C1027F"/>
    <w:rsid w:val="00C10A32"/>
    <w:rsid w:val="00C10B93"/>
    <w:rsid w:val="00C10BFE"/>
    <w:rsid w:val="00C12171"/>
    <w:rsid w:val="00C12425"/>
    <w:rsid w:val="00C12519"/>
    <w:rsid w:val="00C12707"/>
    <w:rsid w:val="00C1272A"/>
    <w:rsid w:val="00C12C8C"/>
    <w:rsid w:val="00C132C9"/>
    <w:rsid w:val="00C133C8"/>
    <w:rsid w:val="00C13B90"/>
    <w:rsid w:val="00C154B9"/>
    <w:rsid w:val="00C156E3"/>
    <w:rsid w:val="00C15948"/>
    <w:rsid w:val="00C15E9F"/>
    <w:rsid w:val="00C162AF"/>
    <w:rsid w:val="00C168DA"/>
    <w:rsid w:val="00C16A14"/>
    <w:rsid w:val="00C17161"/>
    <w:rsid w:val="00C17810"/>
    <w:rsid w:val="00C17E1B"/>
    <w:rsid w:val="00C20104"/>
    <w:rsid w:val="00C20111"/>
    <w:rsid w:val="00C20310"/>
    <w:rsid w:val="00C20883"/>
    <w:rsid w:val="00C2091C"/>
    <w:rsid w:val="00C20CF3"/>
    <w:rsid w:val="00C21213"/>
    <w:rsid w:val="00C21858"/>
    <w:rsid w:val="00C22446"/>
    <w:rsid w:val="00C22D5F"/>
    <w:rsid w:val="00C23147"/>
    <w:rsid w:val="00C23164"/>
    <w:rsid w:val="00C24033"/>
    <w:rsid w:val="00C2503B"/>
    <w:rsid w:val="00C25070"/>
    <w:rsid w:val="00C25288"/>
    <w:rsid w:val="00C25438"/>
    <w:rsid w:val="00C2554E"/>
    <w:rsid w:val="00C25F85"/>
    <w:rsid w:val="00C26921"/>
    <w:rsid w:val="00C26EB2"/>
    <w:rsid w:val="00C273BC"/>
    <w:rsid w:val="00C27C84"/>
    <w:rsid w:val="00C27FD0"/>
    <w:rsid w:val="00C303AB"/>
    <w:rsid w:val="00C3079B"/>
    <w:rsid w:val="00C307F8"/>
    <w:rsid w:val="00C3089C"/>
    <w:rsid w:val="00C30921"/>
    <w:rsid w:val="00C30C41"/>
    <w:rsid w:val="00C31058"/>
    <w:rsid w:val="00C3146C"/>
    <w:rsid w:val="00C31506"/>
    <w:rsid w:val="00C31536"/>
    <w:rsid w:val="00C31CF2"/>
    <w:rsid w:val="00C329E6"/>
    <w:rsid w:val="00C32AF4"/>
    <w:rsid w:val="00C32B5D"/>
    <w:rsid w:val="00C32F7F"/>
    <w:rsid w:val="00C32FE6"/>
    <w:rsid w:val="00C3346D"/>
    <w:rsid w:val="00C33660"/>
    <w:rsid w:val="00C3366E"/>
    <w:rsid w:val="00C33FC2"/>
    <w:rsid w:val="00C3476F"/>
    <w:rsid w:val="00C34B64"/>
    <w:rsid w:val="00C34FA6"/>
    <w:rsid w:val="00C35045"/>
    <w:rsid w:val="00C35E9D"/>
    <w:rsid w:val="00C3627A"/>
    <w:rsid w:val="00C36600"/>
    <w:rsid w:val="00C3678E"/>
    <w:rsid w:val="00C36F9E"/>
    <w:rsid w:val="00C37256"/>
    <w:rsid w:val="00C37678"/>
    <w:rsid w:val="00C3778E"/>
    <w:rsid w:val="00C37E61"/>
    <w:rsid w:val="00C37F7E"/>
    <w:rsid w:val="00C408AB"/>
    <w:rsid w:val="00C40905"/>
    <w:rsid w:val="00C40ECF"/>
    <w:rsid w:val="00C41114"/>
    <w:rsid w:val="00C41577"/>
    <w:rsid w:val="00C417D5"/>
    <w:rsid w:val="00C417D8"/>
    <w:rsid w:val="00C41961"/>
    <w:rsid w:val="00C41D9C"/>
    <w:rsid w:val="00C41E15"/>
    <w:rsid w:val="00C42381"/>
    <w:rsid w:val="00C4261E"/>
    <w:rsid w:val="00C43369"/>
    <w:rsid w:val="00C434C0"/>
    <w:rsid w:val="00C43700"/>
    <w:rsid w:val="00C4391F"/>
    <w:rsid w:val="00C43971"/>
    <w:rsid w:val="00C43BB8"/>
    <w:rsid w:val="00C44036"/>
    <w:rsid w:val="00C4417D"/>
    <w:rsid w:val="00C44185"/>
    <w:rsid w:val="00C4483F"/>
    <w:rsid w:val="00C45312"/>
    <w:rsid w:val="00C45360"/>
    <w:rsid w:val="00C45BDD"/>
    <w:rsid w:val="00C45CD5"/>
    <w:rsid w:val="00C45D7A"/>
    <w:rsid w:val="00C45E2F"/>
    <w:rsid w:val="00C464BF"/>
    <w:rsid w:val="00C466A2"/>
    <w:rsid w:val="00C46BE2"/>
    <w:rsid w:val="00C46C4D"/>
    <w:rsid w:val="00C46ED0"/>
    <w:rsid w:val="00C47F30"/>
    <w:rsid w:val="00C50450"/>
    <w:rsid w:val="00C50A02"/>
    <w:rsid w:val="00C50AC9"/>
    <w:rsid w:val="00C50F03"/>
    <w:rsid w:val="00C51071"/>
    <w:rsid w:val="00C522BC"/>
    <w:rsid w:val="00C52EAB"/>
    <w:rsid w:val="00C53568"/>
    <w:rsid w:val="00C544A0"/>
    <w:rsid w:val="00C548AF"/>
    <w:rsid w:val="00C548F9"/>
    <w:rsid w:val="00C54F53"/>
    <w:rsid w:val="00C55470"/>
    <w:rsid w:val="00C558CD"/>
    <w:rsid w:val="00C56250"/>
    <w:rsid w:val="00C5643A"/>
    <w:rsid w:val="00C568D7"/>
    <w:rsid w:val="00C569AF"/>
    <w:rsid w:val="00C57236"/>
    <w:rsid w:val="00C57B1A"/>
    <w:rsid w:val="00C57D5B"/>
    <w:rsid w:val="00C60070"/>
    <w:rsid w:val="00C60695"/>
    <w:rsid w:val="00C607E7"/>
    <w:rsid w:val="00C61279"/>
    <w:rsid w:val="00C617E8"/>
    <w:rsid w:val="00C61F37"/>
    <w:rsid w:val="00C62642"/>
    <w:rsid w:val="00C626DB"/>
    <w:rsid w:val="00C62796"/>
    <w:rsid w:val="00C62F22"/>
    <w:rsid w:val="00C631AB"/>
    <w:rsid w:val="00C6330B"/>
    <w:rsid w:val="00C6367A"/>
    <w:rsid w:val="00C63E5F"/>
    <w:rsid w:val="00C640AE"/>
    <w:rsid w:val="00C641C8"/>
    <w:rsid w:val="00C64876"/>
    <w:rsid w:val="00C64A0C"/>
    <w:rsid w:val="00C65026"/>
    <w:rsid w:val="00C66CA2"/>
    <w:rsid w:val="00C66F83"/>
    <w:rsid w:val="00C67419"/>
    <w:rsid w:val="00C674DD"/>
    <w:rsid w:val="00C67522"/>
    <w:rsid w:val="00C6765A"/>
    <w:rsid w:val="00C70602"/>
    <w:rsid w:val="00C70D98"/>
    <w:rsid w:val="00C70EAA"/>
    <w:rsid w:val="00C719DC"/>
    <w:rsid w:val="00C72290"/>
    <w:rsid w:val="00C7236A"/>
    <w:rsid w:val="00C723F2"/>
    <w:rsid w:val="00C72CF2"/>
    <w:rsid w:val="00C72EAB"/>
    <w:rsid w:val="00C72FE2"/>
    <w:rsid w:val="00C73B9C"/>
    <w:rsid w:val="00C73D1A"/>
    <w:rsid w:val="00C74387"/>
    <w:rsid w:val="00C748EC"/>
    <w:rsid w:val="00C74F66"/>
    <w:rsid w:val="00C75150"/>
    <w:rsid w:val="00C75372"/>
    <w:rsid w:val="00C75F79"/>
    <w:rsid w:val="00C76473"/>
    <w:rsid w:val="00C766FB"/>
    <w:rsid w:val="00C76AE2"/>
    <w:rsid w:val="00C76B48"/>
    <w:rsid w:val="00C76CBC"/>
    <w:rsid w:val="00C7732E"/>
    <w:rsid w:val="00C77570"/>
    <w:rsid w:val="00C77998"/>
    <w:rsid w:val="00C77C25"/>
    <w:rsid w:val="00C77C73"/>
    <w:rsid w:val="00C77C9E"/>
    <w:rsid w:val="00C80089"/>
    <w:rsid w:val="00C8018D"/>
    <w:rsid w:val="00C80CFF"/>
    <w:rsid w:val="00C8117A"/>
    <w:rsid w:val="00C81417"/>
    <w:rsid w:val="00C814B9"/>
    <w:rsid w:val="00C816AE"/>
    <w:rsid w:val="00C81FA1"/>
    <w:rsid w:val="00C82232"/>
    <w:rsid w:val="00C82768"/>
    <w:rsid w:val="00C82A4A"/>
    <w:rsid w:val="00C82CF7"/>
    <w:rsid w:val="00C82D42"/>
    <w:rsid w:val="00C82FC2"/>
    <w:rsid w:val="00C83A52"/>
    <w:rsid w:val="00C83E72"/>
    <w:rsid w:val="00C83F43"/>
    <w:rsid w:val="00C84F6F"/>
    <w:rsid w:val="00C855E1"/>
    <w:rsid w:val="00C85724"/>
    <w:rsid w:val="00C8573B"/>
    <w:rsid w:val="00C85A78"/>
    <w:rsid w:val="00C85F21"/>
    <w:rsid w:val="00C86D35"/>
    <w:rsid w:val="00C872CA"/>
    <w:rsid w:val="00C872CD"/>
    <w:rsid w:val="00C877D0"/>
    <w:rsid w:val="00C879A1"/>
    <w:rsid w:val="00C87DE5"/>
    <w:rsid w:val="00C9050F"/>
    <w:rsid w:val="00C90604"/>
    <w:rsid w:val="00C90729"/>
    <w:rsid w:val="00C919A8"/>
    <w:rsid w:val="00C91A11"/>
    <w:rsid w:val="00C92CF9"/>
    <w:rsid w:val="00C93056"/>
    <w:rsid w:val="00C933B3"/>
    <w:rsid w:val="00C93757"/>
    <w:rsid w:val="00C93884"/>
    <w:rsid w:val="00C939FF"/>
    <w:rsid w:val="00C93DD2"/>
    <w:rsid w:val="00C93E6B"/>
    <w:rsid w:val="00C94070"/>
    <w:rsid w:val="00C940D6"/>
    <w:rsid w:val="00C942B4"/>
    <w:rsid w:val="00C94465"/>
    <w:rsid w:val="00C946EA"/>
    <w:rsid w:val="00C94F42"/>
    <w:rsid w:val="00C9502C"/>
    <w:rsid w:val="00C95787"/>
    <w:rsid w:val="00C95A90"/>
    <w:rsid w:val="00C95EAA"/>
    <w:rsid w:val="00C960D0"/>
    <w:rsid w:val="00C966CD"/>
    <w:rsid w:val="00C97214"/>
    <w:rsid w:val="00C9734F"/>
    <w:rsid w:val="00C97837"/>
    <w:rsid w:val="00CA0013"/>
    <w:rsid w:val="00CA005C"/>
    <w:rsid w:val="00CA073A"/>
    <w:rsid w:val="00CA075F"/>
    <w:rsid w:val="00CA080C"/>
    <w:rsid w:val="00CA1A30"/>
    <w:rsid w:val="00CA1D0D"/>
    <w:rsid w:val="00CA1F07"/>
    <w:rsid w:val="00CA21A7"/>
    <w:rsid w:val="00CA2209"/>
    <w:rsid w:val="00CA22A2"/>
    <w:rsid w:val="00CA2500"/>
    <w:rsid w:val="00CA2748"/>
    <w:rsid w:val="00CA2BCA"/>
    <w:rsid w:val="00CA2C52"/>
    <w:rsid w:val="00CA2FAB"/>
    <w:rsid w:val="00CA3AE4"/>
    <w:rsid w:val="00CA3EA9"/>
    <w:rsid w:val="00CA3FA5"/>
    <w:rsid w:val="00CA3FDB"/>
    <w:rsid w:val="00CA4B62"/>
    <w:rsid w:val="00CA4CF4"/>
    <w:rsid w:val="00CA5281"/>
    <w:rsid w:val="00CA55FF"/>
    <w:rsid w:val="00CA5DB4"/>
    <w:rsid w:val="00CA5FAF"/>
    <w:rsid w:val="00CA61CA"/>
    <w:rsid w:val="00CA6460"/>
    <w:rsid w:val="00CA67A4"/>
    <w:rsid w:val="00CA6945"/>
    <w:rsid w:val="00CA71B7"/>
    <w:rsid w:val="00CA756A"/>
    <w:rsid w:val="00CA7A33"/>
    <w:rsid w:val="00CA7D8E"/>
    <w:rsid w:val="00CB00DA"/>
    <w:rsid w:val="00CB0135"/>
    <w:rsid w:val="00CB0148"/>
    <w:rsid w:val="00CB0191"/>
    <w:rsid w:val="00CB08D6"/>
    <w:rsid w:val="00CB0F06"/>
    <w:rsid w:val="00CB0F68"/>
    <w:rsid w:val="00CB170A"/>
    <w:rsid w:val="00CB1BB7"/>
    <w:rsid w:val="00CB1D89"/>
    <w:rsid w:val="00CB232D"/>
    <w:rsid w:val="00CB26B2"/>
    <w:rsid w:val="00CB26B6"/>
    <w:rsid w:val="00CB3B6F"/>
    <w:rsid w:val="00CB411B"/>
    <w:rsid w:val="00CB4BFF"/>
    <w:rsid w:val="00CB4C72"/>
    <w:rsid w:val="00CB4EDC"/>
    <w:rsid w:val="00CB5A6E"/>
    <w:rsid w:val="00CB64E1"/>
    <w:rsid w:val="00CB6D83"/>
    <w:rsid w:val="00CB712C"/>
    <w:rsid w:val="00CB72C3"/>
    <w:rsid w:val="00CB751B"/>
    <w:rsid w:val="00CB7E87"/>
    <w:rsid w:val="00CB7EF4"/>
    <w:rsid w:val="00CC014D"/>
    <w:rsid w:val="00CC0171"/>
    <w:rsid w:val="00CC0230"/>
    <w:rsid w:val="00CC0613"/>
    <w:rsid w:val="00CC08B7"/>
    <w:rsid w:val="00CC0A25"/>
    <w:rsid w:val="00CC0A44"/>
    <w:rsid w:val="00CC0BCE"/>
    <w:rsid w:val="00CC0C01"/>
    <w:rsid w:val="00CC105C"/>
    <w:rsid w:val="00CC1589"/>
    <w:rsid w:val="00CC1E61"/>
    <w:rsid w:val="00CC1E9B"/>
    <w:rsid w:val="00CC2E0C"/>
    <w:rsid w:val="00CC33E5"/>
    <w:rsid w:val="00CC36F0"/>
    <w:rsid w:val="00CC3818"/>
    <w:rsid w:val="00CC3A80"/>
    <w:rsid w:val="00CC3B91"/>
    <w:rsid w:val="00CC3D1C"/>
    <w:rsid w:val="00CC519E"/>
    <w:rsid w:val="00CC6526"/>
    <w:rsid w:val="00CC6B01"/>
    <w:rsid w:val="00CC721B"/>
    <w:rsid w:val="00CC778B"/>
    <w:rsid w:val="00CD0430"/>
    <w:rsid w:val="00CD0C34"/>
    <w:rsid w:val="00CD121D"/>
    <w:rsid w:val="00CD196F"/>
    <w:rsid w:val="00CD1E94"/>
    <w:rsid w:val="00CD200B"/>
    <w:rsid w:val="00CD213E"/>
    <w:rsid w:val="00CD2711"/>
    <w:rsid w:val="00CD2EA4"/>
    <w:rsid w:val="00CD3210"/>
    <w:rsid w:val="00CD36A7"/>
    <w:rsid w:val="00CD3F98"/>
    <w:rsid w:val="00CD580B"/>
    <w:rsid w:val="00CD594F"/>
    <w:rsid w:val="00CD6101"/>
    <w:rsid w:val="00CD6289"/>
    <w:rsid w:val="00CD6ADD"/>
    <w:rsid w:val="00CD6BE6"/>
    <w:rsid w:val="00CD6DD0"/>
    <w:rsid w:val="00CD6EBA"/>
    <w:rsid w:val="00CD6F7A"/>
    <w:rsid w:val="00CD7B8F"/>
    <w:rsid w:val="00CD7E59"/>
    <w:rsid w:val="00CE0395"/>
    <w:rsid w:val="00CE0952"/>
    <w:rsid w:val="00CE1503"/>
    <w:rsid w:val="00CE16A6"/>
    <w:rsid w:val="00CE1F92"/>
    <w:rsid w:val="00CE257A"/>
    <w:rsid w:val="00CE295B"/>
    <w:rsid w:val="00CE3326"/>
    <w:rsid w:val="00CE3BD4"/>
    <w:rsid w:val="00CE413D"/>
    <w:rsid w:val="00CE4361"/>
    <w:rsid w:val="00CE45ED"/>
    <w:rsid w:val="00CE468C"/>
    <w:rsid w:val="00CE46A6"/>
    <w:rsid w:val="00CE46ED"/>
    <w:rsid w:val="00CE4931"/>
    <w:rsid w:val="00CE4A34"/>
    <w:rsid w:val="00CE4AC1"/>
    <w:rsid w:val="00CE4D3E"/>
    <w:rsid w:val="00CE4DFE"/>
    <w:rsid w:val="00CE4F8B"/>
    <w:rsid w:val="00CE5CCC"/>
    <w:rsid w:val="00CE6458"/>
    <w:rsid w:val="00CE675C"/>
    <w:rsid w:val="00CE6965"/>
    <w:rsid w:val="00CE6B3F"/>
    <w:rsid w:val="00CE6CFC"/>
    <w:rsid w:val="00CE6DE0"/>
    <w:rsid w:val="00CE6DE1"/>
    <w:rsid w:val="00CE6FE9"/>
    <w:rsid w:val="00CE776B"/>
    <w:rsid w:val="00CF0391"/>
    <w:rsid w:val="00CF1A91"/>
    <w:rsid w:val="00CF1FAF"/>
    <w:rsid w:val="00CF24AE"/>
    <w:rsid w:val="00CF25C2"/>
    <w:rsid w:val="00CF3002"/>
    <w:rsid w:val="00CF3171"/>
    <w:rsid w:val="00CF436C"/>
    <w:rsid w:val="00CF479F"/>
    <w:rsid w:val="00CF50E9"/>
    <w:rsid w:val="00CF5234"/>
    <w:rsid w:val="00CF5E9D"/>
    <w:rsid w:val="00CF6A55"/>
    <w:rsid w:val="00CF6FE6"/>
    <w:rsid w:val="00CF70A8"/>
    <w:rsid w:val="00CF7605"/>
    <w:rsid w:val="00CF7D7B"/>
    <w:rsid w:val="00D0003C"/>
    <w:rsid w:val="00D004EA"/>
    <w:rsid w:val="00D0054C"/>
    <w:rsid w:val="00D0076C"/>
    <w:rsid w:val="00D00858"/>
    <w:rsid w:val="00D01169"/>
    <w:rsid w:val="00D01C85"/>
    <w:rsid w:val="00D01DD1"/>
    <w:rsid w:val="00D02175"/>
    <w:rsid w:val="00D0241F"/>
    <w:rsid w:val="00D02740"/>
    <w:rsid w:val="00D02D99"/>
    <w:rsid w:val="00D03045"/>
    <w:rsid w:val="00D03190"/>
    <w:rsid w:val="00D03D01"/>
    <w:rsid w:val="00D03D3C"/>
    <w:rsid w:val="00D04179"/>
    <w:rsid w:val="00D041D1"/>
    <w:rsid w:val="00D04205"/>
    <w:rsid w:val="00D042DF"/>
    <w:rsid w:val="00D04618"/>
    <w:rsid w:val="00D046D0"/>
    <w:rsid w:val="00D0474B"/>
    <w:rsid w:val="00D04A6B"/>
    <w:rsid w:val="00D05375"/>
    <w:rsid w:val="00D0538F"/>
    <w:rsid w:val="00D0581A"/>
    <w:rsid w:val="00D0635F"/>
    <w:rsid w:val="00D071C1"/>
    <w:rsid w:val="00D072B9"/>
    <w:rsid w:val="00D07555"/>
    <w:rsid w:val="00D07688"/>
    <w:rsid w:val="00D105D8"/>
    <w:rsid w:val="00D107C6"/>
    <w:rsid w:val="00D10829"/>
    <w:rsid w:val="00D11305"/>
    <w:rsid w:val="00D11CAA"/>
    <w:rsid w:val="00D121C1"/>
    <w:rsid w:val="00D12867"/>
    <w:rsid w:val="00D13917"/>
    <w:rsid w:val="00D148CE"/>
    <w:rsid w:val="00D14F5C"/>
    <w:rsid w:val="00D1670C"/>
    <w:rsid w:val="00D1684C"/>
    <w:rsid w:val="00D1739A"/>
    <w:rsid w:val="00D173DB"/>
    <w:rsid w:val="00D2025A"/>
    <w:rsid w:val="00D20B6E"/>
    <w:rsid w:val="00D20BA6"/>
    <w:rsid w:val="00D20DEF"/>
    <w:rsid w:val="00D20EB6"/>
    <w:rsid w:val="00D21C9B"/>
    <w:rsid w:val="00D222F7"/>
    <w:rsid w:val="00D227B7"/>
    <w:rsid w:val="00D2299B"/>
    <w:rsid w:val="00D2310D"/>
    <w:rsid w:val="00D235EF"/>
    <w:rsid w:val="00D2361B"/>
    <w:rsid w:val="00D23791"/>
    <w:rsid w:val="00D238CC"/>
    <w:rsid w:val="00D23A08"/>
    <w:rsid w:val="00D2499E"/>
    <w:rsid w:val="00D24A69"/>
    <w:rsid w:val="00D24C77"/>
    <w:rsid w:val="00D25521"/>
    <w:rsid w:val="00D2584D"/>
    <w:rsid w:val="00D25BD9"/>
    <w:rsid w:val="00D2637A"/>
    <w:rsid w:val="00D263E4"/>
    <w:rsid w:val="00D26D17"/>
    <w:rsid w:val="00D27641"/>
    <w:rsid w:val="00D27AAE"/>
    <w:rsid w:val="00D27BD6"/>
    <w:rsid w:val="00D27D43"/>
    <w:rsid w:val="00D27FDB"/>
    <w:rsid w:val="00D302D5"/>
    <w:rsid w:val="00D3076F"/>
    <w:rsid w:val="00D307B7"/>
    <w:rsid w:val="00D30FD3"/>
    <w:rsid w:val="00D31527"/>
    <w:rsid w:val="00D317A9"/>
    <w:rsid w:val="00D31DD1"/>
    <w:rsid w:val="00D3271E"/>
    <w:rsid w:val="00D32941"/>
    <w:rsid w:val="00D32CE7"/>
    <w:rsid w:val="00D33667"/>
    <w:rsid w:val="00D33F1A"/>
    <w:rsid w:val="00D341AE"/>
    <w:rsid w:val="00D34AC7"/>
    <w:rsid w:val="00D34F61"/>
    <w:rsid w:val="00D35181"/>
    <w:rsid w:val="00D35597"/>
    <w:rsid w:val="00D357F3"/>
    <w:rsid w:val="00D35BDB"/>
    <w:rsid w:val="00D35C9A"/>
    <w:rsid w:val="00D35D9E"/>
    <w:rsid w:val="00D3670A"/>
    <w:rsid w:val="00D36F6D"/>
    <w:rsid w:val="00D3781C"/>
    <w:rsid w:val="00D40336"/>
    <w:rsid w:val="00D40470"/>
    <w:rsid w:val="00D40F11"/>
    <w:rsid w:val="00D41131"/>
    <w:rsid w:val="00D412A9"/>
    <w:rsid w:val="00D4158E"/>
    <w:rsid w:val="00D415A6"/>
    <w:rsid w:val="00D41D7C"/>
    <w:rsid w:val="00D42245"/>
    <w:rsid w:val="00D42D08"/>
    <w:rsid w:val="00D43597"/>
    <w:rsid w:val="00D435C9"/>
    <w:rsid w:val="00D43AA2"/>
    <w:rsid w:val="00D44730"/>
    <w:rsid w:val="00D44E14"/>
    <w:rsid w:val="00D45BCE"/>
    <w:rsid w:val="00D45EC2"/>
    <w:rsid w:val="00D46070"/>
    <w:rsid w:val="00D461D7"/>
    <w:rsid w:val="00D4684E"/>
    <w:rsid w:val="00D46A33"/>
    <w:rsid w:val="00D46E87"/>
    <w:rsid w:val="00D4703C"/>
    <w:rsid w:val="00D4792F"/>
    <w:rsid w:val="00D47E0D"/>
    <w:rsid w:val="00D47FD2"/>
    <w:rsid w:val="00D50C77"/>
    <w:rsid w:val="00D50D0C"/>
    <w:rsid w:val="00D51E38"/>
    <w:rsid w:val="00D528A8"/>
    <w:rsid w:val="00D52FE1"/>
    <w:rsid w:val="00D531B1"/>
    <w:rsid w:val="00D53EFF"/>
    <w:rsid w:val="00D542AC"/>
    <w:rsid w:val="00D5457E"/>
    <w:rsid w:val="00D54CBA"/>
    <w:rsid w:val="00D54DE2"/>
    <w:rsid w:val="00D54E10"/>
    <w:rsid w:val="00D54E30"/>
    <w:rsid w:val="00D54E31"/>
    <w:rsid w:val="00D54F6C"/>
    <w:rsid w:val="00D556A1"/>
    <w:rsid w:val="00D55808"/>
    <w:rsid w:val="00D55A55"/>
    <w:rsid w:val="00D56937"/>
    <w:rsid w:val="00D56CAA"/>
    <w:rsid w:val="00D5705C"/>
    <w:rsid w:val="00D57383"/>
    <w:rsid w:val="00D574DC"/>
    <w:rsid w:val="00D5756A"/>
    <w:rsid w:val="00D5790B"/>
    <w:rsid w:val="00D579A6"/>
    <w:rsid w:val="00D57C3D"/>
    <w:rsid w:val="00D57C80"/>
    <w:rsid w:val="00D60D6F"/>
    <w:rsid w:val="00D60FC9"/>
    <w:rsid w:val="00D610BB"/>
    <w:rsid w:val="00D61579"/>
    <w:rsid w:val="00D617F3"/>
    <w:rsid w:val="00D61804"/>
    <w:rsid w:val="00D61A2B"/>
    <w:rsid w:val="00D63223"/>
    <w:rsid w:val="00D634E2"/>
    <w:rsid w:val="00D63936"/>
    <w:rsid w:val="00D640D2"/>
    <w:rsid w:val="00D641DC"/>
    <w:rsid w:val="00D6444D"/>
    <w:rsid w:val="00D64693"/>
    <w:rsid w:val="00D659D0"/>
    <w:rsid w:val="00D65B6A"/>
    <w:rsid w:val="00D65BF8"/>
    <w:rsid w:val="00D65CA7"/>
    <w:rsid w:val="00D66042"/>
    <w:rsid w:val="00D660DC"/>
    <w:rsid w:val="00D661DE"/>
    <w:rsid w:val="00D6697D"/>
    <w:rsid w:val="00D6774E"/>
    <w:rsid w:val="00D67B2D"/>
    <w:rsid w:val="00D7009C"/>
    <w:rsid w:val="00D7025F"/>
    <w:rsid w:val="00D7027B"/>
    <w:rsid w:val="00D702D7"/>
    <w:rsid w:val="00D706F8"/>
    <w:rsid w:val="00D70865"/>
    <w:rsid w:val="00D70D7F"/>
    <w:rsid w:val="00D71625"/>
    <w:rsid w:val="00D71865"/>
    <w:rsid w:val="00D7259B"/>
    <w:rsid w:val="00D737C7"/>
    <w:rsid w:val="00D74EBE"/>
    <w:rsid w:val="00D751F4"/>
    <w:rsid w:val="00D7577E"/>
    <w:rsid w:val="00D765E7"/>
    <w:rsid w:val="00D76880"/>
    <w:rsid w:val="00D76BCC"/>
    <w:rsid w:val="00D76F6D"/>
    <w:rsid w:val="00D772CE"/>
    <w:rsid w:val="00D77C4B"/>
    <w:rsid w:val="00D8032F"/>
    <w:rsid w:val="00D81122"/>
    <w:rsid w:val="00D8129B"/>
    <w:rsid w:val="00D816DC"/>
    <w:rsid w:val="00D81C95"/>
    <w:rsid w:val="00D81CB7"/>
    <w:rsid w:val="00D81D08"/>
    <w:rsid w:val="00D825D8"/>
    <w:rsid w:val="00D825F6"/>
    <w:rsid w:val="00D834C8"/>
    <w:rsid w:val="00D840E9"/>
    <w:rsid w:val="00D84119"/>
    <w:rsid w:val="00D8432F"/>
    <w:rsid w:val="00D84750"/>
    <w:rsid w:val="00D85074"/>
    <w:rsid w:val="00D8566D"/>
    <w:rsid w:val="00D85ADE"/>
    <w:rsid w:val="00D85FE3"/>
    <w:rsid w:val="00D862FD"/>
    <w:rsid w:val="00D8687D"/>
    <w:rsid w:val="00D86960"/>
    <w:rsid w:val="00D869E0"/>
    <w:rsid w:val="00D871C9"/>
    <w:rsid w:val="00D874A6"/>
    <w:rsid w:val="00D87711"/>
    <w:rsid w:val="00D87BE0"/>
    <w:rsid w:val="00D90639"/>
    <w:rsid w:val="00D90C29"/>
    <w:rsid w:val="00D90C3F"/>
    <w:rsid w:val="00D911B4"/>
    <w:rsid w:val="00D91371"/>
    <w:rsid w:val="00D9175C"/>
    <w:rsid w:val="00D92233"/>
    <w:rsid w:val="00D92FC1"/>
    <w:rsid w:val="00D93881"/>
    <w:rsid w:val="00D93EC4"/>
    <w:rsid w:val="00D940B9"/>
    <w:rsid w:val="00D943C7"/>
    <w:rsid w:val="00D94602"/>
    <w:rsid w:val="00D9510A"/>
    <w:rsid w:val="00D959FA"/>
    <w:rsid w:val="00D96217"/>
    <w:rsid w:val="00D962B5"/>
    <w:rsid w:val="00D96856"/>
    <w:rsid w:val="00D96C90"/>
    <w:rsid w:val="00D96CD6"/>
    <w:rsid w:val="00D976F8"/>
    <w:rsid w:val="00D97708"/>
    <w:rsid w:val="00D978CB"/>
    <w:rsid w:val="00D97ED0"/>
    <w:rsid w:val="00DA023B"/>
    <w:rsid w:val="00DA0292"/>
    <w:rsid w:val="00DA047B"/>
    <w:rsid w:val="00DA0486"/>
    <w:rsid w:val="00DA0762"/>
    <w:rsid w:val="00DA08C5"/>
    <w:rsid w:val="00DA0BB3"/>
    <w:rsid w:val="00DA0E96"/>
    <w:rsid w:val="00DA152D"/>
    <w:rsid w:val="00DA16ED"/>
    <w:rsid w:val="00DA1AAD"/>
    <w:rsid w:val="00DA1C62"/>
    <w:rsid w:val="00DA1FED"/>
    <w:rsid w:val="00DA2FFC"/>
    <w:rsid w:val="00DA374A"/>
    <w:rsid w:val="00DA3C05"/>
    <w:rsid w:val="00DA4F14"/>
    <w:rsid w:val="00DA57BC"/>
    <w:rsid w:val="00DA5936"/>
    <w:rsid w:val="00DA7171"/>
    <w:rsid w:val="00DA7B95"/>
    <w:rsid w:val="00DA7BA5"/>
    <w:rsid w:val="00DB058C"/>
    <w:rsid w:val="00DB0910"/>
    <w:rsid w:val="00DB0ACC"/>
    <w:rsid w:val="00DB0E11"/>
    <w:rsid w:val="00DB15E4"/>
    <w:rsid w:val="00DB172F"/>
    <w:rsid w:val="00DB1E3A"/>
    <w:rsid w:val="00DB212C"/>
    <w:rsid w:val="00DB2D35"/>
    <w:rsid w:val="00DB3BAC"/>
    <w:rsid w:val="00DB3E59"/>
    <w:rsid w:val="00DB4562"/>
    <w:rsid w:val="00DB4E67"/>
    <w:rsid w:val="00DB4E9D"/>
    <w:rsid w:val="00DB6001"/>
    <w:rsid w:val="00DB634E"/>
    <w:rsid w:val="00DB6B70"/>
    <w:rsid w:val="00DB70A5"/>
    <w:rsid w:val="00DB7F9F"/>
    <w:rsid w:val="00DC0318"/>
    <w:rsid w:val="00DC03E5"/>
    <w:rsid w:val="00DC0858"/>
    <w:rsid w:val="00DC1264"/>
    <w:rsid w:val="00DC12B8"/>
    <w:rsid w:val="00DC1803"/>
    <w:rsid w:val="00DC19DB"/>
    <w:rsid w:val="00DC1CC2"/>
    <w:rsid w:val="00DC2246"/>
    <w:rsid w:val="00DC28FF"/>
    <w:rsid w:val="00DC2B3F"/>
    <w:rsid w:val="00DC2B6D"/>
    <w:rsid w:val="00DC2F1C"/>
    <w:rsid w:val="00DC305D"/>
    <w:rsid w:val="00DC3104"/>
    <w:rsid w:val="00DC360D"/>
    <w:rsid w:val="00DC43F6"/>
    <w:rsid w:val="00DC4546"/>
    <w:rsid w:val="00DC4C68"/>
    <w:rsid w:val="00DC4CE6"/>
    <w:rsid w:val="00DC5528"/>
    <w:rsid w:val="00DC5562"/>
    <w:rsid w:val="00DC5AFD"/>
    <w:rsid w:val="00DC6120"/>
    <w:rsid w:val="00DC67CF"/>
    <w:rsid w:val="00DC7102"/>
    <w:rsid w:val="00DC733C"/>
    <w:rsid w:val="00DC7577"/>
    <w:rsid w:val="00DC75DA"/>
    <w:rsid w:val="00DC78EF"/>
    <w:rsid w:val="00DC7D9F"/>
    <w:rsid w:val="00DC7F45"/>
    <w:rsid w:val="00DC7FA8"/>
    <w:rsid w:val="00DD0461"/>
    <w:rsid w:val="00DD0D89"/>
    <w:rsid w:val="00DD1422"/>
    <w:rsid w:val="00DD1D74"/>
    <w:rsid w:val="00DD23ED"/>
    <w:rsid w:val="00DD25CA"/>
    <w:rsid w:val="00DD2BD3"/>
    <w:rsid w:val="00DD2BED"/>
    <w:rsid w:val="00DD2F63"/>
    <w:rsid w:val="00DD2F87"/>
    <w:rsid w:val="00DD3073"/>
    <w:rsid w:val="00DD38CD"/>
    <w:rsid w:val="00DD38EA"/>
    <w:rsid w:val="00DD3DA0"/>
    <w:rsid w:val="00DD3E85"/>
    <w:rsid w:val="00DD4D74"/>
    <w:rsid w:val="00DD518C"/>
    <w:rsid w:val="00DD574C"/>
    <w:rsid w:val="00DD58DB"/>
    <w:rsid w:val="00DD59FA"/>
    <w:rsid w:val="00DD613C"/>
    <w:rsid w:val="00DD6940"/>
    <w:rsid w:val="00DD6B2E"/>
    <w:rsid w:val="00DD6CAB"/>
    <w:rsid w:val="00DD70DA"/>
    <w:rsid w:val="00DE036C"/>
    <w:rsid w:val="00DE0966"/>
    <w:rsid w:val="00DE0BD4"/>
    <w:rsid w:val="00DE13A2"/>
    <w:rsid w:val="00DE2B81"/>
    <w:rsid w:val="00DE2C0B"/>
    <w:rsid w:val="00DE2DD0"/>
    <w:rsid w:val="00DE3539"/>
    <w:rsid w:val="00DE3AD2"/>
    <w:rsid w:val="00DE3E12"/>
    <w:rsid w:val="00DE431B"/>
    <w:rsid w:val="00DE4405"/>
    <w:rsid w:val="00DE4C1C"/>
    <w:rsid w:val="00DE4DBF"/>
    <w:rsid w:val="00DE52AF"/>
    <w:rsid w:val="00DE533D"/>
    <w:rsid w:val="00DE54A2"/>
    <w:rsid w:val="00DE5B1B"/>
    <w:rsid w:val="00DE5E99"/>
    <w:rsid w:val="00DE63C0"/>
    <w:rsid w:val="00DE64EA"/>
    <w:rsid w:val="00DE67BD"/>
    <w:rsid w:val="00DE6812"/>
    <w:rsid w:val="00DE6E55"/>
    <w:rsid w:val="00DE7103"/>
    <w:rsid w:val="00DE7704"/>
    <w:rsid w:val="00DE7EBE"/>
    <w:rsid w:val="00DF0168"/>
    <w:rsid w:val="00DF02B4"/>
    <w:rsid w:val="00DF0311"/>
    <w:rsid w:val="00DF0533"/>
    <w:rsid w:val="00DF08E2"/>
    <w:rsid w:val="00DF0AC8"/>
    <w:rsid w:val="00DF1565"/>
    <w:rsid w:val="00DF18E2"/>
    <w:rsid w:val="00DF1F25"/>
    <w:rsid w:val="00DF1FFC"/>
    <w:rsid w:val="00DF2011"/>
    <w:rsid w:val="00DF2563"/>
    <w:rsid w:val="00DF2623"/>
    <w:rsid w:val="00DF2B72"/>
    <w:rsid w:val="00DF2CD4"/>
    <w:rsid w:val="00DF37D4"/>
    <w:rsid w:val="00DF39FE"/>
    <w:rsid w:val="00DF4352"/>
    <w:rsid w:val="00DF4986"/>
    <w:rsid w:val="00DF49CB"/>
    <w:rsid w:val="00DF4AAC"/>
    <w:rsid w:val="00DF4D50"/>
    <w:rsid w:val="00DF50A3"/>
    <w:rsid w:val="00DF50B4"/>
    <w:rsid w:val="00DF54A5"/>
    <w:rsid w:val="00DF59AA"/>
    <w:rsid w:val="00DF6212"/>
    <w:rsid w:val="00DF62DE"/>
    <w:rsid w:val="00DF6574"/>
    <w:rsid w:val="00DF6704"/>
    <w:rsid w:val="00DF6BC1"/>
    <w:rsid w:val="00DF7BC2"/>
    <w:rsid w:val="00E00AE2"/>
    <w:rsid w:val="00E00D5B"/>
    <w:rsid w:val="00E00E8B"/>
    <w:rsid w:val="00E012AA"/>
    <w:rsid w:val="00E01791"/>
    <w:rsid w:val="00E018EE"/>
    <w:rsid w:val="00E01AD7"/>
    <w:rsid w:val="00E020DB"/>
    <w:rsid w:val="00E0280B"/>
    <w:rsid w:val="00E02FEA"/>
    <w:rsid w:val="00E031EF"/>
    <w:rsid w:val="00E0330F"/>
    <w:rsid w:val="00E041E3"/>
    <w:rsid w:val="00E04E04"/>
    <w:rsid w:val="00E055B5"/>
    <w:rsid w:val="00E05A02"/>
    <w:rsid w:val="00E05BE5"/>
    <w:rsid w:val="00E068FF"/>
    <w:rsid w:val="00E069FD"/>
    <w:rsid w:val="00E06CC5"/>
    <w:rsid w:val="00E070AB"/>
    <w:rsid w:val="00E07420"/>
    <w:rsid w:val="00E0792A"/>
    <w:rsid w:val="00E07ACC"/>
    <w:rsid w:val="00E07C44"/>
    <w:rsid w:val="00E07CF5"/>
    <w:rsid w:val="00E106D6"/>
    <w:rsid w:val="00E1198C"/>
    <w:rsid w:val="00E11E0B"/>
    <w:rsid w:val="00E11FB2"/>
    <w:rsid w:val="00E12E93"/>
    <w:rsid w:val="00E1376D"/>
    <w:rsid w:val="00E138F4"/>
    <w:rsid w:val="00E13B4B"/>
    <w:rsid w:val="00E13BF0"/>
    <w:rsid w:val="00E142AD"/>
    <w:rsid w:val="00E144F7"/>
    <w:rsid w:val="00E14513"/>
    <w:rsid w:val="00E14C3F"/>
    <w:rsid w:val="00E14E98"/>
    <w:rsid w:val="00E15243"/>
    <w:rsid w:val="00E1531E"/>
    <w:rsid w:val="00E1559B"/>
    <w:rsid w:val="00E15668"/>
    <w:rsid w:val="00E15EE2"/>
    <w:rsid w:val="00E16033"/>
    <w:rsid w:val="00E16CD0"/>
    <w:rsid w:val="00E16D51"/>
    <w:rsid w:val="00E1703B"/>
    <w:rsid w:val="00E174F4"/>
    <w:rsid w:val="00E2006B"/>
    <w:rsid w:val="00E202F2"/>
    <w:rsid w:val="00E20896"/>
    <w:rsid w:val="00E21080"/>
    <w:rsid w:val="00E210D9"/>
    <w:rsid w:val="00E21E58"/>
    <w:rsid w:val="00E22905"/>
    <w:rsid w:val="00E22EAD"/>
    <w:rsid w:val="00E23F36"/>
    <w:rsid w:val="00E24267"/>
    <w:rsid w:val="00E24595"/>
    <w:rsid w:val="00E24750"/>
    <w:rsid w:val="00E24EEE"/>
    <w:rsid w:val="00E2541C"/>
    <w:rsid w:val="00E2571B"/>
    <w:rsid w:val="00E25F72"/>
    <w:rsid w:val="00E26229"/>
    <w:rsid w:val="00E26A20"/>
    <w:rsid w:val="00E27C95"/>
    <w:rsid w:val="00E27DAB"/>
    <w:rsid w:val="00E27E60"/>
    <w:rsid w:val="00E30438"/>
    <w:rsid w:val="00E307E3"/>
    <w:rsid w:val="00E3095A"/>
    <w:rsid w:val="00E30A51"/>
    <w:rsid w:val="00E3121B"/>
    <w:rsid w:val="00E31625"/>
    <w:rsid w:val="00E3290B"/>
    <w:rsid w:val="00E331C3"/>
    <w:rsid w:val="00E338BC"/>
    <w:rsid w:val="00E33DEA"/>
    <w:rsid w:val="00E341B6"/>
    <w:rsid w:val="00E3426A"/>
    <w:rsid w:val="00E3458B"/>
    <w:rsid w:val="00E34C79"/>
    <w:rsid w:val="00E353AF"/>
    <w:rsid w:val="00E35893"/>
    <w:rsid w:val="00E3597C"/>
    <w:rsid w:val="00E35F2F"/>
    <w:rsid w:val="00E36976"/>
    <w:rsid w:val="00E36E47"/>
    <w:rsid w:val="00E3713F"/>
    <w:rsid w:val="00E37B82"/>
    <w:rsid w:val="00E37C6B"/>
    <w:rsid w:val="00E37FB8"/>
    <w:rsid w:val="00E40EA0"/>
    <w:rsid w:val="00E40FDB"/>
    <w:rsid w:val="00E4125C"/>
    <w:rsid w:val="00E414FD"/>
    <w:rsid w:val="00E4175F"/>
    <w:rsid w:val="00E41920"/>
    <w:rsid w:val="00E4249A"/>
    <w:rsid w:val="00E440BB"/>
    <w:rsid w:val="00E44169"/>
    <w:rsid w:val="00E44611"/>
    <w:rsid w:val="00E446A6"/>
    <w:rsid w:val="00E44B42"/>
    <w:rsid w:val="00E46769"/>
    <w:rsid w:val="00E46934"/>
    <w:rsid w:val="00E4755C"/>
    <w:rsid w:val="00E4783A"/>
    <w:rsid w:val="00E47F84"/>
    <w:rsid w:val="00E50E6F"/>
    <w:rsid w:val="00E51ECB"/>
    <w:rsid w:val="00E5216F"/>
    <w:rsid w:val="00E52182"/>
    <w:rsid w:val="00E52ABA"/>
    <w:rsid w:val="00E53E8B"/>
    <w:rsid w:val="00E542BD"/>
    <w:rsid w:val="00E54AF9"/>
    <w:rsid w:val="00E5515A"/>
    <w:rsid w:val="00E55441"/>
    <w:rsid w:val="00E555BC"/>
    <w:rsid w:val="00E562C1"/>
    <w:rsid w:val="00E5692A"/>
    <w:rsid w:val="00E56CFC"/>
    <w:rsid w:val="00E56F70"/>
    <w:rsid w:val="00E57349"/>
    <w:rsid w:val="00E601CE"/>
    <w:rsid w:val="00E601F6"/>
    <w:rsid w:val="00E602B0"/>
    <w:rsid w:val="00E606F1"/>
    <w:rsid w:val="00E60921"/>
    <w:rsid w:val="00E60984"/>
    <w:rsid w:val="00E60BDE"/>
    <w:rsid w:val="00E60C11"/>
    <w:rsid w:val="00E60E4B"/>
    <w:rsid w:val="00E60FAD"/>
    <w:rsid w:val="00E61047"/>
    <w:rsid w:val="00E6111D"/>
    <w:rsid w:val="00E61749"/>
    <w:rsid w:val="00E61B3A"/>
    <w:rsid w:val="00E61D3B"/>
    <w:rsid w:val="00E62034"/>
    <w:rsid w:val="00E62061"/>
    <w:rsid w:val="00E6299A"/>
    <w:rsid w:val="00E62B6D"/>
    <w:rsid w:val="00E62C84"/>
    <w:rsid w:val="00E62CA8"/>
    <w:rsid w:val="00E639FF"/>
    <w:rsid w:val="00E6481E"/>
    <w:rsid w:val="00E64DD2"/>
    <w:rsid w:val="00E64DE0"/>
    <w:rsid w:val="00E654C3"/>
    <w:rsid w:val="00E656CC"/>
    <w:rsid w:val="00E65ADA"/>
    <w:rsid w:val="00E660D9"/>
    <w:rsid w:val="00E660F7"/>
    <w:rsid w:val="00E66FA3"/>
    <w:rsid w:val="00E672E3"/>
    <w:rsid w:val="00E673FC"/>
    <w:rsid w:val="00E6778F"/>
    <w:rsid w:val="00E7010E"/>
    <w:rsid w:val="00E70916"/>
    <w:rsid w:val="00E71249"/>
    <w:rsid w:val="00E7169F"/>
    <w:rsid w:val="00E71C0F"/>
    <w:rsid w:val="00E72178"/>
    <w:rsid w:val="00E72AC5"/>
    <w:rsid w:val="00E72ACC"/>
    <w:rsid w:val="00E72CC9"/>
    <w:rsid w:val="00E72CEA"/>
    <w:rsid w:val="00E732A5"/>
    <w:rsid w:val="00E732B5"/>
    <w:rsid w:val="00E733FC"/>
    <w:rsid w:val="00E73D1E"/>
    <w:rsid w:val="00E7478D"/>
    <w:rsid w:val="00E74D93"/>
    <w:rsid w:val="00E75CD1"/>
    <w:rsid w:val="00E7699A"/>
    <w:rsid w:val="00E76DDB"/>
    <w:rsid w:val="00E777DC"/>
    <w:rsid w:val="00E77B42"/>
    <w:rsid w:val="00E77D34"/>
    <w:rsid w:val="00E80034"/>
    <w:rsid w:val="00E80952"/>
    <w:rsid w:val="00E80EB3"/>
    <w:rsid w:val="00E81197"/>
    <w:rsid w:val="00E811D2"/>
    <w:rsid w:val="00E811FF"/>
    <w:rsid w:val="00E8129A"/>
    <w:rsid w:val="00E81550"/>
    <w:rsid w:val="00E8156E"/>
    <w:rsid w:val="00E81AF6"/>
    <w:rsid w:val="00E81E04"/>
    <w:rsid w:val="00E81FC4"/>
    <w:rsid w:val="00E82BC6"/>
    <w:rsid w:val="00E82F3E"/>
    <w:rsid w:val="00E83091"/>
    <w:rsid w:val="00E831BF"/>
    <w:rsid w:val="00E8360F"/>
    <w:rsid w:val="00E836C7"/>
    <w:rsid w:val="00E83D8E"/>
    <w:rsid w:val="00E83DE7"/>
    <w:rsid w:val="00E8426C"/>
    <w:rsid w:val="00E843B1"/>
    <w:rsid w:val="00E84937"/>
    <w:rsid w:val="00E84AA8"/>
    <w:rsid w:val="00E86458"/>
    <w:rsid w:val="00E86971"/>
    <w:rsid w:val="00E869BF"/>
    <w:rsid w:val="00E86F68"/>
    <w:rsid w:val="00E87157"/>
    <w:rsid w:val="00E87E45"/>
    <w:rsid w:val="00E90680"/>
    <w:rsid w:val="00E91074"/>
    <w:rsid w:val="00E915A0"/>
    <w:rsid w:val="00E91935"/>
    <w:rsid w:val="00E91B78"/>
    <w:rsid w:val="00E91CDC"/>
    <w:rsid w:val="00E91DFD"/>
    <w:rsid w:val="00E92B37"/>
    <w:rsid w:val="00E931B4"/>
    <w:rsid w:val="00E936A3"/>
    <w:rsid w:val="00E93707"/>
    <w:rsid w:val="00E93925"/>
    <w:rsid w:val="00E939C9"/>
    <w:rsid w:val="00E947F1"/>
    <w:rsid w:val="00E94A94"/>
    <w:rsid w:val="00E9545C"/>
    <w:rsid w:val="00E95644"/>
    <w:rsid w:val="00E95A66"/>
    <w:rsid w:val="00E95CB0"/>
    <w:rsid w:val="00E95FEE"/>
    <w:rsid w:val="00E96361"/>
    <w:rsid w:val="00E96421"/>
    <w:rsid w:val="00E96446"/>
    <w:rsid w:val="00E9662F"/>
    <w:rsid w:val="00E96B1D"/>
    <w:rsid w:val="00E97343"/>
    <w:rsid w:val="00E97422"/>
    <w:rsid w:val="00E975B1"/>
    <w:rsid w:val="00E976CA"/>
    <w:rsid w:val="00E97A09"/>
    <w:rsid w:val="00E97DFB"/>
    <w:rsid w:val="00E97EDD"/>
    <w:rsid w:val="00EA017D"/>
    <w:rsid w:val="00EA0BD4"/>
    <w:rsid w:val="00EA0CC6"/>
    <w:rsid w:val="00EA0CE9"/>
    <w:rsid w:val="00EA147B"/>
    <w:rsid w:val="00EA1A59"/>
    <w:rsid w:val="00EA1D7C"/>
    <w:rsid w:val="00EA1D86"/>
    <w:rsid w:val="00EA1EC2"/>
    <w:rsid w:val="00EA210A"/>
    <w:rsid w:val="00EA2E3D"/>
    <w:rsid w:val="00EA2F8D"/>
    <w:rsid w:val="00EA3855"/>
    <w:rsid w:val="00EA3D73"/>
    <w:rsid w:val="00EA430C"/>
    <w:rsid w:val="00EA4400"/>
    <w:rsid w:val="00EA4648"/>
    <w:rsid w:val="00EA51AD"/>
    <w:rsid w:val="00EA5656"/>
    <w:rsid w:val="00EA5E44"/>
    <w:rsid w:val="00EA6076"/>
    <w:rsid w:val="00EA61B3"/>
    <w:rsid w:val="00EA63F6"/>
    <w:rsid w:val="00EA6A70"/>
    <w:rsid w:val="00EA6C44"/>
    <w:rsid w:val="00EA6CA2"/>
    <w:rsid w:val="00EA6D35"/>
    <w:rsid w:val="00EA6E81"/>
    <w:rsid w:val="00EA719A"/>
    <w:rsid w:val="00EA71C3"/>
    <w:rsid w:val="00EA777B"/>
    <w:rsid w:val="00EA7DA6"/>
    <w:rsid w:val="00EB057B"/>
    <w:rsid w:val="00EB07AF"/>
    <w:rsid w:val="00EB09AF"/>
    <w:rsid w:val="00EB0E26"/>
    <w:rsid w:val="00EB17CF"/>
    <w:rsid w:val="00EB1A34"/>
    <w:rsid w:val="00EB203A"/>
    <w:rsid w:val="00EB21CF"/>
    <w:rsid w:val="00EB290E"/>
    <w:rsid w:val="00EB316F"/>
    <w:rsid w:val="00EB3539"/>
    <w:rsid w:val="00EB3843"/>
    <w:rsid w:val="00EB3A1F"/>
    <w:rsid w:val="00EB3CDD"/>
    <w:rsid w:val="00EB3FCD"/>
    <w:rsid w:val="00EB408B"/>
    <w:rsid w:val="00EB4167"/>
    <w:rsid w:val="00EB448B"/>
    <w:rsid w:val="00EB48C9"/>
    <w:rsid w:val="00EB4B24"/>
    <w:rsid w:val="00EB4F9E"/>
    <w:rsid w:val="00EB4FAD"/>
    <w:rsid w:val="00EB5CC7"/>
    <w:rsid w:val="00EB6159"/>
    <w:rsid w:val="00EB6C7F"/>
    <w:rsid w:val="00EB6D2B"/>
    <w:rsid w:val="00EB6E21"/>
    <w:rsid w:val="00EB6F17"/>
    <w:rsid w:val="00EB7293"/>
    <w:rsid w:val="00EB73DD"/>
    <w:rsid w:val="00EB7737"/>
    <w:rsid w:val="00EB780F"/>
    <w:rsid w:val="00EB7B06"/>
    <w:rsid w:val="00EC04A5"/>
    <w:rsid w:val="00EC11FF"/>
    <w:rsid w:val="00EC1770"/>
    <w:rsid w:val="00EC1855"/>
    <w:rsid w:val="00EC1AB9"/>
    <w:rsid w:val="00EC1E2C"/>
    <w:rsid w:val="00EC24CD"/>
    <w:rsid w:val="00EC2E16"/>
    <w:rsid w:val="00EC2FEE"/>
    <w:rsid w:val="00EC3A2A"/>
    <w:rsid w:val="00EC3E66"/>
    <w:rsid w:val="00EC4A77"/>
    <w:rsid w:val="00EC4E07"/>
    <w:rsid w:val="00EC4E7B"/>
    <w:rsid w:val="00EC5392"/>
    <w:rsid w:val="00EC546D"/>
    <w:rsid w:val="00EC576A"/>
    <w:rsid w:val="00EC5A7E"/>
    <w:rsid w:val="00EC5D49"/>
    <w:rsid w:val="00EC605D"/>
    <w:rsid w:val="00EC617D"/>
    <w:rsid w:val="00EC6CED"/>
    <w:rsid w:val="00EC6D55"/>
    <w:rsid w:val="00EC6F1D"/>
    <w:rsid w:val="00EC7265"/>
    <w:rsid w:val="00EC726D"/>
    <w:rsid w:val="00EC74DD"/>
    <w:rsid w:val="00EC791D"/>
    <w:rsid w:val="00EC7A2E"/>
    <w:rsid w:val="00EC7E35"/>
    <w:rsid w:val="00ED0BF2"/>
    <w:rsid w:val="00ED13B5"/>
    <w:rsid w:val="00ED22B3"/>
    <w:rsid w:val="00ED2411"/>
    <w:rsid w:val="00ED2566"/>
    <w:rsid w:val="00ED2892"/>
    <w:rsid w:val="00ED2BA6"/>
    <w:rsid w:val="00ED2BE0"/>
    <w:rsid w:val="00ED2CA5"/>
    <w:rsid w:val="00ED348B"/>
    <w:rsid w:val="00ED3B04"/>
    <w:rsid w:val="00ED40AC"/>
    <w:rsid w:val="00ED42D1"/>
    <w:rsid w:val="00ED468E"/>
    <w:rsid w:val="00ED4A5C"/>
    <w:rsid w:val="00ED4BAD"/>
    <w:rsid w:val="00ED4CCD"/>
    <w:rsid w:val="00ED4D43"/>
    <w:rsid w:val="00ED4E47"/>
    <w:rsid w:val="00ED5462"/>
    <w:rsid w:val="00ED5E91"/>
    <w:rsid w:val="00ED5EB1"/>
    <w:rsid w:val="00ED6286"/>
    <w:rsid w:val="00ED6840"/>
    <w:rsid w:val="00ED6988"/>
    <w:rsid w:val="00ED6C4D"/>
    <w:rsid w:val="00ED735A"/>
    <w:rsid w:val="00ED74BC"/>
    <w:rsid w:val="00ED7798"/>
    <w:rsid w:val="00ED7B79"/>
    <w:rsid w:val="00ED7D95"/>
    <w:rsid w:val="00ED7F5D"/>
    <w:rsid w:val="00EE010A"/>
    <w:rsid w:val="00EE07DD"/>
    <w:rsid w:val="00EE0B4C"/>
    <w:rsid w:val="00EE0C40"/>
    <w:rsid w:val="00EE0CBA"/>
    <w:rsid w:val="00EE0FE9"/>
    <w:rsid w:val="00EE1299"/>
    <w:rsid w:val="00EE1326"/>
    <w:rsid w:val="00EE1602"/>
    <w:rsid w:val="00EE18AA"/>
    <w:rsid w:val="00EE1AE1"/>
    <w:rsid w:val="00EE2267"/>
    <w:rsid w:val="00EE25F6"/>
    <w:rsid w:val="00EE27D5"/>
    <w:rsid w:val="00EE2F4B"/>
    <w:rsid w:val="00EE2FA0"/>
    <w:rsid w:val="00EE32FB"/>
    <w:rsid w:val="00EE3348"/>
    <w:rsid w:val="00EE3AA9"/>
    <w:rsid w:val="00EE3D86"/>
    <w:rsid w:val="00EE3E1E"/>
    <w:rsid w:val="00EE3EEF"/>
    <w:rsid w:val="00EE3F42"/>
    <w:rsid w:val="00EE400A"/>
    <w:rsid w:val="00EE45B9"/>
    <w:rsid w:val="00EE45DD"/>
    <w:rsid w:val="00EE5930"/>
    <w:rsid w:val="00EE5D9B"/>
    <w:rsid w:val="00EE5EB4"/>
    <w:rsid w:val="00EE5FD6"/>
    <w:rsid w:val="00EE7615"/>
    <w:rsid w:val="00EE7848"/>
    <w:rsid w:val="00EE7BD8"/>
    <w:rsid w:val="00EE7C9B"/>
    <w:rsid w:val="00EF057F"/>
    <w:rsid w:val="00EF0A51"/>
    <w:rsid w:val="00EF0A7D"/>
    <w:rsid w:val="00EF185E"/>
    <w:rsid w:val="00EF189B"/>
    <w:rsid w:val="00EF1D55"/>
    <w:rsid w:val="00EF2607"/>
    <w:rsid w:val="00EF266F"/>
    <w:rsid w:val="00EF2719"/>
    <w:rsid w:val="00EF296D"/>
    <w:rsid w:val="00EF2970"/>
    <w:rsid w:val="00EF2D42"/>
    <w:rsid w:val="00EF4441"/>
    <w:rsid w:val="00EF5226"/>
    <w:rsid w:val="00EF5268"/>
    <w:rsid w:val="00EF571F"/>
    <w:rsid w:val="00EF57B4"/>
    <w:rsid w:val="00EF5CAB"/>
    <w:rsid w:val="00EF5D7E"/>
    <w:rsid w:val="00EF744C"/>
    <w:rsid w:val="00F00D6E"/>
    <w:rsid w:val="00F00F13"/>
    <w:rsid w:val="00F01098"/>
    <w:rsid w:val="00F0151F"/>
    <w:rsid w:val="00F02B13"/>
    <w:rsid w:val="00F03DE5"/>
    <w:rsid w:val="00F04A74"/>
    <w:rsid w:val="00F05247"/>
    <w:rsid w:val="00F05289"/>
    <w:rsid w:val="00F057D5"/>
    <w:rsid w:val="00F05848"/>
    <w:rsid w:val="00F05F34"/>
    <w:rsid w:val="00F06311"/>
    <w:rsid w:val="00F0633B"/>
    <w:rsid w:val="00F06F38"/>
    <w:rsid w:val="00F07949"/>
    <w:rsid w:val="00F07B46"/>
    <w:rsid w:val="00F07B7F"/>
    <w:rsid w:val="00F07B94"/>
    <w:rsid w:val="00F102B9"/>
    <w:rsid w:val="00F106FB"/>
    <w:rsid w:val="00F10783"/>
    <w:rsid w:val="00F1190B"/>
    <w:rsid w:val="00F11ADC"/>
    <w:rsid w:val="00F11C23"/>
    <w:rsid w:val="00F120E9"/>
    <w:rsid w:val="00F122FA"/>
    <w:rsid w:val="00F12B05"/>
    <w:rsid w:val="00F13178"/>
    <w:rsid w:val="00F1359F"/>
    <w:rsid w:val="00F13966"/>
    <w:rsid w:val="00F13DE6"/>
    <w:rsid w:val="00F142D8"/>
    <w:rsid w:val="00F147DB"/>
    <w:rsid w:val="00F15A28"/>
    <w:rsid w:val="00F15BA4"/>
    <w:rsid w:val="00F15D2B"/>
    <w:rsid w:val="00F16D15"/>
    <w:rsid w:val="00F16F32"/>
    <w:rsid w:val="00F17376"/>
    <w:rsid w:val="00F175D7"/>
    <w:rsid w:val="00F179D7"/>
    <w:rsid w:val="00F17BB7"/>
    <w:rsid w:val="00F202C0"/>
    <w:rsid w:val="00F204B0"/>
    <w:rsid w:val="00F20A5C"/>
    <w:rsid w:val="00F219AB"/>
    <w:rsid w:val="00F21B6F"/>
    <w:rsid w:val="00F21D30"/>
    <w:rsid w:val="00F22874"/>
    <w:rsid w:val="00F235FE"/>
    <w:rsid w:val="00F23906"/>
    <w:rsid w:val="00F24393"/>
    <w:rsid w:val="00F24E6A"/>
    <w:rsid w:val="00F25D07"/>
    <w:rsid w:val="00F25D60"/>
    <w:rsid w:val="00F25FE1"/>
    <w:rsid w:val="00F2657C"/>
    <w:rsid w:val="00F26A4F"/>
    <w:rsid w:val="00F26AE2"/>
    <w:rsid w:val="00F27C01"/>
    <w:rsid w:val="00F301B3"/>
    <w:rsid w:val="00F306D3"/>
    <w:rsid w:val="00F307A8"/>
    <w:rsid w:val="00F315B3"/>
    <w:rsid w:val="00F32173"/>
    <w:rsid w:val="00F3249B"/>
    <w:rsid w:val="00F32740"/>
    <w:rsid w:val="00F33264"/>
    <w:rsid w:val="00F33673"/>
    <w:rsid w:val="00F33770"/>
    <w:rsid w:val="00F33CEB"/>
    <w:rsid w:val="00F34228"/>
    <w:rsid w:val="00F3461E"/>
    <w:rsid w:val="00F348DE"/>
    <w:rsid w:val="00F34B0B"/>
    <w:rsid w:val="00F3520A"/>
    <w:rsid w:val="00F35E48"/>
    <w:rsid w:val="00F3686F"/>
    <w:rsid w:val="00F36EB8"/>
    <w:rsid w:val="00F3703C"/>
    <w:rsid w:val="00F372AF"/>
    <w:rsid w:val="00F37F40"/>
    <w:rsid w:val="00F40F3D"/>
    <w:rsid w:val="00F41751"/>
    <w:rsid w:val="00F418EF"/>
    <w:rsid w:val="00F41911"/>
    <w:rsid w:val="00F419B0"/>
    <w:rsid w:val="00F421BE"/>
    <w:rsid w:val="00F424F9"/>
    <w:rsid w:val="00F42F3E"/>
    <w:rsid w:val="00F44362"/>
    <w:rsid w:val="00F44380"/>
    <w:rsid w:val="00F44498"/>
    <w:rsid w:val="00F4463E"/>
    <w:rsid w:val="00F44BE4"/>
    <w:rsid w:val="00F44C96"/>
    <w:rsid w:val="00F45233"/>
    <w:rsid w:val="00F47025"/>
    <w:rsid w:val="00F4744C"/>
    <w:rsid w:val="00F4761D"/>
    <w:rsid w:val="00F477A1"/>
    <w:rsid w:val="00F47B80"/>
    <w:rsid w:val="00F47CBF"/>
    <w:rsid w:val="00F50A51"/>
    <w:rsid w:val="00F50B92"/>
    <w:rsid w:val="00F50D2E"/>
    <w:rsid w:val="00F50F61"/>
    <w:rsid w:val="00F514B4"/>
    <w:rsid w:val="00F51BE3"/>
    <w:rsid w:val="00F51E28"/>
    <w:rsid w:val="00F51FAF"/>
    <w:rsid w:val="00F521B9"/>
    <w:rsid w:val="00F52A4F"/>
    <w:rsid w:val="00F52B3A"/>
    <w:rsid w:val="00F52D1C"/>
    <w:rsid w:val="00F534E1"/>
    <w:rsid w:val="00F53D7B"/>
    <w:rsid w:val="00F53DAC"/>
    <w:rsid w:val="00F53E70"/>
    <w:rsid w:val="00F54B1E"/>
    <w:rsid w:val="00F54C4C"/>
    <w:rsid w:val="00F5520B"/>
    <w:rsid w:val="00F556BB"/>
    <w:rsid w:val="00F55BE7"/>
    <w:rsid w:val="00F56061"/>
    <w:rsid w:val="00F56308"/>
    <w:rsid w:val="00F56F58"/>
    <w:rsid w:val="00F57F4C"/>
    <w:rsid w:val="00F60EE4"/>
    <w:rsid w:val="00F61118"/>
    <w:rsid w:val="00F61B22"/>
    <w:rsid w:val="00F61C2F"/>
    <w:rsid w:val="00F61F2D"/>
    <w:rsid w:val="00F6270B"/>
    <w:rsid w:val="00F62B80"/>
    <w:rsid w:val="00F62DBA"/>
    <w:rsid w:val="00F630EF"/>
    <w:rsid w:val="00F632D2"/>
    <w:rsid w:val="00F63567"/>
    <w:rsid w:val="00F64030"/>
    <w:rsid w:val="00F642B7"/>
    <w:rsid w:val="00F647FC"/>
    <w:rsid w:val="00F64EED"/>
    <w:rsid w:val="00F658B9"/>
    <w:rsid w:val="00F65FB3"/>
    <w:rsid w:val="00F66290"/>
    <w:rsid w:val="00F662E8"/>
    <w:rsid w:val="00F664BE"/>
    <w:rsid w:val="00F66BFE"/>
    <w:rsid w:val="00F66E39"/>
    <w:rsid w:val="00F66EBB"/>
    <w:rsid w:val="00F67232"/>
    <w:rsid w:val="00F67521"/>
    <w:rsid w:val="00F67C64"/>
    <w:rsid w:val="00F70042"/>
    <w:rsid w:val="00F703A8"/>
    <w:rsid w:val="00F70550"/>
    <w:rsid w:val="00F70E31"/>
    <w:rsid w:val="00F71101"/>
    <w:rsid w:val="00F7205B"/>
    <w:rsid w:val="00F72333"/>
    <w:rsid w:val="00F72381"/>
    <w:rsid w:val="00F72C8F"/>
    <w:rsid w:val="00F72D43"/>
    <w:rsid w:val="00F732A4"/>
    <w:rsid w:val="00F7369B"/>
    <w:rsid w:val="00F738B1"/>
    <w:rsid w:val="00F748CF"/>
    <w:rsid w:val="00F754AB"/>
    <w:rsid w:val="00F759D6"/>
    <w:rsid w:val="00F7624B"/>
    <w:rsid w:val="00F7765D"/>
    <w:rsid w:val="00F776B4"/>
    <w:rsid w:val="00F77780"/>
    <w:rsid w:val="00F779F3"/>
    <w:rsid w:val="00F80A1F"/>
    <w:rsid w:val="00F80C39"/>
    <w:rsid w:val="00F80E09"/>
    <w:rsid w:val="00F811D4"/>
    <w:rsid w:val="00F81373"/>
    <w:rsid w:val="00F81621"/>
    <w:rsid w:val="00F8178E"/>
    <w:rsid w:val="00F81955"/>
    <w:rsid w:val="00F8196B"/>
    <w:rsid w:val="00F82200"/>
    <w:rsid w:val="00F823C0"/>
    <w:rsid w:val="00F82572"/>
    <w:rsid w:val="00F82BD0"/>
    <w:rsid w:val="00F82C0B"/>
    <w:rsid w:val="00F82CA7"/>
    <w:rsid w:val="00F82E76"/>
    <w:rsid w:val="00F83428"/>
    <w:rsid w:val="00F8396B"/>
    <w:rsid w:val="00F8430E"/>
    <w:rsid w:val="00F84587"/>
    <w:rsid w:val="00F8462B"/>
    <w:rsid w:val="00F84759"/>
    <w:rsid w:val="00F84818"/>
    <w:rsid w:val="00F8497D"/>
    <w:rsid w:val="00F852E2"/>
    <w:rsid w:val="00F8568A"/>
    <w:rsid w:val="00F861F5"/>
    <w:rsid w:val="00F8687B"/>
    <w:rsid w:val="00F86F35"/>
    <w:rsid w:val="00F871AB"/>
    <w:rsid w:val="00F87A39"/>
    <w:rsid w:val="00F87BBE"/>
    <w:rsid w:val="00F9002A"/>
    <w:rsid w:val="00F90B4E"/>
    <w:rsid w:val="00F90FE5"/>
    <w:rsid w:val="00F91A44"/>
    <w:rsid w:val="00F92AA6"/>
    <w:rsid w:val="00F933E1"/>
    <w:rsid w:val="00F9393F"/>
    <w:rsid w:val="00F93979"/>
    <w:rsid w:val="00F93FE1"/>
    <w:rsid w:val="00F94003"/>
    <w:rsid w:val="00F94005"/>
    <w:rsid w:val="00F94009"/>
    <w:rsid w:val="00F94022"/>
    <w:rsid w:val="00F944BB"/>
    <w:rsid w:val="00F94942"/>
    <w:rsid w:val="00F94B88"/>
    <w:rsid w:val="00F9553A"/>
    <w:rsid w:val="00F955D4"/>
    <w:rsid w:val="00F9562C"/>
    <w:rsid w:val="00F95C60"/>
    <w:rsid w:val="00F962B6"/>
    <w:rsid w:val="00F967E4"/>
    <w:rsid w:val="00F96C57"/>
    <w:rsid w:val="00F96FA9"/>
    <w:rsid w:val="00F9767D"/>
    <w:rsid w:val="00F9799A"/>
    <w:rsid w:val="00FA01AF"/>
    <w:rsid w:val="00FA0AA7"/>
    <w:rsid w:val="00FA0C3F"/>
    <w:rsid w:val="00FA0E36"/>
    <w:rsid w:val="00FA0F1D"/>
    <w:rsid w:val="00FA0F20"/>
    <w:rsid w:val="00FA10CA"/>
    <w:rsid w:val="00FA10D7"/>
    <w:rsid w:val="00FA1331"/>
    <w:rsid w:val="00FA173C"/>
    <w:rsid w:val="00FA22BF"/>
    <w:rsid w:val="00FA22DD"/>
    <w:rsid w:val="00FA2325"/>
    <w:rsid w:val="00FA29F0"/>
    <w:rsid w:val="00FA2C2F"/>
    <w:rsid w:val="00FA2E9A"/>
    <w:rsid w:val="00FA3C4E"/>
    <w:rsid w:val="00FA3DC2"/>
    <w:rsid w:val="00FA4B6E"/>
    <w:rsid w:val="00FA4C70"/>
    <w:rsid w:val="00FA5210"/>
    <w:rsid w:val="00FA54D6"/>
    <w:rsid w:val="00FA5AB0"/>
    <w:rsid w:val="00FA5BEF"/>
    <w:rsid w:val="00FA5C0F"/>
    <w:rsid w:val="00FA5FE7"/>
    <w:rsid w:val="00FA6457"/>
    <w:rsid w:val="00FA6979"/>
    <w:rsid w:val="00FA70A8"/>
    <w:rsid w:val="00FA729C"/>
    <w:rsid w:val="00FA7949"/>
    <w:rsid w:val="00FA7A83"/>
    <w:rsid w:val="00FA7B53"/>
    <w:rsid w:val="00FA7C58"/>
    <w:rsid w:val="00FA7C85"/>
    <w:rsid w:val="00FB0136"/>
    <w:rsid w:val="00FB0C89"/>
    <w:rsid w:val="00FB0D05"/>
    <w:rsid w:val="00FB0D49"/>
    <w:rsid w:val="00FB0ED9"/>
    <w:rsid w:val="00FB1863"/>
    <w:rsid w:val="00FB1891"/>
    <w:rsid w:val="00FB1AF0"/>
    <w:rsid w:val="00FB1D07"/>
    <w:rsid w:val="00FB23D6"/>
    <w:rsid w:val="00FB2504"/>
    <w:rsid w:val="00FB256E"/>
    <w:rsid w:val="00FB25D4"/>
    <w:rsid w:val="00FB2BD5"/>
    <w:rsid w:val="00FB2D69"/>
    <w:rsid w:val="00FB2F8C"/>
    <w:rsid w:val="00FB32AF"/>
    <w:rsid w:val="00FB3460"/>
    <w:rsid w:val="00FB382A"/>
    <w:rsid w:val="00FB3DD9"/>
    <w:rsid w:val="00FB400F"/>
    <w:rsid w:val="00FB422D"/>
    <w:rsid w:val="00FB42E9"/>
    <w:rsid w:val="00FB44E3"/>
    <w:rsid w:val="00FB452F"/>
    <w:rsid w:val="00FB4680"/>
    <w:rsid w:val="00FB49FD"/>
    <w:rsid w:val="00FB4C30"/>
    <w:rsid w:val="00FB4DC6"/>
    <w:rsid w:val="00FB5381"/>
    <w:rsid w:val="00FB5518"/>
    <w:rsid w:val="00FB5E3F"/>
    <w:rsid w:val="00FB66B0"/>
    <w:rsid w:val="00FB6EA9"/>
    <w:rsid w:val="00FB777D"/>
    <w:rsid w:val="00FB7C93"/>
    <w:rsid w:val="00FB7E44"/>
    <w:rsid w:val="00FC001D"/>
    <w:rsid w:val="00FC04FE"/>
    <w:rsid w:val="00FC06A4"/>
    <w:rsid w:val="00FC0754"/>
    <w:rsid w:val="00FC0DD2"/>
    <w:rsid w:val="00FC0FCE"/>
    <w:rsid w:val="00FC1F11"/>
    <w:rsid w:val="00FC20C6"/>
    <w:rsid w:val="00FC235B"/>
    <w:rsid w:val="00FC24E8"/>
    <w:rsid w:val="00FC25F7"/>
    <w:rsid w:val="00FC299E"/>
    <w:rsid w:val="00FC31D8"/>
    <w:rsid w:val="00FC3F4B"/>
    <w:rsid w:val="00FC4376"/>
    <w:rsid w:val="00FC43A9"/>
    <w:rsid w:val="00FC4BEB"/>
    <w:rsid w:val="00FC53C6"/>
    <w:rsid w:val="00FC6AC4"/>
    <w:rsid w:val="00FC6E51"/>
    <w:rsid w:val="00FC71D4"/>
    <w:rsid w:val="00FC73E5"/>
    <w:rsid w:val="00FC7655"/>
    <w:rsid w:val="00FC7700"/>
    <w:rsid w:val="00FC7853"/>
    <w:rsid w:val="00FD0FC9"/>
    <w:rsid w:val="00FD130D"/>
    <w:rsid w:val="00FD2BF0"/>
    <w:rsid w:val="00FD315E"/>
    <w:rsid w:val="00FD3B41"/>
    <w:rsid w:val="00FD3B53"/>
    <w:rsid w:val="00FD3E8C"/>
    <w:rsid w:val="00FD3EAE"/>
    <w:rsid w:val="00FD3F4E"/>
    <w:rsid w:val="00FD4500"/>
    <w:rsid w:val="00FD48B0"/>
    <w:rsid w:val="00FD515A"/>
    <w:rsid w:val="00FD51DF"/>
    <w:rsid w:val="00FD5DA2"/>
    <w:rsid w:val="00FD5F03"/>
    <w:rsid w:val="00FD6451"/>
    <w:rsid w:val="00FD6EC2"/>
    <w:rsid w:val="00FD7746"/>
    <w:rsid w:val="00FD79F9"/>
    <w:rsid w:val="00FD7E12"/>
    <w:rsid w:val="00FE00BB"/>
    <w:rsid w:val="00FE08DC"/>
    <w:rsid w:val="00FE11E6"/>
    <w:rsid w:val="00FE12E6"/>
    <w:rsid w:val="00FE16D7"/>
    <w:rsid w:val="00FE1776"/>
    <w:rsid w:val="00FE1ACC"/>
    <w:rsid w:val="00FE1C28"/>
    <w:rsid w:val="00FE1FBF"/>
    <w:rsid w:val="00FE23E0"/>
    <w:rsid w:val="00FE2D1E"/>
    <w:rsid w:val="00FE30EB"/>
    <w:rsid w:val="00FE3378"/>
    <w:rsid w:val="00FE34A7"/>
    <w:rsid w:val="00FE3E1B"/>
    <w:rsid w:val="00FE3EED"/>
    <w:rsid w:val="00FE44D5"/>
    <w:rsid w:val="00FE4D2A"/>
    <w:rsid w:val="00FE52E0"/>
    <w:rsid w:val="00FE5852"/>
    <w:rsid w:val="00FE5A5B"/>
    <w:rsid w:val="00FE638F"/>
    <w:rsid w:val="00FE771A"/>
    <w:rsid w:val="00FE7BA6"/>
    <w:rsid w:val="00FE7CC1"/>
    <w:rsid w:val="00FE7E34"/>
    <w:rsid w:val="00FE7F7F"/>
    <w:rsid w:val="00FE7FA0"/>
    <w:rsid w:val="00FF03EE"/>
    <w:rsid w:val="00FF0F2C"/>
    <w:rsid w:val="00FF108B"/>
    <w:rsid w:val="00FF110E"/>
    <w:rsid w:val="00FF1338"/>
    <w:rsid w:val="00FF1949"/>
    <w:rsid w:val="00FF2127"/>
    <w:rsid w:val="00FF26F5"/>
    <w:rsid w:val="00FF2D81"/>
    <w:rsid w:val="00FF379B"/>
    <w:rsid w:val="00FF422E"/>
    <w:rsid w:val="00FF4A59"/>
    <w:rsid w:val="00FF4DE1"/>
    <w:rsid w:val="00FF555A"/>
    <w:rsid w:val="00FF5785"/>
    <w:rsid w:val="00FF5D19"/>
    <w:rsid w:val="00FF5F0E"/>
    <w:rsid w:val="00FF65B0"/>
    <w:rsid w:val="00FF6746"/>
    <w:rsid w:val="00FF6B19"/>
    <w:rsid w:val="039094DB"/>
    <w:rsid w:val="053A636B"/>
    <w:rsid w:val="0621C3FC"/>
    <w:rsid w:val="0CEE15A7"/>
    <w:rsid w:val="0D110564"/>
    <w:rsid w:val="10288D4D"/>
    <w:rsid w:val="11D17593"/>
    <w:rsid w:val="1267275E"/>
    <w:rsid w:val="131923C4"/>
    <w:rsid w:val="13A1E8B0"/>
    <w:rsid w:val="1AE69246"/>
    <w:rsid w:val="1FF112AE"/>
    <w:rsid w:val="22F64C96"/>
    <w:rsid w:val="25F51485"/>
    <w:rsid w:val="2A52C99F"/>
    <w:rsid w:val="2EC591D6"/>
    <w:rsid w:val="3989A854"/>
    <w:rsid w:val="3A274B78"/>
    <w:rsid w:val="3C192444"/>
    <w:rsid w:val="3C58F14C"/>
    <w:rsid w:val="3E6A81FC"/>
    <w:rsid w:val="41CEA040"/>
    <w:rsid w:val="42423FE9"/>
    <w:rsid w:val="477E23AB"/>
    <w:rsid w:val="4B567D7D"/>
    <w:rsid w:val="4C4BF14F"/>
    <w:rsid w:val="4F5960D7"/>
    <w:rsid w:val="506DFBBA"/>
    <w:rsid w:val="5E38114E"/>
    <w:rsid w:val="60CF5D1D"/>
    <w:rsid w:val="6149FC85"/>
    <w:rsid w:val="63A3B46A"/>
    <w:rsid w:val="68B6E1DE"/>
    <w:rsid w:val="6B858E99"/>
    <w:rsid w:val="6C22B41E"/>
    <w:rsid w:val="6DD464A3"/>
    <w:rsid w:val="775CDF62"/>
    <w:rsid w:val="79F7FA37"/>
    <w:rsid w:val="7A0D2DC1"/>
    <w:rsid w:val="7C953E53"/>
    <w:rsid w:val="7CBFD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DAABA"/>
  <w15:docId w15:val="{D9808A53-E430-4567-B5DF-CCA7123F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AU" w:eastAsia="en-AU" w:bidi="ar-SA"/>
      </w:rPr>
    </w:rPrDefault>
    <w:pPrDefault/>
  </w:docDefaults>
  <w:latentStyles w:defLockedState="0" w:defUIPriority="4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24" w:unhideWhenUsed="1"/>
    <w:lsdException w:name="footer" w:semiHidden="1" w:uiPriority="24" w:unhideWhenUsed="1"/>
    <w:lsdException w:name="index heading" w:semiHidden="1" w:unhideWhenUsed="1"/>
    <w:lsdException w:name="caption" w:semiHidden="1" w:uiPriority="13"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9" w:unhideWhenUsed="1"/>
    <w:lsdException w:name="toa heading" w:semiHidden="1" w:uiPriority="39" w:unhideWhenUsed="1"/>
    <w:lsdException w:name="List" w:semiHidden="1" w:unhideWhenUsed="1"/>
    <w:lsdException w:name="List Bullet" w:uiPriority="99"/>
    <w:lsdException w:name="List Number"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8" w:unhideWhenUsed="1" w:qFormat="1"/>
    <w:lsdException w:name="List Continue 2" w:semiHidden="1" w:uiPriority="8" w:unhideWhenUsed="1"/>
    <w:lsdException w:name="List Continue 3" w:uiPriority="8"/>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0"/>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12A"/>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3"/>
    <w:qFormat/>
    <w:rsid w:val="00211931"/>
    <w:pPr>
      <w:keepNext/>
      <w:keepLines/>
      <w:pageBreakBefore/>
      <w:numPr>
        <w:numId w:val="26"/>
      </w:numPr>
      <w:spacing w:after="1120" w:line="216" w:lineRule="auto"/>
      <w:outlineLvl w:val="0"/>
    </w:pPr>
    <w:rPr>
      <w:color w:val="404040"/>
      <w:sz w:val="40"/>
    </w:rPr>
  </w:style>
  <w:style w:type="paragraph" w:styleId="Heading2">
    <w:name w:val="heading 2"/>
    <w:basedOn w:val="Heading1"/>
    <w:next w:val="Normal"/>
    <w:link w:val="Heading2Char"/>
    <w:uiPriority w:val="3"/>
    <w:qFormat/>
    <w:rsid w:val="00211931"/>
    <w:pPr>
      <w:pageBreakBefore w:val="0"/>
      <w:widowControl w:val="0"/>
      <w:numPr>
        <w:ilvl w:val="1"/>
      </w:numPr>
      <w:spacing w:before="280" w:after="120"/>
      <w:outlineLvl w:val="1"/>
    </w:pPr>
    <w:rPr>
      <w:color w:val="4D4D4D"/>
      <w:sz w:val="30"/>
    </w:rPr>
  </w:style>
  <w:style w:type="paragraph" w:styleId="Heading3">
    <w:name w:val="heading 3"/>
    <w:basedOn w:val="Heading2"/>
    <w:next w:val="Normal"/>
    <w:link w:val="Heading3Char"/>
    <w:uiPriority w:val="3"/>
    <w:qFormat/>
    <w:rsid w:val="00211931"/>
    <w:pPr>
      <w:numPr>
        <w:ilvl w:val="2"/>
      </w:numPr>
      <w:spacing w:before="200"/>
      <w:outlineLvl w:val="2"/>
    </w:pPr>
    <w:rPr>
      <w:b/>
      <w:sz w:val="26"/>
    </w:rPr>
  </w:style>
  <w:style w:type="paragraph" w:styleId="Heading4">
    <w:name w:val="heading 4"/>
    <w:basedOn w:val="Heading3"/>
    <w:next w:val="Normal"/>
    <w:link w:val="Heading4Char"/>
    <w:uiPriority w:val="3"/>
    <w:qFormat/>
    <w:rsid w:val="00211931"/>
    <w:pPr>
      <w:numPr>
        <w:ilvl w:val="3"/>
      </w:numPr>
      <w:spacing w:before="160" w:line="228" w:lineRule="auto"/>
      <w:outlineLvl w:val="3"/>
    </w:pPr>
    <w:rPr>
      <w:sz w:val="22"/>
    </w:rPr>
  </w:style>
  <w:style w:type="paragraph" w:styleId="Heading5">
    <w:name w:val="heading 5"/>
    <w:basedOn w:val="Heading4"/>
    <w:next w:val="Normal"/>
    <w:link w:val="Heading5Char"/>
    <w:uiPriority w:val="3"/>
    <w:qFormat/>
    <w:rsid w:val="00211931"/>
    <w:pPr>
      <w:numPr>
        <w:ilvl w:val="4"/>
      </w:numPr>
      <w:outlineLvl w:val="4"/>
    </w:pPr>
    <w:rPr>
      <w:bCs/>
      <w:i/>
      <w:color w:val="404040"/>
    </w:rPr>
  </w:style>
  <w:style w:type="paragraph" w:styleId="Heading6">
    <w:name w:val="heading 6"/>
    <w:basedOn w:val="Heading5"/>
    <w:next w:val="Normal"/>
    <w:link w:val="Heading6Char"/>
    <w:uiPriority w:val="3"/>
    <w:semiHidden/>
    <w:qFormat/>
    <w:rsid w:val="00211931"/>
    <w:pPr>
      <w:numPr>
        <w:ilvl w:val="5"/>
      </w:numPr>
      <w:outlineLvl w:val="5"/>
    </w:pPr>
    <w:rPr>
      <w:iCs/>
    </w:rPr>
  </w:style>
  <w:style w:type="paragraph" w:styleId="Heading7">
    <w:name w:val="heading 7"/>
    <w:basedOn w:val="Heading6"/>
    <w:next w:val="Normal"/>
    <w:link w:val="Heading7Char"/>
    <w:uiPriority w:val="3"/>
    <w:semiHidden/>
    <w:qFormat/>
    <w:rsid w:val="00211931"/>
    <w:pPr>
      <w:numPr>
        <w:ilvl w:val="6"/>
      </w:numPr>
      <w:outlineLvl w:val="6"/>
    </w:pPr>
    <w:rPr>
      <w:i w:val="0"/>
    </w:rPr>
  </w:style>
  <w:style w:type="paragraph" w:styleId="Heading8">
    <w:name w:val="heading 8"/>
    <w:basedOn w:val="Heading7"/>
    <w:next w:val="Normal"/>
    <w:link w:val="Heading8Char"/>
    <w:uiPriority w:val="3"/>
    <w:semiHidden/>
    <w:qFormat/>
    <w:rsid w:val="00211931"/>
    <w:pPr>
      <w:numPr>
        <w:ilvl w:val="7"/>
      </w:numPr>
      <w:outlineLvl w:val="7"/>
    </w:pPr>
    <w:rPr>
      <w:b w:val="0"/>
    </w:rPr>
  </w:style>
  <w:style w:type="paragraph" w:styleId="Heading9">
    <w:name w:val="heading 9"/>
    <w:basedOn w:val="Heading8"/>
    <w:next w:val="Normal"/>
    <w:link w:val="Heading9Char"/>
    <w:uiPriority w:val="3"/>
    <w:semiHidden/>
    <w:qFormat/>
    <w:rsid w:val="00211931"/>
    <w:pPr>
      <w:numPr>
        <w:ilvl w:val="8"/>
      </w:numPr>
      <w:outlineLvl w:val="8"/>
    </w:pPr>
  </w:style>
  <w:style w:type="character" w:default="1" w:styleId="DefaultParagraphFont">
    <w:name w:val="Default Paragraph Font"/>
    <w:uiPriority w:val="1"/>
    <w:semiHidden/>
    <w:unhideWhenUsed/>
    <w:rsid w:val="006A1B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1B1A"/>
  </w:style>
  <w:style w:type="character" w:customStyle="1" w:styleId="Heading1Char">
    <w:name w:val="Heading 1 Char"/>
    <w:link w:val="Heading1"/>
    <w:uiPriority w:val="3"/>
    <w:rsid w:val="00211931"/>
    <w:rPr>
      <w:rFonts w:ascii="Calibri" w:hAnsi="Calibri" w:cs="Calibri"/>
      <w:color w:val="404040"/>
      <w:sz w:val="40"/>
      <w:szCs w:val="22"/>
      <w:lang w:eastAsia="en-US"/>
    </w:rPr>
  </w:style>
  <w:style w:type="paragraph" w:styleId="Title">
    <w:name w:val="Title"/>
    <w:basedOn w:val="Normal"/>
    <w:link w:val="TitleChar"/>
    <w:uiPriority w:val="28"/>
    <w:qFormat/>
    <w:rsid w:val="00211931"/>
    <w:pPr>
      <w:spacing w:line="560" w:lineRule="exact"/>
      <w:ind w:right="3402"/>
    </w:pPr>
    <w:rPr>
      <w:b/>
      <w:color w:val="000000"/>
      <w:sz w:val="60"/>
    </w:rPr>
  </w:style>
  <w:style w:type="character" w:customStyle="1" w:styleId="TitleChar">
    <w:name w:val="Title Char"/>
    <w:link w:val="Title"/>
    <w:uiPriority w:val="28"/>
    <w:rsid w:val="00211931"/>
    <w:rPr>
      <w:rFonts w:ascii="Calibri" w:hAnsi="Calibri" w:cs="Calibri"/>
      <w:b/>
      <w:color w:val="000000"/>
      <w:sz w:val="60"/>
      <w:szCs w:val="22"/>
    </w:rPr>
  </w:style>
  <w:style w:type="character" w:customStyle="1" w:styleId="Heading2Char">
    <w:name w:val="Heading 2 Char"/>
    <w:link w:val="Heading2"/>
    <w:uiPriority w:val="3"/>
    <w:rsid w:val="00211931"/>
    <w:rPr>
      <w:rFonts w:ascii="Calibri" w:hAnsi="Calibri" w:cs="Calibri"/>
      <w:color w:val="4D4D4D"/>
      <w:sz w:val="30"/>
      <w:szCs w:val="22"/>
      <w:lang w:eastAsia="en-US"/>
    </w:rPr>
  </w:style>
  <w:style w:type="character" w:customStyle="1" w:styleId="Heading3Char">
    <w:name w:val="Heading 3 Char"/>
    <w:link w:val="Heading3"/>
    <w:uiPriority w:val="3"/>
    <w:rsid w:val="00211931"/>
    <w:rPr>
      <w:rFonts w:ascii="Calibri" w:hAnsi="Calibri" w:cs="Calibri"/>
      <w:b/>
      <w:color w:val="4D4D4D"/>
      <w:sz w:val="26"/>
      <w:szCs w:val="22"/>
      <w:lang w:eastAsia="en-US"/>
    </w:rPr>
  </w:style>
  <w:style w:type="character" w:customStyle="1" w:styleId="Heading4Char">
    <w:name w:val="Heading 4 Char"/>
    <w:link w:val="Heading4"/>
    <w:uiPriority w:val="3"/>
    <w:rsid w:val="00211931"/>
    <w:rPr>
      <w:rFonts w:ascii="Calibri" w:hAnsi="Calibri" w:cs="Calibri"/>
      <w:b/>
      <w:color w:val="4D4D4D"/>
      <w:sz w:val="22"/>
      <w:szCs w:val="22"/>
      <w:lang w:eastAsia="en-US"/>
    </w:rPr>
  </w:style>
  <w:style w:type="character" w:customStyle="1" w:styleId="Heading5Char">
    <w:name w:val="Heading 5 Char"/>
    <w:link w:val="Heading5"/>
    <w:uiPriority w:val="3"/>
    <w:rsid w:val="00211931"/>
    <w:rPr>
      <w:rFonts w:ascii="Calibri" w:hAnsi="Calibri" w:cs="Calibri"/>
      <w:b/>
      <w:bCs/>
      <w:i/>
      <w:color w:val="404040"/>
      <w:sz w:val="22"/>
      <w:szCs w:val="22"/>
      <w:lang w:eastAsia="en-US"/>
    </w:rPr>
  </w:style>
  <w:style w:type="character" w:customStyle="1" w:styleId="Heading6Char">
    <w:name w:val="Heading 6 Char"/>
    <w:link w:val="Heading6"/>
    <w:uiPriority w:val="3"/>
    <w:semiHidden/>
    <w:rsid w:val="00211931"/>
    <w:rPr>
      <w:rFonts w:ascii="Calibri" w:hAnsi="Calibri" w:cs="Calibri"/>
      <w:b/>
      <w:bCs/>
      <w:i/>
      <w:iCs/>
      <w:color w:val="404040"/>
      <w:sz w:val="22"/>
      <w:szCs w:val="22"/>
      <w:lang w:eastAsia="en-US"/>
    </w:rPr>
  </w:style>
  <w:style w:type="character" w:customStyle="1" w:styleId="Heading7Char">
    <w:name w:val="Heading 7 Char"/>
    <w:link w:val="Heading7"/>
    <w:uiPriority w:val="3"/>
    <w:semiHidden/>
    <w:rsid w:val="00211931"/>
    <w:rPr>
      <w:rFonts w:ascii="Calibri" w:hAnsi="Calibri" w:cs="Calibri"/>
      <w:b/>
      <w:bCs/>
      <w:iCs/>
      <w:color w:val="404040"/>
      <w:sz w:val="22"/>
      <w:szCs w:val="22"/>
      <w:lang w:eastAsia="en-US"/>
    </w:rPr>
  </w:style>
  <w:style w:type="character" w:customStyle="1" w:styleId="Heading8Char">
    <w:name w:val="Heading 8 Char"/>
    <w:link w:val="Heading8"/>
    <w:uiPriority w:val="3"/>
    <w:semiHidden/>
    <w:rsid w:val="00211931"/>
    <w:rPr>
      <w:rFonts w:ascii="Calibri" w:hAnsi="Calibri" w:cs="Calibri"/>
      <w:bCs/>
      <w:iCs/>
      <w:color w:val="404040"/>
      <w:sz w:val="22"/>
      <w:szCs w:val="22"/>
      <w:lang w:eastAsia="en-US"/>
    </w:rPr>
  </w:style>
  <w:style w:type="character" w:customStyle="1" w:styleId="Heading9Char">
    <w:name w:val="Heading 9 Char"/>
    <w:link w:val="Heading9"/>
    <w:uiPriority w:val="3"/>
    <w:semiHidden/>
    <w:rsid w:val="00211931"/>
    <w:rPr>
      <w:rFonts w:ascii="Calibri" w:hAnsi="Calibri" w:cs="Calibri"/>
      <w:bCs/>
      <w:iCs/>
      <w:color w:val="404040"/>
      <w:sz w:val="22"/>
      <w:szCs w:val="22"/>
      <w:lang w:eastAsia="en-US"/>
    </w:rPr>
  </w:style>
  <w:style w:type="paragraph" w:styleId="Caption">
    <w:name w:val="caption"/>
    <w:basedOn w:val="Normal"/>
    <w:next w:val="Normal"/>
    <w:uiPriority w:val="13"/>
    <w:qFormat/>
    <w:rsid w:val="00211931"/>
    <w:pPr>
      <w:keepNext/>
      <w:keepLines/>
      <w:tabs>
        <w:tab w:val="left" w:pos="851"/>
      </w:tabs>
      <w:spacing w:before="60" w:after="60" w:line="228" w:lineRule="auto"/>
    </w:pPr>
    <w:rPr>
      <w:b/>
    </w:rPr>
  </w:style>
  <w:style w:type="paragraph" w:styleId="Subtitle">
    <w:name w:val="Subtitle"/>
    <w:basedOn w:val="Normal"/>
    <w:link w:val="SubtitleChar"/>
    <w:uiPriority w:val="29"/>
    <w:qFormat/>
    <w:rsid w:val="00211931"/>
    <w:pPr>
      <w:spacing w:after="0" w:line="440" w:lineRule="exact"/>
    </w:pPr>
    <w:rPr>
      <w:color w:val="000000"/>
      <w:sz w:val="40"/>
      <w:szCs w:val="24"/>
    </w:rPr>
  </w:style>
  <w:style w:type="character" w:customStyle="1" w:styleId="SubtitleChar">
    <w:name w:val="Subtitle Char"/>
    <w:link w:val="Subtitle"/>
    <w:uiPriority w:val="29"/>
    <w:rsid w:val="00211931"/>
    <w:rPr>
      <w:rFonts w:ascii="Calibri" w:hAnsi="Calibri" w:cs="Calibri"/>
      <w:color w:val="000000"/>
      <w:sz w:val="40"/>
      <w:szCs w:val="24"/>
    </w:rPr>
  </w:style>
  <w:style w:type="paragraph" w:styleId="BlockText">
    <w:name w:val="Block Text"/>
    <w:basedOn w:val="Normal"/>
    <w:uiPriority w:val="49"/>
    <w:rsid w:val="00211931"/>
    <w:pPr>
      <w:spacing w:after="120"/>
      <w:ind w:left="1440" w:right="1440"/>
    </w:pPr>
  </w:style>
  <w:style w:type="paragraph" w:styleId="BodyText">
    <w:name w:val="Body Text"/>
    <w:basedOn w:val="Normal"/>
    <w:link w:val="BodyTextChar"/>
    <w:uiPriority w:val="49"/>
    <w:rsid w:val="00211931"/>
  </w:style>
  <w:style w:type="paragraph" w:styleId="NoSpacing">
    <w:name w:val="No Spacing"/>
    <w:basedOn w:val="Normal"/>
    <w:link w:val="NoSpacingChar"/>
    <w:uiPriority w:val="1"/>
    <w:qFormat/>
    <w:rsid w:val="0011095F"/>
    <w:pPr>
      <w:spacing w:after="0"/>
    </w:pPr>
  </w:style>
  <w:style w:type="character" w:customStyle="1" w:styleId="NoSpacingChar">
    <w:name w:val="No Spacing Char"/>
    <w:link w:val="NoSpacing"/>
    <w:uiPriority w:val="1"/>
    <w:rsid w:val="008B2106"/>
  </w:style>
  <w:style w:type="character" w:customStyle="1" w:styleId="BodyTextChar">
    <w:name w:val="Body Text Char"/>
    <w:link w:val="BodyText"/>
    <w:uiPriority w:val="49"/>
    <w:rsid w:val="00211931"/>
    <w:rPr>
      <w:rFonts w:ascii="Calibri" w:hAnsi="Calibri" w:cs="Calibri"/>
      <w:sz w:val="22"/>
      <w:szCs w:val="22"/>
    </w:rPr>
  </w:style>
  <w:style w:type="paragraph" w:styleId="BodyText2">
    <w:name w:val="Body Text 2"/>
    <w:basedOn w:val="Normal"/>
    <w:link w:val="BodyText2Char"/>
    <w:uiPriority w:val="49"/>
    <w:rsid w:val="00211931"/>
    <w:pPr>
      <w:spacing w:after="120" w:line="480" w:lineRule="auto"/>
    </w:pPr>
  </w:style>
  <w:style w:type="character" w:customStyle="1" w:styleId="BodyText2Char">
    <w:name w:val="Body Text 2 Char"/>
    <w:link w:val="BodyText2"/>
    <w:uiPriority w:val="49"/>
    <w:rsid w:val="00211931"/>
    <w:rPr>
      <w:rFonts w:ascii="Calibri" w:hAnsi="Calibri" w:cs="Calibri"/>
      <w:sz w:val="22"/>
      <w:szCs w:val="22"/>
    </w:rPr>
  </w:style>
  <w:style w:type="paragraph" w:styleId="BodyText3">
    <w:name w:val="Body Text 3"/>
    <w:basedOn w:val="Normal"/>
    <w:link w:val="BodyText3Char"/>
    <w:uiPriority w:val="49"/>
    <w:rsid w:val="00211931"/>
    <w:pPr>
      <w:spacing w:after="120"/>
    </w:pPr>
    <w:rPr>
      <w:sz w:val="16"/>
      <w:szCs w:val="16"/>
    </w:rPr>
  </w:style>
  <w:style w:type="character" w:customStyle="1" w:styleId="BodyText3Char">
    <w:name w:val="Body Text 3 Char"/>
    <w:link w:val="BodyText3"/>
    <w:uiPriority w:val="49"/>
    <w:rsid w:val="00211931"/>
    <w:rPr>
      <w:rFonts w:ascii="Calibri" w:hAnsi="Calibri" w:cs="Calibri"/>
      <w:sz w:val="16"/>
      <w:szCs w:val="16"/>
    </w:rPr>
  </w:style>
  <w:style w:type="paragraph" w:styleId="BodyTextFirstIndent">
    <w:name w:val="Body Text First Indent"/>
    <w:basedOn w:val="BodyText"/>
    <w:link w:val="BodyTextFirstIndentChar"/>
    <w:uiPriority w:val="49"/>
    <w:rsid w:val="00211931"/>
    <w:pPr>
      <w:spacing w:after="120"/>
      <w:ind w:firstLine="210"/>
    </w:pPr>
  </w:style>
  <w:style w:type="character" w:customStyle="1" w:styleId="BodyTextFirstIndentChar">
    <w:name w:val="Body Text First Indent Char"/>
    <w:link w:val="BodyTextFirstIndent"/>
    <w:uiPriority w:val="49"/>
    <w:rsid w:val="00211931"/>
    <w:rPr>
      <w:rFonts w:ascii="Calibri" w:hAnsi="Calibri" w:cs="Calibri"/>
      <w:sz w:val="22"/>
      <w:szCs w:val="22"/>
    </w:rPr>
  </w:style>
  <w:style w:type="paragraph" w:styleId="BodyTextIndent">
    <w:name w:val="Body Text Indent"/>
    <w:basedOn w:val="Normal"/>
    <w:link w:val="BodyTextIndentChar"/>
    <w:uiPriority w:val="49"/>
    <w:rsid w:val="00211931"/>
    <w:pPr>
      <w:spacing w:after="120"/>
      <w:ind w:left="283"/>
    </w:pPr>
  </w:style>
  <w:style w:type="character" w:customStyle="1" w:styleId="BodyTextIndentChar">
    <w:name w:val="Body Text Indent Char"/>
    <w:link w:val="BodyTextIndent"/>
    <w:uiPriority w:val="49"/>
    <w:rsid w:val="00211931"/>
    <w:rPr>
      <w:rFonts w:ascii="Calibri" w:hAnsi="Calibri" w:cs="Calibri"/>
      <w:sz w:val="22"/>
      <w:szCs w:val="22"/>
    </w:rPr>
  </w:style>
  <w:style w:type="paragraph" w:styleId="BodyTextFirstIndent2">
    <w:name w:val="Body Text First Indent 2"/>
    <w:basedOn w:val="BodyTextIndent"/>
    <w:link w:val="BodyTextFirstIndent2Char"/>
    <w:uiPriority w:val="49"/>
    <w:rsid w:val="00211931"/>
    <w:pPr>
      <w:ind w:firstLine="210"/>
    </w:pPr>
  </w:style>
  <w:style w:type="paragraph" w:styleId="TOCHeading">
    <w:name w:val="TOC Heading"/>
    <w:uiPriority w:val="29"/>
    <w:qFormat/>
    <w:rsid w:val="00211931"/>
    <w:pPr>
      <w:keepNext/>
      <w:pageBreakBefore/>
      <w:spacing w:after="1200"/>
    </w:pPr>
    <w:rPr>
      <w:rFonts w:ascii="Calibri" w:hAnsi="Calibri" w:cs="Calibri"/>
      <w:color w:val="4C4C4C"/>
      <w:sz w:val="40"/>
      <w:szCs w:val="22"/>
    </w:rPr>
  </w:style>
  <w:style w:type="paragraph" w:styleId="Header">
    <w:name w:val="header"/>
    <w:basedOn w:val="Normal"/>
    <w:link w:val="HeaderChar"/>
    <w:uiPriority w:val="24"/>
    <w:rsid w:val="00211931"/>
    <w:pPr>
      <w:tabs>
        <w:tab w:val="center" w:pos="4320"/>
        <w:tab w:val="right" w:pos="8640"/>
      </w:tabs>
      <w:spacing w:after="0"/>
      <w:ind w:right="-567"/>
    </w:pPr>
    <w:rPr>
      <w:sz w:val="24"/>
    </w:rPr>
  </w:style>
  <w:style w:type="character" w:customStyle="1" w:styleId="HeaderChar">
    <w:name w:val="Header Char"/>
    <w:link w:val="Header"/>
    <w:uiPriority w:val="24"/>
    <w:rsid w:val="00211931"/>
    <w:rPr>
      <w:rFonts w:ascii="Calibri" w:hAnsi="Calibri" w:cs="Calibri"/>
      <w:sz w:val="24"/>
      <w:szCs w:val="22"/>
    </w:rPr>
  </w:style>
  <w:style w:type="paragraph" w:styleId="Footer">
    <w:name w:val="footer"/>
    <w:link w:val="FooterChar"/>
    <w:uiPriority w:val="24"/>
    <w:rsid w:val="00211931"/>
    <w:pPr>
      <w:tabs>
        <w:tab w:val="right" w:pos="8220"/>
      </w:tabs>
    </w:pPr>
    <w:rPr>
      <w:rFonts w:ascii="Calibri" w:hAnsi="Calibri" w:cs="Calibri"/>
      <w:noProof/>
      <w:color w:val="4C4C4C"/>
      <w:sz w:val="12"/>
      <w:szCs w:val="22"/>
    </w:rPr>
  </w:style>
  <w:style w:type="character" w:customStyle="1" w:styleId="FooterChar">
    <w:name w:val="Footer Char"/>
    <w:link w:val="Footer"/>
    <w:uiPriority w:val="24"/>
    <w:rsid w:val="00211931"/>
    <w:rPr>
      <w:rFonts w:ascii="Calibri" w:hAnsi="Calibri" w:cs="Calibri"/>
      <w:noProof/>
      <w:color w:val="4C4C4C"/>
      <w:sz w:val="12"/>
      <w:szCs w:val="22"/>
    </w:rPr>
  </w:style>
  <w:style w:type="paragraph" w:styleId="BalloonText">
    <w:name w:val="Balloon Text"/>
    <w:basedOn w:val="Normal"/>
    <w:link w:val="BalloonTextChar"/>
    <w:uiPriority w:val="49"/>
    <w:semiHidden/>
    <w:rsid w:val="00211931"/>
    <w:rPr>
      <w:sz w:val="16"/>
      <w:szCs w:val="16"/>
    </w:rPr>
  </w:style>
  <w:style w:type="character" w:customStyle="1" w:styleId="BalloonTextChar">
    <w:name w:val="Balloon Text Char"/>
    <w:link w:val="BalloonText"/>
    <w:uiPriority w:val="49"/>
    <w:semiHidden/>
    <w:rsid w:val="00211931"/>
    <w:rPr>
      <w:rFonts w:ascii="Calibri" w:hAnsi="Calibri" w:cs="Calibri"/>
      <w:sz w:val="16"/>
      <w:szCs w:val="16"/>
    </w:rPr>
  </w:style>
  <w:style w:type="character" w:customStyle="1" w:styleId="BodyTextFirstIndent2Char">
    <w:name w:val="Body Text First Indent 2 Char"/>
    <w:link w:val="BodyTextFirstIndent2"/>
    <w:uiPriority w:val="49"/>
    <w:rsid w:val="00211931"/>
    <w:rPr>
      <w:rFonts w:ascii="Calibri" w:hAnsi="Calibri" w:cs="Calibri"/>
      <w:sz w:val="22"/>
      <w:szCs w:val="22"/>
    </w:rPr>
  </w:style>
  <w:style w:type="character" w:styleId="CommentReference">
    <w:name w:val="annotation reference"/>
    <w:uiPriority w:val="49"/>
    <w:semiHidden/>
    <w:rsid w:val="00211931"/>
    <w:rPr>
      <w:rFonts w:ascii="Calibri" w:hAnsi="Calibri"/>
      <w:sz w:val="16"/>
    </w:rPr>
  </w:style>
  <w:style w:type="paragraph" w:styleId="CommentText">
    <w:name w:val="annotation text"/>
    <w:basedOn w:val="Normal"/>
    <w:link w:val="CommentTextChar"/>
    <w:uiPriority w:val="49"/>
    <w:semiHidden/>
    <w:rsid w:val="00211931"/>
  </w:style>
  <w:style w:type="character" w:customStyle="1" w:styleId="CommentTextChar">
    <w:name w:val="Comment Text Char"/>
    <w:link w:val="CommentText"/>
    <w:uiPriority w:val="49"/>
    <w:semiHidden/>
    <w:rsid w:val="00211931"/>
    <w:rPr>
      <w:rFonts w:ascii="Calibri" w:hAnsi="Calibri" w:cs="Calibri"/>
      <w:sz w:val="22"/>
      <w:szCs w:val="22"/>
    </w:rPr>
  </w:style>
  <w:style w:type="paragraph" w:styleId="CommentSubject">
    <w:name w:val="annotation subject"/>
    <w:basedOn w:val="CommentText"/>
    <w:next w:val="CommentText"/>
    <w:link w:val="CommentSubjectChar"/>
    <w:uiPriority w:val="49"/>
    <w:semiHidden/>
    <w:rsid w:val="00211931"/>
    <w:rPr>
      <w:b/>
      <w:bCs/>
    </w:rPr>
  </w:style>
  <w:style w:type="character" w:customStyle="1" w:styleId="CommentSubjectChar">
    <w:name w:val="Comment Subject Char"/>
    <w:link w:val="CommentSubject"/>
    <w:uiPriority w:val="49"/>
    <w:semiHidden/>
    <w:rsid w:val="00211931"/>
    <w:rPr>
      <w:rFonts w:ascii="Calibri" w:hAnsi="Calibri" w:cs="Calibri"/>
      <w:b/>
      <w:bCs/>
      <w:sz w:val="22"/>
      <w:szCs w:val="22"/>
    </w:rPr>
  </w:style>
  <w:style w:type="paragraph" w:styleId="BodyTextIndent2">
    <w:name w:val="Body Text Indent 2"/>
    <w:basedOn w:val="Normal"/>
    <w:link w:val="BodyTextIndent2Char"/>
    <w:uiPriority w:val="49"/>
    <w:rsid w:val="00211931"/>
    <w:pPr>
      <w:spacing w:after="120" w:line="480" w:lineRule="auto"/>
      <w:ind w:left="283"/>
    </w:pPr>
  </w:style>
  <w:style w:type="character" w:customStyle="1" w:styleId="BodyTextIndent2Char">
    <w:name w:val="Body Text Indent 2 Char"/>
    <w:link w:val="BodyTextIndent2"/>
    <w:uiPriority w:val="49"/>
    <w:rsid w:val="00211931"/>
    <w:rPr>
      <w:rFonts w:ascii="Calibri" w:hAnsi="Calibri" w:cs="Calibri"/>
      <w:sz w:val="22"/>
      <w:szCs w:val="22"/>
    </w:rPr>
  </w:style>
  <w:style w:type="paragraph" w:styleId="BodyTextIndent3">
    <w:name w:val="Body Text Indent 3"/>
    <w:basedOn w:val="Normal"/>
    <w:link w:val="BodyTextIndent3Char"/>
    <w:uiPriority w:val="49"/>
    <w:rsid w:val="00211931"/>
    <w:pPr>
      <w:spacing w:after="120"/>
      <w:ind w:left="283"/>
    </w:pPr>
    <w:rPr>
      <w:sz w:val="16"/>
      <w:szCs w:val="16"/>
    </w:rPr>
  </w:style>
  <w:style w:type="character" w:styleId="Hyperlink">
    <w:name w:val="Hyperlink"/>
    <w:uiPriority w:val="99"/>
    <w:rsid w:val="00211931"/>
    <w:rPr>
      <w:color w:val="404040"/>
      <w:u w:val="none"/>
    </w:rPr>
  </w:style>
  <w:style w:type="paragraph" w:customStyle="1" w:styleId="Footnote">
    <w:name w:val="Footnote"/>
    <w:basedOn w:val="Normal"/>
    <w:link w:val="FootnoteChar"/>
    <w:qFormat/>
    <w:rsid w:val="00DF18E2"/>
    <w:rPr>
      <w:sz w:val="18"/>
    </w:rPr>
  </w:style>
  <w:style w:type="paragraph" w:customStyle="1" w:styleId="TertiaryTitle">
    <w:name w:val="Tertiary Title"/>
    <w:basedOn w:val="Normal"/>
    <w:rsid w:val="00211931"/>
    <w:pPr>
      <w:spacing w:after="0" w:line="440" w:lineRule="exact"/>
    </w:pPr>
    <w:rPr>
      <w:color w:val="4D4D4D"/>
      <w:sz w:val="36"/>
      <w:szCs w:val="40"/>
    </w:rPr>
  </w:style>
  <w:style w:type="character" w:customStyle="1" w:styleId="FootnoteChar">
    <w:name w:val="Footnote Char"/>
    <w:link w:val="Footnote"/>
    <w:rsid w:val="00425838"/>
    <w:rPr>
      <w:rFonts w:ascii="Calibri" w:hAnsi="Calibri" w:cs="Calibri"/>
      <w:sz w:val="18"/>
      <w:szCs w:val="22"/>
    </w:rPr>
  </w:style>
  <w:style w:type="paragraph" w:customStyle="1" w:styleId="NormalTight">
    <w:name w:val="Normal Tight"/>
    <w:basedOn w:val="Normal"/>
    <w:semiHidden/>
    <w:rsid w:val="00211931"/>
    <w:pPr>
      <w:spacing w:after="0"/>
    </w:pPr>
  </w:style>
  <w:style w:type="paragraph" w:customStyle="1" w:styleId="BreakoutNormal">
    <w:name w:val="Breakout Normal"/>
    <w:basedOn w:val="Normal"/>
    <w:rsid w:val="00211931"/>
    <w:rPr>
      <w:sz w:val="20"/>
    </w:rPr>
  </w:style>
  <w:style w:type="paragraph" w:customStyle="1" w:styleId="BreakoutList1">
    <w:name w:val="Breakout List 1"/>
    <w:basedOn w:val="BreakoutNormal"/>
    <w:rsid w:val="00211931"/>
    <w:pPr>
      <w:numPr>
        <w:numId w:val="17"/>
      </w:numPr>
    </w:pPr>
  </w:style>
  <w:style w:type="paragraph" w:customStyle="1" w:styleId="BreakoutList2">
    <w:name w:val="Breakout List 2"/>
    <w:basedOn w:val="BreakoutList1"/>
    <w:rsid w:val="00211931"/>
    <w:pPr>
      <w:numPr>
        <w:ilvl w:val="1"/>
      </w:numPr>
    </w:pPr>
  </w:style>
  <w:style w:type="paragraph" w:customStyle="1" w:styleId="Bullet1">
    <w:name w:val="Bullet 1"/>
    <w:basedOn w:val="Normal"/>
    <w:uiPriority w:val="11"/>
    <w:qFormat/>
    <w:rsid w:val="00211931"/>
    <w:pPr>
      <w:numPr>
        <w:numId w:val="18"/>
      </w:numPr>
      <w:spacing w:before="80" w:after="80"/>
    </w:pPr>
  </w:style>
  <w:style w:type="paragraph" w:customStyle="1" w:styleId="Bullet2">
    <w:name w:val="Bullet 2"/>
    <w:basedOn w:val="Bullet1"/>
    <w:uiPriority w:val="11"/>
    <w:rsid w:val="00211931"/>
    <w:pPr>
      <w:numPr>
        <w:ilvl w:val="1"/>
      </w:numPr>
    </w:pPr>
  </w:style>
  <w:style w:type="paragraph" w:customStyle="1" w:styleId="Bullet3">
    <w:name w:val="Bullet 3"/>
    <w:basedOn w:val="Bullet2"/>
    <w:uiPriority w:val="11"/>
    <w:rsid w:val="00211931"/>
    <w:pPr>
      <w:numPr>
        <w:ilvl w:val="2"/>
      </w:numPr>
    </w:pPr>
  </w:style>
  <w:style w:type="paragraph" w:customStyle="1" w:styleId="CaptionTable">
    <w:name w:val="Caption Table"/>
    <w:basedOn w:val="Normal"/>
    <w:uiPriority w:val="14"/>
    <w:rsid w:val="00211931"/>
    <w:rPr>
      <w:b/>
    </w:rPr>
  </w:style>
  <w:style w:type="numbering" w:styleId="111111">
    <w:name w:val="Outline List 2"/>
    <w:basedOn w:val="NoList"/>
    <w:uiPriority w:val="99"/>
    <w:unhideWhenUsed/>
    <w:rsid w:val="00211931"/>
    <w:pPr>
      <w:numPr>
        <w:numId w:val="19"/>
      </w:numPr>
    </w:pPr>
  </w:style>
  <w:style w:type="numbering" w:styleId="1ai">
    <w:name w:val="Outline List 1"/>
    <w:basedOn w:val="NoList"/>
    <w:uiPriority w:val="99"/>
    <w:unhideWhenUsed/>
    <w:rsid w:val="00211931"/>
    <w:pPr>
      <w:numPr>
        <w:numId w:val="22"/>
      </w:numPr>
    </w:pPr>
  </w:style>
  <w:style w:type="numbering" w:styleId="ArticleSection">
    <w:name w:val="Outline List 3"/>
    <w:basedOn w:val="NoList"/>
    <w:uiPriority w:val="99"/>
    <w:unhideWhenUsed/>
    <w:rsid w:val="00211931"/>
    <w:pPr>
      <w:numPr>
        <w:numId w:val="24"/>
      </w:numPr>
    </w:pPr>
  </w:style>
  <w:style w:type="paragraph" w:customStyle="1" w:styleId="Attachment1">
    <w:name w:val="Attachment 1"/>
    <w:next w:val="Normal"/>
    <w:uiPriority w:val="19"/>
    <w:qFormat/>
    <w:rsid w:val="00211931"/>
    <w:pPr>
      <w:pageBreakBefore/>
      <w:numPr>
        <w:numId w:val="25"/>
      </w:numPr>
      <w:pBdr>
        <w:bottom w:val="single" w:sz="4" w:space="1" w:color="404040"/>
      </w:pBdr>
      <w:spacing w:before="400" w:after="1200"/>
    </w:pPr>
    <w:rPr>
      <w:rFonts w:ascii="Calibri" w:hAnsi="Calibri" w:cs="Calibri"/>
      <w:color w:val="404040"/>
      <w:sz w:val="40"/>
      <w:szCs w:val="22"/>
      <w:lang w:eastAsia="en-US"/>
    </w:rPr>
  </w:style>
  <w:style w:type="paragraph" w:styleId="Bibliography">
    <w:name w:val="Bibliography"/>
    <w:basedOn w:val="Normal"/>
    <w:next w:val="Normal"/>
    <w:uiPriority w:val="37"/>
    <w:semiHidden/>
    <w:unhideWhenUsed/>
    <w:rsid w:val="00211931"/>
    <w:pPr>
      <w:spacing w:after="120"/>
    </w:pPr>
    <w:rPr>
      <w:i/>
      <w:sz w:val="18"/>
    </w:rPr>
  </w:style>
  <w:style w:type="character" w:customStyle="1" w:styleId="BodyTextIndent3Char">
    <w:name w:val="Body Text Indent 3 Char"/>
    <w:link w:val="BodyTextIndent3"/>
    <w:uiPriority w:val="49"/>
    <w:rsid w:val="00211931"/>
    <w:rPr>
      <w:rFonts w:ascii="Calibri" w:hAnsi="Calibri" w:cs="Calibri"/>
      <w:sz w:val="16"/>
      <w:szCs w:val="16"/>
    </w:rPr>
  </w:style>
  <w:style w:type="character" w:styleId="BookTitle">
    <w:name w:val="Book Title"/>
    <w:uiPriority w:val="33"/>
    <w:qFormat/>
    <w:rsid w:val="00211931"/>
    <w:rPr>
      <w:rFonts w:ascii="Calibri" w:hAnsi="Calibri"/>
      <w:b/>
      <w:bCs/>
      <w:smallCaps/>
      <w:spacing w:val="5"/>
    </w:rPr>
  </w:style>
  <w:style w:type="paragraph" w:styleId="Closing">
    <w:name w:val="Closing"/>
    <w:basedOn w:val="Normal"/>
    <w:link w:val="ClosingChar"/>
    <w:uiPriority w:val="49"/>
    <w:rsid w:val="00211931"/>
    <w:pPr>
      <w:ind w:left="4252"/>
    </w:pPr>
  </w:style>
  <w:style w:type="character" w:customStyle="1" w:styleId="ClosingChar">
    <w:name w:val="Closing Char"/>
    <w:link w:val="Closing"/>
    <w:uiPriority w:val="49"/>
    <w:rsid w:val="00211931"/>
    <w:rPr>
      <w:rFonts w:ascii="Calibri" w:hAnsi="Calibri" w:cs="Calibri"/>
      <w:sz w:val="22"/>
      <w:szCs w:val="22"/>
    </w:rPr>
  </w:style>
  <w:style w:type="paragraph" w:styleId="Date">
    <w:name w:val="Date"/>
    <w:basedOn w:val="Normal"/>
    <w:next w:val="Normal"/>
    <w:link w:val="DateChar"/>
    <w:uiPriority w:val="49"/>
    <w:rsid w:val="00211931"/>
    <w:pPr>
      <w:ind w:left="1411"/>
    </w:pPr>
  </w:style>
  <w:style w:type="character" w:customStyle="1" w:styleId="DateChar">
    <w:name w:val="Date Char"/>
    <w:link w:val="Date"/>
    <w:uiPriority w:val="49"/>
    <w:rsid w:val="00211931"/>
    <w:rPr>
      <w:rFonts w:ascii="Calibri" w:hAnsi="Calibri" w:cs="Calibri"/>
      <w:sz w:val="22"/>
      <w:szCs w:val="22"/>
    </w:rPr>
  </w:style>
  <w:style w:type="paragraph" w:styleId="DocumentMap">
    <w:name w:val="Document Map"/>
    <w:basedOn w:val="Normal"/>
    <w:link w:val="DocumentMapChar"/>
    <w:uiPriority w:val="49"/>
    <w:rsid w:val="00211931"/>
    <w:pPr>
      <w:shd w:val="clear" w:color="auto" w:fill="000080"/>
    </w:pPr>
  </w:style>
  <w:style w:type="character" w:customStyle="1" w:styleId="DocumentMapChar">
    <w:name w:val="Document Map Char"/>
    <w:link w:val="DocumentMap"/>
    <w:uiPriority w:val="49"/>
    <w:rsid w:val="00211931"/>
    <w:rPr>
      <w:rFonts w:ascii="Calibri" w:hAnsi="Calibri" w:cs="Calibri"/>
      <w:sz w:val="22"/>
      <w:szCs w:val="22"/>
      <w:shd w:val="clear" w:color="auto" w:fill="000080"/>
    </w:rPr>
  </w:style>
  <w:style w:type="paragraph" w:styleId="E-mailSignature">
    <w:name w:val="E-mail Signature"/>
    <w:basedOn w:val="Normal"/>
    <w:link w:val="E-mailSignatureChar"/>
    <w:uiPriority w:val="49"/>
    <w:rsid w:val="00211931"/>
  </w:style>
  <w:style w:type="character" w:customStyle="1" w:styleId="E-mailSignatureChar">
    <w:name w:val="E-mail Signature Char"/>
    <w:link w:val="E-mailSignature"/>
    <w:uiPriority w:val="49"/>
    <w:rsid w:val="00211931"/>
    <w:rPr>
      <w:rFonts w:ascii="Calibri" w:hAnsi="Calibri" w:cs="Calibri"/>
      <w:sz w:val="22"/>
      <w:szCs w:val="22"/>
    </w:rPr>
  </w:style>
  <w:style w:type="character" w:styleId="Emphasis">
    <w:name w:val="Emphasis"/>
    <w:uiPriority w:val="20"/>
    <w:qFormat/>
    <w:rsid w:val="00211931"/>
    <w:rPr>
      <w:i/>
      <w:iCs/>
    </w:rPr>
  </w:style>
  <w:style w:type="character" w:styleId="EndnoteReference">
    <w:name w:val="endnote reference"/>
    <w:uiPriority w:val="49"/>
    <w:rsid w:val="00211931"/>
    <w:rPr>
      <w:vertAlign w:val="superscript"/>
    </w:rPr>
  </w:style>
  <w:style w:type="paragraph" w:styleId="EndnoteText">
    <w:name w:val="endnote text"/>
    <w:basedOn w:val="Normal"/>
    <w:link w:val="EndnoteTextChar"/>
    <w:uiPriority w:val="49"/>
    <w:rsid w:val="00211931"/>
  </w:style>
  <w:style w:type="character" w:customStyle="1" w:styleId="EndnoteTextChar">
    <w:name w:val="Endnote Text Char"/>
    <w:link w:val="EndnoteText"/>
    <w:uiPriority w:val="49"/>
    <w:rsid w:val="00211931"/>
    <w:rPr>
      <w:rFonts w:ascii="Calibri" w:hAnsi="Calibri" w:cs="Calibri"/>
      <w:sz w:val="22"/>
      <w:szCs w:val="22"/>
    </w:rPr>
  </w:style>
  <w:style w:type="paragraph" w:styleId="EnvelopeAddress">
    <w:name w:val="envelope address"/>
    <w:basedOn w:val="Normal"/>
    <w:uiPriority w:val="49"/>
    <w:rsid w:val="00211931"/>
    <w:pPr>
      <w:framePr w:w="7920" w:h="1980" w:hRule="exact" w:hSpace="180" w:wrap="auto" w:hAnchor="page" w:xAlign="center" w:yAlign="bottom"/>
      <w:ind w:left="2880"/>
    </w:pPr>
    <w:rPr>
      <w:sz w:val="24"/>
      <w:szCs w:val="24"/>
    </w:rPr>
  </w:style>
  <w:style w:type="paragraph" w:styleId="EnvelopeReturn">
    <w:name w:val="envelope return"/>
    <w:basedOn w:val="Normal"/>
    <w:uiPriority w:val="49"/>
    <w:rsid w:val="00211931"/>
  </w:style>
  <w:style w:type="character" w:styleId="FollowedHyperlink">
    <w:name w:val="FollowedHyperlink"/>
    <w:uiPriority w:val="99"/>
    <w:rsid w:val="00211931"/>
    <w:rPr>
      <w:color w:val="800080"/>
      <w:u w:val="single"/>
    </w:rPr>
  </w:style>
  <w:style w:type="character" w:styleId="FootnoteReference">
    <w:name w:val="footnote reference"/>
    <w:uiPriority w:val="49"/>
    <w:rsid w:val="00211931"/>
    <w:rPr>
      <w:vertAlign w:val="superscript"/>
    </w:rPr>
  </w:style>
  <w:style w:type="paragraph" w:styleId="FootnoteText">
    <w:name w:val="footnote text"/>
    <w:basedOn w:val="Normal"/>
    <w:link w:val="FootnoteTextChar"/>
    <w:uiPriority w:val="49"/>
    <w:rsid w:val="00211931"/>
  </w:style>
  <w:style w:type="table" w:styleId="ColorfulGrid">
    <w:name w:val="Colorful Grid"/>
    <w:basedOn w:val="TableNormal"/>
    <w:uiPriority w:val="73"/>
    <w:rsid w:val="00211931"/>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11931"/>
    <w:rPr>
      <w:rFonts w:ascii="Arial" w:hAnsi="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11931"/>
    <w:rPr>
      <w:rFonts w:ascii="Arial" w:hAnsi="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11931"/>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11931"/>
    <w:rPr>
      <w:rFonts w:ascii="Arial" w:hAnsi="Arial"/>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11931"/>
    <w:rPr>
      <w:rFonts w:ascii="Arial" w:hAnsi="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11931"/>
    <w:rPr>
      <w:rFonts w:ascii="Arial" w:hAnsi="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211931"/>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211931"/>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11931"/>
    <w:rPr>
      <w:rFonts w:ascii="Arial"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11931"/>
    <w:rPr>
      <w:rFonts w:ascii="Arial" w:hAnsi="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11931"/>
    <w:rPr>
      <w:rFonts w:ascii="Arial" w:hAnsi="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11931"/>
    <w:rPr>
      <w:rFonts w:ascii="Arial" w:hAnsi="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11931"/>
    <w:rPr>
      <w:rFonts w:ascii="Arial" w:hAnsi="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11931"/>
    <w:rPr>
      <w:rFonts w:ascii="Arial" w:hAnsi="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211931"/>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Shading">
    <w:name w:val="Colorful Shading"/>
    <w:basedOn w:val="TableNormal"/>
    <w:uiPriority w:val="71"/>
    <w:rsid w:val="00211931"/>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11931"/>
    <w:rPr>
      <w:rFonts w:ascii="Arial" w:hAnsi="Arial"/>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11931"/>
    <w:rPr>
      <w:rFonts w:ascii="Arial" w:hAnsi="Arial"/>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11931"/>
    <w:rPr>
      <w:rFonts w:ascii="Arial" w:hAnsi="Arial"/>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11931"/>
    <w:rPr>
      <w:rFonts w:ascii="Arial" w:hAnsi="Arial"/>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11931"/>
    <w:rPr>
      <w:rFonts w:ascii="Arial" w:hAnsi="Arial"/>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11931"/>
    <w:rPr>
      <w:rFonts w:ascii="Arial" w:hAnsi="Arial"/>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211931"/>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
    <w:name w:val="Dark List"/>
    <w:basedOn w:val="TableNormal"/>
    <w:uiPriority w:val="70"/>
    <w:rsid w:val="00211931"/>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11931"/>
    <w:rPr>
      <w:rFonts w:ascii="Arial" w:hAnsi="Arial"/>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11931"/>
    <w:rPr>
      <w:rFonts w:ascii="Arial" w:hAnsi="Arial"/>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11931"/>
    <w:rPr>
      <w:rFonts w:ascii="Arial" w:hAnsi="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11931"/>
    <w:rPr>
      <w:rFonts w:ascii="Arial" w:hAnsi="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11931"/>
    <w:rPr>
      <w:rFonts w:ascii="Arial" w:hAnsi="Arial"/>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11931"/>
    <w:rPr>
      <w:rFonts w:ascii="Arial" w:hAnsi="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211931"/>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customStyle="1" w:styleId="FootnoteTextChar">
    <w:name w:val="Footnote Text Char"/>
    <w:link w:val="FootnoteText"/>
    <w:uiPriority w:val="49"/>
    <w:rsid w:val="00211931"/>
    <w:rPr>
      <w:rFonts w:ascii="Calibri" w:hAnsi="Calibri" w:cs="Calibri"/>
      <w:sz w:val="22"/>
      <w:szCs w:val="22"/>
    </w:rPr>
  </w:style>
  <w:style w:type="character" w:styleId="HTMLAcronym">
    <w:name w:val="HTML Acronym"/>
    <w:uiPriority w:val="99"/>
    <w:rsid w:val="00211931"/>
  </w:style>
  <w:style w:type="paragraph" w:styleId="HTMLAddress">
    <w:name w:val="HTML Address"/>
    <w:basedOn w:val="Normal"/>
    <w:link w:val="HTMLAddressChar"/>
    <w:uiPriority w:val="49"/>
    <w:rsid w:val="00211931"/>
    <w:rPr>
      <w:i/>
      <w:iCs/>
    </w:rPr>
  </w:style>
  <w:style w:type="character" w:customStyle="1" w:styleId="HTMLAddressChar">
    <w:name w:val="HTML Address Char"/>
    <w:link w:val="HTMLAddress"/>
    <w:uiPriority w:val="49"/>
    <w:rsid w:val="00211931"/>
    <w:rPr>
      <w:rFonts w:ascii="Calibri" w:hAnsi="Calibri" w:cs="Calibri"/>
      <w:i/>
      <w:iCs/>
      <w:sz w:val="22"/>
      <w:szCs w:val="22"/>
    </w:rPr>
  </w:style>
  <w:style w:type="character" w:styleId="HTMLCite">
    <w:name w:val="HTML Cite"/>
    <w:uiPriority w:val="99"/>
    <w:rsid w:val="00211931"/>
    <w:rPr>
      <w:i/>
      <w:iCs/>
    </w:rPr>
  </w:style>
  <w:style w:type="character" w:styleId="HTMLCode">
    <w:name w:val="HTML Code"/>
    <w:uiPriority w:val="99"/>
    <w:rsid w:val="00211931"/>
    <w:rPr>
      <w:sz w:val="20"/>
      <w:szCs w:val="20"/>
    </w:rPr>
  </w:style>
  <w:style w:type="character" w:styleId="HTMLDefinition">
    <w:name w:val="HTML Definition"/>
    <w:uiPriority w:val="99"/>
    <w:rsid w:val="00211931"/>
    <w:rPr>
      <w:i/>
      <w:iCs/>
    </w:rPr>
  </w:style>
  <w:style w:type="character" w:styleId="HTMLKeyboard">
    <w:name w:val="HTML Keyboard"/>
    <w:uiPriority w:val="99"/>
    <w:rsid w:val="00211931"/>
    <w:rPr>
      <w:sz w:val="20"/>
      <w:szCs w:val="20"/>
    </w:rPr>
  </w:style>
  <w:style w:type="paragraph" w:styleId="HTMLPreformatted">
    <w:name w:val="HTML Preformatted"/>
    <w:basedOn w:val="Normal"/>
    <w:link w:val="HTMLPreformattedChar"/>
    <w:uiPriority w:val="49"/>
    <w:rsid w:val="00211931"/>
  </w:style>
  <w:style w:type="character" w:customStyle="1" w:styleId="HTMLPreformattedChar">
    <w:name w:val="HTML Preformatted Char"/>
    <w:link w:val="HTMLPreformatted"/>
    <w:uiPriority w:val="49"/>
    <w:rsid w:val="00211931"/>
    <w:rPr>
      <w:rFonts w:ascii="Calibri" w:hAnsi="Calibri" w:cs="Calibri"/>
      <w:sz w:val="22"/>
      <w:szCs w:val="22"/>
    </w:rPr>
  </w:style>
  <w:style w:type="character" w:styleId="HTMLSample">
    <w:name w:val="HTML Sample"/>
    <w:uiPriority w:val="99"/>
    <w:rsid w:val="00211931"/>
    <w:rPr>
      <w:sz w:val="24"/>
      <w:szCs w:val="24"/>
    </w:rPr>
  </w:style>
  <w:style w:type="paragraph" w:customStyle="1" w:styleId="FactSheetBullet1">
    <w:name w:val="Fact Sheet Bullet 1"/>
    <w:basedOn w:val="Normal"/>
    <w:semiHidden/>
    <w:rsid w:val="00211931"/>
    <w:pPr>
      <w:spacing w:after="60" w:line="220" w:lineRule="atLeast"/>
      <w:contextualSpacing/>
    </w:pPr>
    <w:rPr>
      <w:sz w:val="18"/>
    </w:rPr>
  </w:style>
  <w:style w:type="paragraph" w:customStyle="1" w:styleId="FactSheetBullet2">
    <w:name w:val="Fact Sheet Bullet 2"/>
    <w:basedOn w:val="Normal"/>
    <w:semiHidden/>
    <w:rsid w:val="00211931"/>
    <w:pPr>
      <w:spacing w:before="80" w:after="60" w:line="220" w:lineRule="atLeast"/>
      <w:contextualSpacing/>
    </w:pPr>
    <w:rPr>
      <w:sz w:val="18"/>
    </w:rPr>
  </w:style>
  <w:style w:type="paragraph" w:customStyle="1" w:styleId="FactSheetBullet3">
    <w:name w:val="Fact Sheet Bullet 3"/>
    <w:basedOn w:val="FactSheetBullet2"/>
    <w:semiHidden/>
    <w:rsid w:val="00211931"/>
  </w:style>
  <w:style w:type="character" w:styleId="HTMLTypewriter">
    <w:name w:val="HTML Typewriter"/>
    <w:uiPriority w:val="99"/>
    <w:rsid w:val="00211931"/>
    <w:rPr>
      <w:sz w:val="20"/>
      <w:szCs w:val="20"/>
    </w:rPr>
  </w:style>
  <w:style w:type="paragraph" w:customStyle="1" w:styleId="Heading1NoNum">
    <w:name w:val="Heading 1 NoNum"/>
    <w:basedOn w:val="Heading1"/>
    <w:next w:val="Normal"/>
    <w:uiPriority w:val="4"/>
    <w:qFormat/>
    <w:rsid w:val="00211931"/>
    <w:pPr>
      <w:numPr>
        <w:numId w:val="0"/>
      </w:numPr>
      <w:ind w:left="794"/>
    </w:pPr>
  </w:style>
  <w:style w:type="paragraph" w:customStyle="1" w:styleId="Heading2NoNum">
    <w:name w:val="Heading 2 NoNum"/>
    <w:basedOn w:val="Heading2"/>
    <w:next w:val="Normal"/>
    <w:uiPriority w:val="4"/>
    <w:qFormat/>
    <w:rsid w:val="00211931"/>
    <w:pPr>
      <w:numPr>
        <w:ilvl w:val="0"/>
        <w:numId w:val="0"/>
      </w:numPr>
      <w:ind w:left="794"/>
    </w:pPr>
  </w:style>
  <w:style w:type="paragraph" w:customStyle="1" w:styleId="Heading3NoNum">
    <w:name w:val="Heading 3 NoNum"/>
    <w:basedOn w:val="Heading3"/>
    <w:next w:val="Normal"/>
    <w:uiPriority w:val="4"/>
    <w:qFormat/>
    <w:rsid w:val="00211931"/>
    <w:pPr>
      <w:numPr>
        <w:ilvl w:val="0"/>
        <w:numId w:val="0"/>
      </w:numPr>
      <w:ind w:left="794"/>
    </w:pPr>
  </w:style>
  <w:style w:type="paragraph" w:customStyle="1" w:styleId="Heading4NoNum">
    <w:name w:val="Heading 4 NoNum"/>
    <w:basedOn w:val="Heading4"/>
    <w:uiPriority w:val="4"/>
    <w:qFormat/>
    <w:rsid w:val="00211931"/>
    <w:pPr>
      <w:numPr>
        <w:ilvl w:val="0"/>
        <w:numId w:val="0"/>
      </w:numPr>
      <w:ind w:left="794"/>
    </w:pPr>
  </w:style>
  <w:style w:type="character" w:styleId="HTMLVariable">
    <w:name w:val="HTML Variable"/>
    <w:uiPriority w:val="99"/>
    <w:rsid w:val="00211931"/>
    <w:rPr>
      <w:i/>
      <w:iCs/>
    </w:rPr>
  </w:style>
  <w:style w:type="paragraph" w:styleId="Index1">
    <w:name w:val="index 1"/>
    <w:basedOn w:val="Normal"/>
    <w:next w:val="Normal"/>
    <w:autoRedefine/>
    <w:uiPriority w:val="49"/>
    <w:rsid w:val="00211931"/>
    <w:pPr>
      <w:ind w:left="200" w:hanging="200"/>
    </w:pPr>
  </w:style>
  <w:style w:type="paragraph" w:styleId="Index2">
    <w:name w:val="index 2"/>
    <w:basedOn w:val="Normal"/>
    <w:next w:val="Normal"/>
    <w:autoRedefine/>
    <w:uiPriority w:val="49"/>
    <w:rsid w:val="00211931"/>
    <w:pPr>
      <w:ind w:left="400" w:hanging="200"/>
    </w:pPr>
  </w:style>
  <w:style w:type="paragraph" w:styleId="Index3">
    <w:name w:val="index 3"/>
    <w:basedOn w:val="Normal"/>
    <w:next w:val="Normal"/>
    <w:autoRedefine/>
    <w:uiPriority w:val="49"/>
    <w:rsid w:val="00211931"/>
    <w:pPr>
      <w:ind w:left="600" w:hanging="200"/>
    </w:pPr>
  </w:style>
  <w:style w:type="paragraph" w:styleId="Index4">
    <w:name w:val="index 4"/>
    <w:basedOn w:val="Normal"/>
    <w:next w:val="Normal"/>
    <w:autoRedefine/>
    <w:uiPriority w:val="49"/>
    <w:rsid w:val="00211931"/>
    <w:pPr>
      <w:ind w:left="800" w:hanging="200"/>
    </w:pPr>
  </w:style>
  <w:style w:type="paragraph" w:styleId="Index5">
    <w:name w:val="index 5"/>
    <w:basedOn w:val="Normal"/>
    <w:next w:val="Normal"/>
    <w:autoRedefine/>
    <w:uiPriority w:val="49"/>
    <w:rsid w:val="00211931"/>
    <w:pPr>
      <w:ind w:left="1000" w:hanging="200"/>
    </w:pPr>
  </w:style>
  <w:style w:type="paragraph" w:styleId="Index6">
    <w:name w:val="index 6"/>
    <w:basedOn w:val="Normal"/>
    <w:next w:val="Normal"/>
    <w:autoRedefine/>
    <w:uiPriority w:val="49"/>
    <w:rsid w:val="00211931"/>
    <w:pPr>
      <w:ind w:left="1200" w:hanging="200"/>
    </w:pPr>
  </w:style>
  <w:style w:type="paragraph" w:styleId="Index7">
    <w:name w:val="index 7"/>
    <w:basedOn w:val="Normal"/>
    <w:next w:val="Normal"/>
    <w:autoRedefine/>
    <w:uiPriority w:val="49"/>
    <w:rsid w:val="00211931"/>
    <w:pPr>
      <w:ind w:left="1400" w:hanging="200"/>
    </w:pPr>
  </w:style>
  <w:style w:type="paragraph" w:styleId="Index8">
    <w:name w:val="index 8"/>
    <w:basedOn w:val="Normal"/>
    <w:next w:val="Normal"/>
    <w:autoRedefine/>
    <w:uiPriority w:val="49"/>
    <w:rsid w:val="00211931"/>
    <w:pPr>
      <w:ind w:left="1600" w:hanging="200"/>
    </w:pPr>
  </w:style>
  <w:style w:type="paragraph" w:styleId="Index9">
    <w:name w:val="index 9"/>
    <w:basedOn w:val="Normal"/>
    <w:next w:val="Normal"/>
    <w:autoRedefine/>
    <w:uiPriority w:val="49"/>
    <w:rsid w:val="00211931"/>
    <w:pPr>
      <w:ind w:left="1800" w:hanging="200"/>
    </w:pPr>
  </w:style>
  <w:style w:type="paragraph" w:styleId="IndexHeading">
    <w:name w:val="index heading"/>
    <w:basedOn w:val="Normal"/>
    <w:next w:val="Index1"/>
    <w:uiPriority w:val="49"/>
    <w:rsid w:val="00211931"/>
    <w:rPr>
      <w:b/>
      <w:bCs/>
    </w:rPr>
  </w:style>
  <w:style w:type="character" w:styleId="IntenseEmphasis">
    <w:name w:val="Intense Emphasis"/>
    <w:uiPriority w:val="21"/>
    <w:qFormat/>
    <w:rsid w:val="00211931"/>
    <w:rPr>
      <w:b/>
      <w:bCs/>
      <w:i/>
      <w:iCs/>
      <w:color w:val="4F81BD"/>
    </w:rPr>
  </w:style>
  <w:style w:type="character" w:styleId="IntenseReference">
    <w:name w:val="Intense Reference"/>
    <w:uiPriority w:val="32"/>
    <w:qFormat/>
    <w:rsid w:val="00211931"/>
    <w:rPr>
      <w:b/>
      <w:bCs/>
      <w:smallCaps/>
      <w:color w:val="C0504D"/>
      <w:spacing w:val="5"/>
      <w:u w:val="single"/>
    </w:rPr>
  </w:style>
  <w:style w:type="character" w:styleId="LineNumber">
    <w:name w:val="line number"/>
    <w:uiPriority w:val="49"/>
    <w:rsid w:val="00211931"/>
  </w:style>
  <w:style w:type="paragraph" w:styleId="List">
    <w:name w:val="List"/>
    <w:basedOn w:val="Normal"/>
    <w:uiPriority w:val="49"/>
    <w:rsid w:val="00211931"/>
    <w:pPr>
      <w:ind w:left="283" w:hanging="283"/>
    </w:pPr>
  </w:style>
  <w:style w:type="paragraph" w:styleId="List2">
    <w:name w:val="List 2"/>
    <w:basedOn w:val="Normal"/>
    <w:uiPriority w:val="49"/>
    <w:rsid w:val="00211931"/>
    <w:pPr>
      <w:ind w:left="566" w:hanging="283"/>
    </w:pPr>
  </w:style>
  <w:style w:type="paragraph" w:styleId="List3">
    <w:name w:val="List 3"/>
    <w:basedOn w:val="Normal"/>
    <w:uiPriority w:val="49"/>
    <w:rsid w:val="00211931"/>
    <w:pPr>
      <w:ind w:left="849" w:hanging="283"/>
    </w:pPr>
  </w:style>
  <w:style w:type="paragraph" w:styleId="List4">
    <w:name w:val="List 4"/>
    <w:basedOn w:val="Normal"/>
    <w:uiPriority w:val="49"/>
    <w:rsid w:val="00211931"/>
    <w:pPr>
      <w:ind w:left="1132" w:hanging="283"/>
    </w:pPr>
  </w:style>
  <w:style w:type="paragraph" w:styleId="List5">
    <w:name w:val="List 5"/>
    <w:basedOn w:val="Normal"/>
    <w:uiPriority w:val="49"/>
    <w:rsid w:val="00211931"/>
    <w:pPr>
      <w:ind w:left="1415" w:hanging="283"/>
    </w:pPr>
  </w:style>
  <w:style w:type="paragraph" w:styleId="ListBullet">
    <w:name w:val="List Bullet"/>
    <w:basedOn w:val="Normal"/>
    <w:uiPriority w:val="99"/>
    <w:unhideWhenUsed/>
    <w:rsid w:val="00211931"/>
    <w:pPr>
      <w:numPr>
        <w:numId w:val="3"/>
      </w:numPr>
      <w:contextualSpacing/>
    </w:pPr>
  </w:style>
  <w:style w:type="paragraph" w:styleId="ListBullet2">
    <w:name w:val="List Bullet 2"/>
    <w:basedOn w:val="Normal"/>
    <w:uiPriority w:val="99"/>
    <w:rsid w:val="00211931"/>
    <w:pPr>
      <w:numPr>
        <w:numId w:val="4"/>
      </w:numPr>
      <w:contextualSpacing/>
    </w:pPr>
  </w:style>
  <w:style w:type="paragraph" w:styleId="ListBullet3">
    <w:name w:val="List Bullet 3"/>
    <w:basedOn w:val="Normal"/>
    <w:uiPriority w:val="99"/>
    <w:rsid w:val="00211931"/>
    <w:pPr>
      <w:numPr>
        <w:numId w:val="5"/>
      </w:numPr>
      <w:contextualSpacing/>
    </w:pPr>
  </w:style>
  <w:style w:type="table" w:styleId="LightGrid">
    <w:name w:val="Light Grid"/>
    <w:basedOn w:val="TableNormal"/>
    <w:uiPriority w:val="62"/>
    <w:rsid w:val="00211931"/>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11931"/>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211931"/>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11931"/>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11931"/>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11931"/>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11931"/>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11931"/>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211931"/>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211931"/>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11931"/>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semiHidden/>
    <w:rsid w:val="00211931"/>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11931"/>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11931"/>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11931"/>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11931"/>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11931"/>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211931"/>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211931"/>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11931"/>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211931"/>
    <w:rPr>
      <w:rFonts w:ascii="Arial" w:hAnsi="Arial"/>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211931"/>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11931"/>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11931"/>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11931"/>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11931"/>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211931"/>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paragraph" w:styleId="ListBullet4">
    <w:name w:val="List Bullet 4"/>
    <w:basedOn w:val="Normal"/>
    <w:uiPriority w:val="49"/>
    <w:rsid w:val="00211931"/>
    <w:pPr>
      <w:tabs>
        <w:tab w:val="num" w:pos="1209"/>
      </w:tabs>
      <w:ind w:left="1209" w:hanging="360"/>
    </w:pPr>
  </w:style>
  <w:style w:type="paragraph" w:styleId="ListBullet5">
    <w:name w:val="List Bullet 5"/>
    <w:basedOn w:val="Normal"/>
    <w:uiPriority w:val="49"/>
    <w:rsid w:val="00211931"/>
    <w:pPr>
      <w:tabs>
        <w:tab w:val="num" w:pos="1492"/>
      </w:tabs>
      <w:ind w:left="1492" w:hanging="360"/>
    </w:pPr>
  </w:style>
  <w:style w:type="paragraph" w:styleId="ListContinue">
    <w:name w:val="List Continue"/>
    <w:basedOn w:val="Normal"/>
    <w:uiPriority w:val="8"/>
    <w:qFormat/>
    <w:rsid w:val="00211931"/>
    <w:pPr>
      <w:spacing w:after="0"/>
      <w:ind w:left="1077"/>
    </w:pPr>
  </w:style>
  <w:style w:type="paragraph" w:styleId="ListContinue2">
    <w:name w:val="List Continue 2"/>
    <w:basedOn w:val="Normal"/>
    <w:uiPriority w:val="8"/>
    <w:rsid w:val="00211931"/>
    <w:pPr>
      <w:spacing w:after="0"/>
      <w:ind w:left="1361"/>
    </w:pPr>
  </w:style>
  <w:style w:type="paragraph" w:styleId="ListContinue3">
    <w:name w:val="List Continue 3"/>
    <w:basedOn w:val="Normal"/>
    <w:uiPriority w:val="8"/>
    <w:rsid w:val="00211931"/>
    <w:pPr>
      <w:spacing w:after="0"/>
      <w:ind w:left="1644"/>
    </w:pPr>
  </w:style>
  <w:style w:type="paragraph" w:styleId="ListContinue4">
    <w:name w:val="List Continue 4"/>
    <w:basedOn w:val="Normal"/>
    <w:uiPriority w:val="49"/>
    <w:rsid w:val="00211931"/>
    <w:pPr>
      <w:spacing w:after="120"/>
      <w:ind w:left="1132"/>
    </w:pPr>
  </w:style>
  <w:style w:type="paragraph" w:styleId="ListContinue5">
    <w:name w:val="List Continue 5"/>
    <w:basedOn w:val="Normal"/>
    <w:uiPriority w:val="49"/>
    <w:rsid w:val="00211931"/>
    <w:pPr>
      <w:spacing w:after="120"/>
      <w:ind w:left="1415"/>
    </w:pPr>
  </w:style>
  <w:style w:type="paragraph" w:styleId="ListNumber">
    <w:name w:val="List Number"/>
    <w:basedOn w:val="Normal"/>
    <w:uiPriority w:val="7"/>
    <w:qFormat/>
    <w:rsid w:val="00211931"/>
    <w:pPr>
      <w:numPr>
        <w:numId w:val="27"/>
      </w:numPr>
      <w:contextualSpacing/>
    </w:pPr>
  </w:style>
  <w:style w:type="paragraph" w:styleId="ListNumber2">
    <w:name w:val="List Number 2"/>
    <w:basedOn w:val="Normal"/>
    <w:uiPriority w:val="7"/>
    <w:rsid w:val="00211931"/>
    <w:pPr>
      <w:numPr>
        <w:ilvl w:val="1"/>
        <w:numId w:val="27"/>
      </w:numPr>
      <w:contextualSpacing/>
    </w:pPr>
  </w:style>
  <w:style w:type="paragraph" w:styleId="ListNumber3">
    <w:name w:val="List Number 3"/>
    <w:basedOn w:val="Normal"/>
    <w:uiPriority w:val="7"/>
    <w:rsid w:val="00211931"/>
    <w:pPr>
      <w:numPr>
        <w:ilvl w:val="2"/>
        <w:numId w:val="27"/>
      </w:numPr>
      <w:contextualSpacing/>
    </w:pPr>
  </w:style>
  <w:style w:type="paragraph" w:styleId="ListNumber4">
    <w:name w:val="List Number 4"/>
    <w:basedOn w:val="Normal"/>
    <w:uiPriority w:val="49"/>
    <w:rsid w:val="00211931"/>
    <w:pPr>
      <w:tabs>
        <w:tab w:val="num" w:pos="1209"/>
      </w:tabs>
      <w:ind w:left="1209" w:hanging="360"/>
    </w:pPr>
  </w:style>
  <w:style w:type="paragraph" w:customStyle="1" w:styleId="ListBulletBold">
    <w:name w:val="List Bullet Bold"/>
    <w:basedOn w:val="Normal"/>
    <w:next w:val="Normal"/>
    <w:uiPriority w:val="49"/>
    <w:semiHidden/>
    <w:rsid w:val="00211931"/>
    <w:rPr>
      <w:b/>
    </w:rPr>
  </w:style>
  <w:style w:type="paragraph" w:styleId="ListNumber5">
    <w:name w:val="List Number 5"/>
    <w:basedOn w:val="Normal"/>
    <w:uiPriority w:val="49"/>
    <w:rsid w:val="00211931"/>
    <w:pPr>
      <w:tabs>
        <w:tab w:val="num" w:pos="1492"/>
      </w:tabs>
      <w:ind w:left="1492" w:hanging="360"/>
    </w:pPr>
  </w:style>
  <w:style w:type="paragraph" w:styleId="ListParagraph">
    <w:name w:val="List Paragraph"/>
    <w:basedOn w:val="Normal"/>
    <w:uiPriority w:val="34"/>
    <w:qFormat/>
    <w:rsid w:val="00211931"/>
    <w:pPr>
      <w:ind w:left="720"/>
      <w:contextualSpacing/>
    </w:pPr>
  </w:style>
  <w:style w:type="paragraph" w:styleId="MacroText">
    <w:name w:val="macro"/>
    <w:link w:val="MacroTextChar"/>
    <w:uiPriority w:val="49"/>
    <w:rsid w:val="00211931"/>
    <w:rPr>
      <w:rFonts w:ascii="Calibri" w:hAnsi="Calibri" w:cs="Calibri"/>
      <w:sz w:val="22"/>
      <w:szCs w:val="22"/>
    </w:rPr>
  </w:style>
  <w:style w:type="character" w:customStyle="1" w:styleId="MacroTextChar">
    <w:name w:val="Macro Text Char"/>
    <w:link w:val="MacroText"/>
    <w:uiPriority w:val="49"/>
    <w:rsid w:val="00211931"/>
    <w:rPr>
      <w:rFonts w:ascii="Calibri" w:hAnsi="Calibri" w:cs="Calibri"/>
      <w:sz w:val="22"/>
      <w:szCs w:val="22"/>
    </w:rPr>
  </w:style>
  <w:style w:type="paragraph" w:styleId="MessageHeader">
    <w:name w:val="Message Header"/>
    <w:basedOn w:val="Normal"/>
    <w:link w:val="MessageHeaderChar"/>
    <w:uiPriority w:val="49"/>
    <w:rsid w:val="00211931"/>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link w:val="MessageHeader"/>
    <w:uiPriority w:val="49"/>
    <w:rsid w:val="00211931"/>
    <w:rPr>
      <w:rFonts w:ascii="Calibri" w:hAnsi="Calibri" w:cs="Calibri"/>
      <w:sz w:val="24"/>
      <w:szCs w:val="24"/>
      <w:shd w:val="pct20" w:color="auto" w:fill="auto"/>
    </w:rPr>
  </w:style>
  <w:style w:type="paragraph" w:styleId="NormalWeb">
    <w:name w:val="Normal (Web)"/>
    <w:basedOn w:val="Normal"/>
    <w:uiPriority w:val="49"/>
    <w:rsid w:val="00211931"/>
    <w:rPr>
      <w:sz w:val="24"/>
      <w:szCs w:val="24"/>
    </w:rPr>
  </w:style>
  <w:style w:type="paragraph" w:styleId="PlainText">
    <w:name w:val="Plain Text"/>
    <w:basedOn w:val="Normal"/>
    <w:link w:val="PlainTextChar"/>
    <w:uiPriority w:val="49"/>
    <w:rsid w:val="00211931"/>
  </w:style>
  <w:style w:type="character" w:customStyle="1" w:styleId="PlainTextChar">
    <w:name w:val="Plain Text Char"/>
    <w:link w:val="PlainText"/>
    <w:uiPriority w:val="49"/>
    <w:rsid w:val="00211931"/>
    <w:rPr>
      <w:rFonts w:ascii="Calibri" w:hAnsi="Calibri" w:cs="Calibri"/>
      <w:sz w:val="22"/>
      <w:szCs w:val="22"/>
    </w:rPr>
  </w:style>
  <w:style w:type="paragraph" w:styleId="Salutation">
    <w:name w:val="Salutation"/>
    <w:basedOn w:val="Normal"/>
    <w:next w:val="Normal"/>
    <w:link w:val="SalutationChar"/>
    <w:uiPriority w:val="49"/>
    <w:rsid w:val="00211931"/>
  </w:style>
  <w:style w:type="character" w:customStyle="1" w:styleId="SalutationChar">
    <w:name w:val="Salutation Char"/>
    <w:link w:val="Salutation"/>
    <w:uiPriority w:val="49"/>
    <w:rsid w:val="00211931"/>
    <w:rPr>
      <w:rFonts w:ascii="Calibri" w:hAnsi="Calibri" w:cs="Calibri"/>
      <w:sz w:val="22"/>
      <w:szCs w:val="22"/>
    </w:rPr>
  </w:style>
  <w:style w:type="paragraph" w:styleId="Signature">
    <w:name w:val="Signature"/>
    <w:basedOn w:val="Normal"/>
    <w:link w:val="SignatureChar"/>
    <w:uiPriority w:val="49"/>
    <w:rsid w:val="00211931"/>
    <w:pPr>
      <w:ind w:left="4252"/>
    </w:pPr>
  </w:style>
  <w:style w:type="table" w:styleId="MediumGrid1">
    <w:name w:val="Medium Grid 1"/>
    <w:basedOn w:val="TableNormal"/>
    <w:uiPriority w:val="67"/>
    <w:rsid w:val="00211931"/>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11931"/>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11931"/>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11931"/>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11931"/>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11931"/>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11931"/>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211931"/>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211931"/>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11931"/>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11931"/>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11931"/>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11931"/>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11931"/>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11931"/>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211931"/>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211931"/>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11931"/>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11931"/>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11931"/>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11931"/>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11931"/>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11931"/>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211931"/>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211931"/>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11931"/>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211931"/>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211931"/>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11931"/>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11931"/>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11931"/>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11931"/>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211931"/>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211931"/>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11931"/>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11931"/>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11931"/>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11931"/>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11931"/>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11931"/>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211931"/>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11931"/>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11931"/>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211931"/>
    <w:rPr>
      <w:rFonts w:ascii="Arial" w:hAnsi="Arial"/>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11931"/>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11931"/>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11931"/>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11931"/>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11931"/>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211931"/>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ignatureChar">
    <w:name w:val="Signature Char"/>
    <w:link w:val="Signature"/>
    <w:uiPriority w:val="49"/>
    <w:rsid w:val="00211931"/>
    <w:rPr>
      <w:rFonts w:ascii="Calibri" w:hAnsi="Calibri" w:cs="Calibri"/>
      <w:sz w:val="22"/>
      <w:szCs w:val="22"/>
    </w:rPr>
  </w:style>
  <w:style w:type="character" w:styleId="Strong">
    <w:name w:val="Strong"/>
    <w:uiPriority w:val="22"/>
    <w:qFormat/>
    <w:rsid w:val="00211931"/>
    <w:rPr>
      <w:b/>
      <w:bCs/>
    </w:rPr>
  </w:style>
  <w:style w:type="character" w:styleId="SubtleEmphasis">
    <w:name w:val="Subtle Emphasis"/>
    <w:uiPriority w:val="19"/>
    <w:qFormat/>
    <w:rsid w:val="00211931"/>
    <w:rPr>
      <w:i/>
      <w:iCs/>
      <w:color w:val="808080"/>
    </w:rPr>
  </w:style>
  <w:style w:type="paragraph" w:styleId="NormalIndent">
    <w:name w:val="Normal Indent"/>
    <w:basedOn w:val="Normal"/>
    <w:rsid w:val="00211931"/>
    <w:pPr>
      <w:spacing w:line="240" w:lineRule="exact"/>
      <w:ind w:left="1077" w:right="284"/>
    </w:pPr>
  </w:style>
  <w:style w:type="paragraph" w:customStyle="1" w:styleId="NormalIndentItalics">
    <w:name w:val="Normal Indent Italics"/>
    <w:basedOn w:val="NormalIndent"/>
    <w:uiPriority w:val="13"/>
    <w:qFormat/>
    <w:rsid w:val="00211931"/>
    <w:rPr>
      <w:i/>
    </w:rPr>
  </w:style>
  <w:style w:type="paragraph" w:customStyle="1" w:styleId="NoteNormal">
    <w:name w:val="Note Normal"/>
    <w:basedOn w:val="Normal"/>
    <w:uiPriority w:val="49"/>
    <w:rsid w:val="00211931"/>
    <w:pPr>
      <w:keepNext/>
      <w:keepLines/>
      <w:spacing w:before="80"/>
    </w:pPr>
    <w:rPr>
      <w:color w:val="000000"/>
      <w:sz w:val="18"/>
    </w:rPr>
  </w:style>
  <w:style w:type="character" w:styleId="PageNumber">
    <w:name w:val="page number"/>
    <w:uiPriority w:val="49"/>
    <w:semiHidden/>
    <w:rsid w:val="00211931"/>
    <w:rPr>
      <w:b/>
      <w:color w:val="4C4C4C"/>
      <w:sz w:val="28"/>
    </w:rPr>
  </w:style>
  <w:style w:type="paragraph" w:customStyle="1" w:styleId="Pictwide">
    <w:name w:val="Pict wide"/>
    <w:basedOn w:val="Normal"/>
    <w:next w:val="Normal"/>
    <w:uiPriority w:val="13"/>
    <w:unhideWhenUsed/>
    <w:qFormat/>
    <w:rsid w:val="00211931"/>
    <w:pPr>
      <w:widowControl w:val="0"/>
      <w:spacing w:before="160" w:after="320"/>
    </w:pPr>
    <w:rPr>
      <w:sz w:val="24"/>
    </w:rPr>
  </w:style>
  <w:style w:type="character" w:styleId="PlaceholderText">
    <w:name w:val="Placeholder Text"/>
    <w:uiPriority w:val="99"/>
    <w:semiHidden/>
    <w:rsid w:val="00211931"/>
    <w:rPr>
      <w:color w:val="808080"/>
    </w:rPr>
  </w:style>
  <w:style w:type="character" w:styleId="SubtleReference">
    <w:name w:val="Subtle Reference"/>
    <w:uiPriority w:val="31"/>
    <w:qFormat/>
    <w:rsid w:val="00211931"/>
    <w:rPr>
      <w:smallCaps/>
      <w:color w:val="C0504D"/>
      <w:u w:val="single"/>
    </w:rPr>
  </w:style>
  <w:style w:type="paragraph" w:styleId="TableofAuthorities">
    <w:name w:val="table of authorities"/>
    <w:basedOn w:val="Normal"/>
    <w:next w:val="Normal"/>
    <w:uiPriority w:val="39"/>
    <w:rsid w:val="00211931"/>
    <w:pPr>
      <w:tabs>
        <w:tab w:val="right" w:pos="9072"/>
      </w:tabs>
      <w:ind w:left="200" w:hanging="200"/>
    </w:pPr>
  </w:style>
  <w:style w:type="paragraph" w:customStyle="1" w:styleId="Quotation">
    <w:name w:val="Quotation"/>
    <w:basedOn w:val="Normal"/>
    <w:next w:val="Normal"/>
    <w:uiPriority w:val="49"/>
    <w:semiHidden/>
    <w:rsid w:val="00211931"/>
    <w:pPr>
      <w:keepLines/>
      <w:spacing w:before="40"/>
      <w:jc w:val="center"/>
    </w:pPr>
    <w:rPr>
      <w:i/>
      <w:iCs/>
      <w:color w:val="003399"/>
      <w:sz w:val="18"/>
    </w:rPr>
  </w:style>
  <w:style w:type="paragraph" w:customStyle="1" w:styleId="QuoteName">
    <w:name w:val="Quote Name"/>
    <w:basedOn w:val="Normal"/>
    <w:uiPriority w:val="49"/>
    <w:semiHidden/>
    <w:rsid w:val="00211931"/>
    <w:pPr>
      <w:spacing w:after="0"/>
      <w:ind w:left="902" w:right="822"/>
      <w:jc w:val="right"/>
    </w:pPr>
    <w:rPr>
      <w:caps/>
      <w:color w:val="800000"/>
      <w:sz w:val="16"/>
    </w:rPr>
  </w:style>
  <w:style w:type="paragraph" w:styleId="TableofFigures">
    <w:name w:val="table of figures"/>
    <w:basedOn w:val="TOCHeading"/>
    <w:next w:val="Normal"/>
    <w:uiPriority w:val="99"/>
    <w:unhideWhenUsed/>
    <w:rsid w:val="00211931"/>
    <w:pPr>
      <w:spacing w:after="0"/>
    </w:pPr>
  </w:style>
  <w:style w:type="paragraph" w:styleId="TOAHeading">
    <w:name w:val="toa heading"/>
    <w:basedOn w:val="Normal"/>
    <w:next w:val="Normal"/>
    <w:uiPriority w:val="39"/>
    <w:rsid w:val="00211931"/>
    <w:pPr>
      <w:spacing w:before="120"/>
    </w:pPr>
    <w:rPr>
      <w:b/>
      <w:bCs/>
      <w:sz w:val="24"/>
      <w:szCs w:val="24"/>
    </w:rPr>
  </w:style>
  <w:style w:type="paragraph" w:styleId="TOC4">
    <w:name w:val="toc 4"/>
    <w:basedOn w:val="Normal"/>
    <w:next w:val="Normal"/>
    <w:autoRedefine/>
    <w:uiPriority w:val="39"/>
    <w:rsid w:val="00211931"/>
    <w:pPr>
      <w:tabs>
        <w:tab w:val="right" w:leader="dot" w:pos="9639"/>
      </w:tabs>
      <w:spacing w:after="0"/>
      <w:ind w:left="1985" w:right="567" w:hanging="567"/>
    </w:pPr>
    <w:rPr>
      <w:color w:val="4C4C4C"/>
      <w:sz w:val="18"/>
    </w:rPr>
  </w:style>
  <w:style w:type="paragraph" w:styleId="TOC5">
    <w:name w:val="toc 5"/>
    <w:basedOn w:val="TOC3"/>
    <w:next w:val="Normal"/>
    <w:autoRedefine/>
    <w:uiPriority w:val="39"/>
    <w:rsid w:val="00211931"/>
    <w:pPr>
      <w:ind w:left="1589" w:right="505" w:hanging="1589"/>
    </w:pPr>
    <w:rPr>
      <w:b/>
      <w:color w:val="333333"/>
    </w:rPr>
  </w:style>
  <w:style w:type="paragraph" w:customStyle="1" w:styleId="Spacer">
    <w:name w:val="Spacer"/>
    <w:basedOn w:val="Normal"/>
    <w:uiPriority w:val="13"/>
    <w:semiHidden/>
    <w:unhideWhenUsed/>
    <w:qFormat/>
    <w:rsid w:val="00211931"/>
    <w:pPr>
      <w:spacing w:after="0" w:line="120" w:lineRule="atLeast"/>
    </w:pPr>
    <w:rPr>
      <w:sz w:val="12"/>
    </w:rPr>
  </w:style>
  <w:style w:type="table" w:styleId="Table3Deffects1">
    <w:name w:val="Table 3D effects 1"/>
    <w:basedOn w:val="TableNormal"/>
    <w:uiPriority w:val="99"/>
    <w:unhideWhenUsed/>
    <w:rsid w:val="00211931"/>
    <w:pPr>
      <w:spacing w:before="80" w:after="80" w:line="240" w:lineRule="atLeast"/>
      <w:ind w:left="794"/>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211931"/>
    <w:pPr>
      <w:spacing w:before="80" w:after="80" w:line="240" w:lineRule="atLeast"/>
      <w:ind w:left="794"/>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211931"/>
    <w:pPr>
      <w:spacing w:before="80" w:after="80" w:line="240" w:lineRule="atLeast"/>
      <w:ind w:left="794"/>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uiPriority w:val="15"/>
    <w:qFormat/>
    <w:rsid w:val="00211931"/>
    <w:pPr>
      <w:spacing w:before="20" w:after="20"/>
    </w:pPr>
    <w:rPr>
      <w:sz w:val="20"/>
    </w:rPr>
  </w:style>
  <w:style w:type="paragraph" w:customStyle="1" w:styleId="TableBullet">
    <w:name w:val="Table Bullet"/>
    <w:basedOn w:val="TableText"/>
    <w:uiPriority w:val="10"/>
    <w:qFormat/>
    <w:rsid w:val="00211931"/>
    <w:pPr>
      <w:numPr>
        <w:numId w:val="28"/>
      </w:numPr>
      <w:spacing w:before="0" w:after="0"/>
    </w:pPr>
  </w:style>
  <w:style w:type="paragraph" w:customStyle="1" w:styleId="TableBulletDash">
    <w:name w:val="Table Bullet Dash"/>
    <w:basedOn w:val="Normal"/>
    <w:uiPriority w:val="10"/>
    <w:rsid w:val="00211931"/>
    <w:pPr>
      <w:numPr>
        <w:ilvl w:val="1"/>
        <w:numId w:val="28"/>
      </w:numPr>
      <w:spacing w:after="0"/>
    </w:pPr>
    <w:rPr>
      <w:sz w:val="20"/>
    </w:rPr>
  </w:style>
  <w:style w:type="table" w:styleId="TableGrid">
    <w:name w:val="Table Grid"/>
    <w:basedOn w:val="TableNormal"/>
    <w:rsid w:val="00211931"/>
    <w:rPr>
      <w:rFonts w:ascii="Calibri" w:hAnsi="Calibri"/>
    </w:rPr>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table" w:styleId="TableClassic1">
    <w:name w:val="Table Classic 1"/>
    <w:basedOn w:val="TableGrid"/>
    <w:uiPriority w:val="99"/>
    <w:unhideWhenUsed/>
    <w:rsid w:val="00211931"/>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211931"/>
    <w:pPr>
      <w:spacing w:before="80" w:after="80" w:line="240" w:lineRule="atLeast"/>
      <w:ind w:left="794"/>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211931"/>
    <w:pPr>
      <w:spacing w:before="80" w:after="80" w:line="240" w:lineRule="atLeast"/>
      <w:ind w:left="79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211931"/>
    <w:pPr>
      <w:spacing w:before="80" w:after="80" w:line="240" w:lineRule="atLeast"/>
      <w:ind w:left="794"/>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211931"/>
    <w:pPr>
      <w:spacing w:before="80" w:after="80" w:line="240" w:lineRule="atLeast"/>
      <w:ind w:left="79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211931"/>
    <w:pPr>
      <w:spacing w:before="80" w:after="80" w:line="240" w:lineRule="atLeast"/>
      <w:ind w:left="794"/>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11931"/>
    <w:pPr>
      <w:spacing w:before="80" w:after="80" w:line="240" w:lineRule="atLeast"/>
      <w:ind w:left="79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211931"/>
    <w:pPr>
      <w:spacing w:before="80" w:after="80" w:line="240" w:lineRule="atLeast"/>
      <w:ind w:left="79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211931"/>
    <w:pPr>
      <w:spacing w:before="80" w:after="80" w:line="240" w:lineRule="atLeast"/>
      <w:ind w:left="794"/>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211931"/>
    <w:pPr>
      <w:spacing w:before="80" w:after="80" w:line="240" w:lineRule="atLeast"/>
      <w:ind w:left="79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211931"/>
    <w:pPr>
      <w:spacing w:before="80" w:after="80" w:line="240" w:lineRule="atLeast"/>
      <w:ind w:left="794"/>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211931"/>
    <w:pPr>
      <w:spacing w:before="80" w:after="80" w:line="240" w:lineRule="atLeast"/>
      <w:ind w:left="79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211931"/>
    <w:pPr>
      <w:spacing w:before="80" w:after="80" w:line="240" w:lineRule="atLeast"/>
      <w:ind w:left="794"/>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211931"/>
    <w:pPr>
      <w:spacing w:before="80" w:after="80" w:line="240" w:lineRule="atLeast"/>
      <w:ind w:left="79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211931"/>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2">
    <w:name w:val="Table Grid 2"/>
    <w:basedOn w:val="TableGrid"/>
    <w:uiPriority w:val="99"/>
    <w:unhideWhenUsed/>
    <w:rsid w:val="00211931"/>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unhideWhenUsed/>
    <w:rsid w:val="00211931"/>
    <w:pPr>
      <w:spacing w:before="80" w:after="80" w:line="240" w:lineRule="atLeast"/>
      <w:ind w:left="79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211931"/>
    <w:pPr>
      <w:spacing w:before="80" w:after="80" w:line="240" w:lineRule="atLeast"/>
      <w:ind w:left="794"/>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211931"/>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211931"/>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211931"/>
    <w:pPr>
      <w:spacing w:before="80" w:after="80" w:line="240" w:lineRule="atLeast"/>
      <w:ind w:left="79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211931"/>
    <w:pPr>
      <w:spacing w:before="80" w:after="80" w:line="240" w:lineRule="atLeast"/>
      <w:ind w:left="79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
    <w:name w:val="Table Header"/>
    <w:basedOn w:val="TableText"/>
    <w:uiPriority w:val="15"/>
    <w:qFormat/>
    <w:rsid w:val="00211931"/>
    <w:pPr>
      <w:keepNext/>
      <w:spacing w:before="40" w:after="40"/>
    </w:pPr>
    <w:rPr>
      <w:color w:val="333333"/>
      <w:sz w:val="24"/>
    </w:rPr>
  </w:style>
  <w:style w:type="paragraph" w:customStyle="1" w:styleId="TableHeaderMinutes">
    <w:name w:val="Table Header Minutes"/>
    <w:basedOn w:val="TableHeader"/>
    <w:rsid w:val="00211931"/>
    <w:rPr>
      <w:b/>
      <w:bCs/>
      <w:color w:val="auto"/>
      <w:sz w:val="18"/>
      <w:szCs w:val="17"/>
    </w:rPr>
  </w:style>
  <w:style w:type="table" w:styleId="TableList1">
    <w:name w:val="Table List 1"/>
    <w:basedOn w:val="TableNormal"/>
    <w:uiPriority w:val="99"/>
    <w:unhideWhenUsed/>
    <w:rsid w:val="00211931"/>
    <w:pPr>
      <w:spacing w:before="80" w:after="80" w:line="240" w:lineRule="atLeast"/>
      <w:ind w:left="79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211931"/>
    <w:pPr>
      <w:spacing w:before="80" w:after="80" w:line="240" w:lineRule="atLeast"/>
      <w:ind w:left="794"/>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211931"/>
    <w:pPr>
      <w:spacing w:before="80" w:after="80" w:line="240" w:lineRule="atLeast"/>
      <w:ind w:left="794"/>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211931"/>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211931"/>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211931"/>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211931"/>
    <w:pPr>
      <w:spacing w:before="80" w:after="80" w:line="240" w:lineRule="atLeast"/>
      <w:ind w:left="79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211931"/>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6">
    <w:name w:val="toc 6"/>
    <w:basedOn w:val="Normal"/>
    <w:next w:val="Normal"/>
    <w:autoRedefine/>
    <w:uiPriority w:val="49"/>
    <w:rsid w:val="00211931"/>
    <w:pPr>
      <w:spacing w:before="40" w:after="20"/>
      <w:ind w:left="1418" w:hanging="1418"/>
    </w:pPr>
    <w:rPr>
      <w:b/>
      <w:sz w:val="16"/>
    </w:rPr>
  </w:style>
  <w:style w:type="paragraph" w:styleId="TOC7">
    <w:name w:val="toc 7"/>
    <w:basedOn w:val="Normal"/>
    <w:next w:val="Normal"/>
    <w:autoRedefine/>
    <w:uiPriority w:val="49"/>
    <w:rsid w:val="00211931"/>
    <w:pPr>
      <w:ind w:left="1440"/>
    </w:pPr>
  </w:style>
  <w:style w:type="table" w:styleId="TableProfessional">
    <w:name w:val="Table Professional"/>
    <w:basedOn w:val="TableNormal"/>
    <w:uiPriority w:val="99"/>
    <w:unhideWhenUsed/>
    <w:rsid w:val="00211931"/>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11931"/>
    <w:pPr>
      <w:spacing w:before="80" w:after="80" w:line="240" w:lineRule="atLeast"/>
      <w:ind w:left="794"/>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11931"/>
    <w:pPr>
      <w:spacing w:before="80" w:after="80" w:line="240" w:lineRule="atLeast"/>
      <w:ind w:left="794"/>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211931"/>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211931"/>
    <w:pPr>
      <w:spacing w:before="80" w:after="80" w:line="240" w:lineRule="atLeast"/>
      <w:ind w:left="794"/>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11931"/>
    <w:pPr>
      <w:spacing w:before="80" w:after="80" w:line="240" w:lineRule="atLeast"/>
      <w:ind w:left="794"/>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11931"/>
    <w:pPr>
      <w:spacing w:before="80" w:after="80" w:line="240" w:lineRule="atLeast"/>
      <w:ind w:left="794"/>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11931"/>
    <w:pPr>
      <w:spacing w:before="80" w:after="80" w:line="240" w:lineRule="atLeast"/>
      <w:ind w:left="79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11931"/>
    <w:pPr>
      <w:spacing w:before="80" w:after="80" w:line="240" w:lineRule="atLeast"/>
      <w:ind w:left="79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11931"/>
    <w:pPr>
      <w:spacing w:before="80" w:after="80" w:line="240" w:lineRule="atLeast"/>
      <w:ind w:left="79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8">
    <w:name w:val="toc 8"/>
    <w:basedOn w:val="Normal"/>
    <w:next w:val="Normal"/>
    <w:autoRedefine/>
    <w:uiPriority w:val="49"/>
    <w:rsid w:val="00211931"/>
    <w:pPr>
      <w:ind w:left="1680"/>
    </w:pPr>
  </w:style>
  <w:style w:type="paragraph" w:styleId="TOC1">
    <w:name w:val="toc 1"/>
    <w:basedOn w:val="Normal"/>
    <w:next w:val="Normal"/>
    <w:autoRedefine/>
    <w:uiPriority w:val="39"/>
    <w:rsid w:val="00211931"/>
    <w:pPr>
      <w:tabs>
        <w:tab w:val="right" w:leader="dot" w:pos="9645"/>
      </w:tabs>
      <w:spacing w:before="240" w:line="216" w:lineRule="auto"/>
      <w:ind w:right="567" w:hanging="794"/>
    </w:pPr>
    <w:rPr>
      <w:noProof/>
      <w:color w:val="4C4C4C"/>
      <w:sz w:val="28"/>
      <w:szCs w:val="28"/>
    </w:rPr>
  </w:style>
  <w:style w:type="paragraph" w:styleId="TOC2">
    <w:name w:val="toc 2"/>
    <w:next w:val="Normal"/>
    <w:autoRedefine/>
    <w:uiPriority w:val="39"/>
    <w:rsid w:val="00211931"/>
    <w:pPr>
      <w:tabs>
        <w:tab w:val="left" w:pos="1985"/>
        <w:tab w:val="right" w:leader="dot" w:pos="9631"/>
      </w:tabs>
      <w:spacing w:before="20"/>
      <w:ind w:left="1248" w:right="567" w:hanging="454"/>
      <w:contextualSpacing/>
    </w:pPr>
    <w:rPr>
      <w:rFonts w:ascii="Calibri" w:hAnsi="Calibri" w:cs="Calibri"/>
      <w:noProof/>
      <w:color w:val="000000"/>
      <w:sz w:val="22"/>
      <w:szCs w:val="22"/>
    </w:rPr>
  </w:style>
  <w:style w:type="paragraph" w:styleId="TOC3">
    <w:name w:val="toc 3"/>
    <w:next w:val="Normal"/>
    <w:autoRedefine/>
    <w:uiPriority w:val="39"/>
    <w:rsid w:val="00211931"/>
    <w:pPr>
      <w:tabs>
        <w:tab w:val="right" w:leader="dot" w:pos="9631"/>
      </w:tabs>
      <w:ind w:left="1985" w:right="567" w:hanging="709"/>
    </w:pPr>
    <w:rPr>
      <w:rFonts w:ascii="Calibri" w:hAnsi="Calibri" w:cs="Calibri"/>
      <w:noProof/>
      <w:sz w:val="22"/>
      <w:szCs w:val="22"/>
    </w:rPr>
  </w:style>
  <w:style w:type="paragraph" w:styleId="TOC9">
    <w:name w:val="toc 9"/>
    <w:basedOn w:val="Normal"/>
    <w:next w:val="Normal"/>
    <w:autoRedefine/>
    <w:uiPriority w:val="49"/>
    <w:rsid w:val="00211931"/>
    <w:pPr>
      <w:ind w:left="2835" w:right="2835"/>
    </w:pPr>
  </w:style>
  <w:style w:type="paragraph" w:styleId="Revision">
    <w:name w:val="Revision"/>
    <w:hidden/>
    <w:uiPriority w:val="99"/>
    <w:semiHidden/>
    <w:rsid w:val="00BC2D5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unhideWhenUsed/>
    <w:rsid w:val="008B50A3"/>
    <w:rPr>
      <w:color w:val="808080"/>
      <w:shd w:val="clear" w:color="auto" w:fill="E6E6E6"/>
    </w:rPr>
  </w:style>
  <w:style w:type="character" w:styleId="Mention">
    <w:name w:val="Mention"/>
    <w:basedOn w:val="DefaultParagraphFont"/>
    <w:uiPriority w:val="99"/>
    <w:unhideWhenUsed/>
    <w:rsid w:val="00A30F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8288">
      <w:bodyDiv w:val="1"/>
      <w:marLeft w:val="0"/>
      <w:marRight w:val="0"/>
      <w:marTop w:val="0"/>
      <w:marBottom w:val="0"/>
      <w:divBdr>
        <w:top w:val="none" w:sz="0" w:space="0" w:color="auto"/>
        <w:left w:val="none" w:sz="0" w:space="0" w:color="auto"/>
        <w:bottom w:val="none" w:sz="0" w:space="0" w:color="auto"/>
        <w:right w:val="none" w:sz="0" w:space="0" w:color="auto"/>
      </w:divBdr>
    </w:div>
    <w:div w:id="529801607">
      <w:bodyDiv w:val="1"/>
      <w:marLeft w:val="0"/>
      <w:marRight w:val="0"/>
      <w:marTop w:val="0"/>
      <w:marBottom w:val="0"/>
      <w:divBdr>
        <w:top w:val="none" w:sz="0" w:space="0" w:color="auto"/>
        <w:left w:val="none" w:sz="0" w:space="0" w:color="auto"/>
        <w:bottom w:val="none" w:sz="0" w:space="0" w:color="auto"/>
        <w:right w:val="none" w:sz="0" w:space="0" w:color="auto"/>
      </w:divBdr>
    </w:div>
    <w:div w:id="581112009">
      <w:bodyDiv w:val="1"/>
      <w:marLeft w:val="0"/>
      <w:marRight w:val="0"/>
      <w:marTop w:val="0"/>
      <w:marBottom w:val="0"/>
      <w:divBdr>
        <w:top w:val="none" w:sz="0" w:space="0" w:color="auto"/>
        <w:left w:val="none" w:sz="0" w:space="0" w:color="auto"/>
        <w:bottom w:val="none" w:sz="0" w:space="0" w:color="auto"/>
        <w:right w:val="none" w:sz="0" w:space="0" w:color="auto"/>
      </w:divBdr>
    </w:div>
    <w:div w:id="1029992780">
      <w:bodyDiv w:val="1"/>
      <w:marLeft w:val="0"/>
      <w:marRight w:val="0"/>
      <w:marTop w:val="0"/>
      <w:marBottom w:val="0"/>
      <w:divBdr>
        <w:top w:val="none" w:sz="0" w:space="0" w:color="auto"/>
        <w:left w:val="none" w:sz="0" w:space="0" w:color="auto"/>
        <w:bottom w:val="none" w:sz="0" w:space="0" w:color="auto"/>
        <w:right w:val="none" w:sz="0" w:space="0" w:color="auto"/>
      </w:divBdr>
    </w:div>
    <w:div w:id="1592815930">
      <w:bodyDiv w:val="1"/>
      <w:marLeft w:val="0"/>
      <w:marRight w:val="0"/>
      <w:marTop w:val="0"/>
      <w:marBottom w:val="0"/>
      <w:divBdr>
        <w:top w:val="none" w:sz="0" w:space="0" w:color="auto"/>
        <w:left w:val="none" w:sz="0" w:space="0" w:color="auto"/>
        <w:bottom w:val="none" w:sz="0" w:space="0" w:color="auto"/>
        <w:right w:val="none" w:sz="0" w:space="0" w:color="auto"/>
      </w:divBdr>
    </w:div>
    <w:div w:id="1738088582">
      <w:bodyDiv w:val="1"/>
      <w:marLeft w:val="0"/>
      <w:marRight w:val="0"/>
      <w:marTop w:val="0"/>
      <w:marBottom w:val="0"/>
      <w:divBdr>
        <w:top w:val="none" w:sz="0" w:space="0" w:color="auto"/>
        <w:left w:val="none" w:sz="0" w:space="0" w:color="auto"/>
        <w:bottom w:val="none" w:sz="0" w:space="0" w:color="auto"/>
        <w:right w:val="none" w:sz="0" w:space="0" w:color="auto"/>
      </w:divBdr>
    </w:div>
    <w:div w:id="1959219858">
      <w:bodyDiv w:val="1"/>
      <w:marLeft w:val="0"/>
      <w:marRight w:val="0"/>
      <w:marTop w:val="0"/>
      <w:marBottom w:val="0"/>
      <w:divBdr>
        <w:top w:val="none" w:sz="0" w:space="0" w:color="auto"/>
        <w:left w:val="none" w:sz="0" w:space="0" w:color="auto"/>
        <w:bottom w:val="none" w:sz="0" w:space="0" w:color="auto"/>
        <w:right w:val="none" w:sz="0" w:space="0" w:color="auto"/>
      </w:divBdr>
    </w:div>
    <w:div w:id="212954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580cac-1a46-464e-a749-263d0beaf9ec" xsi:nil="true"/>
    <lcf76f155ced4ddcb4097134ff3c332f xmlns="c5048082-e052-44c2-9313-1529a8e2ac53">
      <Terms xmlns="http://schemas.microsoft.com/office/infopath/2007/PartnerControls"/>
    </lcf76f155ced4ddcb4097134ff3c332f>
    <_Flow_SignoffStatus xmlns="c5048082-e052-44c2-9313-1529a8e2ac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AF1AD5AF15524C920CB3BE3D72725D" ma:contentTypeVersion="15" ma:contentTypeDescription="Create a new document." ma:contentTypeScope="" ma:versionID="2540bec41319ea924c69e552d488f3f1">
  <xsd:schema xmlns:xsd="http://www.w3.org/2001/XMLSchema" xmlns:xs="http://www.w3.org/2001/XMLSchema" xmlns:p="http://schemas.microsoft.com/office/2006/metadata/properties" xmlns:ns2="c5048082-e052-44c2-9313-1529a8e2ac53" xmlns:ns3="97580cac-1a46-464e-a749-263d0beaf9ec" targetNamespace="http://schemas.microsoft.com/office/2006/metadata/properties" ma:root="true" ma:fieldsID="f0f5844ec15d53fea0bd81cbeb0a6f31" ns2:_="" ns3:_="">
    <xsd:import namespace="c5048082-e052-44c2-9313-1529a8e2ac53"/>
    <xsd:import namespace="97580cac-1a46-464e-a749-263d0beaf9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8082-e052-44c2-9313-1529a8e2a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80cac-1a46-464e-a749-263d0beaf9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a39e22-8312-4218-b619-9fecc7ab3212}" ma:internalName="TaxCatchAll" ma:showField="CatchAllData" ma:web="97580cac-1a46-464e-a749-263d0beaf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D532878-DF95-46F1-A836-187AF072CAC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5048082-e052-44c2-9313-1529a8e2ac53"/>
    <ds:schemaRef ds:uri="http://purl.org/dc/elements/1.1/"/>
    <ds:schemaRef ds:uri="http://schemas.microsoft.com/office/2006/metadata/properties"/>
    <ds:schemaRef ds:uri="97580cac-1a46-464e-a749-263d0beaf9ec"/>
    <ds:schemaRef ds:uri="http://www.w3.org/XML/1998/namespace"/>
  </ds:schemaRefs>
</ds:datastoreItem>
</file>

<file path=customXml/itemProps2.xml><?xml version="1.0" encoding="utf-8"?>
<ds:datastoreItem xmlns:ds="http://schemas.openxmlformats.org/officeDocument/2006/customXml" ds:itemID="{15306E63-F8D9-4F30-9D35-B52B3EA73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48082-e052-44c2-9313-1529a8e2ac53"/>
    <ds:schemaRef ds:uri="97580cac-1a46-464e-a749-263d0bea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A0081-9EEC-4241-96C4-180A6F993906}">
  <ds:schemaRefs>
    <ds:schemaRef ds:uri="http://schemas.openxmlformats.org/officeDocument/2006/bibliography"/>
  </ds:schemaRefs>
</ds:datastoreItem>
</file>

<file path=customXml/itemProps4.xml><?xml version="1.0" encoding="utf-8"?>
<ds:datastoreItem xmlns:ds="http://schemas.openxmlformats.org/officeDocument/2006/customXml" ds:itemID="{091E55E6-D88E-421C-B88A-3455C2192789}">
  <ds:schemaRefs>
    <ds:schemaRef ds:uri="http://schemas.microsoft.com/sharepoint/v3/contenttype/forms"/>
  </ds:schemaRefs>
</ds:datastoreItem>
</file>

<file path=customXml/itemProps5.xml><?xml version="1.0" encoding="utf-8"?>
<ds:datastoreItem xmlns:ds="http://schemas.openxmlformats.org/officeDocument/2006/customXml" ds:itemID="{6AD07D09-6C68-40C5-9C08-022C78495DB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13</Pages>
  <Words>5507</Words>
  <Characters>32058</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37491</CharactersWithSpaces>
  <SharedDoc>false</SharedDoc>
  <HLinks>
    <vt:vector size="30" baseType="variant">
      <vt:variant>
        <vt:i4>6815772</vt:i4>
      </vt:variant>
      <vt:variant>
        <vt:i4>12</vt:i4>
      </vt:variant>
      <vt:variant>
        <vt:i4>0</vt:i4>
      </vt:variant>
      <vt:variant>
        <vt:i4>5</vt:i4>
      </vt:variant>
      <vt:variant>
        <vt:lpwstr>mailto:jasmine.zheng@dtf.vic.gov.au</vt:lpwstr>
      </vt:variant>
      <vt:variant>
        <vt:lpwstr/>
      </vt:variant>
      <vt:variant>
        <vt:i4>3211337</vt:i4>
      </vt:variant>
      <vt:variant>
        <vt:i4>9</vt:i4>
      </vt:variant>
      <vt:variant>
        <vt:i4>0</vt:i4>
      </vt:variant>
      <vt:variant>
        <vt:i4>5</vt:i4>
      </vt:variant>
      <vt:variant>
        <vt:lpwstr>mailto:joshua.elston@dtf.vic.gov.au</vt:lpwstr>
      </vt:variant>
      <vt:variant>
        <vt:lpwstr/>
      </vt:variant>
      <vt:variant>
        <vt:i4>6815772</vt:i4>
      </vt:variant>
      <vt:variant>
        <vt:i4>6</vt:i4>
      </vt:variant>
      <vt:variant>
        <vt:i4>0</vt:i4>
      </vt:variant>
      <vt:variant>
        <vt:i4>5</vt:i4>
      </vt:variant>
      <vt:variant>
        <vt:lpwstr>mailto:jasmine.zheng@dtf.vic.gov.au</vt:lpwstr>
      </vt:variant>
      <vt:variant>
        <vt:lpwstr/>
      </vt:variant>
      <vt:variant>
        <vt:i4>6815772</vt:i4>
      </vt:variant>
      <vt:variant>
        <vt:i4>3</vt:i4>
      </vt:variant>
      <vt:variant>
        <vt:i4>0</vt:i4>
      </vt:variant>
      <vt:variant>
        <vt:i4>5</vt:i4>
      </vt:variant>
      <vt:variant>
        <vt:lpwstr>mailto:jasmine.zheng@dtf.vic.gov.au</vt:lpwstr>
      </vt:variant>
      <vt:variant>
        <vt:lpwstr/>
      </vt:variant>
      <vt:variant>
        <vt:i4>6815772</vt:i4>
      </vt:variant>
      <vt:variant>
        <vt:i4>0</vt:i4>
      </vt:variant>
      <vt:variant>
        <vt:i4>0</vt:i4>
      </vt:variant>
      <vt:variant>
        <vt:i4>5</vt:i4>
      </vt:variant>
      <vt:variant>
        <vt:lpwstr>mailto:jasmine.zheng@dtf.vic.gov.au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Johnson</dc:creator>
  <cp:keywords/>
  <cp:lastModifiedBy>Jasmine Zheng (DTF)</cp:lastModifiedBy>
  <cp:revision>76</cp:revision>
  <cp:lastPrinted>2019-05-25T04:47:00Z</cp:lastPrinted>
  <dcterms:created xsi:type="dcterms:W3CDTF">2023-05-19T20:29:00Z</dcterms:created>
  <dcterms:modified xsi:type="dcterms:W3CDTF">2024-05-02T04:30:00Z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5d628178-f7f0-4b4b-bf8d-c5810111019a</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ContentTypeId">
    <vt:lpwstr>0x01010072AF1AD5AF15524C920CB3BE3D72725D</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2023-05-19T03:13:41Z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24f1d9e9-781d-4120-a884-4295abb55853</vt:lpwstr>
  </property>
  <property fmtid="{D5CDD505-2E9C-101B-9397-08002B2CF9AE}" pid="13" name="MSIP_Label_7158ebbd-6c5e-441f-bfc9-4eb8c11e3978_ContentBits">
    <vt:lpwstr>2</vt:lpwstr>
  </property>
</Properties>
</file>