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FA57F2" w14:textId="30C0EA70" w:rsidR="00F94AB9" w:rsidRDefault="006D022F" w:rsidP="002963FA">
      <w:pPr>
        <w:sectPr w:rsidR="00F94AB9" w:rsidSect="0013331F">
          <w:pgSz w:w="11906" w:h="16838"/>
          <w:pgMar w:top="851" w:right="851" w:bottom="851" w:left="851" w:header="567" w:footer="284" w:gutter="0"/>
          <w:cols w:space="708"/>
          <w:docGrid w:linePitch="360"/>
        </w:sectPr>
      </w:pPr>
      <w:r>
        <w:rPr>
          <w:noProof/>
        </w:rPr>
        <w:drawing>
          <wp:inline distT="0" distB="0" distL="0" distR="0" wp14:anchorId="7E273415" wp14:editId="34F777EF">
            <wp:extent cx="6479540" cy="9165413"/>
            <wp:effectExtent l="0" t="0" r="0" b="0"/>
            <wp:docPr id="2" name="Graphic 2" descr="Journey to Social Inclusion Program: Partnerships Addressing Disadvantage&#10;&#10;Final Evaluation Summary Report &#10;Department of Treasury and Finance&#10;March 2024&#10;KPMG.com.au&#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Journey to Social Inclusion Program: Partnerships Addressing Disadvantage&#10;&#10;Final Evaluation Summary Report &#10;Department of Treasury and Finance&#10;March 2024&#10;KPMG.com.au&#10;&#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79540" cy="9165413"/>
                    </a:xfrm>
                    <a:prstGeom prst="rect">
                      <a:avLst/>
                    </a:prstGeom>
                  </pic:spPr>
                </pic:pic>
              </a:graphicData>
            </a:graphic>
          </wp:inline>
        </w:drawing>
      </w:r>
    </w:p>
    <w:p w14:paraId="5A121AD5" w14:textId="3E47C13E" w:rsidR="00C22633" w:rsidRDefault="002963FA" w:rsidP="002963FA">
      <w:pPr>
        <w:rPr>
          <w:color w:val="FFFFFF" w:themeColor="background1"/>
          <w:u w:val="single"/>
        </w:rPr>
      </w:pPr>
      <w:r w:rsidRPr="002963FA">
        <w:rPr>
          <w:noProof/>
        </w:rPr>
        <w:lastRenderedPageBreak/>
        <w:drawing>
          <wp:inline distT="0" distB="0" distL="0" distR="0" wp14:anchorId="14F72815" wp14:editId="439DF499">
            <wp:extent cx="6516000" cy="9216987"/>
            <wp:effectExtent l="0" t="0" r="0" b="3810"/>
            <wp:docPr id="4" name="Graphic 4" descr="Acknowledgement of Country&#10;KPMG acknowledges Aboriginal and Torres Strait Islander peoples as the First Peoples of Australia. We pay our respects to Elders past, present, and future as the Traditional Custodians of the land, water and skies of where we work.&#10;&#10;kpmg.com/au/r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Acknowledgement of Country&#10;KPMG acknowledges Aboriginal and Torres Strait Islander peoples as the First Peoples of Australia. We pay our respects to Elders past, present, and future as the Traditional Custodians of the land, water and skies of where we work.&#10;&#10;kpmg.com/au/rap&#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16000" cy="9216987"/>
                    </a:xfrm>
                    <a:prstGeom prst="rect">
                      <a:avLst/>
                    </a:prstGeom>
                  </pic:spPr>
                </pic:pic>
              </a:graphicData>
            </a:graphic>
          </wp:inline>
        </w:drawing>
      </w:r>
      <w:r w:rsidRPr="00C22633">
        <w:rPr>
          <w:noProof/>
          <w:color w:val="FFFFFF" w:themeColor="background1"/>
        </w:rPr>
        <w:t xml:space="preserve"> </w:t>
      </w:r>
    </w:p>
    <w:p w14:paraId="6CC9D861" w14:textId="452C4187" w:rsidR="00F94AB9" w:rsidRDefault="00F94AB9" w:rsidP="00F94AB9">
      <w:pPr>
        <w:pStyle w:val="BodyText"/>
        <w:rPr>
          <w:color w:val="FFFFFF" w:themeColor="background1"/>
        </w:rPr>
      </w:pPr>
    </w:p>
    <w:p w14:paraId="5025E467" w14:textId="4CEEA39E" w:rsidR="00F94AB9" w:rsidRPr="0051011A" w:rsidRDefault="00F94AB9" w:rsidP="00F94AB9">
      <w:pPr>
        <w:pStyle w:val="BodyText"/>
        <w:rPr>
          <w:color w:val="FFFFFF" w:themeColor="background1"/>
        </w:rPr>
        <w:sectPr w:rsidR="00F94AB9" w:rsidRPr="0051011A" w:rsidSect="002963FA">
          <w:headerReference w:type="even" r:id="rId14"/>
          <w:headerReference w:type="default" r:id="rId15"/>
          <w:footerReference w:type="even" r:id="rId16"/>
          <w:footerReference w:type="default" r:id="rId17"/>
          <w:headerReference w:type="first" r:id="rId18"/>
          <w:footerReference w:type="first" r:id="rId19"/>
          <w:pgSz w:w="11906" w:h="16838"/>
          <w:pgMar w:top="851" w:right="5103" w:bottom="851" w:left="851" w:header="567" w:footer="284" w:gutter="0"/>
          <w:cols w:space="708"/>
          <w:docGrid w:linePitch="360"/>
        </w:sectPr>
      </w:pPr>
    </w:p>
    <w:p w14:paraId="140B71A6" w14:textId="28E813C9" w:rsidR="00042C09" w:rsidRPr="000965A5" w:rsidRDefault="00042C09" w:rsidP="00BE74C5">
      <w:pPr>
        <w:pStyle w:val="HeadingLevel1NoNumber"/>
      </w:pPr>
      <w:bookmarkStart w:id="0" w:name="_Ref152862411"/>
      <w:bookmarkStart w:id="1" w:name="_Toc178063999"/>
      <w:r w:rsidRPr="000965A5">
        <w:lastRenderedPageBreak/>
        <w:t>Executive summary</w:t>
      </w:r>
      <w:bookmarkEnd w:id="0"/>
      <w:bookmarkEnd w:id="1"/>
    </w:p>
    <w:p w14:paraId="59E365AA" w14:textId="5DD8FBEB" w:rsidR="00C33652" w:rsidRPr="00C33652" w:rsidRDefault="00C33652" w:rsidP="00171469">
      <w:pPr>
        <w:pStyle w:val="HeadingLevel2NoNumber"/>
      </w:pPr>
      <w:bookmarkStart w:id="2" w:name="_Toc150333909"/>
      <w:r w:rsidRPr="00C33652">
        <w:t>Introduction</w:t>
      </w:r>
      <w:bookmarkEnd w:id="2"/>
    </w:p>
    <w:p w14:paraId="27F44D20" w14:textId="5B7E1118" w:rsidR="001629A7" w:rsidRDefault="001629A7" w:rsidP="00007680">
      <w:pPr>
        <w:pStyle w:val="BodyText"/>
      </w:pPr>
      <w:r w:rsidRPr="00091306">
        <w:t xml:space="preserve">The </w:t>
      </w:r>
      <w:r w:rsidRPr="00A42E91">
        <w:t>Journey to Social Inclusion (J2SI)</w:t>
      </w:r>
      <w:r w:rsidRPr="00091306">
        <w:t xml:space="preserve"> </w:t>
      </w:r>
      <w:r>
        <w:t>Social Impact Investment (SII) delivered</w:t>
      </w:r>
      <w:r w:rsidRPr="00091306">
        <w:t xml:space="preserve"> by </w:t>
      </w:r>
      <w:r w:rsidRPr="00A42E91">
        <w:t>Sacred Heart Mission (SHM)</w:t>
      </w:r>
      <w:r>
        <w:t xml:space="preserve">, in partnership with the Victorian Government, </w:t>
      </w:r>
      <w:r w:rsidRPr="00091306">
        <w:t xml:space="preserve">is </w:t>
      </w:r>
      <w:r>
        <w:t xml:space="preserve">one of five social impact investments delivered under the Victorian Government’s Partnerships Addressing Disadvantage (PAD) initiative. The program </w:t>
      </w:r>
      <w:r w:rsidR="00007680">
        <w:t>seeks</w:t>
      </w:r>
      <w:r w:rsidRPr="00091306">
        <w:t xml:space="preserve"> to address </w:t>
      </w:r>
      <w:r w:rsidR="00011215">
        <w:t xml:space="preserve">the </w:t>
      </w:r>
      <w:r w:rsidRPr="00091306">
        <w:t xml:space="preserve">compounding issues </w:t>
      </w:r>
      <w:r w:rsidR="0051046B">
        <w:t>associated with</w:t>
      </w:r>
      <w:r w:rsidRPr="00091306">
        <w:t xml:space="preserve"> long</w:t>
      </w:r>
      <w:r w:rsidR="003C2D2F">
        <w:t>-</w:t>
      </w:r>
      <w:r w:rsidRPr="00091306">
        <w:t>term homelessness</w:t>
      </w:r>
      <w:r w:rsidR="003C2D2F">
        <w:t>,</w:t>
      </w:r>
      <w:r w:rsidRPr="00091306">
        <w:t xml:space="preserve"> </w:t>
      </w:r>
      <w:r w:rsidR="0051046B">
        <w:t>including a</w:t>
      </w:r>
      <w:r w:rsidRPr="00091306">
        <w:t xml:space="preserve"> lack of affordable housing, ongoing unemployment, mental health issues, substance abuse, </w:t>
      </w:r>
      <w:r w:rsidR="00246447">
        <w:t xml:space="preserve">unsuccessful </w:t>
      </w:r>
      <w:r w:rsidRPr="00091306">
        <w:t xml:space="preserve">transitions from state care or prison, relationship breakdowns and family violence. </w:t>
      </w:r>
    </w:p>
    <w:p w14:paraId="2E7BF2CD" w14:textId="2C7806F6" w:rsidR="00C33652" w:rsidRDefault="00C33652" w:rsidP="00C33652">
      <w:r>
        <w:t xml:space="preserve">The </w:t>
      </w:r>
      <w:r w:rsidRPr="000006E2">
        <w:t>Department of Treasury and Finance (DTF)</w:t>
      </w:r>
      <w:r>
        <w:t xml:space="preserve"> launched the PAD initiative as an innovative way to reduce deep</w:t>
      </w:r>
      <w:r w:rsidR="00D16C15">
        <w:noBreakHyphen/>
      </w:r>
      <w:r>
        <w:t>seated disadvantage and provide better outcomes for vulnerable people in Victoria. The J2SI</w:t>
      </w:r>
      <w:r w:rsidRPr="00227F5E">
        <w:t xml:space="preserve"> </w:t>
      </w:r>
      <w:r>
        <w:t>PAD</w:t>
      </w:r>
      <w:r w:rsidRPr="00227F5E">
        <w:t xml:space="preserve"> </w:t>
      </w:r>
      <w:r>
        <w:t>was</w:t>
      </w:r>
      <w:r w:rsidRPr="00227F5E">
        <w:t xml:space="preserve"> one of the first </w:t>
      </w:r>
      <w:r>
        <w:t>PAD transactions i</w:t>
      </w:r>
      <w:r w:rsidRPr="00227F5E">
        <w:t>n Victoria</w:t>
      </w:r>
      <w:r>
        <w:t xml:space="preserve">, </w:t>
      </w:r>
      <w:r w:rsidR="005E0896">
        <w:t xml:space="preserve">with service delivery </w:t>
      </w:r>
      <w:r>
        <w:t>commencing on 1 August 2018, with three cohorts of clients across a three</w:t>
      </w:r>
      <w:r w:rsidR="00D16C15">
        <w:t>-</w:t>
      </w:r>
      <w:r>
        <w:t>year service delivery period (</w:t>
      </w:r>
      <w:r w:rsidR="000B73E8">
        <w:t xml:space="preserve">see </w:t>
      </w:r>
      <w:r w:rsidR="00D16C15">
        <w:fldChar w:fldCharType="begin" w:fldLock="1"/>
      </w:r>
      <w:r w:rsidR="00D16C15">
        <w:instrText xml:space="preserve"> REF _Ref150454182 \h </w:instrText>
      </w:r>
      <w:r w:rsidR="00D16C15">
        <w:fldChar w:fldCharType="separate"/>
      </w:r>
      <w:r w:rsidR="00D16C15" w:rsidRPr="00915B98">
        <w:t xml:space="preserve">Table </w:t>
      </w:r>
      <w:r w:rsidR="00D16C15">
        <w:rPr>
          <w:noProof/>
        </w:rPr>
        <w:t>1</w:t>
      </w:r>
      <w:r w:rsidR="00D16C15">
        <w:fldChar w:fldCharType="end"/>
      </w:r>
      <w:r w:rsidRPr="005848BE">
        <w:t>)</w:t>
      </w:r>
      <w:r>
        <w:t xml:space="preserve">. </w:t>
      </w:r>
    </w:p>
    <w:p w14:paraId="641E7ABC" w14:textId="303C3628" w:rsidR="00C33652" w:rsidRPr="00915B98" w:rsidRDefault="00C33652" w:rsidP="00134FF5">
      <w:pPr>
        <w:pStyle w:val="Caption"/>
      </w:pPr>
      <w:bookmarkStart w:id="3" w:name="_Ref150454182"/>
      <w:bookmarkStart w:id="4" w:name="_Toc174547302"/>
      <w:r w:rsidRPr="00915B98">
        <w:t xml:space="preserve">Table </w:t>
      </w:r>
      <w:r>
        <w:fldChar w:fldCharType="begin"/>
      </w:r>
      <w:r>
        <w:instrText xml:space="preserve"> SEQ Table \* ARABIC </w:instrText>
      </w:r>
      <w:r>
        <w:fldChar w:fldCharType="separate"/>
      </w:r>
      <w:r w:rsidR="005B05CA">
        <w:rPr>
          <w:noProof/>
        </w:rPr>
        <w:t>1</w:t>
      </w:r>
      <w:r>
        <w:rPr>
          <w:noProof/>
        </w:rPr>
        <w:fldChar w:fldCharType="end"/>
      </w:r>
      <w:bookmarkEnd w:id="3"/>
      <w:r w:rsidRPr="00915B98">
        <w:t>: J2SI SII PAD Cohorts</w:t>
      </w:r>
      <w:bookmarkEnd w:id="4"/>
    </w:p>
    <w:tbl>
      <w:tblPr>
        <w:tblStyle w:val="KPMGTable"/>
        <w:tblW w:w="0" w:type="auto"/>
        <w:tblLook w:val="04A0" w:firstRow="1" w:lastRow="0" w:firstColumn="1" w:lastColumn="0" w:noHBand="0" w:noVBand="1"/>
      </w:tblPr>
      <w:tblGrid>
        <w:gridCol w:w="2792"/>
        <w:gridCol w:w="2311"/>
        <w:gridCol w:w="1985"/>
      </w:tblGrid>
      <w:tr w:rsidR="00C33652" w14:paraId="480A5FA6" w14:textId="77777777" w:rsidTr="00182143">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14:paraId="00577D74" w14:textId="77777777" w:rsidR="00C33652" w:rsidRPr="00F42058" w:rsidRDefault="00C33652" w:rsidP="00D16C15">
            <w:pPr>
              <w:pStyle w:val="TableHeading"/>
            </w:pPr>
            <w:r w:rsidRPr="00F42058">
              <w:t>J2SI SII PAD Cohorts</w:t>
            </w:r>
          </w:p>
        </w:tc>
        <w:tc>
          <w:tcPr>
            <w:tcW w:w="2311" w:type="dxa"/>
            <w:shd w:val="clear" w:color="auto" w:fill="auto"/>
          </w:tcPr>
          <w:p w14:paraId="377487FC" w14:textId="77777777" w:rsidR="00C33652" w:rsidRPr="00F42058" w:rsidRDefault="00C33652" w:rsidP="00D16C15">
            <w:pPr>
              <w:pStyle w:val="TableHeading"/>
              <w:cnfStyle w:val="100000000000" w:firstRow="1" w:lastRow="0" w:firstColumn="0" w:lastColumn="0" w:oddVBand="0" w:evenVBand="0" w:oddHBand="0" w:evenHBand="0" w:firstRowFirstColumn="0" w:firstRowLastColumn="0" w:lastRowFirstColumn="0" w:lastRowLastColumn="0"/>
            </w:pPr>
            <w:r w:rsidRPr="00F42058">
              <w:t>Commencement</w:t>
            </w:r>
          </w:p>
        </w:tc>
        <w:tc>
          <w:tcPr>
            <w:tcW w:w="1985" w:type="dxa"/>
            <w:shd w:val="clear" w:color="auto" w:fill="auto"/>
          </w:tcPr>
          <w:p w14:paraId="0C9194E9" w14:textId="77777777" w:rsidR="00C33652" w:rsidRPr="00F42058" w:rsidRDefault="00C33652" w:rsidP="00D16C15">
            <w:pPr>
              <w:pStyle w:val="TableHeading"/>
              <w:cnfStyle w:val="100000000000" w:firstRow="1" w:lastRow="0" w:firstColumn="0" w:lastColumn="0" w:oddVBand="0" w:evenVBand="0" w:oddHBand="0" w:evenHBand="0" w:firstRowFirstColumn="0" w:firstRowLastColumn="0" w:lastRowFirstColumn="0" w:lastRowLastColumn="0"/>
            </w:pPr>
            <w:r w:rsidRPr="00F42058">
              <w:t>Completion</w:t>
            </w:r>
          </w:p>
        </w:tc>
      </w:tr>
      <w:tr w:rsidR="00C33652" w14:paraId="7EED1FD3" w14:textId="77777777" w:rsidTr="00182143">
        <w:trPr>
          <w:trHeight w:val="243"/>
        </w:trPr>
        <w:tc>
          <w:tcPr>
            <w:cnfStyle w:val="001000000000" w:firstRow="0" w:lastRow="0" w:firstColumn="1" w:lastColumn="0" w:oddVBand="0" w:evenVBand="0" w:oddHBand="0" w:evenHBand="0" w:firstRowFirstColumn="0" w:firstRowLastColumn="0" w:lastRowFirstColumn="0" w:lastRowLastColumn="0"/>
            <w:tcW w:w="2792" w:type="dxa"/>
          </w:tcPr>
          <w:p w14:paraId="51043533" w14:textId="77777777" w:rsidR="00C33652" w:rsidRPr="00F42058" w:rsidRDefault="00C33652" w:rsidP="00D16C15">
            <w:pPr>
              <w:pStyle w:val="Tabletext"/>
            </w:pPr>
            <w:r w:rsidRPr="00F42058">
              <w:t>Cohort 1</w:t>
            </w:r>
          </w:p>
        </w:tc>
        <w:tc>
          <w:tcPr>
            <w:tcW w:w="2311" w:type="dxa"/>
            <w:shd w:val="clear" w:color="auto" w:fill="auto"/>
          </w:tcPr>
          <w:p w14:paraId="2979D3D3" w14:textId="77777777" w:rsidR="00C33652" w:rsidRPr="00F42058" w:rsidRDefault="00C33652" w:rsidP="00D16C15">
            <w:pPr>
              <w:pStyle w:val="Tabletext"/>
              <w:cnfStyle w:val="000000000000" w:firstRow="0" w:lastRow="0" w:firstColumn="0" w:lastColumn="0" w:oddVBand="0" w:evenVBand="0" w:oddHBand="0" w:evenHBand="0" w:firstRowFirstColumn="0" w:firstRowLastColumn="0" w:lastRowFirstColumn="0" w:lastRowLastColumn="0"/>
            </w:pPr>
            <w:r w:rsidRPr="00F42058">
              <w:t>1 August 2018</w:t>
            </w:r>
          </w:p>
        </w:tc>
        <w:tc>
          <w:tcPr>
            <w:tcW w:w="1985" w:type="dxa"/>
            <w:shd w:val="clear" w:color="auto" w:fill="auto"/>
          </w:tcPr>
          <w:p w14:paraId="41C00784" w14:textId="77777777" w:rsidR="00C33652" w:rsidRPr="00F42058" w:rsidRDefault="00C33652" w:rsidP="00D16C15">
            <w:pPr>
              <w:pStyle w:val="Tabletext"/>
              <w:cnfStyle w:val="000000000000" w:firstRow="0" w:lastRow="0" w:firstColumn="0" w:lastColumn="0" w:oddVBand="0" w:evenVBand="0" w:oddHBand="0" w:evenHBand="0" w:firstRowFirstColumn="0" w:firstRowLastColumn="0" w:lastRowFirstColumn="0" w:lastRowLastColumn="0"/>
            </w:pPr>
            <w:r w:rsidRPr="00F42058">
              <w:t>1 August 2021</w:t>
            </w:r>
          </w:p>
        </w:tc>
      </w:tr>
      <w:tr w:rsidR="00C33652" w14:paraId="27706C7C" w14:textId="77777777" w:rsidTr="00182143">
        <w:trPr>
          <w:trHeight w:val="243"/>
        </w:trPr>
        <w:tc>
          <w:tcPr>
            <w:cnfStyle w:val="001000000000" w:firstRow="0" w:lastRow="0" w:firstColumn="1" w:lastColumn="0" w:oddVBand="0" w:evenVBand="0" w:oddHBand="0" w:evenHBand="0" w:firstRowFirstColumn="0" w:firstRowLastColumn="0" w:lastRowFirstColumn="0" w:lastRowLastColumn="0"/>
            <w:tcW w:w="2792" w:type="dxa"/>
          </w:tcPr>
          <w:p w14:paraId="69EAEFCA" w14:textId="77777777" w:rsidR="00C33652" w:rsidRPr="00F42058" w:rsidRDefault="00C33652" w:rsidP="00D16C15">
            <w:pPr>
              <w:pStyle w:val="Tabletext"/>
            </w:pPr>
            <w:r w:rsidRPr="00F42058">
              <w:t>Cohort 2</w:t>
            </w:r>
          </w:p>
        </w:tc>
        <w:tc>
          <w:tcPr>
            <w:tcW w:w="2311" w:type="dxa"/>
            <w:shd w:val="clear" w:color="auto" w:fill="auto"/>
          </w:tcPr>
          <w:p w14:paraId="74FE083F" w14:textId="77777777" w:rsidR="00C33652" w:rsidRPr="00F42058" w:rsidRDefault="00C33652" w:rsidP="00D16C15">
            <w:pPr>
              <w:pStyle w:val="Tabletext"/>
              <w:cnfStyle w:val="000000000000" w:firstRow="0" w:lastRow="0" w:firstColumn="0" w:lastColumn="0" w:oddVBand="0" w:evenVBand="0" w:oddHBand="0" w:evenHBand="0" w:firstRowFirstColumn="0" w:firstRowLastColumn="0" w:lastRowFirstColumn="0" w:lastRowLastColumn="0"/>
            </w:pPr>
            <w:r w:rsidRPr="00F42058">
              <w:t>1 August 2019</w:t>
            </w:r>
          </w:p>
        </w:tc>
        <w:tc>
          <w:tcPr>
            <w:tcW w:w="1985" w:type="dxa"/>
            <w:shd w:val="clear" w:color="auto" w:fill="auto"/>
          </w:tcPr>
          <w:p w14:paraId="508F605B" w14:textId="77777777" w:rsidR="00C33652" w:rsidRPr="00F42058" w:rsidRDefault="00C33652" w:rsidP="00D16C15">
            <w:pPr>
              <w:pStyle w:val="Tabletext"/>
              <w:cnfStyle w:val="000000000000" w:firstRow="0" w:lastRow="0" w:firstColumn="0" w:lastColumn="0" w:oddVBand="0" w:evenVBand="0" w:oddHBand="0" w:evenHBand="0" w:firstRowFirstColumn="0" w:firstRowLastColumn="0" w:lastRowFirstColumn="0" w:lastRowLastColumn="0"/>
            </w:pPr>
            <w:r w:rsidRPr="00F42058">
              <w:t>1 August 2022</w:t>
            </w:r>
          </w:p>
        </w:tc>
      </w:tr>
      <w:tr w:rsidR="00C33652" w14:paraId="0ADFAD3A" w14:textId="77777777" w:rsidTr="00182143">
        <w:trPr>
          <w:trHeight w:val="243"/>
        </w:trPr>
        <w:tc>
          <w:tcPr>
            <w:cnfStyle w:val="001000000000" w:firstRow="0" w:lastRow="0" w:firstColumn="1" w:lastColumn="0" w:oddVBand="0" w:evenVBand="0" w:oddHBand="0" w:evenHBand="0" w:firstRowFirstColumn="0" w:firstRowLastColumn="0" w:lastRowFirstColumn="0" w:lastRowLastColumn="0"/>
            <w:tcW w:w="2792" w:type="dxa"/>
          </w:tcPr>
          <w:p w14:paraId="1EFE9A54" w14:textId="77777777" w:rsidR="00C33652" w:rsidRPr="00F42058" w:rsidRDefault="00C33652" w:rsidP="00D16C15">
            <w:pPr>
              <w:pStyle w:val="Tabletext"/>
            </w:pPr>
            <w:r w:rsidRPr="00F42058">
              <w:t>Cohort 3</w:t>
            </w:r>
          </w:p>
        </w:tc>
        <w:tc>
          <w:tcPr>
            <w:tcW w:w="2311" w:type="dxa"/>
            <w:shd w:val="clear" w:color="auto" w:fill="auto"/>
          </w:tcPr>
          <w:p w14:paraId="287354B8" w14:textId="77777777" w:rsidR="00C33652" w:rsidRPr="00F42058" w:rsidRDefault="00C33652" w:rsidP="00D16C15">
            <w:pPr>
              <w:pStyle w:val="Tabletext"/>
              <w:cnfStyle w:val="000000000000" w:firstRow="0" w:lastRow="0" w:firstColumn="0" w:lastColumn="0" w:oddVBand="0" w:evenVBand="0" w:oddHBand="0" w:evenHBand="0" w:firstRowFirstColumn="0" w:firstRowLastColumn="0" w:lastRowFirstColumn="0" w:lastRowLastColumn="0"/>
            </w:pPr>
            <w:r w:rsidRPr="00F42058">
              <w:t>1 August 2020</w:t>
            </w:r>
          </w:p>
        </w:tc>
        <w:tc>
          <w:tcPr>
            <w:tcW w:w="1985" w:type="dxa"/>
            <w:shd w:val="clear" w:color="auto" w:fill="auto"/>
          </w:tcPr>
          <w:p w14:paraId="6B85E644" w14:textId="77777777" w:rsidR="00C33652" w:rsidRPr="00F42058" w:rsidRDefault="00C33652" w:rsidP="00D16C15">
            <w:pPr>
              <w:pStyle w:val="Tabletext"/>
              <w:cnfStyle w:val="000000000000" w:firstRow="0" w:lastRow="0" w:firstColumn="0" w:lastColumn="0" w:oddVBand="0" w:evenVBand="0" w:oddHBand="0" w:evenHBand="0" w:firstRowFirstColumn="0" w:firstRowLastColumn="0" w:lastRowFirstColumn="0" w:lastRowLastColumn="0"/>
            </w:pPr>
            <w:r w:rsidRPr="00F42058">
              <w:t>1 August 2023</w:t>
            </w:r>
          </w:p>
        </w:tc>
      </w:tr>
    </w:tbl>
    <w:p w14:paraId="42053A8D" w14:textId="64889BAE" w:rsidR="00C33652" w:rsidRDefault="00C33652" w:rsidP="00325BE2">
      <w:pPr>
        <w:pStyle w:val="BodyText"/>
      </w:pPr>
      <w:r>
        <w:t xml:space="preserve">The J2SI PAD was established in response to the Victorian Government’s increasing interest and appetite for Social Impact Bonds (SIBs) as an alternative to traditional funding models for social programs. Financing for the J2SI PAD came from several sources: the Victorian Government, a sole investor and guarantors. The Investor (Catholic Development Fund) provided $6 million in debt financing towards the program, to be repaid with interest using </w:t>
      </w:r>
      <w:r w:rsidR="00D16C15">
        <w:t>G</w:t>
      </w:r>
      <w:r>
        <w:t>overnment funding if payable outcomes were met, or repaid using contingent grants from guarantors if payable outcomes were not met. SHM also provided a first</w:t>
      </w:r>
      <w:r w:rsidR="00D16C15">
        <w:t>-</w:t>
      </w:r>
      <w:r>
        <w:t xml:space="preserve">loss guarantee to underwrite a portion of program delivery risks. </w:t>
      </w:r>
    </w:p>
    <w:p w14:paraId="193E5A84" w14:textId="76971C4E" w:rsidR="00D46A9E" w:rsidRPr="00D46A9E" w:rsidRDefault="00D46A9E" w:rsidP="00941D45">
      <w:pPr>
        <w:pStyle w:val="HeadingLevel2NoNumber"/>
      </w:pPr>
      <w:bookmarkStart w:id="5" w:name="_Toc150333910"/>
      <w:r w:rsidRPr="00D46A9E">
        <w:t>The J2SI program</w:t>
      </w:r>
      <w:bookmarkEnd w:id="5"/>
      <w:r w:rsidR="003167DE">
        <w:t xml:space="preserve"> </w:t>
      </w:r>
    </w:p>
    <w:p w14:paraId="32E103FA" w14:textId="68B5B829" w:rsidR="00182143" w:rsidRPr="007C3B77" w:rsidRDefault="00182143" w:rsidP="00325BE2">
      <w:pPr>
        <w:pStyle w:val="BodyText"/>
      </w:pPr>
      <w:r>
        <w:t xml:space="preserve">The </w:t>
      </w:r>
      <w:r w:rsidRPr="007C3B77">
        <w:t>J2SI</w:t>
      </w:r>
      <w:r>
        <w:t xml:space="preserve"> program was developed by SHM and</w:t>
      </w:r>
      <w:r w:rsidRPr="007C3B77">
        <w:t xml:space="preserve"> is a housing first approach</w:t>
      </w:r>
      <w:r w:rsidR="00A83790">
        <w:t>,</w:t>
      </w:r>
      <w:r w:rsidRPr="007C3B77">
        <w:t xml:space="preserve"> coupled with three years of intensive </w:t>
      </w:r>
      <w:r w:rsidRPr="003F4943">
        <w:rPr>
          <w:rFonts w:cs="Arial"/>
          <w:szCs w:val="20"/>
        </w:rPr>
        <w:t>wraparound support for clients.</w:t>
      </w:r>
      <w:r w:rsidRPr="003F4943">
        <w:rPr>
          <w:rStyle w:val="FootnoteReference"/>
          <w:rFonts w:cs="Arial"/>
          <w:szCs w:val="20"/>
        </w:rPr>
        <w:footnoteReference w:id="2"/>
      </w:r>
      <w:r w:rsidR="003F4943" w:rsidRPr="003F4943">
        <w:rPr>
          <w:rFonts w:cs="Arial"/>
          <w:szCs w:val="20"/>
        </w:rPr>
        <w:t xml:space="preserve"> </w:t>
      </w:r>
      <w:r w:rsidRPr="003F4943">
        <w:rPr>
          <w:rFonts w:cs="Arial"/>
          <w:szCs w:val="20"/>
        </w:rPr>
        <w:t>With a strengths-based lens, J2SI places people’s needs at the centre of service</w:t>
      </w:r>
      <w:r w:rsidRPr="007C3B77">
        <w:t xml:space="preserve"> delivery.</w:t>
      </w:r>
    </w:p>
    <w:p w14:paraId="7D624B7C" w14:textId="2B686538" w:rsidR="00182143" w:rsidRDefault="00182143" w:rsidP="00325BE2">
      <w:pPr>
        <w:pStyle w:val="BodyText"/>
      </w:pPr>
      <w:r w:rsidRPr="007C3B77">
        <w:t>There are five elements of the service model</w:t>
      </w:r>
      <w:r w:rsidR="003F4943">
        <w:t>, as depicted below</w:t>
      </w:r>
      <w:r w:rsidRPr="007C3B77">
        <w:t>:</w:t>
      </w:r>
    </w:p>
    <w:p w14:paraId="3C1AB313" w14:textId="77777777" w:rsidR="002963FA" w:rsidRPr="002963FA" w:rsidRDefault="002963FA" w:rsidP="00632D10">
      <w:pPr>
        <w:pStyle w:val="Bullet1stlevel"/>
      </w:pPr>
      <w:r w:rsidRPr="002963FA">
        <w:t>Assertive case management and service coordination</w:t>
      </w:r>
    </w:p>
    <w:p w14:paraId="79777907" w14:textId="77777777" w:rsidR="002963FA" w:rsidRPr="002963FA" w:rsidRDefault="002963FA" w:rsidP="00632D10">
      <w:pPr>
        <w:pStyle w:val="Bullet1stlevel"/>
      </w:pPr>
      <w:r w:rsidRPr="002963FA">
        <w:t>Housing access and sustaining tenancies</w:t>
      </w:r>
    </w:p>
    <w:p w14:paraId="321FF9C1" w14:textId="77777777" w:rsidR="002963FA" w:rsidRPr="002963FA" w:rsidRDefault="002963FA" w:rsidP="00632D10">
      <w:pPr>
        <w:pStyle w:val="Bullet1stlevel"/>
      </w:pPr>
      <w:r w:rsidRPr="002963FA">
        <w:t>Trauma-informed practice</w:t>
      </w:r>
    </w:p>
    <w:p w14:paraId="7DE3E3F3" w14:textId="77777777" w:rsidR="002963FA" w:rsidRPr="002963FA" w:rsidRDefault="002963FA" w:rsidP="00632D10">
      <w:pPr>
        <w:pStyle w:val="Bullet1stlevel"/>
      </w:pPr>
      <w:r w:rsidRPr="002963FA">
        <w:t>Building skills for inclusion</w:t>
      </w:r>
    </w:p>
    <w:p w14:paraId="6C627D3E" w14:textId="6FE2A5B1" w:rsidR="002963FA" w:rsidRPr="007C3B77" w:rsidRDefault="002963FA" w:rsidP="00632D10">
      <w:pPr>
        <w:pStyle w:val="Bullet1stlevel"/>
      </w:pPr>
      <w:r w:rsidRPr="002963FA">
        <w:t>Fostering independence</w:t>
      </w:r>
    </w:p>
    <w:p w14:paraId="15AD6236" w14:textId="0B288E36" w:rsidR="00ED4EB0" w:rsidRDefault="00ED4EB0" w:rsidP="00325BE2">
      <w:pPr>
        <w:pStyle w:val="BodyText"/>
      </w:pPr>
      <w:r w:rsidRPr="007C3511">
        <w:t xml:space="preserve">The </w:t>
      </w:r>
      <w:r>
        <w:t xml:space="preserve">program </w:t>
      </w:r>
      <w:r w:rsidRPr="007C3511">
        <w:t>has been developed and refined by SHM</w:t>
      </w:r>
      <w:r w:rsidR="00A83790" w:rsidRPr="007C3511">
        <w:t xml:space="preserve"> </w:t>
      </w:r>
      <w:r w:rsidRPr="007C3511">
        <w:t xml:space="preserve">over a period of time. The </w:t>
      </w:r>
      <w:r>
        <w:t>J2SI PAD</w:t>
      </w:r>
      <w:r w:rsidRPr="007C3511">
        <w:t xml:space="preserve"> </w:t>
      </w:r>
      <w:r>
        <w:t xml:space="preserve">was the third iteration of the program, and was preceded by a Pilot </w:t>
      </w:r>
      <w:r w:rsidR="001B2949">
        <w:t xml:space="preserve">Randomised Controlled trial (RCT) </w:t>
      </w:r>
      <w:r>
        <w:t>(2009 – 2012)</w:t>
      </w:r>
      <w:r w:rsidR="00433245">
        <w:rPr>
          <w:rStyle w:val="FootnoteReference"/>
        </w:rPr>
        <w:footnoteReference w:id="3"/>
      </w:r>
      <w:r>
        <w:t xml:space="preserve"> and a</w:t>
      </w:r>
      <w:r w:rsidR="001B2949">
        <w:t xml:space="preserve"> Phase 2</w:t>
      </w:r>
      <w:r>
        <w:t xml:space="preserve"> RCT (2016 – 2019).</w:t>
      </w:r>
      <w:r w:rsidR="00433245">
        <w:rPr>
          <w:rStyle w:val="FootnoteReference"/>
        </w:rPr>
        <w:footnoteReference w:id="4"/>
      </w:r>
      <w:r>
        <w:t xml:space="preserve"> Following success of the J2SI PAD, SHM received further funding </w:t>
      </w:r>
      <w:r w:rsidR="004F02F7">
        <w:t xml:space="preserve">under the </w:t>
      </w:r>
      <w:r w:rsidR="00BD4653">
        <w:t xml:space="preserve">Early </w:t>
      </w:r>
      <w:r w:rsidR="00BD4653">
        <w:lastRenderedPageBreak/>
        <w:t>Intervention Investment Framework (</w:t>
      </w:r>
      <w:r w:rsidR="004F02F7">
        <w:t>EIIF</w:t>
      </w:r>
      <w:r w:rsidR="00BD4653">
        <w:t xml:space="preserve">) </w:t>
      </w:r>
      <w:r>
        <w:t xml:space="preserve">as part of the 2021-22 </w:t>
      </w:r>
      <w:r w:rsidR="00480780">
        <w:t>B</w:t>
      </w:r>
      <w:r>
        <w:t>udget to extend the program to an additional 120 clients using a payment</w:t>
      </w:r>
      <w:r w:rsidR="00A83790">
        <w:t>-</w:t>
      </w:r>
      <w:r>
        <w:t>by</w:t>
      </w:r>
      <w:r w:rsidR="00A83790">
        <w:t>-</w:t>
      </w:r>
      <w:r>
        <w:t xml:space="preserve">results </w:t>
      </w:r>
      <w:r w:rsidR="00455F95">
        <w:t xml:space="preserve">(PbR) </w:t>
      </w:r>
      <w:r>
        <w:t xml:space="preserve">funding arrangement. </w:t>
      </w:r>
    </w:p>
    <w:p w14:paraId="69D889F0" w14:textId="7B306F6A" w:rsidR="00A32DF3" w:rsidRDefault="00A32DF3" w:rsidP="00941D45">
      <w:pPr>
        <w:pStyle w:val="HeadingLevel2NoNumber"/>
      </w:pPr>
      <w:bookmarkStart w:id="6" w:name="_Toc150333911"/>
      <w:r w:rsidRPr="00D46A9E">
        <w:t>The J2SI program</w:t>
      </w:r>
      <w:r>
        <w:t xml:space="preserve"> as a PAD</w:t>
      </w:r>
      <w:bookmarkEnd w:id="6"/>
    </w:p>
    <w:p w14:paraId="799861AD" w14:textId="181F871F" w:rsidR="00E63F03" w:rsidRDefault="00E63F03" w:rsidP="00325BE2">
      <w:pPr>
        <w:pStyle w:val="BodyText"/>
      </w:pPr>
      <w:r w:rsidRPr="00506E5D">
        <w:t>Although</w:t>
      </w:r>
      <w:r>
        <w:t xml:space="preserve"> the J2SI program was established prior to its delivery as a PAD, the PAD delivered innovation in a number of </w:t>
      </w:r>
      <w:r w:rsidR="002E664D">
        <w:t>ways</w:t>
      </w:r>
      <w:r>
        <w:t xml:space="preserve">. This included how the program was financed (and the inclusion of incentives) as well as how it sourced housing (using head leasing instead of relying </w:t>
      </w:r>
      <w:r w:rsidR="00455F95">
        <w:t>entirely</w:t>
      </w:r>
      <w:r>
        <w:t xml:space="preserve"> on social housing, noting that Housing First</w:t>
      </w:r>
      <w:r w:rsidR="00272B50">
        <w:rPr>
          <w:rFonts w:ascii="ZWAdobeF" w:hAnsi="ZWAdobeF" w:cs="ZWAdobeF"/>
          <w:color w:val="auto"/>
          <w:sz w:val="2"/>
          <w:szCs w:val="2"/>
        </w:rPr>
        <w:t>1F</w:t>
      </w:r>
      <w:r w:rsidR="00125CA2">
        <w:rPr>
          <w:rFonts w:ascii="ZWAdobeF" w:hAnsi="ZWAdobeF" w:cs="ZWAdobeF"/>
          <w:color w:val="auto"/>
          <w:sz w:val="2"/>
          <w:szCs w:val="2"/>
        </w:rPr>
        <w:t>1F</w:t>
      </w:r>
      <w:r>
        <w:rPr>
          <w:rStyle w:val="FootnoteReference"/>
          <w:bCs/>
        </w:rPr>
        <w:footnoteReference w:id="5"/>
      </w:r>
      <w:r>
        <w:t xml:space="preserve"> was always a core principle of J2SI prior to the PAD). The PAD enabled the J2SI program to </w:t>
      </w:r>
      <w:r w:rsidR="0012605C">
        <w:t xml:space="preserve">scale up and service a </w:t>
      </w:r>
      <w:r w:rsidR="00460555">
        <w:t>greater</w:t>
      </w:r>
      <w:r w:rsidR="0012605C">
        <w:t xml:space="preserve"> </w:t>
      </w:r>
      <w:r w:rsidR="00922766">
        <w:t>number</w:t>
      </w:r>
      <w:r w:rsidR="0012605C">
        <w:t xml:space="preserve"> of clients </w:t>
      </w:r>
      <w:r w:rsidR="00460555">
        <w:t xml:space="preserve">(180 clients) </w:t>
      </w:r>
      <w:r w:rsidR="0012605C">
        <w:t xml:space="preserve">compared to the Pilot </w:t>
      </w:r>
      <w:r w:rsidR="00460555">
        <w:t xml:space="preserve">(40 clients) </w:t>
      </w:r>
      <w:r w:rsidR="0012605C">
        <w:t>and</w:t>
      </w:r>
      <w:r w:rsidR="00460555">
        <w:t xml:space="preserve"> the</w:t>
      </w:r>
      <w:r w:rsidR="0012605C">
        <w:t xml:space="preserve"> </w:t>
      </w:r>
      <w:r w:rsidR="009C7EFD">
        <w:t xml:space="preserve">Phase 2 </w:t>
      </w:r>
      <w:r w:rsidR="0012605C">
        <w:t>RCT</w:t>
      </w:r>
      <w:r w:rsidR="00460555">
        <w:t xml:space="preserve"> (60 clients)</w:t>
      </w:r>
      <w:r w:rsidR="0012605C">
        <w:t xml:space="preserve">. </w:t>
      </w:r>
      <w:r w:rsidR="00122A26">
        <w:fldChar w:fldCharType="begin" w:fldLock="1"/>
      </w:r>
      <w:r w:rsidR="00122A26">
        <w:instrText xml:space="preserve"> REF _Ref150346729 \h </w:instrText>
      </w:r>
      <w:r w:rsidR="00325BE2">
        <w:instrText xml:space="preserve"> \* MERGEFORMAT </w:instrText>
      </w:r>
      <w:r w:rsidR="00122A26">
        <w:fldChar w:fldCharType="separate"/>
      </w:r>
      <w:r w:rsidR="00005836">
        <w:t xml:space="preserve">Table </w:t>
      </w:r>
      <w:r w:rsidR="00005836">
        <w:rPr>
          <w:noProof/>
        </w:rPr>
        <w:t>2</w:t>
      </w:r>
      <w:r w:rsidR="00122A26">
        <w:fldChar w:fldCharType="end"/>
      </w:r>
      <w:r w:rsidRPr="00B001E4">
        <w:t xml:space="preserve"> outline</w:t>
      </w:r>
      <w:r>
        <w:t xml:space="preserve">s key elements of the J2SI PAD. </w:t>
      </w:r>
    </w:p>
    <w:p w14:paraId="0F27DC74" w14:textId="18E8F9B5" w:rsidR="00341964" w:rsidRDefault="00341964" w:rsidP="00134FF5">
      <w:pPr>
        <w:pStyle w:val="Caption"/>
      </w:pPr>
      <w:bookmarkStart w:id="7" w:name="_Ref150346729"/>
      <w:bookmarkStart w:id="8" w:name="_Toc174547303"/>
      <w:r>
        <w:t xml:space="preserve">Table </w:t>
      </w:r>
      <w:r>
        <w:fldChar w:fldCharType="begin"/>
      </w:r>
      <w:r>
        <w:instrText xml:space="preserve"> SEQ Table \* ARABIC </w:instrText>
      </w:r>
      <w:r>
        <w:fldChar w:fldCharType="separate"/>
      </w:r>
      <w:r w:rsidR="005B05CA">
        <w:rPr>
          <w:noProof/>
        </w:rPr>
        <w:t>2</w:t>
      </w:r>
      <w:r>
        <w:rPr>
          <w:noProof/>
        </w:rPr>
        <w:fldChar w:fldCharType="end"/>
      </w:r>
      <w:bookmarkEnd w:id="7"/>
      <w:r>
        <w:t>: Elements of J2SI as a PAD</w:t>
      </w:r>
      <w:bookmarkEnd w:id="8"/>
    </w:p>
    <w:tbl>
      <w:tblPr>
        <w:tblStyle w:val="KPMGTable"/>
        <w:tblW w:w="0" w:type="auto"/>
        <w:tblLook w:val="04A0" w:firstRow="1" w:lastRow="0" w:firstColumn="1" w:lastColumn="0" w:noHBand="0" w:noVBand="1"/>
      </w:tblPr>
      <w:tblGrid>
        <w:gridCol w:w="1418"/>
        <w:gridCol w:w="8363"/>
      </w:tblGrid>
      <w:tr w:rsidR="00007680" w:rsidRPr="00F42058" w14:paraId="15C40AB0" w14:textId="77777777" w:rsidTr="00007680">
        <w:trPr>
          <w:cnfStyle w:val="100000000000" w:firstRow="1" w:lastRow="0" w:firstColumn="0" w:lastColumn="0" w:oddVBand="0" w:evenVBand="0" w:oddHBand="0" w:evenHBand="0" w:firstRowFirstColumn="0" w:firstRowLastColumn="0" w:lastRowFirstColumn="0" w:lastRowLastColumn="0"/>
          <w:trHeight w:val="248"/>
          <w:tblHeader/>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15B37122" w14:textId="77777777" w:rsidR="00007680" w:rsidRPr="00442548" w:rsidRDefault="00007680" w:rsidP="00581467">
            <w:pPr>
              <w:pStyle w:val="TableHeading"/>
            </w:pPr>
            <w:r w:rsidRPr="00442548">
              <w:t>Element</w:t>
            </w:r>
          </w:p>
        </w:tc>
        <w:tc>
          <w:tcPr>
            <w:tcW w:w="8363" w:type="dxa"/>
            <w:shd w:val="clear" w:color="auto" w:fill="auto"/>
          </w:tcPr>
          <w:p w14:paraId="67893506" w14:textId="0BAF0F9D" w:rsidR="00007680" w:rsidRPr="00442548" w:rsidRDefault="00007680" w:rsidP="00581467">
            <w:pPr>
              <w:pStyle w:val="TableHeading"/>
              <w:cnfStyle w:val="100000000000" w:firstRow="1" w:lastRow="0" w:firstColumn="0" w:lastColumn="0" w:oddVBand="0" w:evenVBand="0" w:oddHBand="0" w:evenHBand="0" w:firstRowFirstColumn="0" w:firstRowLastColumn="0" w:lastRowFirstColumn="0" w:lastRowLastColumn="0"/>
            </w:pPr>
            <w:r>
              <w:t>Description</w:t>
            </w:r>
          </w:p>
        </w:tc>
      </w:tr>
      <w:tr w:rsidR="00007680" w:rsidRPr="00F42058" w14:paraId="3BB86C7D" w14:textId="77777777" w:rsidTr="005008AD">
        <w:trPr>
          <w:trHeight w:val="1151"/>
        </w:trPr>
        <w:tc>
          <w:tcPr>
            <w:cnfStyle w:val="001000000000" w:firstRow="0" w:lastRow="0" w:firstColumn="1" w:lastColumn="0" w:oddVBand="0" w:evenVBand="0" w:oddHBand="0" w:evenHBand="0" w:firstRowFirstColumn="0" w:firstRowLastColumn="0" w:lastRowFirstColumn="0" w:lastRowLastColumn="0"/>
            <w:tcW w:w="0" w:type="dxa"/>
            <w:vAlign w:val="center"/>
          </w:tcPr>
          <w:p w14:paraId="1CDABDCF" w14:textId="77777777" w:rsidR="00007680" w:rsidRPr="00442548" w:rsidRDefault="00007680" w:rsidP="00581467">
            <w:pPr>
              <w:pStyle w:val="Tabletext"/>
            </w:pPr>
            <w:r w:rsidRPr="00442548">
              <w:t xml:space="preserve">Eligibility </w:t>
            </w:r>
          </w:p>
        </w:tc>
        <w:tc>
          <w:tcPr>
            <w:tcW w:w="0" w:type="dxa"/>
            <w:shd w:val="clear" w:color="auto" w:fill="auto"/>
            <w:vAlign w:val="center"/>
          </w:tcPr>
          <w:p w14:paraId="15D905A9" w14:textId="1B9666A7"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The J2SI PAD expanded the age up from 50</w:t>
            </w:r>
            <w:r>
              <w:t xml:space="preserve"> </w:t>
            </w:r>
            <w:r w:rsidR="00581467">
              <w:t>years</w:t>
            </w:r>
            <w:r w:rsidRPr="00442548">
              <w:t xml:space="preserve"> to 65 </w:t>
            </w:r>
            <w:r w:rsidR="00581467">
              <w:t>years</w:t>
            </w:r>
            <w:r>
              <w:t xml:space="preserve"> </w:t>
            </w:r>
            <w:r w:rsidRPr="00442548">
              <w:t>to enable support to the older demographic of homeless people in Melbourne.</w:t>
            </w:r>
          </w:p>
          <w:p w14:paraId="41BAF0E6" w14:textId="5B9D7480"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 xml:space="preserve">It also removed the requirement of clients to be permanent residents as this was seen as unnecessary as clients needed to be eligible </w:t>
            </w:r>
            <w:r w:rsidR="007371FC">
              <w:t xml:space="preserve">in order </w:t>
            </w:r>
            <w:r w:rsidRPr="00442548">
              <w:t xml:space="preserve">to receive benefits. </w:t>
            </w:r>
          </w:p>
        </w:tc>
      </w:tr>
      <w:tr w:rsidR="00007680" w:rsidRPr="00F42058" w14:paraId="416B8025" w14:textId="77777777" w:rsidTr="005008AD">
        <w:trPr>
          <w:trHeight w:val="1565"/>
        </w:trPr>
        <w:tc>
          <w:tcPr>
            <w:cnfStyle w:val="001000000000" w:firstRow="0" w:lastRow="0" w:firstColumn="1" w:lastColumn="0" w:oddVBand="0" w:evenVBand="0" w:oddHBand="0" w:evenHBand="0" w:firstRowFirstColumn="0" w:firstRowLastColumn="0" w:lastRowFirstColumn="0" w:lastRowLastColumn="0"/>
            <w:tcW w:w="0" w:type="dxa"/>
            <w:vAlign w:val="center"/>
          </w:tcPr>
          <w:p w14:paraId="2D26D572" w14:textId="77777777" w:rsidR="00007680" w:rsidRPr="00442548" w:rsidRDefault="00007680" w:rsidP="00581467">
            <w:pPr>
              <w:pStyle w:val="Tabletext"/>
            </w:pPr>
            <w:r w:rsidRPr="00442548">
              <w:t>Access to housing</w:t>
            </w:r>
          </w:p>
        </w:tc>
        <w:tc>
          <w:tcPr>
            <w:tcW w:w="0" w:type="dxa"/>
            <w:shd w:val="clear" w:color="auto" w:fill="auto"/>
            <w:vAlign w:val="center"/>
          </w:tcPr>
          <w:p w14:paraId="5665009C" w14:textId="7E91F03C"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 xml:space="preserve">Public housing was provided by </w:t>
            </w:r>
            <w:r>
              <w:t>Department of Families, Fairness and Housing (</w:t>
            </w:r>
            <w:r w:rsidRPr="00442548">
              <w:t>DFFH</w:t>
            </w:r>
            <w:r>
              <w:t>)</w:t>
            </w:r>
            <w:r w:rsidRPr="00442548">
              <w:t xml:space="preserve">/Homes Victoria and community housing </w:t>
            </w:r>
            <w:r w:rsidR="00581467">
              <w:t xml:space="preserve">was </w:t>
            </w:r>
            <w:r w:rsidRPr="00442548">
              <w:t>provided by community housing providers.</w:t>
            </w:r>
          </w:p>
          <w:p w14:paraId="7BD55003" w14:textId="1DD4E810"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 xml:space="preserve">Head leasing was administered through partnerships with Unison and Housing Choices Australia, and allowed clients to be housed more rapidly, applying the housing first principles. The head leased properties were used to support stable housing until clients were offered social housing or </w:t>
            </w:r>
            <w:r w:rsidR="00DB64F3">
              <w:t xml:space="preserve">they </w:t>
            </w:r>
            <w:r w:rsidRPr="00442548">
              <w:t>could move into their own housing arrangement.</w:t>
            </w:r>
          </w:p>
        </w:tc>
      </w:tr>
      <w:tr w:rsidR="00007680" w:rsidRPr="00F42058" w14:paraId="7AF586FC" w14:textId="77777777" w:rsidTr="005008AD">
        <w:trPr>
          <w:trHeight w:val="3172"/>
        </w:trPr>
        <w:tc>
          <w:tcPr>
            <w:cnfStyle w:val="001000000000" w:firstRow="0" w:lastRow="0" w:firstColumn="1" w:lastColumn="0" w:oddVBand="0" w:evenVBand="0" w:oddHBand="0" w:evenHBand="0" w:firstRowFirstColumn="0" w:firstRowLastColumn="0" w:lastRowFirstColumn="0" w:lastRowLastColumn="0"/>
            <w:tcW w:w="0" w:type="dxa"/>
            <w:vAlign w:val="center"/>
          </w:tcPr>
          <w:p w14:paraId="541FEB6C" w14:textId="77777777" w:rsidR="00007680" w:rsidRPr="00442548" w:rsidRDefault="00007680" w:rsidP="00581467">
            <w:pPr>
              <w:pStyle w:val="Tabletext"/>
            </w:pPr>
            <w:r w:rsidRPr="00442548">
              <w:t>Funding/</w:t>
            </w:r>
            <w:r w:rsidRPr="00442548">
              <w:br/>
              <w:t>financing</w:t>
            </w:r>
          </w:p>
        </w:tc>
        <w:tc>
          <w:tcPr>
            <w:tcW w:w="0" w:type="dxa"/>
            <w:shd w:val="clear" w:color="auto" w:fill="auto"/>
            <w:vAlign w:val="center"/>
          </w:tcPr>
          <w:p w14:paraId="5F0AA9A9" w14:textId="77777777"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The J2SI PAD was funded through DFFH, and financed by the Catholic Development Fund and guarantors.</w:t>
            </w:r>
          </w:p>
          <w:p w14:paraId="0ED6F617" w14:textId="04CBBA84" w:rsidR="00007680"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A contingency fund for head leasing</w:t>
            </w:r>
            <w:r w:rsidR="00AC1E55">
              <w:t xml:space="preserve"> -</w:t>
            </w:r>
            <w:r w:rsidR="00AC1E55">
              <w:rPr>
                <w:rFonts w:cs="@Batang"/>
                <w:szCs w:val="20"/>
              </w:rPr>
              <w:t xml:space="preserve"> the head leasing contingency fund (HLCF) -</w:t>
            </w:r>
            <w:r w:rsidR="00AC1E55" w:rsidRPr="00442548">
              <w:rPr>
                <w:rFonts w:cs="@Batang"/>
                <w:szCs w:val="20"/>
              </w:rPr>
              <w:t xml:space="preserve"> was included in the development of the SII, for the purposes of cost variations and financial penalties.</w:t>
            </w:r>
            <w:r w:rsidRPr="00442548">
              <w:t xml:space="preserve"> </w:t>
            </w:r>
          </w:p>
          <w:p w14:paraId="4EB6A6A2" w14:textId="75A9D17F"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The contingency fund enabled the program to have some margin of error in the modelling (which was agreed in the joint development phase). The contingency fund was in place in recognition of uncertainty around social housing supply.</w:t>
            </w:r>
          </w:p>
          <w:p w14:paraId="502372BC" w14:textId="2CDEBCCF"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 xml:space="preserve">The financial penalties were approximately equivalent to the amount required to head lease a property for one year. Penalties would be delivered when a client is in the position of exiting into homelessness at the end of the lease period, or where clients have not been housed in transitional or social housing within </w:t>
            </w:r>
            <w:r w:rsidR="004A2C13">
              <w:t>six</w:t>
            </w:r>
            <w:r w:rsidRPr="00442548">
              <w:t xml:space="preserve"> months from their commencement as a client in the J2SI PAD. If the head leasing contingency fund was completely drawn down and no funds were available to be paid, the State would have been required to continue to pay the financial penalties as they were incurred. </w:t>
            </w:r>
          </w:p>
        </w:tc>
      </w:tr>
      <w:tr w:rsidR="00007680" w:rsidRPr="00F42058" w14:paraId="7499F1B4" w14:textId="77777777" w:rsidTr="005008AD">
        <w:trPr>
          <w:trHeight w:val="1917"/>
        </w:trPr>
        <w:tc>
          <w:tcPr>
            <w:cnfStyle w:val="001000000000" w:firstRow="0" w:lastRow="0" w:firstColumn="1" w:lastColumn="0" w:oddVBand="0" w:evenVBand="0" w:oddHBand="0" w:evenHBand="0" w:firstRowFirstColumn="0" w:firstRowLastColumn="0" w:lastRowFirstColumn="0" w:lastRowLastColumn="0"/>
            <w:tcW w:w="0" w:type="dxa"/>
            <w:vAlign w:val="center"/>
          </w:tcPr>
          <w:p w14:paraId="384878F1" w14:textId="77777777" w:rsidR="00007680" w:rsidRPr="00442548" w:rsidRDefault="00007680" w:rsidP="00581467">
            <w:pPr>
              <w:pStyle w:val="Tabletext"/>
            </w:pPr>
            <w:r w:rsidRPr="00442548">
              <w:t>Governance</w:t>
            </w:r>
          </w:p>
        </w:tc>
        <w:tc>
          <w:tcPr>
            <w:tcW w:w="0" w:type="dxa"/>
            <w:shd w:val="clear" w:color="auto" w:fill="auto"/>
            <w:vAlign w:val="center"/>
          </w:tcPr>
          <w:p w14:paraId="609458A5" w14:textId="77777777" w:rsidR="00007680"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 xml:space="preserve">The J2SI Operations Manual details the governance structure, authority and responsibilities required to deliver the PAD. The J2SI PAD was governed and managed day-to-day in partnership between the DFFH/Homes Victoria Government Contract Manager (GCM) and SHM, with an advisory role performed by a Joint Working Group (JWG) that featured representation from all key stakeholders involved in delivering the PAD (in particular DFFH/Homes Victoria, SHM, and DTF). </w:t>
            </w:r>
          </w:p>
          <w:p w14:paraId="7B5B31FF" w14:textId="45581E6F"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The collaborative governance structure and representation on the JWG enabled a structure to collectively work through challenges identified over the course of the program, and ensure solutions were found.</w:t>
            </w:r>
          </w:p>
        </w:tc>
      </w:tr>
      <w:tr w:rsidR="00007680" w:rsidRPr="00F42058" w14:paraId="37274F56" w14:textId="77777777" w:rsidTr="005008AD">
        <w:trPr>
          <w:trHeight w:val="1248"/>
        </w:trPr>
        <w:tc>
          <w:tcPr>
            <w:cnfStyle w:val="001000000000" w:firstRow="0" w:lastRow="0" w:firstColumn="1" w:lastColumn="0" w:oddVBand="0" w:evenVBand="0" w:oddHBand="0" w:evenHBand="0" w:firstRowFirstColumn="0" w:firstRowLastColumn="0" w:lastRowFirstColumn="0" w:lastRowLastColumn="0"/>
            <w:tcW w:w="0" w:type="dxa"/>
            <w:vAlign w:val="center"/>
          </w:tcPr>
          <w:p w14:paraId="50DA8026" w14:textId="77777777" w:rsidR="00007680" w:rsidRPr="00442548" w:rsidRDefault="00007680" w:rsidP="00581467">
            <w:pPr>
              <w:pStyle w:val="Tabletext"/>
            </w:pPr>
            <w:r w:rsidRPr="00442548">
              <w:t>Payable outcomes</w:t>
            </w:r>
          </w:p>
        </w:tc>
        <w:tc>
          <w:tcPr>
            <w:tcW w:w="0" w:type="dxa"/>
            <w:shd w:val="clear" w:color="auto" w:fill="auto"/>
            <w:vAlign w:val="center"/>
          </w:tcPr>
          <w:p w14:paraId="05841507" w14:textId="3B7A8C5F" w:rsidR="00007680" w:rsidRPr="00442548" w:rsidRDefault="00007680" w:rsidP="00581467">
            <w:pPr>
              <w:pStyle w:val="Tabletext"/>
              <w:cnfStyle w:val="000000000000" w:firstRow="0" w:lastRow="0" w:firstColumn="0" w:lastColumn="0" w:oddVBand="0" w:evenVBand="0" w:oddHBand="0" w:evenHBand="0" w:firstRowFirstColumn="0" w:firstRowLastColumn="0" w:lastRowFirstColumn="0" w:lastRowLastColumn="0"/>
            </w:pPr>
            <w:r w:rsidRPr="00442548">
              <w:t>A more rigorous approach</w:t>
            </w:r>
            <w:r w:rsidR="002F4501">
              <w:t xml:space="preserve"> was</w:t>
            </w:r>
            <w:r w:rsidRPr="00442548">
              <w:t xml:space="preserve"> required </w:t>
            </w:r>
            <w:r w:rsidR="00B7101C">
              <w:t>in regard to</w:t>
            </w:r>
            <w:r w:rsidRPr="00442548">
              <w:t xml:space="preserve"> data collection, data quality, and analysis than for non-SII funded programs. This was due to the fact that data (</w:t>
            </w:r>
            <w:r w:rsidR="001D2D08" w:rsidRPr="001D2D08">
              <w:t xml:space="preserve">from multiple sources, predominantly linked data and supplemented by case notes for the purposes of identifying </w:t>
            </w:r>
            <w:r w:rsidR="00C82DC6">
              <w:t>whether</w:t>
            </w:r>
            <w:r w:rsidR="001D2D08" w:rsidRPr="001D2D08">
              <w:t xml:space="preserve"> the use of crisis accommodation was for family violence reasons) </w:t>
            </w:r>
            <w:r w:rsidRPr="00442548">
              <w:t>was used to determine the outcomes which</w:t>
            </w:r>
            <w:r w:rsidR="00041B46">
              <w:t>,</w:t>
            </w:r>
            <w:r w:rsidRPr="00442548">
              <w:t xml:space="preserve"> in turn</w:t>
            </w:r>
            <w:r w:rsidR="00041B46">
              <w:t>,</w:t>
            </w:r>
            <w:r w:rsidRPr="00442548">
              <w:t xml:space="preserve"> were used to deliver payments. </w:t>
            </w:r>
          </w:p>
        </w:tc>
      </w:tr>
    </w:tbl>
    <w:p w14:paraId="12B115AF" w14:textId="52FC2470" w:rsidR="006B4F4A" w:rsidRPr="006B4F4A" w:rsidRDefault="006B4F4A" w:rsidP="00C23921">
      <w:pPr>
        <w:pStyle w:val="HeadingLevel2NoNumber"/>
        <w:pageBreakBefore/>
      </w:pPr>
      <w:bookmarkStart w:id="9" w:name="_Toc150333912"/>
      <w:bookmarkStart w:id="10" w:name="_Ref150416622"/>
      <w:r w:rsidRPr="006B4F4A">
        <w:lastRenderedPageBreak/>
        <w:t>The J2SI SII evaluation</w:t>
      </w:r>
      <w:bookmarkEnd w:id="9"/>
      <w:bookmarkEnd w:id="10"/>
    </w:p>
    <w:p w14:paraId="2E998D01" w14:textId="77777777" w:rsidR="006B4F4A" w:rsidRPr="00227F5E" w:rsidRDefault="006B4F4A" w:rsidP="00325BE2">
      <w:pPr>
        <w:pStyle w:val="BodyText"/>
      </w:pPr>
      <w:r w:rsidRPr="00227F5E">
        <w:t xml:space="preserve">KPMG </w:t>
      </w:r>
      <w:r>
        <w:t>was</w:t>
      </w:r>
      <w:r w:rsidRPr="00227F5E">
        <w:t xml:space="preserve"> engaged to undertake a three-stage evaluation of</w:t>
      </w:r>
      <w:r>
        <w:t xml:space="preserve"> the</w:t>
      </w:r>
      <w:r w:rsidRPr="00227F5E">
        <w:t xml:space="preserve"> J2SI </w:t>
      </w:r>
      <w:r>
        <w:t>PAD</w:t>
      </w:r>
      <w:r w:rsidRPr="00227F5E">
        <w:t>:</w:t>
      </w:r>
    </w:p>
    <w:p w14:paraId="53C31C34" w14:textId="76B210A0" w:rsidR="006B4F4A" w:rsidRPr="00A52593" w:rsidRDefault="006B4F4A" w:rsidP="00632D10">
      <w:pPr>
        <w:pStyle w:val="Bullet1stlevel"/>
      </w:pPr>
      <w:r w:rsidRPr="00A52593">
        <w:t>Stage 1: Formative evaluation. Focused on the implementation and establishment of the J2SI PAD in the first 12</w:t>
      </w:r>
      <w:r w:rsidR="00041B46">
        <w:t> </w:t>
      </w:r>
      <w:r w:rsidRPr="00A52593">
        <w:t>months of its operation (completed September 2020);</w:t>
      </w:r>
    </w:p>
    <w:p w14:paraId="7F1DE39C" w14:textId="77777777" w:rsidR="006B4F4A" w:rsidRPr="00A52593" w:rsidRDefault="006B4F4A" w:rsidP="00632D10">
      <w:pPr>
        <w:pStyle w:val="Bullet1stlevel"/>
      </w:pPr>
      <w:r w:rsidRPr="00A52593">
        <w:t xml:space="preserve">Stage 2: Interim evaluation. Focused on the preliminary outcomes of J2SI as a PAD on key stakeholder groups (clients, government and SHM) (completed December 2021); </w:t>
      </w:r>
    </w:p>
    <w:p w14:paraId="1CF0888A" w14:textId="7DCC3C59" w:rsidR="00AE2B0B" w:rsidRDefault="006B4F4A" w:rsidP="00632D10">
      <w:pPr>
        <w:pStyle w:val="Bullet1stlevel"/>
      </w:pPr>
      <w:r w:rsidRPr="00A52593">
        <w:t>Stage 3: Final evaluation</w:t>
      </w:r>
      <w:r>
        <w:t xml:space="preserve"> (this report)</w:t>
      </w:r>
      <w:r w:rsidRPr="00A52593">
        <w:t xml:space="preserve">. </w:t>
      </w:r>
      <w:r>
        <w:t>Focuses</w:t>
      </w:r>
      <w:r w:rsidRPr="00A52593">
        <w:t xml:space="preserve"> on the final outcomes and economic impact of J2SI as a PAD</w:t>
      </w:r>
      <w:r w:rsidR="00AE2B0B">
        <w:t xml:space="preserve">, where: </w:t>
      </w:r>
    </w:p>
    <w:p w14:paraId="67C3B568" w14:textId="39AA21F0" w:rsidR="00AE2B0B" w:rsidRDefault="00AE2B0B" w:rsidP="00325BE2">
      <w:pPr>
        <w:pStyle w:val="BodyText"/>
      </w:pPr>
      <w:r>
        <w:t xml:space="preserve">The outcomes </w:t>
      </w:r>
      <w:r w:rsidR="007944D6">
        <w:t xml:space="preserve">of the J2SI PAD </w:t>
      </w:r>
      <w:r w:rsidR="00ED644D">
        <w:t xml:space="preserve">have been evaluated through an </w:t>
      </w:r>
      <w:r w:rsidR="00501997">
        <w:t>outcomes</w:t>
      </w:r>
      <w:r w:rsidR="00ED644D">
        <w:t xml:space="preserve"> evaluation with consideration of outcomes for clients, SHM and government. The outcomes evaluation has focus</w:t>
      </w:r>
      <w:r w:rsidR="00F517A9">
        <w:t>ed</w:t>
      </w:r>
      <w:r w:rsidR="00ED644D">
        <w:t xml:space="preserve"> on the impact of the SII funding mechanism</w:t>
      </w:r>
      <w:r>
        <w:t>; and</w:t>
      </w:r>
    </w:p>
    <w:p w14:paraId="5078E0CC" w14:textId="7452F634" w:rsidR="00AE2B0B" w:rsidRDefault="00AE2B0B" w:rsidP="00325BE2">
      <w:pPr>
        <w:pStyle w:val="BodyText"/>
      </w:pPr>
      <w:r>
        <w:t>The economic</w:t>
      </w:r>
      <w:r w:rsidR="007944D6">
        <w:t xml:space="preserve"> impact of the J2S</w:t>
      </w:r>
      <w:r w:rsidR="00D667DF">
        <w:t>I</w:t>
      </w:r>
      <w:r w:rsidR="007944D6">
        <w:t xml:space="preserve"> PAD has </w:t>
      </w:r>
      <w:r w:rsidR="009B05FB">
        <w:t>been estimated by building on the findings of the outcomes evaluation</w:t>
      </w:r>
      <w:r w:rsidR="00A858EB">
        <w:t xml:space="preserve"> </w:t>
      </w:r>
      <w:r w:rsidR="00D667DF">
        <w:t>and undertaking a cost-benefit analysis (CBA), estimating the incremental costs and benefits of the program relative to what could have been expected under ‘service as usual’.</w:t>
      </w:r>
    </w:p>
    <w:p w14:paraId="1306D293" w14:textId="77FB6E77" w:rsidR="009052A3" w:rsidRPr="003516C1" w:rsidRDefault="00D667DF" w:rsidP="00325BE2">
      <w:pPr>
        <w:pStyle w:val="BodyText"/>
      </w:pPr>
      <w:r>
        <w:t xml:space="preserve">The final evaluation has been guided by the below evaluation questions. </w:t>
      </w:r>
    </w:p>
    <w:tbl>
      <w:tblPr>
        <w:tblStyle w:val="KPMGTable"/>
        <w:tblW w:w="0" w:type="auto"/>
        <w:tblLook w:val="04A0" w:firstRow="1" w:lastRow="0" w:firstColumn="1" w:lastColumn="0" w:noHBand="0" w:noVBand="1"/>
      </w:tblPr>
      <w:tblGrid>
        <w:gridCol w:w="1560"/>
        <w:gridCol w:w="4110"/>
        <w:gridCol w:w="4395"/>
      </w:tblGrid>
      <w:tr w:rsidR="00541009" w14:paraId="5368DD26" w14:textId="77777777" w:rsidTr="00123986">
        <w:trPr>
          <w:cnfStyle w:val="100000000000" w:firstRow="1" w:lastRow="0" w:firstColumn="0" w:lastColumn="0" w:oddVBand="0" w:evenVBand="0" w:oddHBand="0"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20F68D4" w14:textId="77777777" w:rsidR="00541009" w:rsidRPr="00821701" w:rsidRDefault="00541009" w:rsidP="009052A3">
            <w:pPr>
              <w:pStyle w:val="TableHeading"/>
            </w:pPr>
            <w:r w:rsidRPr="00821701">
              <w:t>Evaluation component</w:t>
            </w:r>
          </w:p>
        </w:tc>
        <w:tc>
          <w:tcPr>
            <w:tcW w:w="4110" w:type="dxa"/>
            <w:shd w:val="clear" w:color="auto" w:fill="auto"/>
          </w:tcPr>
          <w:p w14:paraId="043582BB" w14:textId="77777777" w:rsidR="00541009" w:rsidRPr="00821701" w:rsidRDefault="00541009" w:rsidP="009052A3">
            <w:pPr>
              <w:pStyle w:val="TableHeading"/>
              <w:cnfStyle w:val="100000000000" w:firstRow="1" w:lastRow="0" w:firstColumn="0" w:lastColumn="0" w:oddVBand="0" w:evenVBand="0" w:oddHBand="0" w:evenHBand="0" w:firstRowFirstColumn="0" w:firstRowLastColumn="0" w:lastRowFirstColumn="0" w:lastRowLastColumn="0"/>
            </w:pPr>
            <w:r w:rsidRPr="00821701">
              <w:t>Evaluation question</w:t>
            </w:r>
          </w:p>
        </w:tc>
        <w:tc>
          <w:tcPr>
            <w:tcW w:w="4395" w:type="dxa"/>
            <w:shd w:val="clear" w:color="auto" w:fill="auto"/>
          </w:tcPr>
          <w:p w14:paraId="13E50120" w14:textId="77777777" w:rsidR="00541009" w:rsidRPr="00821701" w:rsidRDefault="00541009" w:rsidP="009052A3">
            <w:pPr>
              <w:pStyle w:val="TableHeading"/>
              <w:cnfStyle w:val="100000000000" w:firstRow="1" w:lastRow="0" w:firstColumn="0" w:lastColumn="0" w:oddVBand="0" w:evenVBand="0" w:oddHBand="0" w:evenHBand="0" w:firstRowFirstColumn="0" w:firstRowLastColumn="0" w:lastRowFirstColumn="0" w:lastRowLastColumn="0"/>
            </w:pPr>
            <w:r w:rsidRPr="00821701">
              <w:t>Evaluation sub-questions</w:t>
            </w:r>
          </w:p>
        </w:tc>
      </w:tr>
      <w:tr w:rsidR="00541009" w14:paraId="421CE30A" w14:textId="77777777" w:rsidTr="00123986">
        <w:trPr>
          <w:trHeight w:val="1294"/>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8F8E14E" w14:textId="77777777" w:rsidR="00541009" w:rsidRPr="009052A3" w:rsidRDefault="00541009" w:rsidP="009052A3">
            <w:pPr>
              <w:pStyle w:val="TabletextBOLD"/>
            </w:pPr>
            <w:r w:rsidRPr="009052A3">
              <w:t xml:space="preserve">Outcomes evaluation </w:t>
            </w:r>
          </w:p>
        </w:tc>
        <w:tc>
          <w:tcPr>
            <w:tcW w:w="4110" w:type="dxa"/>
            <w:shd w:val="clear" w:color="auto" w:fill="auto"/>
            <w:vAlign w:val="center"/>
          </w:tcPr>
          <w:p w14:paraId="7EE859C1" w14:textId="6767F2E0"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C43234">
              <w:rPr>
                <w:szCs w:val="20"/>
              </w:rPr>
              <w:t xml:space="preserve">What were the outcomes of </w:t>
            </w:r>
            <w:r w:rsidR="00364F2A">
              <w:rPr>
                <w:szCs w:val="20"/>
              </w:rPr>
              <w:t xml:space="preserve">the </w:t>
            </w:r>
            <w:r w:rsidRPr="00C43234">
              <w:rPr>
                <w:szCs w:val="20"/>
              </w:rPr>
              <w:t>J2SI PAD in light of its structure as a SII funding mechanism?</w:t>
            </w:r>
          </w:p>
          <w:p w14:paraId="32C83B06" w14:textId="77777777"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C43234">
              <w:rPr>
                <w:szCs w:val="20"/>
              </w:rPr>
              <w:t>What factors impacted on the outcomes?</w:t>
            </w:r>
          </w:p>
        </w:tc>
        <w:tc>
          <w:tcPr>
            <w:tcW w:w="4395" w:type="dxa"/>
          </w:tcPr>
          <w:p w14:paraId="468D1D09" w14:textId="77777777"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C43234">
              <w:rPr>
                <w:szCs w:val="20"/>
              </w:rPr>
              <w:t>Were the outcomes the same as when the program was implemented differently?</w:t>
            </w:r>
          </w:p>
          <w:p w14:paraId="2E9FC387" w14:textId="77777777"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0D27B9">
              <w:rPr>
                <w:szCs w:val="20"/>
              </w:rPr>
              <w:t>Can the outcomes be attributed to the program as a PAD?</w:t>
            </w:r>
          </w:p>
        </w:tc>
      </w:tr>
      <w:tr w:rsidR="00541009" w14:paraId="25D57646" w14:textId="77777777" w:rsidTr="00123986">
        <w:trPr>
          <w:trHeight w:val="141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93EDE08" w14:textId="77777777" w:rsidR="00541009" w:rsidRPr="009052A3" w:rsidRDefault="00541009" w:rsidP="009052A3">
            <w:pPr>
              <w:pStyle w:val="TabletextBOLD"/>
            </w:pPr>
            <w:r w:rsidRPr="009052A3">
              <w:t>Cost benefit analysis</w:t>
            </w:r>
          </w:p>
        </w:tc>
        <w:tc>
          <w:tcPr>
            <w:tcW w:w="4110" w:type="dxa"/>
            <w:shd w:val="clear" w:color="auto" w:fill="auto"/>
          </w:tcPr>
          <w:p w14:paraId="2BD8CC39" w14:textId="77777777"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C43234">
              <w:rPr>
                <w:szCs w:val="20"/>
              </w:rPr>
              <w:t>What was the economic and social impact of the J2SI PAD?</w:t>
            </w:r>
          </w:p>
        </w:tc>
        <w:tc>
          <w:tcPr>
            <w:tcW w:w="4395" w:type="dxa"/>
          </w:tcPr>
          <w:p w14:paraId="371F6F17" w14:textId="44851A1C"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C43234">
              <w:rPr>
                <w:szCs w:val="20"/>
              </w:rPr>
              <w:t>What was the cost of implementing J2SI SII</w:t>
            </w:r>
            <w:r w:rsidR="009052A3">
              <w:t>?</w:t>
            </w:r>
            <w:r w:rsidRPr="00C43234">
              <w:rPr>
                <w:szCs w:val="20"/>
              </w:rPr>
              <w:t xml:space="preserve"> Can the outcomes be attributed to the program as a PAD?</w:t>
            </w:r>
          </w:p>
          <w:p w14:paraId="4BF58AAA" w14:textId="7AF2D02D" w:rsidR="00541009" w:rsidRPr="00C43234" w:rsidRDefault="00541009" w:rsidP="009052A3">
            <w:pPr>
              <w:pStyle w:val="Tablebullet1"/>
              <w:cnfStyle w:val="000000000000" w:firstRow="0" w:lastRow="0" w:firstColumn="0" w:lastColumn="0" w:oddVBand="0" w:evenVBand="0" w:oddHBand="0" w:evenHBand="0" w:firstRowFirstColumn="0" w:firstRowLastColumn="0" w:lastRowFirstColumn="0" w:lastRowLastColumn="0"/>
              <w:rPr>
                <w:szCs w:val="20"/>
              </w:rPr>
            </w:pPr>
            <w:r w:rsidRPr="00C43234">
              <w:rPr>
                <w:szCs w:val="20"/>
              </w:rPr>
              <w:t xml:space="preserve">What are the direct and indirect economic and social benefits of implementing </w:t>
            </w:r>
            <w:r w:rsidR="00FA053C">
              <w:rPr>
                <w:szCs w:val="20"/>
              </w:rPr>
              <w:t xml:space="preserve">the </w:t>
            </w:r>
            <w:r w:rsidRPr="00C43234">
              <w:rPr>
                <w:szCs w:val="20"/>
              </w:rPr>
              <w:t>J2SI PAD?</w:t>
            </w:r>
          </w:p>
        </w:tc>
      </w:tr>
    </w:tbl>
    <w:p w14:paraId="3534B208" w14:textId="77777777" w:rsidR="002A01E3" w:rsidRPr="007174F4" w:rsidRDefault="002A01E3" w:rsidP="00BF3D93">
      <w:pPr>
        <w:pStyle w:val="Heading3"/>
      </w:pPr>
      <w:bookmarkStart w:id="11" w:name="_Toc150333913"/>
      <w:r>
        <w:rPr>
          <w:bCs/>
        </w:rPr>
        <w:t>Overarching methodological approaches</w:t>
      </w:r>
    </w:p>
    <w:p w14:paraId="419EA729" w14:textId="4F525CCD" w:rsidR="002A01E3" w:rsidRPr="00880EEB" w:rsidRDefault="002A01E3" w:rsidP="00632D10">
      <w:pPr>
        <w:pStyle w:val="Bullet1stlevel"/>
        <w:numPr>
          <w:ilvl w:val="0"/>
          <w:numId w:val="0"/>
        </w:numPr>
      </w:pPr>
      <w:r w:rsidRPr="00880EEB">
        <w:t xml:space="preserve">The outcomes evaluation sought to answer the evaluation questions primarily through consultation with stakeholders, client outcomes data </w:t>
      </w:r>
      <w:r>
        <w:t xml:space="preserve">– via sources including </w:t>
      </w:r>
      <w:r w:rsidRPr="00880EEB">
        <w:t>payable outcome</w:t>
      </w:r>
      <w:r>
        <w:t xml:space="preserve"> results</w:t>
      </w:r>
      <w:r w:rsidRPr="00880EEB">
        <w:t xml:space="preserve">, </w:t>
      </w:r>
      <w:r>
        <w:t>SHM</w:t>
      </w:r>
      <w:r w:rsidR="00F00A6D">
        <w:t>’</w:t>
      </w:r>
      <w:r>
        <w:t>s Trauma Informed Client Support and Planning Outcomes Tool (TICSPOT</w:t>
      </w:r>
      <w:r w:rsidR="00D27838">
        <w:rPr>
          <w:rStyle w:val="FootnoteReference"/>
        </w:rPr>
        <w:footnoteReference w:id="6"/>
      </w:r>
      <w:r>
        <w:t xml:space="preserve">) and the Victorian Social Investment Integrated Data Resource (VSIIDR) - </w:t>
      </w:r>
      <w:r w:rsidRPr="00880EEB">
        <w:t xml:space="preserve">along with program </w:t>
      </w:r>
      <w:r>
        <w:t xml:space="preserve">documentation. </w:t>
      </w:r>
      <w:r w:rsidRPr="00880EEB">
        <w:t xml:space="preserve">Where appropriate, qualitative and quantitative data sources </w:t>
      </w:r>
      <w:r>
        <w:t>have been</w:t>
      </w:r>
      <w:r w:rsidRPr="00880EEB">
        <w:t xml:space="preserve"> triangulated to </w:t>
      </w:r>
      <w:r w:rsidR="00DB1C5B">
        <w:t xml:space="preserve">provide further </w:t>
      </w:r>
      <w:r w:rsidR="006B7EC4">
        <w:t>insight into findings</w:t>
      </w:r>
      <w:r w:rsidRPr="00880EEB">
        <w:t xml:space="preserve">.  </w:t>
      </w:r>
    </w:p>
    <w:p w14:paraId="7E7FA9F4" w14:textId="19DD5777" w:rsidR="002A01E3" w:rsidRDefault="00D667DF" w:rsidP="00632D10">
      <w:pPr>
        <w:pStyle w:val="Bullet1stlevel"/>
        <w:numPr>
          <w:ilvl w:val="0"/>
          <w:numId w:val="0"/>
        </w:numPr>
      </w:pPr>
      <w:r>
        <w:t xml:space="preserve">Building on the </w:t>
      </w:r>
      <w:r w:rsidR="00501997">
        <w:t>outcomes</w:t>
      </w:r>
      <w:r>
        <w:t xml:space="preserve"> evaluation, t</w:t>
      </w:r>
      <w:r w:rsidR="002A01E3" w:rsidRPr="00880EEB">
        <w:t>he CBA</w:t>
      </w:r>
      <w:r w:rsidR="002A01E3">
        <w:t xml:space="preserve"> </w:t>
      </w:r>
      <w:r>
        <w:t xml:space="preserve">has gone on to assess the </w:t>
      </w:r>
      <w:r w:rsidR="002A01E3">
        <w:t xml:space="preserve">extent to which </w:t>
      </w:r>
      <w:r w:rsidR="00137FBD" w:rsidRPr="00137FBD">
        <w:t>J2SI service delivery as a</w:t>
      </w:r>
      <w:r w:rsidR="002A01E3">
        <w:t xml:space="preserve"> PAD </w:t>
      </w:r>
      <w:bookmarkStart w:id="12" w:name="_Hlk150423806"/>
      <w:r w:rsidR="002A01E3">
        <w:t xml:space="preserve">represents </w:t>
      </w:r>
      <w:r w:rsidR="002A01E3" w:rsidRPr="00880EEB">
        <w:t xml:space="preserve">‘value for money’. The CBA </w:t>
      </w:r>
      <w:r w:rsidR="007F5CB3">
        <w:t>estimates</w:t>
      </w:r>
      <w:r w:rsidR="002A01E3" w:rsidRPr="00880EEB">
        <w:t xml:space="preserve"> incremental costs and benefits</w:t>
      </w:r>
      <w:r w:rsidR="002A01E3">
        <w:t>, relative to what might have occurred in the absence of the program under ‘service as usual’</w:t>
      </w:r>
      <w:r w:rsidR="002A01E3" w:rsidRPr="00880EEB">
        <w:t xml:space="preserve">. </w:t>
      </w:r>
      <w:r w:rsidR="002A01E3">
        <w:t xml:space="preserve">For the purposes of this CBA, benefits were identified with consideration of the findings from the </w:t>
      </w:r>
      <w:r w:rsidR="00501997">
        <w:t>outcomes</w:t>
      </w:r>
      <w:r w:rsidR="002A01E3">
        <w:t xml:space="preserve"> evaluation (i.e. what </w:t>
      </w:r>
      <w:r w:rsidR="007F5CB3">
        <w:t>are</w:t>
      </w:r>
      <w:r w:rsidR="002A01E3">
        <w:t xml:space="preserve"> the economic benefit</w:t>
      </w:r>
      <w:r w:rsidR="00D83845">
        <w:t>s</w:t>
      </w:r>
      <w:r w:rsidR="002A01E3">
        <w:t xml:space="preserve"> associated with program outcomes)</w:t>
      </w:r>
      <w:r w:rsidR="00FA053C">
        <w:t xml:space="preserve"> that</w:t>
      </w:r>
      <w:r w:rsidR="002A01E3">
        <w:t xml:space="preserve"> were agreed in collaboration </w:t>
      </w:r>
      <w:r w:rsidR="00501997">
        <w:t xml:space="preserve">with </w:t>
      </w:r>
      <w:r w:rsidR="002A01E3">
        <w:t xml:space="preserve">the </w:t>
      </w:r>
      <w:r w:rsidR="00612AA2">
        <w:t>Evaluation Working Group</w:t>
      </w:r>
      <w:r w:rsidR="002A01E3">
        <w:t xml:space="preserve"> </w:t>
      </w:r>
      <w:r w:rsidR="00612AA2">
        <w:t>(</w:t>
      </w:r>
      <w:r w:rsidR="002A01E3">
        <w:t>EWG</w:t>
      </w:r>
      <w:r w:rsidR="00612AA2">
        <w:t>)</w:t>
      </w:r>
      <w:r w:rsidR="002A01E3">
        <w:t xml:space="preserve"> and draw heavily from statistical modelling of VSIIDR data. </w:t>
      </w:r>
    </w:p>
    <w:bookmarkEnd w:id="12"/>
    <w:p w14:paraId="02A80296" w14:textId="6FCE5BBE" w:rsidR="002A01E3" w:rsidRDefault="002A01E3" w:rsidP="00632D10">
      <w:pPr>
        <w:pStyle w:val="Bullet1stlevel"/>
        <w:numPr>
          <w:ilvl w:val="0"/>
          <w:numId w:val="0"/>
        </w:numPr>
      </w:pPr>
      <w:r>
        <w:t xml:space="preserve">A conceptual approach to the evaluation is provided in </w:t>
      </w:r>
      <w:r w:rsidR="005264C5">
        <w:fldChar w:fldCharType="begin"/>
      </w:r>
      <w:r w:rsidR="005264C5">
        <w:instrText xml:space="preserve"> REF _Ref150424693 \h </w:instrText>
      </w:r>
      <w:r w:rsidR="005264C5">
        <w:fldChar w:fldCharType="separate"/>
      </w:r>
      <w:r w:rsidR="00ED0DF7" w:rsidRPr="00EE7E76">
        <w:t xml:space="preserve">Figure </w:t>
      </w:r>
      <w:r w:rsidR="00ED0DF7">
        <w:rPr>
          <w:noProof/>
        </w:rPr>
        <w:t>1</w:t>
      </w:r>
      <w:r w:rsidR="005264C5">
        <w:fldChar w:fldCharType="end"/>
      </w:r>
      <w:r>
        <w:fldChar w:fldCharType="begin" w:fldLock="1"/>
      </w:r>
      <w:r>
        <w:instrText>REF _Ref150234346 \h  \* MERGEFORMAT</w:instrText>
      </w:r>
      <w:r w:rsidR="0061017C">
        <w:fldChar w:fldCharType="separate"/>
      </w:r>
      <w:r>
        <w:fldChar w:fldCharType="end"/>
      </w:r>
      <w:r w:rsidRPr="007A3E05">
        <w:t xml:space="preserve"> </w:t>
      </w:r>
      <w:r>
        <w:t>below</w:t>
      </w:r>
      <w:r w:rsidR="008D1F0F">
        <w:t xml:space="preserve">, with evaluation inputs </w:t>
      </w:r>
      <w:r w:rsidR="007F5CB3">
        <w:t>described</w:t>
      </w:r>
      <w:r w:rsidR="008D1F0F">
        <w:t xml:space="preserve"> further below.</w:t>
      </w:r>
    </w:p>
    <w:p w14:paraId="0277DB3C" w14:textId="5FD0E98B" w:rsidR="002A01E3" w:rsidRDefault="002A01E3" w:rsidP="00134FF5">
      <w:pPr>
        <w:pStyle w:val="Caption"/>
        <w:rPr>
          <w:noProof/>
        </w:rPr>
      </w:pPr>
      <w:bookmarkStart w:id="13" w:name="_Ref150424693"/>
      <w:bookmarkStart w:id="14" w:name="_Toc174547286"/>
      <w:r w:rsidRPr="00EE7E76">
        <w:lastRenderedPageBreak/>
        <w:t xml:space="preserve">Figure </w:t>
      </w:r>
      <w:r>
        <w:fldChar w:fldCharType="begin"/>
      </w:r>
      <w:r>
        <w:instrText xml:space="preserve"> SEQ Figure \* ARABIC </w:instrText>
      </w:r>
      <w:r>
        <w:fldChar w:fldCharType="separate"/>
      </w:r>
      <w:r w:rsidR="000A505B">
        <w:rPr>
          <w:noProof/>
        </w:rPr>
        <w:t>1</w:t>
      </w:r>
      <w:r>
        <w:rPr>
          <w:noProof/>
        </w:rPr>
        <w:fldChar w:fldCharType="end"/>
      </w:r>
      <w:bookmarkEnd w:id="13"/>
      <w:r w:rsidRPr="00EE7E76">
        <w:t xml:space="preserve">: Conceptual </w:t>
      </w:r>
      <w:r>
        <w:t>evaluation</w:t>
      </w:r>
      <w:r w:rsidRPr="00EE7E76">
        <w:t xml:space="preserve"> approach</w:t>
      </w:r>
      <w:bookmarkEnd w:id="14"/>
    </w:p>
    <w:p w14:paraId="4B223CC1" w14:textId="29B44FE9" w:rsidR="002A01E3" w:rsidRPr="00D1476E" w:rsidRDefault="005B05CA" w:rsidP="002A01E3">
      <w:r w:rsidRPr="005B05CA">
        <w:rPr>
          <w:noProof/>
        </w:rPr>
        <w:drawing>
          <wp:inline distT="0" distB="0" distL="0" distR="0" wp14:anchorId="0923080C" wp14:editId="6F1FA405">
            <wp:extent cx="6479540" cy="3504565"/>
            <wp:effectExtent l="0" t="0" r="0" b="635"/>
            <wp:docPr id="1" name="Picture 1" descr="The figure depicts the two evaluation components, the outcomes evaluation and the cost benefit analysis, and how these will be informed by evaluation questions, inputs, an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figure depicts the two evaluation components, the outcomes evaluation and the cost benefit analysis, and how these will be informed by evaluation questions, inputs, and analys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9540" cy="3504565"/>
                    </a:xfrm>
                    <a:prstGeom prst="rect">
                      <a:avLst/>
                    </a:prstGeom>
                    <a:noFill/>
                    <a:ln>
                      <a:noFill/>
                    </a:ln>
                  </pic:spPr>
                </pic:pic>
              </a:graphicData>
            </a:graphic>
          </wp:inline>
        </w:drawing>
      </w:r>
    </w:p>
    <w:p w14:paraId="05B6973E" w14:textId="651691A2" w:rsidR="001A0AC4" w:rsidRPr="00A32A21" w:rsidRDefault="00C15277" w:rsidP="00501997">
      <w:pPr>
        <w:pStyle w:val="BodyTextkeepwithnext"/>
      </w:pPr>
      <w:r>
        <w:t>Outcome</w:t>
      </w:r>
      <w:r w:rsidR="008B750D" w:rsidRPr="00A32A21">
        <w:t xml:space="preserve"> evaluation inputs included</w:t>
      </w:r>
      <w:r w:rsidR="001A0AC4" w:rsidRPr="00A32A21">
        <w:t xml:space="preserve">: </w:t>
      </w:r>
    </w:p>
    <w:p w14:paraId="0F447210" w14:textId="5B712CC5" w:rsidR="008D1F0F" w:rsidRPr="008B750D" w:rsidRDefault="008D1F0F" w:rsidP="00632D10">
      <w:pPr>
        <w:pStyle w:val="Bullet1stlevel"/>
      </w:pPr>
      <w:r w:rsidRPr="00A32A21">
        <w:rPr>
          <w:b/>
          <w:bCs/>
        </w:rPr>
        <w:t>Payable outcome</w:t>
      </w:r>
      <w:r w:rsidR="008B750D" w:rsidRPr="00A32A21">
        <w:rPr>
          <w:b/>
          <w:bCs/>
        </w:rPr>
        <w:t xml:space="preserve"> results</w:t>
      </w:r>
      <w:r w:rsidR="00FA053C">
        <w:t xml:space="preserve"> that are</w:t>
      </w:r>
      <w:r w:rsidRPr="008B750D">
        <w:t xml:space="preserve"> the</w:t>
      </w:r>
      <w:r w:rsidR="008B750D">
        <w:t xml:space="preserve"> results from the</w:t>
      </w:r>
      <w:r w:rsidRPr="008B750D">
        <w:t xml:space="preserve"> two outcomes measured as part of the J2SI PAD</w:t>
      </w:r>
      <w:r w:rsidR="00385797">
        <w:t xml:space="preserve">. </w:t>
      </w:r>
      <w:r w:rsidR="00BC19AE">
        <w:t xml:space="preserve">Specifically, </w:t>
      </w:r>
      <w:r w:rsidR="00501997">
        <w:t xml:space="preserve">this included </w:t>
      </w:r>
      <w:r w:rsidR="00385797">
        <w:t xml:space="preserve">the proportion of J2SI PAD clients in </w:t>
      </w:r>
      <w:r w:rsidR="008B750D">
        <w:t>stable housing</w:t>
      </w:r>
      <w:r w:rsidR="00BC19AE">
        <w:t xml:space="preserve"> and the change in </w:t>
      </w:r>
      <w:r w:rsidR="00A32A21">
        <w:t>clients</w:t>
      </w:r>
      <w:r w:rsidR="00501997">
        <w:t>’</w:t>
      </w:r>
      <w:r w:rsidR="00BC19AE">
        <w:t xml:space="preserve"> hospital bed days </w:t>
      </w:r>
      <w:r w:rsidR="00A32A21">
        <w:t xml:space="preserve">at </w:t>
      </w:r>
      <w:r w:rsidR="006E1BC8">
        <w:t>years two, three and four after commencement with the program</w:t>
      </w:r>
      <w:r w:rsidR="00A32A21">
        <w:t>, relative to a control group</w:t>
      </w:r>
      <w:r w:rsidR="00EA0720">
        <w:t>;</w:t>
      </w:r>
      <w:r w:rsidR="008B750D">
        <w:t xml:space="preserve"> </w:t>
      </w:r>
    </w:p>
    <w:p w14:paraId="4076F4C7" w14:textId="1D15C1F0" w:rsidR="008D1F0F" w:rsidRPr="008B750D" w:rsidRDefault="008D1F0F" w:rsidP="00632D10">
      <w:pPr>
        <w:pStyle w:val="Bullet1stlevel"/>
      </w:pPr>
      <w:r w:rsidRPr="00A32A21">
        <w:rPr>
          <w:b/>
          <w:bCs/>
        </w:rPr>
        <w:t>TICSPOT</w:t>
      </w:r>
      <w:r w:rsidR="008B750D" w:rsidRPr="00A32A21">
        <w:rPr>
          <w:b/>
          <w:bCs/>
        </w:rPr>
        <w:t xml:space="preserve"> data</w:t>
      </w:r>
      <w:r w:rsidR="008B750D" w:rsidRPr="008B750D">
        <w:t xml:space="preserve">, </w:t>
      </w:r>
      <w:r w:rsidR="007F5CB3">
        <w:t>containing</w:t>
      </w:r>
      <w:r w:rsidRPr="008B750D">
        <w:t xml:space="preserve"> client and case-worker self-reported outcomes</w:t>
      </w:r>
      <w:r w:rsidR="007F5CB3">
        <w:t xml:space="preserve"> collected at six-monthly intervals (from program commencement through to exit)</w:t>
      </w:r>
      <w:r w:rsidRPr="008B750D">
        <w:t>, relating to</w:t>
      </w:r>
      <w:r w:rsidR="00A32A21">
        <w:t xml:space="preserve"> clients</w:t>
      </w:r>
      <w:r w:rsidR="00501997">
        <w:t>’</w:t>
      </w:r>
      <w:r w:rsidRPr="008B750D">
        <w:t xml:space="preserve"> </w:t>
      </w:r>
      <w:r w:rsidR="0074793F">
        <w:t>stable</w:t>
      </w:r>
      <w:r w:rsidR="0074793F" w:rsidRPr="008B750D">
        <w:t xml:space="preserve"> </w:t>
      </w:r>
      <w:r w:rsidRPr="008B750D">
        <w:t>housing, health and wellbeing, independence, social inclusion and economic participation</w:t>
      </w:r>
      <w:r w:rsidR="00EA0720">
        <w:t>;</w:t>
      </w:r>
    </w:p>
    <w:p w14:paraId="6692189C" w14:textId="2ABC14E7" w:rsidR="00513FBB" w:rsidRPr="008B750D" w:rsidRDefault="00513FBB" w:rsidP="00632D10">
      <w:pPr>
        <w:pStyle w:val="Bullet1stlevel"/>
      </w:pPr>
      <w:r w:rsidRPr="00513FBB">
        <w:rPr>
          <w:b/>
          <w:bCs/>
        </w:rPr>
        <w:t xml:space="preserve">VSIIDR </w:t>
      </w:r>
      <w:r>
        <w:t>data (a primary input into the CBA – see below),</w:t>
      </w:r>
      <w:r w:rsidR="003841DB">
        <w:t xml:space="preserve"> </w:t>
      </w:r>
      <w:r w:rsidR="003841DB" w:rsidRPr="00442FC0">
        <w:t>containing government administrative and service use data</w:t>
      </w:r>
      <w:r w:rsidR="003841DB">
        <w:t>,</w:t>
      </w:r>
      <w:r>
        <w:t xml:space="preserve"> </w:t>
      </w:r>
      <w:r w:rsidR="00FA053C">
        <w:t xml:space="preserve">that </w:t>
      </w:r>
      <w:r>
        <w:t xml:space="preserve">has been referred to in the outcomes evaluation chapter, to provide insight into how J2SI PAD clients’ service use changed over the duration of the service delivery period. The data presented in this section is based on observed outcomes, and differs from the data presented in the CBA which underwent statistical modelling </w:t>
      </w:r>
      <w:r w:rsidRPr="00F62F7E">
        <w:t>to estimate the program effect</w:t>
      </w:r>
      <w:r>
        <w:t>;</w:t>
      </w:r>
    </w:p>
    <w:p w14:paraId="6D142688" w14:textId="19B2D5A8" w:rsidR="00A32A21" w:rsidRDefault="00A32A21" w:rsidP="00632D10">
      <w:pPr>
        <w:pStyle w:val="Bullet1stlevel"/>
      </w:pPr>
      <w:r w:rsidRPr="00A32A21">
        <w:rPr>
          <w:b/>
          <w:bCs/>
        </w:rPr>
        <w:t>Program documentation</w:t>
      </w:r>
      <w:r w:rsidRPr="0034045A">
        <w:t xml:space="preserve"> </w:t>
      </w:r>
      <w:r>
        <w:t>including</w:t>
      </w:r>
      <w:r w:rsidRPr="0034045A">
        <w:t xml:space="preserve"> previous J2SI </w:t>
      </w:r>
      <w:r w:rsidR="007F5CB3">
        <w:t>e</w:t>
      </w:r>
      <w:r w:rsidRPr="0034045A">
        <w:t>valuation reports, meeting minutes from the JWG</w:t>
      </w:r>
      <w:r w:rsidR="00501997">
        <w:t>,</w:t>
      </w:r>
      <w:r w:rsidR="00272B50">
        <w:rPr>
          <w:rFonts w:ascii="ZWAdobeF" w:hAnsi="ZWAdobeF" w:cs="ZWAdobeF"/>
          <w:color w:val="auto"/>
          <w:sz w:val="2"/>
          <w:szCs w:val="2"/>
        </w:rPr>
        <w:t>2F</w:t>
      </w:r>
      <w:r w:rsidRPr="00455692">
        <w:rPr>
          <w:rStyle w:val="FootnoteReference"/>
        </w:rPr>
        <w:footnoteReference w:id="7"/>
      </w:r>
      <w:r w:rsidRPr="0034045A">
        <w:t xml:space="preserve"> and other documentation pertaining to J2SI PAD program costs and the PbR</w:t>
      </w:r>
      <w:r w:rsidR="00501997">
        <w:t>; and</w:t>
      </w:r>
    </w:p>
    <w:p w14:paraId="650DBF19" w14:textId="38C6D323" w:rsidR="008B750D" w:rsidRPr="008B750D" w:rsidRDefault="008B750D" w:rsidP="00632D10">
      <w:pPr>
        <w:pStyle w:val="Bullet1stlevel"/>
      </w:pPr>
      <w:r w:rsidRPr="00A32A21">
        <w:rPr>
          <w:b/>
          <w:bCs/>
        </w:rPr>
        <w:t>Stakeholder interviews</w:t>
      </w:r>
      <w:r w:rsidRPr="008B750D">
        <w:t xml:space="preserve"> </w:t>
      </w:r>
      <w:r w:rsidR="00A32A21">
        <w:t>(</w:t>
      </w:r>
      <w:r w:rsidR="00501997">
        <w:t>nine</w:t>
      </w:r>
      <w:r w:rsidR="00A32A21">
        <w:t xml:space="preserve"> interviews) </w:t>
      </w:r>
      <w:r w:rsidRPr="008B750D">
        <w:t xml:space="preserve">with 23 key stakeholders </w:t>
      </w:r>
      <w:r w:rsidR="00A32A21">
        <w:t>to gain insight into how the SII funding mechanism impacted delivery of the program and its outcomes.</w:t>
      </w:r>
    </w:p>
    <w:p w14:paraId="6B3B04DC" w14:textId="7694B66C" w:rsidR="008B750D" w:rsidRPr="008B750D" w:rsidRDefault="008B750D" w:rsidP="00501997">
      <w:pPr>
        <w:pStyle w:val="BodyTextkeepwithnext"/>
      </w:pPr>
      <w:r>
        <w:t xml:space="preserve">Additional CBA inputs included: </w:t>
      </w:r>
    </w:p>
    <w:p w14:paraId="618413CA" w14:textId="4B68B7BC" w:rsidR="0034045A" w:rsidRDefault="008D1F0F" w:rsidP="00632D10">
      <w:pPr>
        <w:pStyle w:val="Bullet1stlevel"/>
      </w:pPr>
      <w:r w:rsidRPr="008D1F0F">
        <w:rPr>
          <w:b/>
          <w:bCs/>
        </w:rPr>
        <w:t>VSIIDR</w:t>
      </w:r>
      <w:r>
        <w:t xml:space="preserve"> </w:t>
      </w:r>
      <w:r w:rsidR="00442FC0" w:rsidRPr="00442FC0">
        <w:t xml:space="preserve">data </w:t>
      </w:r>
      <w:r w:rsidR="00442FC0">
        <w:t xml:space="preserve">has been </w:t>
      </w:r>
      <w:r w:rsidR="00442FC0" w:rsidRPr="00442FC0">
        <w:t>used to identify J2SI client and comparator cohorts</w:t>
      </w:r>
      <w:r w:rsidR="00442FC0">
        <w:t>, for the purposes of</w:t>
      </w:r>
      <w:r w:rsidR="00442FC0" w:rsidRPr="00442FC0">
        <w:t xml:space="preserve"> </w:t>
      </w:r>
      <w:r w:rsidR="00442FC0">
        <w:t>estimating</w:t>
      </w:r>
      <w:r w:rsidR="00442FC0" w:rsidRPr="00442FC0">
        <w:t xml:space="preserve"> the J2SI PAD program effects on the use of government services, including </w:t>
      </w:r>
      <w:r>
        <w:t>health, mental health and alcohol and other drug (AOD)</w:t>
      </w:r>
      <w:r w:rsidR="00212499">
        <w:t xml:space="preserve"> services</w:t>
      </w:r>
      <w:r>
        <w:t>, housing services, family violence services and corrections</w:t>
      </w:r>
      <w:r w:rsidR="00501997">
        <w:t>;</w:t>
      </w:r>
    </w:p>
    <w:p w14:paraId="72C0CCB2" w14:textId="280CC14B" w:rsidR="0034045A" w:rsidRDefault="00E344EE" w:rsidP="00632D10">
      <w:pPr>
        <w:pStyle w:val="Bullet1stlevel"/>
      </w:pPr>
      <w:r>
        <w:rPr>
          <w:b/>
          <w:bCs/>
        </w:rPr>
        <w:t>Service unit costs</w:t>
      </w:r>
      <w:r>
        <w:t xml:space="preserve"> provided by DTF. These </w:t>
      </w:r>
      <w:r w:rsidR="00FA053C">
        <w:t>costs</w:t>
      </w:r>
      <w:r w:rsidR="00536ACA" w:rsidRPr="00536ACA">
        <w:t xml:space="preserve"> represent the expected cost to the Victorian Government of providing one additional unit of </w:t>
      </w:r>
      <w:r w:rsidR="00536ACA">
        <w:t>service</w:t>
      </w:r>
      <w:r w:rsidR="007829CF">
        <w:t>; and</w:t>
      </w:r>
      <w:r>
        <w:t xml:space="preserve"> </w:t>
      </w:r>
    </w:p>
    <w:p w14:paraId="2314561C" w14:textId="2254BBAE" w:rsidR="00DE02BF" w:rsidRDefault="00DE02BF" w:rsidP="00632D10">
      <w:pPr>
        <w:pStyle w:val="Bullet1stlevel"/>
      </w:pPr>
      <w:r>
        <w:rPr>
          <w:b/>
          <w:bCs/>
        </w:rPr>
        <w:t xml:space="preserve">Literature review </w:t>
      </w:r>
      <w:r w:rsidR="00A2064D" w:rsidRPr="00A2064D">
        <w:t>was undertaken</w:t>
      </w:r>
      <w:r w:rsidR="00A2064D">
        <w:rPr>
          <w:b/>
          <w:bCs/>
        </w:rPr>
        <w:t xml:space="preserve"> </w:t>
      </w:r>
      <w:r>
        <w:t xml:space="preserve">to </w:t>
      </w:r>
      <w:r w:rsidR="00F56FCD">
        <w:t xml:space="preserve">substantiate </w:t>
      </w:r>
      <w:r w:rsidR="00D15C28" w:rsidRPr="00D15C28">
        <w:t xml:space="preserve">identified </w:t>
      </w:r>
      <w:r w:rsidR="00777B94">
        <w:t>benefits</w:t>
      </w:r>
      <w:r w:rsidR="0011529D">
        <w:t xml:space="preserve"> and </w:t>
      </w:r>
      <w:r w:rsidR="00D15C28" w:rsidRPr="00D15C28">
        <w:t>to identify</w:t>
      </w:r>
      <w:r w:rsidR="0011529D">
        <w:t xml:space="preserve"> assumptions </w:t>
      </w:r>
      <w:r w:rsidR="00777B94">
        <w:t>required</w:t>
      </w:r>
      <w:r w:rsidR="00D15C28" w:rsidRPr="00D15C28">
        <w:t xml:space="preserve"> </w:t>
      </w:r>
      <w:r w:rsidR="00D15C28">
        <w:t>for</w:t>
      </w:r>
      <w:r w:rsidR="00D15C28" w:rsidRPr="00D15C28">
        <w:t xml:space="preserve"> the CBA</w:t>
      </w:r>
      <w:r w:rsidR="0011529D">
        <w:t>.</w:t>
      </w:r>
    </w:p>
    <w:p w14:paraId="2607E255" w14:textId="7819749F" w:rsidR="00A32DF3" w:rsidRDefault="007E4A3C" w:rsidP="00941D45">
      <w:pPr>
        <w:pStyle w:val="HeadingLevel2NoNumber"/>
      </w:pPr>
      <w:r>
        <w:lastRenderedPageBreak/>
        <w:t>E</w:t>
      </w:r>
      <w:r w:rsidR="00A32DF3">
        <w:t>valuation findings</w:t>
      </w:r>
      <w:bookmarkEnd w:id="11"/>
      <w:r w:rsidR="00A32DF3">
        <w:t xml:space="preserve"> </w:t>
      </w:r>
    </w:p>
    <w:p w14:paraId="32CB3619" w14:textId="35F1FA93" w:rsidR="00B8384D" w:rsidRPr="00FD67DF" w:rsidRDefault="006F6807" w:rsidP="00C50C59">
      <w:pPr>
        <w:pStyle w:val="BodyTextkeepwithnext"/>
      </w:pPr>
      <w:r w:rsidRPr="00FD67DF">
        <w:t xml:space="preserve">The outcomes evaluation </w:t>
      </w:r>
      <w:r w:rsidR="00B8384D" w:rsidRPr="00FD67DF">
        <w:t xml:space="preserve">found:    </w:t>
      </w:r>
    </w:p>
    <w:p w14:paraId="38E71B20" w14:textId="639FB6B7" w:rsidR="00B8384D" w:rsidRPr="00FD67DF" w:rsidRDefault="00B8384D" w:rsidP="002A7355">
      <w:pPr>
        <w:pStyle w:val="ListParagraph"/>
        <w:numPr>
          <w:ilvl w:val="0"/>
          <w:numId w:val="14"/>
        </w:numPr>
        <w:contextualSpacing w:val="0"/>
        <w:rPr>
          <w:b/>
          <w:iCs/>
        </w:rPr>
      </w:pPr>
      <w:r w:rsidRPr="00FD67DF">
        <w:rPr>
          <w:b/>
          <w:iCs/>
        </w:rPr>
        <w:t>The PAD supported the achievement of J2SI client outcomes</w:t>
      </w:r>
      <w:r w:rsidR="00272B50" w:rsidRPr="00FD67DF">
        <w:rPr>
          <w:rFonts w:ascii="ZWAdobeF" w:hAnsi="ZWAdobeF" w:cs="ZWAdobeF"/>
          <w:iCs/>
          <w:color w:val="auto"/>
          <w:sz w:val="2"/>
          <w:szCs w:val="2"/>
        </w:rPr>
        <w:t>3F</w:t>
      </w:r>
      <w:r w:rsidR="00125CA2" w:rsidRPr="00FD67DF">
        <w:rPr>
          <w:rFonts w:ascii="ZWAdobeF" w:hAnsi="ZWAdobeF" w:cs="ZWAdobeF"/>
          <w:iCs/>
          <w:color w:val="auto"/>
          <w:sz w:val="2"/>
          <w:szCs w:val="2"/>
        </w:rPr>
        <w:t>3F</w:t>
      </w:r>
      <w:r w:rsidR="006F6807" w:rsidRPr="00FD67DF">
        <w:rPr>
          <w:rStyle w:val="FootnoteReference"/>
          <w:b/>
          <w:iCs/>
        </w:rPr>
        <w:footnoteReference w:id="8"/>
      </w:r>
    </w:p>
    <w:p w14:paraId="15085D64" w14:textId="20D35245" w:rsidR="00B8384D" w:rsidRPr="00FD67DF" w:rsidRDefault="00B8384D" w:rsidP="002A7355">
      <w:pPr>
        <w:pStyle w:val="ListParagraph"/>
        <w:numPr>
          <w:ilvl w:val="0"/>
          <w:numId w:val="14"/>
        </w:numPr>
        <w:contextualSpacing w:val="0"/>
        <w:rPr>
          <w:b/>
          <w:iCs/>
        </w:rPr>
      </w:pPr>
      <w:r w:rsidRPr="00FD67DF">
        <w:rPr>
          <w:b/>
          <w:iCs/>
        </w:rPr>
        <w:t xml:space="preserve">The PAD supported </w:t>
      </w:r>
      <w:r w:rsidR="00501997" w:rsidRPr="00FD67DF">
        <w:rPr>
          <w:b/>
          <w:iCs/>
        </w:rPr>
        <w:t>government</w:t>
      </w:r>
      <w:r w:rsidRPr="00FD67DF">
        <w:rPr>
          <w:b/>
          <w:iCs/>
        </w:rPr>
        <w:t xml:space="preserve"> outcomes, informing subsequent programs and policy</w:t>
      </w:r>
    </w:p>
    <w:p w14:paraId="7CF372BB" w14:textId="77777777" w:rsidR="00B8384D" w:rsidRPr="00FD67DF" w:rsidRDefault="00B8384D" w:rsidP="002A7355">
      <w:pPr>
        <w:pStyle w:val="ListParagraph"/>
        <w:numPr>
          <w:ilvl w:val="0"/>
          <w:numId w:val="14"/>
        </w:numPr>
        <w:contextualSpacing w:val="0"/>
        <w:rPr>
          <w:b/>
          <w:iCs/>
        </w:rPr>
      </w:pPr>
      <w:r w:rsidRPr="00FD67DF">
        <w:rPr>
          <w:b/>
          <w:iCs/>
        </w:rPr>
        <w:t>The PAD drove greater J2SI program accountability and rigour</w:t>
      </w:r>
    </w:p>
    <w:p w14:paraId="228572FC" w14:textId="42C61399" w:rsidR="00B8384D" w:rsidRPr="00FD67DF" w:rsidRDefault="00B8384D" w:rsidP="002A7355">
      <w:pPr>
        <w:pStyle w:val="ListParagraph"/>
        <w:numPr>
          <w:ilvl w:val="0"/>
          <w:numId w:val="14"/>
        </w:numPr>
        <w:contextualSpacing w:val="0"/>
        <w:rPr>
          <w:b/>
          <w:iCs/>
        </w:rPr>
      </w:pPr>
      <w:r w:rsidRPr="00FD67DF">
        <w:rPr>
          <w:b/>
          <w:iCs/>
        </w:rPr>
        <w:t>The PAD resulted in new ways of working and capability uplift for SHM and government stakeholders</w:t>
      </w:r>
      <w:r w:rsidR="00501997" w:rsidRPr="00FD67DF">
        <w:rPr>
          <w:b/>
          <w:iCs/>
        </w:rPr>
        <w:t>.</w:t>
      </w:r>
      <w:r w:rsidRPr="00FD67DF">
        <w:rPr>
          <w:b/>
          <w:iCs/>
        </w:rPr>
        <w:t xml:space="preserve"> </w:t>
      </w:r>
    </w:p>
    <w:p w14:paraId="7498FB8B" w14:textId="5DC7F482" w:rsidR="00B8384D" w:rsidRPr="00B43CFE" w:rsidRDefault="00B8384D" w:rsidP="00B8384D">
      <w:pPr>
        <w:pStyle w:val="BodyText"/>
      </w:pPr>
      <w:r>
        <w:t xml:space="preserve">In many cases, these outcomes were not seen, to the same extent, in the iterations of the J2SI program that preceded the PAD (Pilot or </w:t>
      </w:r>
      <w:r w:rsidR="009C7EFD">
        <w:t xml:space="preserve">Phase 2 </w:t>
      </w:r>
      <w:r>
        <w:t>RCT)</w:t>
      </w:r>
      <w:r w:rsidR="00501997">
        <w:t>;</w:t>
      </w:r>
      <w:r>
        <w:t xml:space="preserve"> however they are visible in the most recent iteration of the program, the </w:t>
      </w:r>
      <w:r w:rsidR="00282C65">
        <w:t>PbR</w:t>
      </w:r>
      <w:r>
        <w:t xml:space="preserve">, as the </w:t>
      </w:r>
      <w:r w:rsidR="00282C65">
        <w:t>PbR</w:t>
      </w:r>
      <w:r>
        <w:t xml:space="preserve"> has been able to build on the learnings of the J2SI PAD and retain</w:t>
      </w:r>
      <w:r w:rsidR="00FA053C">
        <w:t>s</w:t>
      </w:r>
      <w:r>
        <w:t xml:space="preserve"> many of the value adding elements. </w:t>
      </w:r>
    </w:p>
    <w:p w14:paraId="2BF70712" w14:textId="1CC8C019" w:rsidR="00B8384D" w:rsidRDefault="00715AB2" w:rsidP="00B8384D">
      <w:pPr>
        <w:pStyle w:val="BodyText"/>
      </w:pPr>
      <w:r>
        <w:fldChar w:fldCharType="begin" w:fldLock="1"/>
      </w:r>
      <w:r>
        <w:instrText xml:space="preserve"> REF _Ref150451784 \h </w:instrText>
      </w:r>
      <w:r>
        <w:fldChar w:fldCharType="separate"/>
      </w:r>
      <w:r w:rsidRPr="00BE69A3">
        <w:t xml:space="preserve">Table </w:t>
      </w:r>
      <w:r>
        <w:rPr>
          <w:noProof/>
        </w:rPr>
        <w:t>3</w:t>
      </w:r>
      <w:r>
        <w:fldChar w:fldCharType="end"/>
      </w:r>
      <w:r w:rsidR="00B8384D" w:rsidRPr="00B43CFE">
        <w:t xml:space="preserve"> provides a summary of </w:t>
      </w:r>
      <w:r w:rsidR="00B8384D">
        <w:t>the</w:t>
      </w:r>
      <w:r w:rsidR="00B8384D" w:rsidRPr="00B43CFE">
        <w:t xml:space="preserve"> overarching outcomes, indicating </w:t>
      </w:r>
      <w:r w:rsidR="00FA053C">
        <w:t>whether</w:t>
      </w:r>
      <w:r w:rsidR="00B8384D" w:rsidRPr="00B43CFE">
        <w:t xml:space="preserve"> the outcome was/is the same as when the program has been</w:t>
      </w:r>
      <w:r w:rsidR="00B8384D">
        <w:t xml:space="preserve"> implemented differently (Pilot, </w:t>
      </w:r>
      <w:r w:rsidR="009C7EFD">
        <w:t xml:space="preserve">Phase 2 </w:t>
      </w:r>
      <w:r w:rsidR="00B8384D">
        <w:t xml:space="preserve">RCT and/or </w:t>
      </w:r>
      <w:r w:rsidR="00282C65">
        <w:t>PbR</w:t>
      </w:r>
      <w:r w:rsidR="00B8384D">
        <w:t xml:space="preserve">), in addition to indicating </w:t>
      </w:r>
      <w:r w:rsidR="00501997">
        <w:t xml:space="preserve">whether </w:t>
      </w:r>
      <w:r w:rsidR="00B8384D">
        <w:t>the outcome can be attributed to the program as a PAD.</w:t>
      </w:r>
    </w:p>
    <w:p w14:paraId="26E221D9" w14:textId="34A7902D" w:rsidR="007A62DD" w:rsidRDefault="007A62DD" w:rsidP="00632D10">
      <w:pPr>
        <w:pStyle w:val="Bullet1stlevel"/>
        <w:numPr>
          <w:ilvl w:val="0"/>
          <w:numId w:val="0"/>
        </w:numPr>
        <w:ind w:left="284"/>
        <w:sectPr w:rsidR="007A62DD" w:rsidSect="005B0986">
          <w:headerReference w:type="even" r:id="rId21"/>
          <w:headerReference w:type="default" r:id="rId22"/>
          <w:footerReference w:type="even" r:id="rId23"/>
          <w:footerReference w:type="default" r:id="rId24"/>
          <w:headerReference w:type="first" r:id="rId25"/>
          <w:footerReference w:type="first" r:id="rId26"/>
          <w:pgSz w:w="11906" w:h="16838"/>
          <w:pgMar w:top="851" w:right="851" w:bottom="851" w:left="851" w:header="567" w:footer="283" w:gutter="0"/>
          <w:pgNumType w:fmt="lowerRoman" w:start="1"/>
          <w:cols w:space="708"/>
          <w:docGrid w:linePitch="360"/>
        </w:sectPr>
      </w:pPr>
    </w:p>
    <w:p w14:paraId="2A3FC273" w14:textId="76686AF6" w:rsidR="007E4A3C" w:rsidRPr="00BE69A3" w:rsidRDefault="007E4A3C" w:rsidP="00134FF5">
      <w:pPr>
        <w:pStyle w:val="Caption"/>
      </w:pPr>
      <w:bookmarkStart w:id="15" w:name="_Ref150451784"/>
      <w:bookmarkStart w:id="16" w:name="_Toc174547304"/>
      <w:r w:rsidRPr="00BE69A3">
        <w:lastRenderedPageBreak/>
        <w:t xml:space="preserve">Table </w:t>
      </w:r>
      <w:r>
        <w:fldChar w:fldCharType="begin"/>
      </w:r>
      <w:r>
        <w:instrText xml:space="preserve"> SEQ Table \* ARABIC </w:instrText>
      </w:r>
      <w:r>
        <w:fldChar w:fldCharType="separate"/>
      </w:r>
      <w:r w:rsidR="005B05CA">
        <w:rPr>
          <w:noProof/>
        </w:rPr>
        <w:t>3</w:t>
      </w:r>
      <w:r>
        <w:rPr>
          <w:noProof/>
        </w:rPr>
        <w:fldChar w:fldCharType="end"/>
      </w:r>
      <w:bookmarkEnd w:id="15"/>
      <w:r w:rsidRPr="00BE69A3">
        <w:t>: Summary of J2SI PAD outcomes</w:t>
      </w:r>
      <w:r w:rsidR="008466DB">
        <w:t xml:space="preserve"> in light of its structure as an SII</w:t>
      </w:r>
      <w:bookmarkEnd w:id="16"/>
    </w:p>
    <w:tbl>
      <w:tblPr>
        <w:tblStyle w:val="KPMGTable"/>
        <w:tblW w:w="0" w:type="auto"/>
        <w:tblLook w:val="04A0" w:firstRow="1" w:lastRow="0" w:firstColumn="1" w:lastColumn="0" w:noHBand="0" w:noVBand="1"/>
      </w:tblPr>
      <w:tblGrid>
        <w:gridCol w:w="4111"/>
        <w:gridCol w:w="5670"/>
        <w:gridCol w:w="5103"/>
      </w:tblGrid>
      <w:tr w:rsidR="007E4A3C" w:rsidRPr="00E02936" w14:paraId="0C3C7AC2" w14:textId="77777777" w:rsidTr="00B036F2">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vAlign w:val="center"/>
          </w:tcPr>
          <w:p w14:paraId="6B138A25" w14:textId="0AEFD88B" w:rsidR="007E4A3C" w:rsidRPr="00501997" w:rsidRDefault="007E4A3C" w:rsidP="00501997">
            <w:pPr>
              <w:pStyle w:val="Tableheading0"/>
            </w:pPr>
            <w:r w:rsidRPr="00501997">
              <w:t xml:space="preserve">What were the outcomes of </w:t>
            </w:r>
            <w:r w:rsidR="00FA053C">
              <w:t xml:space="preserve">the </w:t>
            </w:r>
            <w:r w:rsidRPr="00501997">
              <w:t>J2SI PAD in light of its structure as an SII funding mechanism?</w:t>
            </w:r>
          </w:p>
        </w:tc>
        <w:tc>
          <w:tcPr>
            <w:tcW w:w="5670" w:type="dxa"/>
            <w:vAlign w:val="center"/>
          </w:tcPr>
          <w:p w14:paraId="67A79B82" w14:textId="77777777" w:rsidR="007E4A3C" w:rsidRPr="00501997" w:rsidRDefault="007E4A3C" w:rsidP="00501997">
            <w:pPr>
              <w:pStyle w:val="Tableheading0"/>
              <w:cnfStyle w:val="100000000000" w:firstRow="1" w:lastRow="0" w:firstColumn="0" w:lastColumn="0" w:oddVBand="0" w:evenVBand="0" w:oddHBand="0" w:evenHBand="0" w:firstRowFirstColumn="0" w:firstRowLastColumn="0" w:lastRowFirstColumn="0" w:lastRowLastColumn="0"/>
            </w:pPr>
            <w:r w:rsidRPr="00501997">
              <w:t>Were the outcomes the same as when the program was implemented differently?</w:t>
            </w:r>
          </w:p>
        </w:tc>
        <w:tc>
          <w:tcPr>
            <w:tcW w:w="5103" w:type="dxa"/>
            <w:vAlign w:val="center"/>
          </w:tcPr>
          <w:p w14:paraId="2405C3FD" w14:textId="77777777" w:rsidR="007E4A3C" w:rsidRPr="00501997" w:rsidRDefault="007E4A3C" w:rsidP="00501997">
            <w:pPr>
              <w:pStyle w:val="Tableheading0"/>
              <w:cnfStyle w:val="100000000000" w:firstRow="1" w:lastRow="0" w:firstColumn="0" w:lastColumn="0" w:oddVBand="0" w:evenVBand="0" w:oddHBand="0" w:evenHBand="0" w:firstRowFirstColumn="0" w:firstRowLastColumn="0" w:lastRowFirstColumn="0" w:lastRowLastColumn="0"/>
            </w:pPr>
            <w:r w:rsidRPr="00501997">
              <w:t>Can the outcomes be attributed to the program as a PAD?</w:t>
            </w:r>
          </w:p>
        </w:tc>
      </w:tr>
      <w:tr w:rsidR="007E4A3C" w:rsidRPr="00E02936" w14:paraId="3673F313" w14:textId="77777777" w:rsidTr="00B036F2">
        <w:trPr>
          <w:trHeight w:val="1719"/>
        </w:trPr>
        <w:tc>
          <w:tcPr>
            <w:cnfStyle w:val="001000000000" w:firstRow="0" w:lastRow="0" w:firstColumn="1" w:lastColumn="0" w:oddVBand="0" w:evenVBand="0" w:oddHBand="0" w:evenHBand="0" w:firstRowFirstColumn="0" w:firstRowLastColumn="0" w:lastRowFirstColumn="0" w:lastRowLastColumn="0"/>
            <w:tcW w:w="4111" w:type="dxa"/>
            <w:vAlign w:val="center"/>
          </w:tcPr>
          <w:p w14:paraId="073E20A6" w14:textId="77777777" w:rsidR="007E4A3C" w:rsidRPr="00B8524C" w:rsidRDefault="007E4A3C" w:rsidP="000D263D">
            <w:pPr>
              <w:pStyle w:val="TableTextBLUE"/>
            </w:pPr>
            <w:r w:rsidRPr="00F87E2E">
              <w:t>The PAD supported the achievement of J2SI client outcomes</w:t>
            </w:r>
            <w:r w:rsidRPr="00B8524C">
              <w:t>, through:</w:t>
            </w:r>
          </w:p>
          <w:p w14:paraId="75772E4F" w14:textId="77777777" w:rsidR="007E4A3C" w:rsidRPr="00B8524C" w:rsidRDefault="007E4A3C" w:rsidP="00632D10">
            <w:pPr>
              <w:pStyle w:val="Bullet1stlevel"/>
            </w:pPr>
            <w:r w:rsidRPr="00B8524C">
              <w:t>Head leasing</w:t>
            </w:r>
          </w:p>
          <w:p w14:paraId="78387AC4" w14:textId="77777777" w:rsidR="007E4A3C" w:rsidRPr="00B8524C" w:rsidRDefault="007E4A3C" w:rsidP="00632D10">
            <w:pPr>
              <w:pStyle w:val="Bullet1stlevel"/>
            </w:pPr>
            <w:r w:rsidRPr="00B8524C">
              <w:t>Financial penalties and priority access</w:t>
            </w:r>
          </w:p>
          <w:p w14:paraId="29CAAAF7" w14:textId="77777777" w:rsidR="007E4A3C" w:rsidRPr="00B8524C" w:rsidRDefault="007E4A3C" w:rsidP="00632D10">
            <w:pPr>
              <w:pStyle w:val="Bullet1stlevel"/>
            </w:pPr>
            <w:r w:rsidRPr="00B8524C">
              <w:t>Cross-agency collaboration</w:t>
            </w:r>
          </w:p>
          <w:p w14:paraId="5F0D7FA6" w14:textId="56FDDE12" w:rsidR="007E4A3C" w:rsidRPr="00B8524C" w:rsidRDefault="007E4A3C" w:rsidP="00632D10">
            <w:pPr>
              <w:pStyle w:val="Bullet1stlevel"/>
            </w:pPr>
            <w:r w:rsidRPr="00B8524C">
              <w:t>Payable outcomes</w:t>
            </w:r>
            <w:r w:rsidR="00501997">
              <w:t>.</w:t>
            </w:r>
          </w:p>
        </w:tc>
        <w:tc>
          <w:tcPr>
            <w:tcW w:w="5670" w:type="dxa"/>
            <w:vAlign w:val="center"/>
          </w:tcPr>
          <w:p w14:paraId="23E6ECCE" w14:textId="7088E811"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t>The J2SI PAD</w:t>
            </w:r>
            <w:r w:rsidR="00FA053C">
              <w:t>,</w:t>
            </w:r>
            <w:r>
              <w:t xml:space="preserve"> overall</w:t>
            </w:r>
            <w:r w:rsidR="00FA053C">
              <w:t>,</w:t>
            </w:r>
            <w:r>
              <w:t xml:space="preserve"> improved client outcomes to a greater extent than the Pilot and </w:t>
            </w:r>
            <w:r w:rsidR="009C7EFD">
              <w:t xml:space="preserve">Phase 2 </w:t>
            </w:r>
            <w:r>
              <w:t xml:space="preserve">RCT iterations. </w:t>
            </w:r>
            <w:r w:rsidR="00282C65">
              <w:t>PbR</w:t>
            </w:r>
            <w:r>
              <w:t xml:space="preserve"> c</w:t>
            </w:r>
            <w:r w:rsidRPr="00B633D7">
              <w:t xml:space="preserve">lient outcomes have not yet been reported. The features of the J2SI PAD considered to </w:t>
            </w:r>
            <w:r>
              <w:t xml:space="preserve">have </w:t>
            </w:r>
            <w:r w:rsidRPr="00B633D7">
              <w:t>support</w:t>
            </w:r>
            <w:r>
              <w:t>ed</w:t>
            </w:r>
            <w:r w:rsidRPr="00B633D7">
              <w:t xml:space="preserve"> the outcomes (head leasing, financial penalties, cross-agency collaboration and payable outcomes) were </w:t>
            </w:r>
            <w:r>
              <w:t>introduced</w:t>
            </w:r>
            <w:r w:rsidRPr="00B633D7">
              <w:t xml:space="preserve"> by the PAD</w:t>
            </w:r>
            <w:r>
              <w:t>,</w:t>
            </w:r>
            <w:r w:rsidRPr="00B633D7">
              <w:t xml:space="preserve"> and have </w:t>
            </w:r>
            <w:r w:rsidR="00B44B09">
              <w:t>subsequently been</w:t>
            </w:r>
            <w:r>
              <w:t xml:space="preserve"> included in the </w:t>
            </w:r>
            <w:r w:rsidR="00282C65">
              <w:t>PbR</w:t>
            </w:r>
            <w:r w:rsidR="00FB51C9">
              <w:t xml:space="preserve"> with some </w:t>
            </w:r>
            <w:r w:rsidR="002A2F9C">
              <w:t xml:space="preserve">refinements, as described on </w:t>
            </w:r>
            <w:r w:rsidR="00FA053C">
              <w:t>p</w:t>
            </w:r>
            <w:r w:rsidR="002A2F9C">
              <w:t xml:space="preserve">age </w:t>
            </w:r>
            <w:r w:rsidR="00B12C53">
              <w:fldChar w:fldCharType="begin"/>
            </w:r>
            <w:r w:rsidR="00B12C53">
              <w:instrText xml:space="preserve"> PAGEREF _Ref149901602 \h </w:instrText>
            </w:r>
            <w:r w:rsidR="00B12C53">
              <w:fldChar w:fldCharType="separate"/>
            </w:r>
            <w:r w:rsidR="00FA053C">
              <w:rPr>
                <w:noProof/>
              </w:rPr>
              <w:t>22</w:t>
            </w:r>
            <w:r w:rsidR="00B12C53">
              <w:fldChar w:fldCharType="end"/>
            </w:r>
            <w:r w:rsidR="002A2F9C">
              <w:t xml:space="preserve">. </w:t>
            </w:r>
          </w:p>
        </w:tc>
        <w:tc>
          <w:tcPr>
            <w:tcW w:w="5103" w:type="dxa"/>
            <w:vAlign w:val="center"/>
          </w:tcPr>
          <w:p w14:paraId="6D176B15" w14:textId="11DF91F2"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rsidRPr="00B633D7">
              <w:t xml:space="preserve">Improved client outcomes </w:t>
            </w:r>
            <w:r>
              <w:t>cannot</w:t>
            </w:r>
            <w:r w:rsidRPr="00B633D7">
              <w:t xml:space="preserve"> solely be attributed to the </w:t>
            </w:r>
            <w:r>
              <w:t>PAD</w:t>
            </w:r>
            <w:r w:rsidRPr="00B633D7">
              <w:t xml:space="preserve">, and are largely considered to flow from the program itself. </w:t>
            </w:r>
            <w:r>
              <w:t>However, t</w:t>
            </w:r>
            <w:r w:rsidRPr="00B633D7">
              <w:t xml:space="preserve">he features of the PAD </w:t>
            </w:r>
            <w:r>
              <w:t xml:space="preserve">that were </w:t>
            </w:r>
            <w:r w:rsidRPr="00B633D7">
              <w:t>considered to</w:t>
            </w:r>
            <w:r>
              <w:t xml:space="preserve"> have</w:t>
            </w:r>
            <w:r w:rsidRPr="00B633D7">
              <w:t xml:space="preserve"> </w:t>
            </w:r>
            <w:r w:rsidRPr="00E81A7B">
              <w:rPr>
                <w:i/>
              </w:rPr>
              <w:t>support</w:t>
            </w:r>
            <w:r>
              <w:rPr>
                <w:i/>
              </w:rPr>
              <w:t>ed</w:t>
            </w:r>
            <w:r w:rsidRPr="00E81A7B">
              <w:rPr>
                <w:i/>
              </w:rPr>
              <w:t xml:space="preserve"> the outcomes</w:t>
            </w:r>
            <w:r>
              <w:rPr>
                <w:i/>
              </w:rPr>
              <w:t xml:space="preserve"> </w:t>
            </w:r>
            <w:r w:rsidRPr="00B633D7">
              <w:t xml:space="preserve">(head leasing, financial penalties, cross-agency collaboration and payable outcomes) </w:t>
            </w:r>
            <w:r>
              <w:t xml:space="preserve">can be attributed and have been included </w:t>
            </w:r>
            <w:r w:rsidRPr="00B633D7">
              <w:t xml:space="preserve">in the </w:t>
            </w:r>
            <w:r w:rsidR="00282C65">
              <w:t>PbR</w:t>
            </w:r>
            <w:r w:rsidRPr="00B633D7">
              <w:t>.</w:t>
            </w:r>
          </w:p>
        </w:tc>
      </w:tr>
      <w:tr w:rsidR="007E4A3C" w:rsidRPr="00E02936" w14:paraId="2265079E" w14:textId="77777777" w:rsidTr="00B036F2">
        <w:tc>
          <w:tcPr>
            <w:cnfStyle w:val="001000000000" w:firstRow="0" w:lastRow="0" w:firstColumn="1" w:lastColumn="0" w:oddVBand="0" w:evenVBand="0" w:oddHBand="0" w:evenHBand="0" w:firstRowFirstColumn="0" w:firstRowLastColumn="0" w:lastRowFirstColumn="0" w:lastRowLastColumn="0"/>
            <w:tcW w:w="4111" w:type="dxa"/>
            <w:vAlign w:val="center"/>
          </w:tcPr>
          <w:p w14:paraId="1940EFDB" w14:textId="64B66EB4" w:rsidR="007E4A3C" w:rsidRPr="00B8524C" w:rsidRDefault="007E4A3C" w:rsidP="000D263D">
            <w:pPr>
              <w:pStyle w:val="TableTextBLUE"/>
            </w:pPr>
            <w:r w:rsidRPr="00F87E2E">
              <w:t xml:space="preserve">The PAD supported </w:t>
            </w:r>
            <w:r w:rsidR="00AA3312">
              <w:t>g</w:t>
            </w:r>
            <w:r w:rsidRPr="00F87E2E">
              <w:t>overnment outcomes, informing subsequent programs and policy</w:t>
            </w:r>
            <w:r w:rsidRPr="00B8524C">
              <w:t>, including:</w:t>
            </w:r>
          </w:p>
          <w:p w14:paraId="6B3E50C4" w14:textId="15386672" w:rsidR="007E4A3C" w:rsidRDefault="007E4A3C" w:rsidP="00632D10">
            <w:pPr>
              <w:pStyle w:val="Bullet1stlevel"/>
            </w:pPr>
            <w:r w:rsidRPr="00B8524C">
              <w:t xml:space="preserve">The PADs </w:t>
            </w:r>
            <w:r>
              <w:t>initiative</w:t>
            </w:r>
          </w:p>
          <w:p w14:paraId="192EC4B9" w14:textId="77777777" w:rsidR="00006B09" w:rsidRDefault="00006B09" w:rsidP="00632D10">
            <w:pPr>
              <w:pStyle w:val="Bullet1stlevel"/>
            </w:pPr>
            <w:r>
              <w:t>The EIIF</w:t>
            </w:r>
          </w:p>
          <w:p w14:paraId="50AD4F7C" w14:textId="780D3D2A" w:rsidR="007E4A3C" w:rsidRPr="000753FF" w:rsidRDefault="00006B09" w:rsidP="00632D10">
            <w:pPr>
              <w:pStyle w:val="Bullet1stlevel"/>
            </w:pPr>
            <w:r>
              <w:t>The J2SI PbR</w:t>
            </w:r>
          </w:p>
          <w:p w14:paraId="23CF319F" w14:textId="39BD6C52" w:rsidR="007E4A3C" w:rsidRPr="000753FF" w:rsidRDefault="007E4A3C" w:rsidP="00632D10">
            <w:pPr>
              <w:pStyle w:val="Bullet1stlevel"/>
            </w:pPr>
            <w:r w:rsidRPr="00B8524C">
              <w:t>Other housing first programs (</w:t>
            </w:r>
            <w:r w:rsidR="00501997" w:rsidRPr="00501997">
              <w:t xml:space="preserve">Homelessness to a Home </w:t>
            </w:r>
            <w:r w:rsidR="00501997">
              <w:t>(</w:t>
            </w:r>
            <w:r w:rsidRPr="00B8524C">
              <w:t>H2H</w:t>
            </w:r>
            <w:r w:rsidR="00501997">
              <w:t>)</w:t>
            </w:r>
            <w:r w:rsidRPr="00B8524C">
              <w:t>)</w:t>
            </w:r>
            <w:r w:rsidR="00501997">
              <w:t>.</w:t>
            </w:r>
          </w:p>
        </w:tc>
        <w:tc>
          <w:tcPr>
            <w:tcW w:w="5670" w:type="dxa"/>
            <w:vAlign w:val="center"/>
          </w:tcPr>
          <w:p w14:paraId="5EAF77FA" w14:textId="30B4618C"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rsidRPr="00B633D7">
              <w:t xml:space="preserve">The J2SI PAD has had a greater impact on broader </w:t>
            </w:r>
            <w:r>
              <w:t xml:space="preserve">government </w:t>
            </w:r>
            <w:r w:rsidRPr="00B633D7">
              <w:t xml:space="preserve">programs and policy, relative to the Pilot </w:t>
            </w:r>
            <w:r>
              <w:t>and</w:t>
            </w:r>
            <w:r w:rsidRPr="00B633D7">
              <w:t xml:space="preserve"> </w:t>
            </w:r>
            <w:r w:rsidR="009C7EFD">
              <w:t xml:space="preserve">Phase 2 </w:t>
            </w:r>
            <w:r w:rsidRPr="00B633D7">
              <w:t xml:space="preserve">RCT, with the </w:t>
            </w:r>
            <w:r>
              <w:t xml:space="preserve">J2SI PAD </w:t>
            </w:r>
            <w:r w:rsidRPr="00B633D7">
              <w:t xml:space="preserve">considered to have paved the way for </w:t>
            </w:r>
            <w:r>
              <w:t xml:space="preserve">the </w:t>
            </w:r>
            <w:r w:rsidRPr="00B633D7">
              <w:t xml:space="preserve">development of </w:t>
            </w:r>
            <w:r>
              <w:t>subsequent</w:t>
            </w:r>
            <w:r w:rsidRPr="00B633D7">
              <w:t xml:space="preserve"> PADs</w:t>
            </w:r>
            <w:r>
              <w:t xml:space="preserve">, </w:t>
            </w:r>
            <w:r w:rsidR="00A84077">
              <w:t xml:space="preserve">the </w:t>
            </w:r>
            <w:r>
              <w:t xml:space="preserve">J2SI </w:t>
            </w:r>
            <w:r w:rsidR="00282C65">
              <w:t>PbR</w:t>
            </w:r>
            <w:r w:rsidR="00A84077">
              <w:t xml:space="preserve">, </w:t>
            </w:r>
            <w:r>
              <w:t xml:space="preserve">the EIIF, and </w:t>
            </w:r>
            <w:r w:rsidRPr="00B633D7">
              <w:t xml:space="preserve">H2H. </w:t>
            </w:r>
            <w:r w:rsidR="001E4592">
              <w:t xml:space="preserve">The greater </w:t>
            </w:r>
            <w:r w:rsidR="0073737A">
              <w:t xml:space="preserve">impact of the PAD on programs and policy may, in part, be </w:t>
            </w:r>
            <w:r w:rsidR="005417B0">
              <w:t xml:space="preserve">due </w:t>
            </w:r>
            <w:r w:rsidR="00A84077">
              <w:t xml:space="preserve">to this </w:t>
            </w:r>
            <w:r w:rsidR="006E656F">
              <w:t>iteration</w:t>
            </w:r>
            <w:r w:rsidR="005417B0">
              <w:t xml:space="preserve"> </w:t>
            </w:r>
            <w:r w:rsidR="00F66E90">
              <w:t xml:space="preserve">of the program </w:t>
            </w:r>
            <w:r w:rsidR="006E656F">
              <w:t>being the first to receive</w:t>
            </w:r>
            <w:r w:rsidR="00581D23">
              <w:t xml:space="preserve"> substantive</w:t>
            </w:r>
            <w:r w:rsidR="006E656F">
              <w:t xml:space="preserve"> </w:t>
            </w:r>
            <w:r w:rsidR="005417B0">
              <w:t>government</w:t>
            </w:r>
            <w:r w:rsidR="006E656F">
              <w:t xml:space="preserve"> funding</w:t>
            </w:r>
            <w:r w:rsidR="005417B0">
              <w:t xml:space="preserve">, with the </w:t>
            </w:r>
            <w:r w:rsidR="00F66E90">
              <w:t xml:space="preserve">Pilot receiving no government funding and the Phase 2 RCT receiving a small </w:t>
            </w:r>
            <w:r w:rsidR="00B036F2">
              <w:t>Department of Health and Human Services</w:t>
            </w:r>
            <w:r w:rsidR="00F66E90">
              <w:t xml:space="preserve"> </w:t>
            </w:r>
            <w:r w:rsidR="00B036F2">
              <w:t>(</w:t>
            </w:r>
            <w:r w:rsidR="00F66E90">
              <w:t>DHHS</w:t>
            </w:r>
            <w:r w:rsidR="00B036F2">
              <w:t>)</w:t>
            </w:r>
            <w:r w:rsidR="00F66E90">
              <w:t xml:space="preserve"> grant</w:t>
            </w:r>
            <w:r w:rsidR="00581D23">
              <w:t>.</w:t>
            </w:r>
            <w:r w:rsidR="00A84077">
              <w:t xml:space="preserve"> </w:t>
            </w:r>
            <w:r>
              <w:t xml:space="preserve">Policy impacts of J2SI </w:t>
            </w:r>
            <w:r w:rsidR="00282C65">
              <w:t>PbR</w:t>
            </w:r>
            <w:r>
              <w:t xml:space="preserve"> </w:t>
            </w:r>
            <w:r w:rsidRPr="00B633D7">
              <w:t>are yet to be seen</w:t>
            </w:r>
            <w:r>
              <w:t>, given the early stage of the program</w:t>
            </w:r>
            <w:r w:rsidRPr="00B633D7">
              <w:t>.</w:t>
            </w:r>
          </w:p>
        </w:tc>
        <w:tc>
          <w:tcPr>
            <w:tcW w:w="5103" w:type="dxa"/>
            <w:vAlign w:val="center"/>
          </w:tcPr>
          <w:p w14:paraId="0C9A9C26" w14:textId="2F768010"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t>S</w:t>
            </w:r>
            <w:r w:rsidRPr="00B633D7">
              <w:t xml:space="preserve">takeholders reported that the J2SI </w:t>
            </w:r>
            <w:r w:rsidR="00282C65">
              <w:t>PbR</w:t>
            </w:r>
            <w:r w:rsidRPr="00B633D7">
              <w:t xml:space="preserve"> would not have been pursued without the J2SI PAD</w:t>
            </w:r>
            <w:r>
              <w:t xml:space="preserve"> and its learnings</w:t>
            </w:r>
            <w:r w:rsidRPr="00B633D7">
              <w:t xml:space="preserve">. Other PADs, </w:t>
            </w:r>
            <w:r>
              <w:t xml:space="preserve">the EIIF and </w:t>
            </w:r>
            <w:r w:rsidRPr="00B633D7">
              <w:t xml:space="preserve">H2H </w:t>
            </w:r>
            <w:r>
              <w:t xml:space="preserve">have all drawn from the learnings of the J2SI PAD, </w:t>
            </w:r>
            <w:r w:rsidRPr="00B633D7">
              <w:t>although these programs/</w:t>
            </w:r>
            <w:r>
              <w:t>policy</w:t>
            </w:r>
            <w:r w:rsidRPr="00B633D7">
              <w:t xml:space="preserve"> have also been </w:t>
            </w:r>
            <w:r>
              <w:t>built on other factors, such as an increasing government appetite for SIBs and outcomes based models.</w:t>
            </w:r>
          </w:p>
        </w:tc>
      </w:tr>
      <w:tr w:rsidR="007E4A3C" w:rsidRPr="00E02936" w14:paraId="5005F702" w14:textId="77777777" w:rsidTr="00B036F2">
        <w:tc>
          <w:tcPr>
            <w:cnfStyle w:val="001000000000" w:firstRow="0" w:lastRow="0" w:firstColumn="1" w:lastColumn="0" w:oddVBand="0" w:evenVBand="0" w:oddHBand="0" w:evenHBand="0" w:firstRowFirstColumn="0" w:firstRowLastColumn="0" w:lastRowFirstColumn="0" w:lastRowLastColumn="0"/>
            <w:tcW w:w="4111" w:type="dxa"/>
            <w:vAlign w:val="center"/>
          </w:tcPr>
          <w:p w14:paraId="18E1F984" w14:textId="77777777" w:rsidR="007E4A3C" w:rsidRPr="00B8524C" w:rsidRDefault="007E4A3C" w:rsidP="000D263D">
            <w:pPr>
              <w:pStyle w:val="TableTextBLUE"/>
            </w:pPr>
            <w:r w:rsidRPr="00B8524C">
              <w:t>The</w:t>
            </w:r>
            <w:r>
              <w:t xml:space="preserve"> J2SI</w:t>
            </w:r>
            <w:r w:rsidRPr="00B8524C">
              <w:t xml:space="preserve"> PAD drove greater accountability and rigour, in areas relating to:</w:t>
            </w:r>
          </w:p>
          <w:p w14:paraId="302DEA83" w14:textId="77777777" w:rsidR="007E4A3C" w:rsidRPr="00B8524C" w:rsidRDefault="007E4A3C" w:rsidP="00632D10">
            <w:pPr>
              <w:pStyle w:val="Bullet1stlevel"/>
            </w:pPr>
            <w:r w:rsidRPr="00B8524C">
              <w:t>Governance</w:t>
            </w:r>
          </w:p>
          <w:p w14:paraId="6C8A67D9" w14:textId="77777777" w:rsidR="007E4A3C" w:rsidRPr="00B8524C" w:rsidRDefault="007E4A3C" w:rsidP="00632D10">
            <w:pPr>
              <w:pStyle w:val="Bullet1stlevel"/>
            </w:pPr>
            <w:r w:rsidRPr="00B8524C">
              <w:t>Provision of social housing</w:t>
            </w:r>
          </w:p>
          <w:p w14:paraId="14BEDBE2" w14:textId="77777777" w:rsidR="007E4A3C" w:rsidRPr="00B8524C" w:rsidRDefault="007E4A3C" w:rsidP="00632D10">
            <w:pPr>
              <w:pStyle w:val="Bullet1stlevel"/>
            </w:pPr>
            <w:r w:rsidRPr="00B8524C">
              <w:t>Program data collection and analysis</w:t>
            </w:r>
          </w:p>
          <w:p w14:paraId="79061DE0" w14:textId="3A25DE7A" w:rsidR="007E4A3C" w:rsidRPr="00B8524C" w:rsidRDefault="007E4A3C" w:rsidP="00632D10">
            <w:pPr>
              <w:pStyle w:val="Bullet1stlevel"/>
            </w:pPr>
            <w:r w:rsidRPr="00B8524C">
              <w:t>Program monitoring, delivery and reporting</w:t>
            </w:r>
            <w:r w:rsidR="00501997">
              <w:t>.</w:t>
            </w:r>
          </w:p>
        </w:tc>
        <w:tc>
          <w:tcPr>
            <w:tcW w:w="5670" w:type="dxa"/>
            <w:vAlign w:val="center"/>
          </w:tcPr>
          <w:p w14:paraId="7AB52417" w14:textId="2B661441"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t xml:space="preserve">The J2SI PAD introduced an increased level </w:t>
            </w:r>
            <w:r w:rsidRPr="00B633D7">
              <w:t>of accountability to collaboratively work through problems and provide suitable social housing offers,</w:t>
            </w:r>
            <w:r>
              <w:t xml:space="preserve"> relative to previous program iterations,</w:t>
            </w:r>
            <w:r w:rsidRPr="00B633D7">
              <w:t xml:space="preserve"> and has continued in the </w:t>
            </w:r>
            <w:r w:rsidR="00282C65">
              <w:t>PbR</w:t>
            </w:r>
            <w:r w:rsidRPr="00B633D7">
              <w:t xml:space="preserve">. </w:t>
            </w:r>
            <w:r>
              <w:t xml:space="preserve">The PAD built on the approach taken to data analysis in the </w:t>
            </w:r>
            <w:r w:rsidR="009C7EFD">
              <w:t xml:space="preserve">Phase 2 </w:t>
            </w:r>
            <w:r>
              <w:t>RCT, by introducing new data sources and analytical methods.</w:t>
            </w:r>
            <w:r w:rsidRPr="00B633D7">
              <w:t xml:space="preserve"> </w:t>
            </w:r>
            <w:r>
              <w:t>T</w:t>
            </w:r>
            <w:r w:rsidRPr="00B633D7">
              <w:t xml:space="preserve">he PAD </w:t>
            </w:r>
            <w:r>
              <w:t>also</w:t>
            </w:r>
            <w:r w:rsidRPr="00B633D7">
              <w:t xml:space="preserve"> introduce</w:t>
            </w:r>
            <w:r>
              <w:t>d</w:t>
            </w:r>
            <w:r w:rsidRPr="00B633D7">
              <w:t xml:space="preserve"> new </w:t>
            </w:r>
            <w:r>
              <w:t>program monitoring and reporting</w:t>
            </w:r>
            <w:r w:rsidRPr="00B633D7">
              <w:t xml:space="preserve"> elements that further increased rigour, notably the </w:t>
            </w:r>
            <w:r>
              <w:t xml:space="preserve">high degree of data quality in </w:t>
            </w:r>
            <w:r w:rsidRPr="00B633D7">
              <w:t xml:space="preserve">client records and continuum of care model. These elements have continued </w:t>
            </w:r>
            <w:r>
              <w:t>as part of</w:t>
            </w:r>
            <w:r w:rsidRPr="00B633D7">
              <w:t xml:space="preserve"> the </w:t>
            </w:r>
            <w:r w:rsidR="00282C65">
              <w:t>PbR</w:t>
            </w:r>
            <w:r w:rsidRPr="00B633D7">
              <w:t>.</w:t>
            </w:r>
          </w:p>
        </w:tc>
        <w:tc>
          <w:tcPr>
            <w:tcW w:w="5103" w:type="dxa"/>
            <w:vAlign w:val="center"/>
          </w:tcPr>
          <w:p w14:paraId="1236812B" w14:textId="4F3BC8D7"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rsidRPr="00B633D7">
              <w:t>The joint accountability of stakeholders to work through program challenges was strengthened by the</w:t>
            </w:r>
            <w:r>
              <w:t xml:space="preserve"> J2SI PAD through its J</w:t>
            </w:r>
            <w:r w:rsidRPr="00B633D7">
              <w:t xml:space="preserve">WG </w:t>
            </w:r>
            <w:r>
              <w:t>and</w:t>
            </w:r>
            <w:r w:rsidRPr="00B633D7">
              <w:t xml:space="preserve"> can</w:t>
            </w:r>
            <w:r w:rsidR="004B1754">
              <w:t>,</w:t>
            </w:r>
            <w:r>
              <w:t xml:space="preserve"> </w:t>
            </w:r>
            <w:r w:rsidRPr="00B633D7">
              <w:t>in part</w:t>
            </w:r>
            <w:r w:rsidR="004B1754">
              <w:t>,</w:t>
            </w:r>
            <w:r w:rsidRPr="00B633D7">
              <w:t xml:space="preserve"> be attributed to the </w:t>
            </w:r>
            <w:r>
              <w:t>SII mechanism</w:t>
            </w:r>
            <w:r w:rsidRPr="00B633D7">
              <w:t xml:space="preserve">. In addition, the </w:t>
            </w:r>
            <w:r>
              <w:t xml:space="preserve">increased level of </w:t>
            </w:r>
            <w:r w:rsidRPr="00B633D7">
              <w:t>accountability to provide suitable social housing can be attributed to the PAD,</w:t>
            </w:r>
            <w:r>
              <w:t xml:space="preserve"> as it stemmed from the PAD</w:t>
            </w:r>
            <w:r w:rsidR="004B1754">
              <w:t>’</w:t>
            </w:r>
            <w:r>
              <w:t>s financial penalties and cross-agency collaboration</w:t>
            </w:r>
            <w:r w:rsidRPr="00B633D7">
              <w:t xml:space="preserve">. The rigorous approach to data collection and analysis, in addition to program monitoring, delivery and reporting, </w:t>
            </w:r>
            <w:r>
              <w:t>was</w:t>
            </w:r>
            <w:r w:rsidRPr="00B633D7">
              <w:t xml:space="preserve"> seen under previous iterations of J2SI, </w:t>
            </w:r>
            <w:r>
              <w:t xml:space="preserve">but was seen to have been </w:t>
            </w:r>
            <w:r w:rsidR="00044CED">
              <w:t>enhanced</w:t>
            </w:r>
            <w:r>
              <w:t xml:space="preserve"> as a result of the J2SI PAD. </w:t>
            </w:r>
          </w:p>
        </w:tc>
      </w:tr>
      <w:tr w:rsidR="007E4A3C" w:rsidRPr="00E02936" w14:paraId="520CFC99" w14:textId="77777777" w:rsidTr="00B036F2">
        <w:tc>
          <w:tcPr>
            <w:cnfStyle w:val="001000000000" w:firstRow="0" w:lastRow="0" w:firstColumn="1" w:lastColumn="0" w:oddVBand="0" w:evenVBand="0" w:oddHBand="0" w:evenHBand="0" w:firstRowFirstColumn="0" w:firstRowLastColumn="0" w:lastRowFirstColumn="0" w:lastRowLastColumn="0"/>
            <w:tcW w:w="4111" w:type="dxa"/>
            <w:vAlign w:val="center"/>
          </w:tcPr>
          <w:p w14:paraId="0FE1DDE6" w14:textId="77777777" w:rsidR="007E4A3C" w:rsidRPr="00B8524C" w:rsidRDefault="007E4A3C" w:rsidP="000D263D">
            <w:pPr>
              <w:pStyle w:val="TableTextBLUE"/>
            </w:pPr>
            <w:r w:rsidRPr="00B8524C">
              <w:lastRenderedPageBreak/>
              <w:t>The PAD resulted in new ways of working and capability uplift</w:t>
            </w:r>
            <w:r>
              <w:t xml:space="preserve"> for J2SI government stakeholders</w:t>
            </w:r>
            <w:r w:rsidRPr="00B8524C">
              <w:t>, in areas relating to:</w:t>
            </w:r>
          </w:p>
          <w:p w14:paraId="670A6FAF" w14:textId="77777777" w:rsidR="007E4A3C" w:rsidRPr="00B8524C" w:rsidRDefault="007E4A3C" w:rsidP="00632D10">
            <w:pPr>
              <w:pStyle w:val="Bullet1stlevel"/>
            </w:pPr>
            <w:r w:rsidRPr="00B8524C">
              <w:t>Social impact investing</w:t>
            </w:r>
            <w:r>
              <w:t xml:space="preserve"> and outcomes funding</w:t>
            </w:r>
            <w:r w:rsidRPr="00B8524C">
              <w:t xml:space="preserve"> </w:t>
            </w:r>
          </w:p>
          <w:p w14:paraId="166B7015" w14:textId="77777777" w:rsidR="007E4A3C" w:rsidRPr="00B8524C" w:rsidRDefault="007E4A3C" w:rsidP="00632D10">
            <w:pPr>
              <w:pStyle w:val="Bullet1stlevel"/>
            </w:pPr>
            <w:r w:rsidRPr="00B8524C">
              <w:t>Contracts</w:t>
            </w:r>
          </w:p>
          <w:p w14:paraId="32B7917F" w14:textId="77777777" w:rsidR="007E4A3C" w:rsidRPr="00B8524C" w:rsidRDefault="007E4A3C" w:rsidP="00632D10">
            <w:pPr>
              <w:pStyle w:val="Bullet1stlevel"/>
            </w:pPr>
            <w:r w:rsidRPr="00B8524C">
              <w:t>Evaluation</w:t>
            </w:r>
          </w:p>
          <w:p w14:paraId="475593FF" w14:textId="77777777" w:rsidR="007E4A3C" w:rsidRPr="00B8524C" w:rsidRDefault="007E4A3C" w:rsidP="00632D10">
            <w:pPr>
              <w:pStyle w:val="Bullet1stlevel"/>
            </w:pPr>
            <w:r w:rsidRPr="00B8524C">
              <w:t xml:space="preserve">Internal analytical capability </w:t>
            </w:r>
          </w:p>
          <w:p w14:paraId="391B75D4" w14:textId="110C09F4" w:rsidR="007E4A3C" w:rsidRPr="00B8524C" w:rsidRDefault="007E4A3C" w:rsidP="00632D10">
            <w:pPr>
              <w:pStyle w:val="Bullet1stlevel"/>
            </w:pPr>
            <w:r w:rsidRPr="00B8524C">
              <w:t>Long term client support</w:t>
            </w:r>
            <w:r w:rsidR="00501997">
              <w:t>.</w:t>
            </w:r>
          </w:p>
        </w:tc>
        <w:tc>
          <w:tcPr>
            <w:tcW w:w="5670" w:type="dxa"/>
            <w:vAlign w:val="center"/>
          </w:tcPr>
          <w:p w14:paraId="6D8417D6" w14:textId="45C1E3AE"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t xml:space="preserve">The J2SI PAD introduced several </w:t>
            </w:r>
            <w:r w:rsidRPr="00B633D7">
              <w:t xml:space="preserve">value adding ways of working, </w:t>
            </w:r>
            <w:r>
              <w:t>which result</w:t>
            </w:r>
            <w:r w:rsidR="00E66B48">
              <w:t>ed</w:t>
            </w:r>
            <w:r>
              <w:t xml:space="preserve"> in capability uplift, that have continued to be developed/refined in the </w:t>
            </w:r>
            <w:r w:rsidR="00282C65">
              <w:t>PbR</w:t>
            </w:r>
            <w:r>
              <w:t xml:space="preserve">, </w:t>
            </w:r>
            <w:r w:rsidRPr="00B633D7">
              <w:t>other PADs, housing first programs and the EIIF. This includes avoided cost modelling, linked data analysis, rigo</w:t>
            </w:r>
            <w:r w:rsidR="00E66B48">
              <w:t>rous</w:t>
            </w:r>
            <w:r w:rsidRPr="00B633D7">
              <w:t xml:space="preserve"> approaches to program evaluation, and exposure to working with clients</w:t>
            </w:r>
            <w:r>
              <w:t xml:space="preserve"> </w:t>
            </w:r>
            <w:r w:rsidR="00501997">
              <w:t>in the</w:t>
            </w:r>
            <w:r w:rsidRPr="00B633D7">
              <w:t xml:space="preserve"> long term.</w:t>
            </w:r>
          </w:p>
        </w:tc>
        <w:tc>
          <w:tcPr>
            <w:tcW w:w="5103" w:type="dxa"/>
            <w:vAlign w:val="center"/>
          </w:tcPr>
          <w:p w14:paraId="7F935411" w14:textId="6A9F0075" w:rsidR="007E4A3C" w:rsidRPr="00B633D7" w:rsidRDefault="007E4A3C" w:rsidP="00DF2767">
            <w:pPr>
              <w:pStyle w:val="Tabletext"/>
              <w:cnfStyle w:val="000000000000" w:firstRow="0" w:lastRow="0" w:firstColumn="0" w:lastColumn="0" w:oddVBand="0" w:evenVBand="0" w:oddHBand="0" w:evenHBand="0" w:firstRowFirstColumn="0" w:firstRowLastColumn="0" w:lastRowFirstColumn="0" w:lastRowLastColumn="0"/>
            </w:pPr>
            <w:r w:rsidRPr="00B633D7">
              <w:t xml:space="preserve">DTF capability uplift can partly be attributed to delivery of the J2SI PAD, but </w:t>
            </w:r>
            <w:r w:rsidR="004B1754">
              <w:t>it is</w:t>
            </w:r>
            <w:r w:rsidR="004B1754" w:rsidRPr="00B633D7">
              <w:t xml:space="preserve"> </w:t>
            </w:r>
            <w:r w:rsidRPr="00B633D7">
              <w:t xml:space="preserve">noted that this sits within the broader PADs </w:t>
            </w:r>
            <w:r>
              <w:t>initiative</w:t>
            </w:r>
            <w:r w:rsidRPr="00B633D7">
              <w:t xml:space="preserve">. Similarly, </w:t>
            </w:r>
            <w:r>
              <w:t>SHM</w:t>
            </w:r>
            <w:r w:rsidRPr="00B633D7">
              <w:t xml:space="preserve"> internal capability uplift can also partly be attributed to the PAD, as it prompted </w:t>
            </w:r>
            <w:r>
              <w:t>a</w:t>
            </w:r>
            <w:r w:rsidRPr="00B633D7">
              <w:t xml:space="preserve"> need for </w:t>
            </w:r>
            <w:r>
              <w:t xml:space="preserve">analytical capability, in addition to </w:t>
            </w:r>
            <w:r w:rsidRPr="00B036F2">
              <w:t>impact</w:t>
            </w:r>
            <w:r w:rsidR="00691F1A" w:rsidRPr="00B35359">
              <w:t>ing</w:t>
            </w:r>
            <w:r>
              <w:t xml:space="preserve"> investing resourcing. Stakeholders however noted that the organisation’s focus on these areas pre</w:t>
            </w:r>
            <w:r w:rsidR="00691F1A">
              <w:noBreakHyphen/>
            </w:r>
            <w:r>
              <w:t>dated the J2SI PAD. There is the potential to more fully embed learnings and processes associated with the J2SI PAD in departments outside of DTF.</w:t>
            </w:r>
          </w:p>
        </w:tc>
      </w:tr>
    </w:tbl>
    <w:p w14:paraId="3BFF7D6F" w14:textId="77777777" w:rsidR="007A62DD" w:rsidRDefault="007A62DD" w:rsidP="00632D10">
      <w:pPr>
        <w:pStyle w:val="Bullet1stlevel"/>
        <w:numPr>
          <w:ilvl w:val="0"/>
          <w:numId w:val="0"/>
        </w:numPr>
        <w:sectPr w:rsidR="007A62DD" w:rsidSect="005B0986">
          <w:pgSz w:w="16838" w:h="11906" w:orient="landscape"/>
          <w:pgMar w:top="851" w:right="851" w:bottom="851" w:left="851" w:header="567" w:footer="283" w:gutter="0"/>
          <w:pgNumType w:fmt="lowerRoman"/>
          <w:cols w:space="708"/>
          <w:docGrid w:linePitch="360"/>
        </w:sectPr>
      </w:pPr>
    </w:p>
    <w:p w14:paraId="14487D66" w14:textId="21D2733E" w:rsidR="007A62DD" w:rsidRPr="00324853" w:rsidRDefault="007E4A3C" w:rsidP="00BF3D93">
      <w:pPr>
        <w:pStyle w:val="Heading3"/>
      </w:pPr>
      <w:bookmarkStart w:id="17" w:name="_Ref150415567"/>
      <w:r w:rsidRPr="00324853">
        <w:lastRenderedPageBreak/>
        <w:t>Summary of client outcomes</w:t>
      </w:r>
      <w:bookmarkEnd w:id="17"/>
    </w:p>
    <w:p w14:paraId="01EA77E2" w14:textId="4CAE8394" w:rsidR="005A663C" w:rsidRDefault="00440630" w:rsidP="00325BE2">
      <w:pPr>
        <w:pStyle w:val="BodyText"/>
      </w:pPr>
      <w:r>
        <w:t xml:space="preserve">The J2SI PAD resulted in </w:t>
      </w:r>
      <w:r w:rsidR="00F31127">
        <w:t xml:space="preserve">improved client outcomes. Client outcomes </w:t>
      </w:r>
      <w:r w:rsidR="009908F7">
        <w:t xml:space="preserve">have been measured </w:t>
      </w:r>
      <w:r w:rsidR="00121572">
        <w:t xml:space="preserve">through the </w:t>
      </w:r>
      <w:r w:rsidR="00061636">
        <w:t>analysis</w:t>
      </w:r>
      <w:r w:rsidR="00121572">
        <w:t xml:space="preserve"> of </w:t>
      </w:r>
      <w:r w:rsidR="00783C9A">
        <w:t xml:space="preserve">payable outcome results, TICSPOT data, along with observational </w:t>
      </w:r>
      <w:r w:rsidR="00061636">
        <w:t xml:space="preserve">service use sourced </w:t>
      </w:r>
      <w:r w:rsidR="00016EBA">
        <w:t>from</w:t>
      </w:r>
      <w:r w:rsidR="00061636">
        <w:t xml:space="preserve"> </w:t>
      </w:r>
      <w:r w:rsidR="00324853" w:rsidRPr="00324853">
        <w:t>VSIIDR</w:t>
      </w:r>
      <w:r w:rsidR="007E0809">
        <w:t xml:space="preserve">. </w:t>
      </w:r>
      <w:r w:rsidR="00324853">
        <w:t xml:space="preserve">A summary of client outcomes </w:t>
      </w:r>
      <w:r w:rsidR="00FE0359">
        <w:t>is provided</w:t>
      </w:r>
      <w:r w:rsidR="00324853">
        <w:t xml:space="preserve"> below.</w:t>
      </w:r>
    </w:p>
    <w:p w14:paraId="5DFAA4BF" w14:textId="47450157" w:rsidR="00F01861" w:rsidRDefault="00F01861" w:rsidP="00BF3D93">
      <w:pPr>
        <w:pStyle w:val="Heading4"/>
      </w:pPr>
      <w:r w:rsidRPr="00F01861">
        <w:t>Stable housing</w:t>
      </w:r>
    </w:p>
    <w:p w14:paraId="5EC13EED" w14:textId="48A30DD3" w:rsidR="00F01861" w:rsidRPr="00F01861" w:rsidRDefault="00F01861" w:rsidP="00F01861">
      <w:pPr>
        <w:pStyle w:val="Bullet1stlevel"/>
        <w:numPr>
          <w:ilvl w:val="0"/>
          <w:numId w:val="15"/>
        </w:numPr>
        <w:rPr>
          <w:b/>
          <w:bCs/>
          <w:i/>
        </w:rPr>
      </w:pPr>
      <w:r w:rsidRPr="00A32E98">
        <w:t>The majority of J2SI PAD clients (average of 89.87</w:t>
      </w:r>
      <w:r w:rsidR="00325BE2">
        <w:t xml:space="preserve"> </w:t>
      </w:r>
      <w:r w:rsidRPr="00A32E98">
        <w:t>per cent)</w:t>
      </w:r>
      <w:r w:rsidRPr="00A32E98">
        <w:rPr>
          <w:rFonts w:ascii="ZWAdobeF" w:hAnsi="ZWAdobeF" w:cs="ZWAdobeF"/>
          <w:color w:val="auto"/>
          <w:sz w:val="2"/>
          <w:szCs w:val="2"/>
        </w:rPr>
        <w:t>4F4F</w:t>
      </w:r>
      <w:r w:rsidRPr="00A32E98">
        <w:rPr>
          <w:rStyle w:val="FootnoteReference"/>
          <w:rFonts w:cs="@Batang"/>
        </w:rPr>
        <w:footnoteReference w:id="9"/>
      </w:r>
      <w:r w:rsidRPr="00A32E98">
        <w:t xml:space="preserve"> were in stable housing at their most recent measurement date, indicating that the program resulted in improved stable housing outcomes. </w:t>
      </w:r>
    </w:p>
    <w:p w14:paraId="3D51373B" w14:textId="5B013207" w:rsidR="00F01861" w:rsidRPr="00F01861" w:rsidRDefault="00F01861" w:rsidP="00F01861">
      <w:pPr>
        <w:pStyle w:val="Bullet1stlevel"/>
        <w:numPr>
          <w:ilvl w:val="0"/>
          <w:numId w:val="15"/>
        </w:numPr>
        <w:rPr>
          <w:b/>
          <w:bCs/>
          <w:i/>
        </w:rPr>
      </w:pPr>
      <w:r w:rsidRPr="00A32E98">
        <w:t>In response to survey questions (scored between 1 and 5) relating to a client’s housing situation, the greatest improvement in survey score from program entry to exit related to the need for clients to manage housing related issues (+0.70)</w:t>
      </w:r>
      <w:r w:rsidRPr="00F01861">
        <w:rPr>
          <w:rFonts w:ascii="ZWAdobeF" w:hAnsi="ZWAdobeF" w:cs="ZWAdobeF"/>
          <w:color w:val="auto"/>
          <w:sz w:val="2"/>
          <w:szCs w:val="2"/>
        </w:rPr>
        <w:t>5F5F</w:t>
      </w:r>
      <w:r w:rsidRPr="00A32E98">
        <w:rPr>
          <w:rStyle w:val="FootnoteReference"/>
          <w:rFonts w:cs="@Batang"/>
        </w:rPr>
        <w:footnoteReference w:id="10"/>
      </w:r>
      <w:r w:rsidRPr="00A32E98">
        <w:t xml:space="preserve"> followed by the extent to which the client’s housing situation was meeting their needs (+0.64).</w:t>
      </w:r>
    </w:p>
    <w:p w14:paraId="57E91B65" w14:textId="2E5EAD94" w:rsidR="00F01861" w:rsidRDefault="00F01861" w:rsidP="00BF3D93">
      <w:pPr>
        <w:pStyle w:val="Heading4"/>
        <w:rPr>
          <w:i/>
        </w:rPr>
      </w:pPr>
      <w:r w:rsidRPr="00A32E98">
        <w:t>Health and wellbeing</w:t>
      </w:r>
    </w:p>
    <w:p w14:paraId="18FCDEF0" w14:textId="416F06E4" w:rsidR="00F01861" w:rsidRPr="00F01861" w:rsidRDefault="00F01861" w:rsidP="00F01861">
      <w:pPr>
        <w:pStyle w:val="Bullet1stlevel"/>
      </w:pPr>
      <w:r w:rsidRPr="00F01861">
        <w:t>J2SI PAD clients saw a 50.38</w:t>
      </w:r>
      <w:r w:rsidR="00325BE2">
        <w:t xml:space="preserve"> </w:t>
      </w:r>
      <w:r w:rsidRPr="00F01861">
        <w:t>per cent</w:t>
      </w:r>
      <w:r w:rsidRPr="00F01861">
        <w:rPr>
          <w:vertAlign w:val="superscript"/>
        </w:rPr>
        <w:footnoteReference w:id="11"/>
      </w:r>
      <w:r w:rsidRPr="00F01861">
        <w:rPr>
          <w:vertAlign w:val="superscript"/>
        </w:rPr>
        <w:t xml:space="preserve"> </w:t>
      </w:r>
      <w:r w:rsidRPr="00F01861">
        <w:t>reduction in the average number of hospital bed days in the most recent 12 months prior to measurement compared to the baseline average at the time of evaluation reporting.</w:t>
      </w:r>
    </w:p>
    <w:p w14:paraId="38015576" w14:textId="77777777" w:rsidR="00F01861" w:rsidRPr="00F01861" w:rsidRDefault="00F01861" w:rsidP="00F01861">
      <w:pPr>
        <w:pStyle w:val="Bullet1stlevel"/>
      </w:pPr>
      <w:r w:rsidRPr="00F01861">
        <w:t xml:space="preserve">In response to survey questions relating to clients’ health and wellbeing, the greatest improvement in survey score from program entry to exit related to clients being able to access treatment when they needed it (+0.57). </w:t>
      </w:r>
    </w:p>
    <w:p w14:paraId="762588C5" w14:textId="14769742" w:rsidR="00F01861" w:rsidRPr="00F01861" w:rsidRDefault="00F01861" w:rsidP="00F01861">
      <w:pPr>
        <w:pStyle w:val="Bullet1stlevel"/>
      </w:pPr>
      <w:r w:rsidRPr="00F01861">
        <w:t>When considering health services accessed by clients from baseline</w:t>
      </w:r>
      <w:r w:rsidRPr="009572B1">
        <w:rPr>
          <w:rStyle w:val="FootnoteReference"/>
        </w:rPr>
        <w:footnoteReference w:id="12"/>
      </w:r>
      <w:r w:rsidRPr="009572B1">
        <w:rPr>
          <w:rStyle w:val="FootnoteReference"/>
        </w:rPr>
        <w:t xml:space="preserve"> </w:t>
      </w:r>
      <w:r w:rsidRPr="00F01861">
        <w:t>through to month 30 of the program, there was a reduction in average emergency department (ED) presentations per client per month from 0.30 to 0.14 (-53.96 per cent), partially offset by an increase in community health service hours from 0.02 to 0.08 (+256.13 per cent). This increase in community service use may have played a role in clients reducing their need to engage with the tertiary health system, signalling increased help seeking behaviour, considered to be a positive program outcome.</w:t>
      </w:r>
    </w:p>
    <w:p w14:paraId="24958796" w14:textId="70D931CA" w:rsidR="00F01861" w:rsidRDefault="00F01861" w:rsidP="00BF3D93">
      <w:pPr>
        <w:pStyle w:val="Heading4"/>
        <w:rPr>
          <w:i/>
        </w:rPr>
      </w:pPr>
      <w:r w:rsidRPr="00A32E98">
        <w:t>Independence</w:t>
      </w:r>
    </w:p>
    <w:p w14:paraId="5758131C" w14:textId="2FD4B20D" w:rsidR="00F01861" w:rsidRPr="00F01861" w:rsidRDefault="00F01861" w:rsidP="00F01861">
      <w:pPr>
        <w:pStyle w:val="Bullet1stlevel"/>
      </w:pPr>
      <w:r w:rsidRPr="00F01861">
        <w:t>J2SI PAD clients showed a slight improvement in areas relating to their independence. The greatest improvement in client surveys scores regarding independence related to clients’ feelings of having choice and control in their life (+0.46), followed by feeling as if they are making decisions that are right for them (+0.43).</w:t>
      </w:r>
    </w:p>
    <w:p w14:paraId="582B4B4F" w14:textId="523D42DC" w:rsidR="00F01861" w:rsidRDefault="00F01861" w:rsidP="00BF3D93">
      <w:pPr>
        <w:pStyle w:val="Heading4"/>
        <w:rPr>
          <w:i/>
        </w:rPr>
      </w:pPr>
      <w:r w:rsidRPr="00A32E98">
        <w:t>Economic participation</w:t>
      </w:r>
    </w:p>
    <w:p w14:paraId="5487A867" w14:textId="77777777" w:rsidR="00F01861" w:rsidRPr="00F01861" w:rsidRDefault="00F01861" w:rsidP="00F01861">
      <w:pPr>
        <w:pStyle w:val="Bullet1stlevel"/>
      </w:pPr>
      <w:r w:rsidRPr="00A32E98">
        <w:t xml:space="preserve">There was limited evidence to suggest that J2SI PAD clients increased their participation in economic activities, such as employment, volunteering and/or education, across the duration of the program. For some clients, their </w:t>
      </w:r>
      <w:r w:rsidRPr="00F01861">
        <w:t xml:space="preserve">ability to partake was inhibited by COVID-19 related lockdowns. However, clients did report an improved level of satisfaction, and ability to take part in such activities, in addition to reporting improvements in their ability to manage their personal finances. </w:t>
      </w:r>
    </w:p>
    <w:p w14:paraId="735463FC" w14:textId="77777777" w:rsidR="00F01861" w:rsidRPr="00F01861" w:rsidRDefault="00F01861" w:rsidP="00F01861">
      <w:pPr>
        <w:pStyle w:val="Bullet1stlevel"/>
      </w:pPr>
      <w:r w:rsidRPr="00F01861">
        <w:t xml:space="preserve">The largest increase in survey questions regarding clients’ economic participation from program entry to exit related to their satisfaction and ability to take part in work, training and education, with an increase of +0.48. </w:t>
      </w:r>
    </w:p>
    <w:p w14:paraId="133ADEF2" w14:textId="3A5B9CE7" w:rsidR="00F01861" w:rsidRPr="00F01861" w:rsidRDefault="00F01861" w:rsidP="00F01861">
      <w:pPr>
        <w:pStyle w:val="Bullet1stlevel"/>
      </w:pPr>
      <w:r w:rsidRPr="00F01861">
        <w:t>Clients reported a decline in their self-rate ability to pay for basic living expenses (-0.45), possibly related to the change in JobSeeker</w:t>
      </w:r>
      <w:r w:rsidRPr="00A32E98">
        <w:t xml:space="preserve"> payments which were higher during the first two years of COVID-19, and more recent cost of living pressures.</w:t>
      </w:r>
    </w:p>
    <w:p w14:paraId="679F1F69" w14:textId="7AAFCDB6" w:rsidR="00F01861" w:rsidRDefault="00F01861" w:rsidP="00BF3D93">
      <w:pPr>
        <w:pStyle w:val="Heading4"/>
        <w:rPr>
          <w:i/>
        </w:rPr>
      </w:pPr>
      <w:r w:rsidRPr="00A32E98">
        <w:t>Social participation</w:t>
      </w:r>
    </w:p>
    <w:p w14:paraId="4573B5E1" w14:textId="0CB58BD0" w:rsidR="00F01861" w:rsidRPr="00F01861" w:rsidRDefault="00F01861" w:rsidP="00F01861">
      <w:pPr>
        <w:pStyle w:val="Bullet1stlevel"/>
      </w:pPr>
      <w:r w:rsidRPr="00F01861">
        <w:t>J2SI PAD clients reported improvements relating to their social participation. The largest increase from program entry to exit related to their ability to access support from personal relationships (+1.08).</w:t>
      </w:r>
    </w:p>
    <w:p w14:paraId="4B257747" w14:textId="77777777" w:rsidR="007D785C" w:rsidRDefault="007D785C" w:rsidP="007D785C">
      <w:pPr>
        <w:sectPr w:rsidR="007D785C" w:rsidSect="005B0986">
          <w:pgSz w:w="11906" w:h="16838"/>
          <w:pgMar w:top="851" w:right="851" w:bottom="851" w:left="851" w:header="567" w:footer="283" w:gutter="0"/>
          <w:pgNumType w:fmt="lowerRoman"/>
          <w:cols w:space="708"/>
          <w:docGrid w:linePitch="360"/>
        </w:sectPr>
      </w:pPr>
    </w:p>
    <w:p w14:paraId="6571B637" w14:textId="488A7EA5" w:rsidR="007D785C" w:rsidRDefault="007D785C" w:rsidP="00BF3D93">
      <w:pPr>
        <w:pStyle w:val="Heading3"/>
      </w:pPr>
      <w:r w:rsidRPr="00EB0CCA">
        <w:lastRenderedPageBreak/>
        <w:t xml:space="preserve">Summary of </w:t>
      </w:r>
      <w:r w:rsidR="00F45B02" w:rsidRPr="00EB0CCA">
        <w:t>CBA findings</w:t>
      </w:r>
    </w:p>
    <w:p w14:paraId="5F6F1690" w14:textId="376502AE" w:rsidR="00D71D89" w:rsidRDefault="007D785C" w:rsidP="007D785C">
      <w:pPr>
        <w:rPr>
          <w:iCs/>
        </w:rPr>
      </w:pPr>
      <w:r>
        <w:rPr>
          <w:iCs/>
        </w:rPr>
        <w:t>With the outcomes evaluation demonstrating improved outcomes for clients</w:t>
      </w:r>
      <w:r w:rsidRPr="00131C8C">
        <w:rPr>
          <w:iCs/>
        </w:rPr>
        <w:t xml:space="preserve"> across areas of stable housing, health and wellbeing, economic participation, increased social participation and increased independence</w:t>
      </w:r>
      <w:r>
        <w:rPr>
          <w:iCs/>
        </w:rPr>
        <w:t xml:space="preserve">, </w:t>
      </w:r>
      <w:r w:rsidR="00F63F9F">
        <w:rPr>
          <w:iCs/>
        </w:rPr>
        <w:t>a</w:t>
      </w:r>
      <w:r w:rsidR="00D71D89">
        <w:rPr>
          <w:iCs/>
        </w:rPr>
        <w:t xml:space="preserve"> </w:t>
      </w:r>
      <w:r>
        <w:rPr>
          <w:iCs/>
        </w:rPr>
        <w:t>CBA has</w:t>
      </w:r>
      <w:r w:rsidR="00F63F9F">
        <w:rPr>
          <w:iCs/>
        </w:rPr>
        <w:t xml:space="preserve"> </w:t>
      </w:r>
      <w:r w:rsidR="004B609E">
        <w:rPr>
          <w:iCs/>
        </w:rPr>
        <w:t>been</w:t>
      </w:r>
      <w:r w:rsidR="00F63F9F">
        <w:rPr>
          <w:iCs/>
        </w:rPr>
        <w:t xml:space="preserve"> undertaken, building on these outcomes</w:t>
      </w:r>
      <w:r w:rsidR="00E63DB9">
        <w:rPr>
          <w:iCs/>
        </w:rPr>
        <w:t xml:space="preserve"> by linking them with </w:t>
      </w:r>
      <w:r>
        <w:rPr>
          <w:iCs/>
        </w:rPr>
        <w:t>associated economic benefits</w:t>
      </w:r>
      <w:r w:rsidR="00E63DB9">
        <w:rPr>
          <w:iCs/>
        </w:rPr>
        <w:t xml:space="preserve">. </w:t>
      </w:r>
      <w:r w:rsidR="009E6EED">
        <w:rPr>
          <w:iCs/>
        </w:rPr>
        <w:t xml:space="preserve">These benefits </w:t>
      </w:r>
      <w:r w:rsidR="00553DBC">
        <w:rPr>
          <w:iCs/>
        </w:rPr>
        <w:t>primarily</w:t>
      </w:r>
      <w:r w:rsidR="009E6EED">
        <w:rPr>
          <w:iCs/>
        </w:rPr>
        <w:t xml:space="preserve"> relate to </w:t>
      </w:r>
      <w:r w:rsidR="003740FA">
        <w:rPr>
          <w:iCs/>
        </w:rPr>
        <w:t>the</w:t>
      </w:r>
      <w:r w:rsidR="009E6EED">
        <w:rPr>
          <w:iCs/>
        </w:rPr>
        <w:t xml:space="preserve"> </w:t>
      </w:r>
      <w:r w:rsidR="003740FA">
        <w:rPr>
          <w:iCs/>
        </w:rPr>
        <w:t>avoided cost</w:t>
      </w:r>
      <w:r w:rsidR="009E6EED">
        <w:rPr>
          <w:iCs/>
        </w:rPr>
        <w:t xml:space="preserve"> resulting from the change in the way clients access government services (i.e. reduction in acute service use), and improvement in </w:t>
      </w:r>
      <w:r w:rsidR="00553DBC">
        <w:rPr>
          <w:iCs/>
        </w:rPr>
        <w:t>clients</w:t>
      </w:r>
      <w:r w:rsidR="00D431DA">
        <w:rPr>
          <w:iCs/>
        </w:rPr>
        <w:t>’</w:t>
      </w:r>
      <w:r w:rsidR="009E6EED">
        <w:rPr>
          <w:iCs/>
        </w:rPr>
        <w:t xml:space="preserve"> quality of life</w:t>
      </w:r>
      <w:r w:rsidR="00553DBC">
        <w:rPr>
          <w:iCs/>
        </w:rPr>
        <w:t xml:space="preserve">. </w:t>
      </w:r>
      <w:r w:rsidR="00D71D89" w:rsidRPr="00D71D89">
        <w:rPr>
          <w:iCs/>
        </w:rPr>
        <w:t xml:space="preserve">A CBA measures incremental costs and benefits, relative to what might have occurred in the absence of the </w:t>
      </w:r>
      <w:r w:rsidR="003C3398">
        <w:rPr>
          <w:iCs/>
        </w:rPr>
        <w:t>program</w:t>
      </w:r>
      <w:r w:rsidR="00D71D89" w:rsidRPr="00D71D89">
        <w:rPr>
          <w:iCs/>
        </w:rPr>
        <w:t>. For the purposes of this CBA, a ‘service as usual’ non-intervention scenario has been assumed</w:t>
      </w:r>
      <w:r w:rsidR="00E63DB9">
        <w:rPr>
          <w:iCs/>
        </w:rPr>
        <w:t xml:space="preserve">, and </w:t>
      </w:r>
      <w:r w:rsidR="004B609E">
        <w:rPr>
          <w:iCs/>
        </w:rPr>
        <w:t>captures</w:t>
      </w:r>
      <w:r w:rsidR="00E63DB9">
        <w:rPr>
          <w:iCs/>
        </w:rPr>
        <w:t xml:space="preserve"> </w:t>
      </w:r>
      <w:r w:rsidR="00D71D89" w:rsidRPr="00D71D89">
        <w:rPr>
          <w:iCs/>
        </w:rPr>
        <w:t xml:space="preserve">the </w:t>
      </w:r>
      <w:r w:rsidR="0060506F">
        <w:rPr>
          <w:iCs/>
        </w:rPr>
        <w:t xml:space="preserve">cost of </w:t>
      </w:r>
      <w:r w:rsidR="004B609E">
        <w:rPr>
          <w:iCs/>
        </w:rPr>
        <w:t>service</w:t>
      </w:r>
      <w:r w:rsidR="0060506F">
        <w:rPr>
          <w:iCs/>
        </w:rPr>
        <w:t>s</w:t>
      </w:r>
      <w:r w:rsidR="004B609E">
        <w:rPr>
          <w:iCs/>
        </w:rPr>
        <w:t xml:space="preserve"> </w:t>
      </w:r>
      <w:r w:rsidR="000E7260">
        <w:rPr>
          <w:iCs/>
        </w:rPr>
        <w:t xml:space="preserve">that </w:t>
      </w:r>
      <w:r w:rsidR="00D71D89" w:rsidRPr="00D71D89">
        <w:rPr>
          <w:iCs/>
        </w:rPr>
        <w:t>a J2SI PAD client would have been expected to access in the absence of the program</w:t>
      </w:r>
      <w:r w:rsidR="004B609E">
        <w:rPr>
          <w:iCs/>
        </w:rPr>
        <w:t>, along with capturing the benefits they may still have realised</w:t>
      </w:r>
      <w:r w:rsidR="004F26B4">
        <w:rPr>
          <w:iCs/>
        </w:rPr>
        <w:t xml:space="preserve">. </w:t>
      </w:r>
    </w:p>
    <w:p w14:paraId="39249A9D" w14:textId="1868F146" w:rsidR="000A505B" w:rsidRDefault="000A505B" w:rsidP="000A505B">
      <w:pPr>
        <w:pStyle w:val="Caption"/>
        <w:rPr>
          <w:iCs/>
        </w:rPr>
      </w:pPr>
      <w:bookmarkStart w:id="18" w:name="_Toc174547287"/>
      <w:r>
        <w:t xml:space="preserve">Figure </w:t>
      </w:r>
      <w:r>
        <w:fldChar w:fldCharType="begin"/>
      </w:r>
      <w:r>
        <w:instrText xml:space="preserve"> SEQ Figure \* ARABIC </w:instrText>
      </w:r>
      <w:r>
        <w:fldChar w:fldCharType="separate"/>
      </w:r>
      <w:r>
        <w:rPr>
          <w:noProof/>
        </w:rPr>
        <w:t>2</w:t>
      </w:r>
      <w:r>
        <w:rPr>
          <w:noProof/>
        </w:rPr>
        <w:fldChar w:fldCharType="end"/>
      </w:r>
      <w:r>
        <w:t xml:space="preserve"> Program outcomes and evaluation components</w:t>
      </w:r>
      <w:bookmarkEnd w:id="18"/>
    </w:p>
    <w:p w14:paraId="74A47B4C" w14:textId="607E9F00" w:rsidR="007D785C" w:rsidRDefault="005B05CA" w:rsidP="007E4A3C">
      <w:pPr>
        <w:pStyle w:val="BodyText10"/>
        <w:ind w:left="42"/>
      </w:pPr>
      <w:r w:rsidRPr="005B05CA">
        <w:rPr>
          <w:noProof/>
        </w:rPr>
        <w:drawing>
          <wp:inline distT="0" distB="0" distL="0" distR="0" wp14:anchorId="07187551" wp14:editId="56FFDF99">
            <wp:extent cx="6479540" cy="3088005"/>
            <wp:effectExtent l="0" t="0" r="0" b="0"/>
            <wp:docPr id="3" name="Picture 3" descr="The figure depicts the program outcomes that contribute to the two evaluation components. The outcomes evaluation examines stable housing, health and wellbeing, economic participation, social participation, and independence. The cost benefit analysis examines changes in service use and improved quality of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e figure depicts the program outcomes that contribute to the two evaluation components. The outcomes evaluation examines stable housing, health and wellbeing, economic participation, social participation, and independence. The cost benefit analysis examines changes in service use and improved quality of life.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3088005"/>
                    </a:xfrm>
                    <a:prstGeom prst="rect">
                      <a:avLst/>
                    </a:prstGeom>
                    <a:noFill/>
                    <a:ln>
                      <a:noFill/>
                    </a:ln>
                  </pic:spPr>
                </pic:pic>
              </a:graphicData>
            </a:graphic>
          </wp:inline>
        </w:drawing>
      </w:r>
    </w:p>
    <w:p w14:paraId="3153789F" w14:textId="1FCD5ADD" w:rsidR="00167F7C" w:rsidRDefault="006F67B0" w:rsidP="003C67D4">
      <w:pPr>
        <w:pStyle w:val="BodyText10"/>
        <w:ind w:left="42"/>
      </w:pPr>
      <w:r>
        <w:t>The</w:t>
      </w:r>
      <w:r w:rsidR="007E4A3C" w:rsidRPr="007E4A3C">
        <w:t xml:space="preserve"> CBA </w:t>
      </w:r>
      <w:r w:rsidR="007E4A3C">
        <w:t>indicate</w:t>
      </w:r>
      <w:r>
        <w:t>s</w:t>
      </w:r>
      <w:r w:rsidR="007E4A3C">
        <w:t xml:space="preserve"> that J2SI </w:t>
      </w:r>
      <w:r w:rsidR="003E466C">
        <w:t xml:space="preserve">service delivery as a </w:t>
      </w:r>
      <w:r w:rsidR="007E4A3C">
        <w:t xml:space="preserve">PAD </w:t>
      </w:r>
      <w:r w:rsidR="003E466C">
        <w:t>represents</w:t>
      </w:r>
      <w:r w:rsidR="005A663C">
        <w:t xml:space="preserve"> ‘value for money’ with an </w:t>
      </w:r>
      <w:r w:rsidR="007E4A3C" w:rsidRPr="007E4A3C">
        <w:t xml:space="preserve">estimated </w:t>
      </w:r>
      <w:r w:rsidR="00A60F39">
        <w:t xml:space="preserve">benefit cost ratio (BCR) of </w:t>
      </w:r>
      <w:r w:rsidR="00B00892">
        <w:t>2.</w:t>
      </w:r>
      <w:r w:rsidR="0038517B" w:rsidRPr="00B036F2">
        <w:t>20</w:t>
      </w:r>
      <w:r w:rsidR="00A60F39">
        <w:t xml:space="preserve"> </w:t>
      </w:r>
      <w:r w:rsidR="007E4A3C" w:rsidRPr="007E4A3C">
        <w:t>and a</w:t>
      </w:r>
      <w:r w:rsidR="00A60F39">
        <w:t xml:space="preserve"> Net Present Value (</w:t>
      </w:r>
      <w:r w:rsidR="007E4A3C" w:rsidRPr="007E4A3C">
        <w:t>NPV</w:t>
      </w:r>
      <w:r w:rsidR="00A60F39" w:rsidRPr="00262838">
        <w:t>)</w:t>
      </w:r>
      <w:r w:rsidR="007E4A3C" w:rsidRPr="00262838">
        <w:t xml:space="preserve"> of $</w:t>
      </w:r>
      <w:r w:rsidR="00B00892">
        <w:t>18.</w:t>
      </w:r>
      <w:r w:rsidR="0038517B" w:rsidRPr="00B036F2">
        <w:t>68</w:t>
      </w:r>
      <w:r w:rsidR="00977C80" w:rsidRPr="00B036F2">
        <w:t> </w:t>
      </w:r>
      <w:r w:rsidR="007E4A3C" w:rsidRPr="00B036F2">
        <w:t>m</w:t>
      </w:r>
      <w:r w:rsidR="00977C80" w:rsidRPr="00B036F2">
        <w:t>illion</w:t>
      </w:r>
      <w:r w:rsidR="007E4A3C" w:rsidRPr="00262838">
        <w:t xml:space="preserve"> over</w:t>
      </w:r>
      <w:r w:rsidR="007E4A3C" w:rsidRPr="007E4A3C">
        <w:t xml:space="preserve"> </w:t>
      </w:r>
      <w:r w:rsidR="00FA6A48">
        <w:t>the</w:t>
      </w:r>
      <w:r w:rsidR="007E4A3C">
        <w:t xml:space="preserve"> analysis period</w:t>
      </w:r>
      <w:r w:rsidR="00272B50">
        <w:rPr>
          <w:rFonts w:ascii="ZWAdobeF" w:hAnsi="ZWAdobeF" w:cs="ZWAdobeF"/>
          <w:sz w:val="2"/>
          <w:szCs w:val="2"/>
        </w:rPr>
        <w:t>6F</w:t>
      </w:r>
      <w:r w:rsidR="00125CA2">
        <w:rPr>
          <w:rFonts w:ascii="ZWAdobeF" w:hAnsi="ZWAdobeF" w:cs="ZWAdobeF"/>
          <w:sz w:val="2"/>
          <w:szCs w:val="2"/>
        </w:rPr>
        <w:t>6F</w:t>
      </w:r>
      <w:r w:rsidR="00A60F39">
        <w:rPr>
          <w:rStyle w:val="FootnoteReference"/>
        </w:rPr>
        <w:footnoteReference w:id="13"/>
      </w:r>
      <w:r w:rsidR="00167F7C">
        <w:rPr>
          <w:rFonts w:ascii="ZWAdobeF" w:hAnsi="ZWAdobeF" w:cs="ZWAdobeF"/>
          <w:sz w:val="2"/>
          <w:szCs w:val="2"/>
        </w:rPr>
        <w:t xml:space="preserve"> </w:t>
      </w:r>
      <w:r>
        <w:rPr>
          <w:rFonts w:ascii="ZWAdobeF" w:hAnsi="ZWAdobeF" w:cs="ZWAdobeF"/>
          <w:sz w:val="2"/>
          <w:szCs w:val="2"/>
        </w:rPr>
        <w:t xml:space="preserve">     </w:t>
      </w:r>
      <w:r w:rsidR="00167F7C" w:rsidRPr="00167F7C">
        <w:t xml:space="preserve">It is noted that a conservative approach to the quantification of benefits has been </w:t>
      </w:r>
      <w:r w:rsidR="00167F7C" w:rsidRPr="00262838">
        <w:t>taken, and the true economic</w:t>
      </w:r>
      <w:r w:rsidR="00167F7C" w:rsidRPr="00167F7C">
        <w:t xml:space="preserve"> benefit is likely higher</w:t>
      </w:r>
      <w:r w:rsidR="00EE2C60">
        <w:t>.</w:t>
      </w:r>
    </w:p>
    <w:p w14:paraId="6A5AA925" w14:textId="4DAC59F9" w:rsidR="007E4A3C" w:rsidRDefault="0085577F" w:rsidP="00500497">
      <w:pPr>
        <w:pStyle w:val="BodyTextkeepwithnext"/>
        <w:rPr>
          <w:i/>
        </w:rPr>
      </w:pPr>
      <w:r>
        <w:t>Key d</w:t>
      </w:r>
      <w:r w:rsidR="007E4A3C" w:rsidRPr="007E4A3C">
        <w:t xml:space="preserve">rivers of the positive BCR and NPV include:  </w:t>
      </w:r>
    </w:p>
    <w:p w14:paraId="40DA127C" w14:textId="5EC90B7B" w:rsidR="007E4A3C" w:rsidRDefault="007E4A3C" w:rsidP="00632D10">
      <w:pPr>
        <w:pStyle w:val="Bullet1stlevel"/>
        <w:rPr>
          <w:i/>
        </w:rPr>
      </w:pPr>
      <w:r w:rsidRPr="007E4A3C">
        <w:t>A reduction in clients</w:t>
      </w:r>
      <w:r w:rsidR="00D431DA">
        <w:t>’</w:t>
      </w:r>
      <w:r w:rsidRPr="007E4A3C">
        <w:t xml:space="preserve"> monthly use of clinical mental health services across all service types analysed, resulting in </w:t>
      </w:r>
      <w:r w:rsidRPr="00B036F2">
        <w:t>a</w:t>
      </w:r>
      <w:r w:rsidR="008E5FC5">
        <w:t>n avoided</w:t>
      </w:r>
      <w:r w:rsidRPr="007E4A3C">
        <w:t xml:space="preserve"> cost of </w:t>
      </w:r>
      <w:r w:rsidRPr="00FA6A48">
        <w:t>$3.</w:t>
      </w:r>
      <w:r w:rsidR="009C71A4" w:rsidRPr="00B036F2">
        <w:t>6</w:t>
      </w:r>
      <w:r w:rsidR="00524B4C" w:rsidRPr="00B036F2">
        <w:t> </w:t>
      </w:r>
      <w:r w:rsidRPr="00B036F2">
        <w:t>m</w:t>
      </w:r>
      <w:r w:rsidR="00524B4C" w:rsidRPr="00B036F2">
        <w:t>illion</w:t>
      </w:r>
      <w:r w:rsidRPr="007E4A3C">
        <w:t xml:space="preserve"> across the analysis period;</w:t>
      </w:r>
    </w:p>
    <w:p w14:paraId="1D60FEAC" w14:textId="7C3BA9E0" w:rsidR="007E4A3C" w:rsidRDefault="007E4A3C" w:rsidP="00632D10">
      <w:pPr>
        <w:pStyle w:val="Bullet1stlevel"/>
        <w:rPr>
          <w:i/>
        </w:rPr>
      </w:pPr>
      <w:r w:rsidRPr="007E4A3C">
        <w:t>A reduction in clients</w:t>
      </w:r>
      <w:r w:rsidR="00D431DA">
        <w:t>’</w:t>
      </w:r>
      <w:r w:rsidRPr="007E4A3C">
        <w:t xml:space="preserve"> monthly use of </w:t>
      </w:r>
      <w:r w:rsidR="0086309D">
        <w:t>homelessness</w:t>
      </w:r>
      <w:r w:rsidR="0086309D" w:rsidRPr="007E4A3C">
        <w:t xml:space="preserve"> </w:t>
      </w:r>
      <w:r w:rsidRPr="007E4A3C">
        <w:t xml:space="preserve">services across all service types analysed, resulting in </w:t>
      </w:r>
      <w:r w:rsidRPr="00B036F2">
        <w:t>a</w:t>
      </w:r>
      <w:r w:rsidR="008E5FC5">
        <w:t>n avoided</w:t>
      </w:r>
      <w:r w:rsidRPr="007E4A3C">
        <w:t xml:space="preserve"> cost of </w:t>
      </w:r>
      <w:r w:rsidRPr="00FA6A48">
        <w:t>$8.</w:t>
      </w:r>
      <w:r w:rsidR="00E94952" w:rsidRPr="00B036F2">
        <w:t>8</w:t>
      </w:r>
      <w:r w:rsidR="00524B4C" w:rsidRPr="00B036F2">
        <w:t xml:space="preserve"> </w:t>
      </w:r>
      <w:r w:rsidRPr="00B036F2">
        <w:t>m</w:t>
      </w:r>
      <w:r w:rsidR="00524B4C" w:rsidRPr="00B036F2">
        <w:t>illion</w:t>
      </w:r>
      <w:r w:rsidRPr="007E4A3C">
        <w:t xml:space="preserve"> across the analysis period; </w:t>
      </w:r>
    </w:p>
    <w:p w14:paraId="1144776E" w14:textId="3EF43122" w:rsidR="007E4A3C" w:rsidRDefault="007E4A3C" w:rsidP="00632D10">
      <w:pPr>
        <w:pStyle w:val="Bullet1stlevel"/>
        <w:rPr>
          <w:i/>
        </w:rPr>
      </w:pPr>
      <w:r w:rsidRPr="007E4A3C">
        <w:t>A reduction in clients</w:t>
      </w:r>
      <w:r w:rsidR="00D431DA">
        <w:t>’</w:t>
      </w:r>
      <w:r w:rsidRPr="007E4A3C">
        <w:t xml:space="preserve"> monthly days in custody, resulting in </w:t>
      </w:r>
      <w:r w:rsidRPr="00B036F2">
        <w:t>a</w:t>
      </w:r>
      <w:r w:rsidR="008E5FC5">
        <w:t>n avoided</w:t>
      </w:r>
      <w:r w:rsidRPr="007E4A3C">
        <w:t xml:space="preserve"> cost of </w:t>
      </w:r>
      <w:r w:rsidRPr="00FA6A48">
        <w:t>$4.</w:t>
      </w:r>
      <w:r w:rsidR="00CC2222" w:rsidRPr="00B036F2">
        <w:t>5</w:t>
      </w:r>
      <w:r w:rsidR="00524B4C" w:rsidRPr="00B036F2">
        <w:t xml:space="preserve"> </w:t>
      </w:r>
      <w:r w:rsidRPr="00B036F2">
        <w:t>m</w:t>
      </w:r>
      <w:r w:rsidR="00524B4C" w:rsidRPr="00B036F2">
        <w:t>illion</w:t>
      </w:r>
      <w:r w:rsidRPr="007E4A3C">
        <w:t xml:space="preserve"> across the analysis period; and</w:t>
      </w:r>
    </w:p>
    <w:p w14:paraId="63B70C40" w14:textId="1A628966" w:rsidR="007E4A3C" w:rsidRPr="007E4A3C" w:rsidRDefault="00FC334B" w:rsidP="00632D10">
      <w:pPr>
        <w:pStyle w:val="Bullet1stlevel"/>
      </w:pPr>
      <w:r>
        <w:t>An</w:t>
      </w:r>
      <w:r w:rsidR="007E4A3C" w:rsidRPr="007E4A3C">
        <w:t xml:space="preserve"> estimated </w:t>
      </w:r>
      <w:r w:rsidR="003318ED">
        <w:t>improvement in the</w:t>
      </w:r>
      <w:r w:rsidR="007E4A3C" w:rsidRPr="007E4A3C">
        <w:t xml:space="preserve"> value of clients</w:t>
      </w:r>
      <w:r w:rsidR="00D431DA">
        <w:t>’</w:t>
      </w:r>
      <w:r w:rsidR="007E4A3C" w:rsidRPr="007E4A3C">
        <w:t xml:space="preserve"> quality of life </w:t>
      </w:r>
      <w:r w:rsidR="007E4A3C" w:rsidRPr="00FA6A48">
        <w:t>of $</w:t>
      </w:r>
      <w:r w:rsidR="00B00892">
        <w:t>14.</w:t>
      </w:r>
      <w:r w:rsidR="00B00892" w:rsidRPr="00B036F2">
        <w:t>6</w:t>
      </w:r>
      <w:r w:rsidR="00524B4C" w:rsidRPr="00B036F2">
        <w:t xml:space="preserve"> </w:t>
      </w:r>
      <w:r w:rsidR="007E4A3C" w:rsidRPr="00B036F2">
        <w:t>m</w:t>
      </w:r>
      <w:r w:rsidR="00524B4C" w:rsidRPr="00B036F2">
        <w:t>illion</w:t>
      </w:r>
      <w:r w:rsidR="007E4A3C" w:rsidRPr="007E4A3C">
        <w:t xml:space="preserve">. </w:t>
      </w:r>
    </w:p>
    <w:p w14:paraId="32AB7192" w14:textId="658940D6" w:rsidR="00F45B02" w:rsidRDefault="007E4A3C" w:rsidP="006F67B0">
      <w:pPr>
        <w:pStyle w:val="BodyText"/>
        <w:ind w:left="42"/>
      </w:pPr>
      <w:r w:rsidRPr="007E4A3C">
        <w:t>In addition to seeing a decrease in the use of some services, J2SI PAD clients were found to increase their level of engagement with some community mental health, allied health, community supports</w:t>
      </w:r>
      <w:r w:rsidR="00764C33">
        <w:t xml:space="preserve">, </w:t>
      </w:r>
      <w:r w:rsidRPr="007E4A3C">
        <w:t>nursing services</w:t>
      </w:r>
      <w:r w:rsidR="00764C33">
        <w:t xml:space="preserve">, family </w:t>
      </w:r>
      <w:r w:rsidR="0005686A">
        <w:t xml:space="preserve">violence and sexual assault services. </w:t>
      </w:r>
      <w:r w:rsidRPr="007E4A3C">
        <w:t xml:space="preserve">Consistent with the findings from the </w:t>
      </w:r>
      <w:r w:rsidR="008466DB" w:rsidRPr="007E4A3C">
        <w:t>outcome</w:t>
      </w:r>
      <w:r w:rsidR="007D785C">
        <w:t>s</w:t>
      </w:r>
      <w:r w:rsidRPr="007E4A3C">
        <w:t xml:space="preserve"> evaluation, this increased engagement may have contributed to a reduction in other tertiary services, and </w:t>
      </w:r>
      <w:r w:rsidR="003A6D52" w:rsidRPr="00B036F2">
        <w:t xml:space="preserve">may </w:t>
      </w:r>
      <w:r w:rsidRPr="00B036F2">
        <w:t>signal</w:t>
      </w:r>
      <w:r w:rsidRPr="007E4A3C">
        <w:t xml:space="preserve"> increased help seeking behaviour.</w:t>
      </w:r>
    </w:p>
    <w:p w14:paraId="1A6D6399" w14:textId="77777777" w:rsidR="006F67B0" w:rsidRDefault="006F67B0" w:rsidP="00EC32AF">
      <w:pPr>
        <w:pStyle w:val="BodyText"/>
        <w:ind w:left="42"/>
      </w:pPr>
      <w:r>
        <w:lastRenderedPageBreak/>
        <w:t xml:space="preserve">Findings from the CBA result in a per participant </w:t>
      </w:r>
      <w:r w:rsidR="00F3390A">
        <w:t xml:space="preserve">net </w:t>
      </w:r>
      <w:r>
        <w:t xml:space="preserve">benefit of </w:t>
      </w:r>
      <w:r w:rsidRPr="006F67B0">
        <w:t>$</w:t>
      </w:r>
      <w:r w:rsidR="00940D9A" w:rsidRPr="00B036F2">
        <w:t>350</w:t>
      </w:r>
      <w:r w:rsidR="00944BDA">
        <w:t>k</w:t>
      </w:r>
      <w:r w:rsidRPr="00B036F2">
        <w:t xml:space="preserve"> </w:t>
      </w:r>
      <w:r w:rsidRPr="006F67B0">
        <w:t>over the full evaluation period</w:t>
      </w:r>
      <w:r>
        <w:t xml:space="preserve"> (</w:t>
      </w:r>
      <w:r w:rsidR="00491435">
        <w:t>FY1</w:t>
      </w:r>
      <w:r w:rsidR="00EC32AF">
        <w:t>9 to FY34</w:t>
      </w:r>
      <w:r>
        <w:t>)</w:t>
      </w:r>
      <w:r w:rsidRPr="006F67B0">
        <w:t>.</w:t>
      </w:r>
      <w:r w:rsidR="00AC5D8E">
        <w:rPr>
          <w:rStyle w:val="FootnoteReference"/>
        </w:rPr>
        <w:footnoteReference w:id="14"/>
      </w:r>
      <w:r w:rsidRPr="006F67B0">
        <w:t xml:space="preserve"> </w:t>
      </w:r>
    </w:p>
    <w:p w14:paraId="61BC0952" w14:textId="6C9FF4C9" w:rsidR="00992879" w:rsidRPr="0042227F" w:rsidRDefault="00992879" w:rsidP="00134FF5">
      <w:pPr>
        <w:pStyle w:val="Caption"/>
      </w:pPr>
      <w:bookmarkStart w:id="19" w:name="_Toc174547305"/>
      <w:r w:rsidRPr="0042227F">
        <w:t xml:space="preserve">Table </w:t>
      </w:r>
      <w:r>
        <w:fldChar w:fldCharType="begin"/>
      </w:r>
      <w:r>
        <w:instrText xml:space="preserve"> SEQ Table \* ARABIC </w:instrText>
      </w:r>
      <w:r>
        <w:fldChar w:fldCharType="separate"/>
      </w:r>
      <w:r w:rsidR="005B05CA">
        <w:rPr>
          <w:noProof/>
        </w:rPr>
        <w:t>4</w:t>
      </w:r>
      <w:r>
        <w:rPr>
          <w:noProof/>
        </w:rPr>
        <w:fldChar w:fldCharType="end"/>
      </w:r>
      <w:r w:rsidRPr="0042227F">
        <w:t>: Cost Benefit Analysis Outputs – Net Present Value</w:t>
      </w:r>
      <w:bookmarkEnd w:id="19"/>
    </w:p>
    <w:tbl>
      <w:tblPr>
        <w:tblStyle w:val="KPMGTable"/>
        <w:tblW w:w="10099" w:type="dxa"/>
        <w:tblLook w:val="04A0" w:firstRow="1" w:lastRow="0" w:firstColumn="1" w:lastColumn="0" w:noHBand="0" w:noVBand="1"/>
      </w:tblPr>
      <w:tblGrid>
        <w:gridCol w:w="8171"/>
        <w:gridCol w:w="1928"/>
      </w:tblGrid>
      <w:tr w:rsidR="00AC41CC" w:rsidRPr="0032576D" w14:paraId="543E9DE5" w14:textId="77777777" w:rsidTr="00B24F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1" w:type="dxa"/>
            <w:hideMark/>
          </w:tcPr>
          <w:p w14:paraId="341ACBEE" w14:textId="77777777" w:rsidR="00AC41CC" w:rsidRPr="00D9359A" w:rsidRDefault="00AC41CC" w:rsidP="008D1C89">
            <w:pPr>
              <w:pStyle w:val="TableHeading"/>
              <w:rPr>
                <w:rFonts w:eastAsia="Times New Roman" w:cs="Arial"/>
                <w:b w:val="0"/>
                <w:color w:val="00338D" w:themeColor="text2"/>
                <w:szCs w:val="18"/>
                <w:lang w:eastAsia="en-AU"/>
              </w:rPr>
            </w:pPr>
            <w:r w:rsidRPr="00D9359A">
              <w:rPr>
                <w:lang w:eastAsia="en-AU"/>
              </w:rPr>
              <w:t>Evaluation Values ($m, 2023-24$)</w:t>
            </w:r>
          </w:p>
        </w:tc>
        <w:tc>
          <w:tcPr>
            <w:tcW w:w="1928" w:type="dxa"/>
            <w:noWrap/>
            <w:hideMark/>
          </w:tcPr>
          <w:p w14:paraId="030E3CC9" w14:textId="0F9F35F3" w:rsidR="00AC41CC" w:rsidRPr="00D9359A" w:rsidRDefault="00AC41CC" w:rsidP="008D1C89">
            <w:pPr>
              <w:pStyle w:val="TableHeading"/>
              <w:cnfStyle w:val="100000000000" w:firstRow="1" w:lastRow="0" w:firstColumn="0" w:lastColumn="0" w:oddVBand="0" w:evenVBand="0" w:oddHBand="0" w:evenHBand="0" w:firstRowFirstColumn="0" w:firstRowLastColumn="0" w:lastRowFirstColumn="0" w:lastRowLastColumn="0"/>
              <w:rPr>
                <w:rFonts w:eastAsia="Times New Roman" w:cs="Arial"/>
                <w:b w:val="0"/>
                <w:color w:val="00338D" w:themeColor="text2"/>
                <w:szCs w:val="18"/>
                <w:lang w:eastAsia="en-AU"/>
              </w:rPr>
            </w:pPr>
            <w:r w:rsidRPr="00D9359A">
              <w:rPr>
                <w:color w:val="00338D" w:themeColor="text2"/>
                <w:lang w:eastAsia="en-AU"/>
              </w:rPr>
              <w:t> </w:t>
            </w:r>
          </w:p>
        </w:tc>
      </w:tr>
      <w:tr w:rsidR="00AC41CC" w:rsidRPr="0032576D" w14:paraId="66F682C1"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0C42A319" w14:textId="77777777" w:rsidR="001D6C89" w:rsidRPr="00D9359A" w:rsidRDefault="00E8445E" w:rsidP="00D9359A">
            <w:pPr>
              <w:spacing w:beforeLines="40" w:before="96" w:afterLines="40" w:after="96"/>
              <w:rPr>
                <w:rFonts w:eastAsia="Times New Roman" w:cs="Arial"/>
                <w:b/>
                <w:color w:val="000000"/>
                <w:sz w:val="18"/>
                <w:szCs w:val="18"/>
                <w:lang w:eastAsia="en-AU"/>
              </w:rPr>
            </w:pPr>
            <w:r w:rsidRPr="00D9359A">
              <w:rPr>
                <w:rFonts w:eastAsia="Times New Roman" w:cs="Arial"/>
                <w:b/>
                <w:color w:val="000000"/>
                <w:sz w:val="18"/>
                <w:szCs w:val="18"/>
                <w:lang w:eastAsia="en-AU"/>
              </w:rPr>
              <w:t xml:space="preserve">Program Costs </w:t>
            </w:r>
          </w:p>
          <w:p w14:paraId="013C40DA" w14:textId="585D3EE4" w:rsidR="00AC41CC" w:rsidRPr="00D9359A" w:rsidRDefault="00E8445E" w:rsidP="00D9359A">
            <w:pPr>
              <w:spacing w:beforeLines="40" w:before="96" w:afterLines="40" w:after="96"/>
              <w:rPr>
                <w:rFonts w:eastAsia="Times New Roman" w:cs="Arial"/>
                <w:b/>
                <w:color w:val="FFFFFF"/>
                <w:sz w:val="18"/>
                <w:szCs w:val="18"/>
                <w:lang w:eastAsia="en-AU"/>
              </w:rPr>
            </w:pPr>
            <w:r w:rsidRPr="00E8445E">
              <w:rPr>
                <w:rFonts w:eastAsia="Times New Roman" w:cs="Arial"/>
                <w:i/>
                <w:iCs/>
                <w:color w:val="000000"/>
                <w:sz w:val="18"/>
                <w:szCs w:val="18"/>
                <w:lang w:eastAsia="en-AU"/>
              </w:rPr>
              <w:t>Incl</w:t>
            </w:r>
            <w:r>
              <w:rPr>
                <w:rFonts w:eastAsia="Times New Roman" w:cs="Arial"/>
                <w:i/>
                <w:iCs/>
                <w:color w:val="000000"/>
                <w:sz w:val="18"/>
                <w:szCs w:val="18"/>
                <w:lang w:eastAsia="en-AU"/>
              </w:rPr>
              <w:t>uding</w:t>
            </w:r>
            <w:r w:rsidRPr="00E8445E">
              <w:rPr>
                <w:rFonts w:eastAsia="Times New Roman" w:cs="Arial"/>
                <w:i/>
                <w:iCs/>
                <w:color w:val="000000"/>
                <w:sz w:val="18"/>
                <w:szCs w:val="18"/>
                <w:lang w:eastAsia="en-AU"/>
              </w:rPr>
              <w:t xml:space="preserve"> program delivery, third party and head-leasing costs</w:t>
            </w:r>
          </w:p>
        </w:tc>
        <w:tc>
          <w:tcPr>
            <w:tcW w:w="1928" w:type="dxa"/>
            <w:hideMark/>
          </w:tcPr>
          <w:p w14:paraId="7F908976" w14:textId="77777777"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FFFFFF"/>
                <w:sz w:val="18"/>
                <w:szCs w:val="18"/>
                <w:lang w:eastAsia="en-AU"/>
              </w:rPr>
            </w:pPr>
            <w:r w:rsidRPr="00D9359A">
              <w:rPr>
                <w:rFonts w:eastAsia="Times New Roman" w:cs="Arial"/>
                <w:b/>
                <w:color w:val="FFFFFF"/>
                <w:sz w:val="18"/>
                <w:szCs w:val="18"/>
                <w:lang w:eastAsia="en-AU"/>
              </w:rPr>
              <w:t> </w:t>
            </w:r>
          </w:p>
        </w:tc>
      </w:tr>
      <w:tr w:rsidR="00AC41CC" w:rsidRPr="00E8445E" w14:paraId="319114BF"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1A031A7B" w14:textId="3F0A6A82" w:rsidR="00AC41CC" w:rsidRPr="00D9359A" w:rsidRDefault="00E8445E" w:rsidP="00D9359A">
            <w:pPr>
              <w:spacing w:beforeLines="40" w:before="96" w:afterLines="40" w:after="96"/>
              <w:rPr>
                <w:rFonts w:eastAsia="Times New Roman" w:cs="Arial"/>
                <w:b/>
                <w:color w:val="000000"/>
                <w:sz w:val="18"/>
                <w:szCs w:val="18"/>
                <w:lang w:eastAsia="en-AU"/>
              </w:rPr>
            </w:pPr>
            <w:r w:rsidRPr="00D9359A">
              <w:rPr>
                <w:rFonts w:eastAsia="Times New Roman" w:cs="Arial"/>
                <w:b/>
                <w:color w:val="000000"/>
                <w:sz w:val="18"/>
                <w:szCs w:val="18"/>
                <w:lang w:eastAsia="en-AU"/>
              </w:rPr>
              <w:t>Total costs</w:t>
            </w:r>
          </w:p>
        </w:tc>
        <w:tc>
          <w:tcPr>
            <w:tcW w:w="1928" w:type="dxa"/>
            <w:noWrap/>
            <w:hideMark/>
          </w:tcPr>
          <w:p w14:paraId="041B9789" w14:textId="77777777"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AU"/>
              </w:rPr>
            </w:pPr>
            <w:r w:rsidRPr="00D9359A">
              <w:rPr>
                <w:rFonts w:eastAsia="Times New Roman" w:cs="Arial"/>
                <w:b/>
                <w:color w:val="000000"/>
                <w:sz w:val="18"/>
                <w:szCs w:val="18"/>
                <w:lang w:eastAsia="en-AU"/>
              </w:rPr>
              <w:t>15.61 M</w:t>
            </w:r>
          </w:p>
        </w:tc>
      </w:tr>
      <w:tr w:rsidR="00B24FDD" w:rsidRPr="0032576D" w14:paraId="0A2D6150"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40704593" w14:textId="05BAD8F0" w:rsidR="00B24FDD" w:rsidRPr="00D9359A" w:rsidRDefault="00B24FDD" w:rsidP="00D9359A">
            <w:pPr>
              <w:spacing w:beforeLines="40" w:before="96" w:afterLines="40" w:after="96"/>
              <w:rPr>
                <w:rFonts w:eastAsia="Times New Roman" w:cs="Arial"/>
                <w:b/>
                <w:color w:val="000000"/>
                <w:sz w:val="18"/>
                <w:szCs w:val="18"/>
                <w:lang w:eastAsia="en-AU"/>
              </w:rPr>
            </w:pPr>
            <w:r w:rsidRPr="00D9359A">
              <w:rPr>
                <w:rFonts w:eastAsia="Times New Roman" w:cs="Arial"/>
                <w:b/>
                <w:color w:val="000000"/>
                <w:sz w:val="18"/>
                <w:szCs w:val="18"/>
                <w:lang w:eastAsia="en-AU"/>
              </w:rPr>
              <w:t xml:space="preserve">Avoided cost benefits </w:t>
            </w:r>
            <w:r w:rsidRPr="001D6C89">
              <w:rPr>
                <w:rFonts w:eastAsia="Times New Roman" w:cs="Arial"/>
                <w:i/>
                <w:iCs/>
                <w:color w:val="000000"/>
                <w:sz w:val="18"/>
                <w:szCs w:val="18"/>
                <w:lang w:eastAsia="en-AU"/>
              </w:rPr>
              <w:t>Based on the analysis of J2SI PAD clients</w:t>
            </w:r>
            <w:r>
              <w:rPr>
                <w:rFonts w:eastAsia="Times New Roman" w:cs="Arial"/>
                <w:i/>
                <w:iCs/>
                <w:color w:val="000000"/>
                <w:sz w:val="18"/>
                <w:szCs w:val="18"/>
                <w:lang w:eastAsia="en-AU"/>
              </w:rPr>
              <w:t>’</w:t>
            </w:r>
            <w:r w:rsidRPr="001D6C89">
              <w:rPr>
                <w:rFonts w:eastAsia="Times New Roman" w:cs="Arial"/>
                <w:i/>
                <w:iCs/>
                <w:color w:val="000000"/>
                <w:sz w:val="18"/>
                <w:szCs w:val="18"/>
                <w:lang w:eastAsia="en-AU"/>
              </w:rPr>
              <w:t xml:space="preserve"> service use in VSIIDR relative to the counterfactual of not participating in the program</w:t>
            </w:r>
          </w:p>
        </w:tc>
        <w:tc>
          <w:tcPr>
            <w:tcW w:w="1928" w:type="dxa"/>
            <w:shd w:val="clear" w:color="auto" w:fill="F0F0F0" w:themeFill="background2"/>
          </w:tcPr>
          <w:p w14:paraId="42D89733" w14:textId="0EB6612E" w:rsidR="00B24FDD" w:rsidRPr="00D9359A" w:rsidRDefault="00B24FDD" w:rsidP="00D9359A">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Times New Roman" w:cs="Arial"/>
                <w:b/>
                <w:i/>
                <w:color w:val="FFFFFF"/>
                <w:sz w:val="18"/>
                <w:szCs w:val="18"/>
                <w:lang w:eastAsia="en-AU"/>
              </w:rPr>
            </w:pPr>
          </w:p>
        </w:tc>
      </w:tr>
      <w:tr w:rsidR="00AC41CC" w:rsidRPr="0032576D" w14:paraId="2BD78695"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17A843B5" w14:textId="77777777"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ED</w:t>
            </w:r>
          </w:p>
        </w:tc>
        <w:tc>
          <w:tcPr>
            <w:tcW w:w="1928" w:type="dxa"/>
            <w:noWrap/>
            <w:hideMark/>
          </w:tcPr>
          <w:p w14:paraId="2D3A2CDB" w14:textId="77777777"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sidRPr="00D9359A">
              <w:rPr>
                <w:rFonts w:eastAsia="Times New Roman" w:cs="Arial"/>
                <w:color w:val="auto"/>
                <w:sz w:val="18"/>
                <w:szCs w:val="18"/>
                <w:lang w:eastAsia="en-AU"/>
              </w:rPr>
              <w:t>0.41 M</w:t>
            </w:r>
          </w:p>
        </w:tc>
      </w:tr>
      <w:tr w:rsidR="00AC41CC" w:rsidRPr="0032576D" w14:paraId="48ABF7C8"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0652BE60" w14:textId="77777777"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Acute</w:t>
            </w:r>
          </w:p>
        </w:tc>
        <w:tc>
          <w:tcPr>
            <w:tcW w:w="1928" w:type="dxa"/>
            <w:noWrap/>
            <w:hideMark/>
          </w:tcPr>
          <w:p w14:paraId="2F5E1DDA" w14:textId="3DB379B4" w:rsidR="00AC41CC" w:rsidRPr="00D9359A" w:rsidRDefault="0001797D"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Pr>
                <w:rFonts w:eastAsia="Times New Roman" w:cs="Arial"/>
                <w:color w:val="auto"/>
                <w:sz w:val="18"/>
                <w:szCs w:val="18"/>
                <w:lang w:eastAsia="en-AU"/>
              </w:rPr>
              <w:t>2.10</w:t>
            </w:r>
            <w:r w:rsidR="00AC41CC" w:rsidRPr="00D9359A">
              <w:rPr>
                <w:rFonts w:eastAsia="Times New Roman" w:cs="Arial"/>
                <w:color w:val="auto"/>
                <w:sz w:val="18"/>
                <w:szCs w:val="18"/>
                <w:lang w:eastAsia="en-AU"/>
              </w:rPr>
              <w:t xml:space="preserve"> M</w:t>
            </w:r>
          </w:p>
        </w:tc>
      </w:tr>
      <w:tr w:rsidR="00AC41CC" w:rsidRPr="0032576D" w14:paraId="56627D8E"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084D875B" w14:textId="77777777"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Non-admitted care</w:t>
            </w:r>
          </w:p>
        </w:tc>
        <w:tc>
          <w:tcPr>
            <w:tcW w:w="1928" w:type="dxa"/>
            <w:noWrap/>
            <w:hideMark/>
          </w:tcPr>
          <w:p w14:paraId="214E5D6A" w14:textId="77777777"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sidRPr="00D9359A">
              <w:rPr>
                <w:rFonts w:eastAsia="Times New Roman" w:cs="Arial"/>
                <w:color w:val="auto"/>
                <w:sz w:val="18"/>
                <w:szCs w:val="18"/>
                <w:lang w:eastAsia="en-AU"/>
              </w:rPr>
              <w:t>0.02 M</w:t>
            </w:r>
          </w:p>
        </w:tc>
      </w:tr>
      <w:tr w:rsidR="00AC41CC" w:rsidRPr="0032576D" w14:paraId="3BA1C940"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1B778675" w14:textId="77777777"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Community health</w:t>
            </w:r>
          </w:p>
        </w:tc>
        <w:tc>
          <w:tcPr>
            <w:tcW w:w="1928" w:type="dxa"/>
            <w:noWrap/>
            <w:hideMark/>
          </w:tcPr>
          <w:p w14:paraId="536DF01F" w14:textId="2950C323" w:rsidR="00AC41CC" w:rsidRPr="00D9359A" w:rsidRDefault="0001797D"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Pr>
                <w:rFonts w:eastAsia="Times New Roman" w:cs="Arial"/>
                <w:color w:val="auto"/>
                <w:sz w:val="18"/>
                <w:szCs w:val="18"/>
                <w:lang w:eastAsia="en-AU"/>
              </w:rPr>
              <w:t>-0.12</w:t>
            </w:r>
            <w:r w:rsidR="00AC41CC" w:rsidRPr="00D9359A">
              <w:rPr>
                <w:rFonts w:eastAsia="Times New Roman" w:cs="Arial"/>
                <w:color w:val="auto"/>
                <w:sz w:val="18"/>
                <w:szCs w:val="18"/>
                <w:lang w:eastAsia="en-AU"/>
              </w:rPr>
              <w:t xml:space="preserve"> M</w:t>
            </w:r>
          </w:p>
        </w:tc>
      </w:tr>
      <w:tr w:rsidR="00543335" w:rsidRPr="0032576D" w14:paraId="46417855"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tcPr>
          <w:p w14:paraId="1E90352A" w14:textId="5D1090A2" w:rsidR="00543335" w:rsidRPr="00D9359A" w:rsidRDefault="00543335" w:rsidP="00D9359A">
            <w:pPr>
              <w:spacing w:beforeLines="40" w:before="96" w:afterLines="40" w:after="96"/>
              <w:rPr>
                <w:rFonts w:eastAsia="Times New Roman" w:cs="Arial"/>
                <w:color w:val="000000"/>
                <w:sz w:val="18"/>
                <w:szCs w:val="18"/>
                <w:lang w:eastAsia="en-AU"/>
              </w:rPr>
            </w:pPr>
            <w:r>
              <w:rPr>
                <w:rFonts w:eastAsia="Times New Roman" w:cs="Arial"/>
                <w:color w:val="000000"/>
                <w:sz w:val="18"/>
                <w:szCs w:val="18"/>
                <w:lang w:eastAsia="en-AU"/>
              </w:rPr>
              <w:t>Community mental health</w:t>
            </w:r>
          </w:p>
        </w:tc>
        <w:tc>
          <w:tcPr>
            <w:tcW w:w="1928" w:type="dxa"/>
            <w:noWrap/>
          </w:tcPr>
          <w:p w14:paraId="1D544E03" w14:textId="3CEB2C0B" w:rsidR="00543335" w:rsidRPr="00D9359A" w:rsidRDefault="00D624D2"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Pr>
                <w:rFonts w:eastAsia="Times New Roman" w:cs="Arial"/>
                <w:color w:val="auto"/>
                <w:sz w:val="18"/>
                <w:szCs w:val="18"/>
                <w:lang w:eastAsia="en-AU"/>
              </w:rPr>
              <w:t>0.20 M</w:t>
            </w:r>
          </w:p>
        </w:tc>
      </w:tr>
      <w:tr w:rsidR="00AC41CC" w:rsidRPr="0032576D" w14:paraId="5A994DDF"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48B27CFB" w14:textId="77777777"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Clinical mental health</w:t>
            </w:r>
          </w:p>
        </w:tc>
        <w:tc>
          <w:tcPr>
            <w:tcW w:w="1928" w:type="dxa"/>
            <w:noWrap/>
            <w:hideMark/>
          </w:tcPr>
          <w:p w14:paraId="02719622" w14:textId="5A4C05C8"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sidRPr="00D9359A">
              <w:rPr>
                <w:rFonts w:eastAsia="Times New Roman" w:cs="Arial"/>
                <w:color w:val="auto"/>
                <w:sz w:val="18"/>
                <w:szCs w:val="18"/>
                <w:lang w:eastAsia="en-AU"/>
              </w:rPr>
              <w:t>3.</w:t>
            </w:r>
            <w:r w:rsidR="00850160">
              <w:rPr>
                <w:rFonts w:eastAsia="Times New Roman" w:cs="Arial"/>
                <w:color w:val="auto"/>
                <w:sz w:val="18"/>
                <w:szCs w:val="18"/>
                <w:lang w:eastAsia="en-AU"/>
              </w:rPr>
              <w:t>61</w:t>
            </w:r>
            <w:r w:rsidR="00D624D2">
              <w:rPr>
                <w:rFonts w:eastAsia="Times New Roman" w:cs="Arial"/>
                <w:color w:val="auto"/>
                <w:sz w:val="18"/>
                <w:szCs w:val="18"/>
                <w:lang w:eastAsia="en-AU"/>
              </w:rPr>
              <w:t xml:space="preserve"> </w:t>
            </w:r>
            <w:r w:rsidRPr="00D9359A">
              <w:rPr>
                <w:rFonts w:eastAsia="Times New Roman" w:cs="Arial"/>
                <w:color w:val="auto"/>
                <w:sz w:val="18"/>
                <w:szCs w:val="18"/>
                <w:lang w:eastAsia="en-AU"/>
              </w:rPr>
              <w:t>M</w:t>
            </w:r>
          </w:p>
        </w:tc>
      </w:tr>
      <w:tr w:rsidR="00AC41CC" w:rsidRPr="0032576D" w14:paraId="5C20AFFC"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464D54B5" w14:textId="2A6631A2" w:rsidR="00AC41CC" w:rsidRPr="00D9359A" w:rsidRDefault="00262838" w:rsidP="00D9359A">
            <w:pPr>
              <w:spacing w:beforeLines="40" w:before="96" w:afterLines="40" w:after="96"/>
              <w:rPr>
                <w:rFonts w:eastAsia="Times New Roman" w:cs="Arial"/>
                <w:color w:val="000000"/>
                <w:sz w:val="18"/>
                <w:szCs w:val="18"/>
                <w:lang w:eastAsia="en-AU"/>
              </w:rPr>
            </w:pPr>
            <w:r>
              <w:rPr>
                <w:rFonts w:eastAsia="Times New Roman" w:cs="Arial"/>
                <w:color w:val="000000"/>
                <w:sz w:val="18"/>
                <w:szCs w:val="18"/>
                <w:lang w:eastAsia="en-AU"/>
              </w:rPr>
              <w:t>Homelessness services</w:t>
            </w:r>
          </w:p>
        </w:tc>
        <w:tc>
          <w:tcPr>
            <w:tcW w:w="1928" w:type="dxa"/>
            <w:noWrap/>
            <w:hideMark/>
          </w:tcPr>
          <w:p w14:paraId="1FB7756E" w14:textId="2D8AEEF7"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sidRPr="00D9359A">
              <w:rPr>
                <w:rFonts w:eastAsia="Times New Roman" w:cs="Arial"/>
                <w:color w:val="auto"/>
                <w:sz w:val="18"/>
                <w:szCs w:val="18"/>
                <w:lang w:eastAsia="en-AU"/>
              </w:rPr>
              <w:t>8.</w:t>
            </w:r>
            <w:r w:rsidR="00E94952">
              <w:rPr>
                <w:rFonts w:eastAsia="Times New Roman" w:cs="Arial"/>
                <w:color w:val="auto"/>
                <w:sz w:val="18"/>
                <w:szCs w:val="18"/>
                <w:lang w:eastAsia="en-AU"/>
              </w:rPr>
              <w:t>85</w:t>
            </w:r>
            <w:r w:rsidRPr="00D9359A">
              <w:rPr>
                <w:rFonts w:eastAsia="Times New Roman" w:cs="Arial"/>
                <w:color w:val="auto"/>
                <w:sz w:val="18"/>
                <w:szCs w:val="18"/>
                <w:lang w:eastAsia="en-AU"/>
              </w:rPr>
              <w:t xml:space="preserve"> M</w:t>
            </w:r>
          </w:p>
        </w:tc>
      </w:tr>
      <w:tr w:rsidR="00AC41CC" w:rsidRPr="0032576D" w14:paraId="452E4CA5"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6D0C4B22" w14:textId="77777777"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Corrections</w:t>
            </w:r>
          </w:p>
        </w:tc>
        <w:tc>
          <w:tcPr>
            <w:tcW w:w="1928" w:type="dxa"/>
            <w:noWrap/>
            <w:hideMark/>
          </w:tcPr>
          <w:p w14:paraId="0BAB4979" w14:textId="45FE4EC6"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sidRPr="00D9359A">
              <w:rPr>
                <w:rFonts w:eastAsia="Times New Roman" w:cs="Arial"/>
                <w:color w:val="auto"/>
                <w:sz w:val="18"/>
                <w:szCs w:val="18"/>
                <w:lang w:eastAsia="en-AU"/>
              </w:rPr>
              <w:t>4.</w:t>
            </w:r>
            <w:r w:rsidR="008742E3">
              <w:rPr>
                <w:rFonts w:eastAsia="Times New Roman" w:cs="Arial"/>
                <w:color w:val="auto"/>
                <w:sz w:val="18"/>
                <w:szCs w:val="18"/>
                <w:lang w:eastAsia="en-AU"/>
              </w:rPr>
              <w:t>54</w:t>
            </w:r>
            <w:r w:rsidRPr="00D9359A">
              <w:rPr>
                <w:rFonts w:eastAsia="Times New Roman" w:cs="Arial"/>
                <w:color w:val="auto"/>
                <w:sz w:val="18"/>
                <w:szCs w:val="18"/>
                <w:lang w:eastAsia="en-AU"/>
              </w:rPr>
              <w:t xml:space="preserve"> M</w:t>
            </w:r>
          </w:p>
        </w:tc>
      </w:tr>
      <w:tr w:rsidR="00A61CC5" w:rsidRPr="0032576D" w14:paraId="380C1604"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tcPr>
          <w:p w14:paraId="22629A78" w14:textId="3D09005F" w:rsidR="00A61CC5" w:rsidRPr="00D9359A" w:rsidRDefault="00A61CC5" w:rsidP="00A61CC5">
            <w:pPr>
              <w:spacing w:beforeLines="40" w:before="96" w:afterLines="40" w:after="96"/>
              <w:rPr>
                <w:rFonts w:eastAsia="Times New Roman" w:cs="Arial"/>
                <w:color w:val="000000"/>
                <w:sz w:val="18"/>
                <w:szCs w:val="18"/>
                <w:lang w:eastAsia="en-AU"/>
              </w:rPr>
            </w:pPr>
            <w:r w:rsidRPr="003C67D4">
              <w:rPr>
                <w:sz w:val="18"/>
                <w:szCs w:val="20"/>
              </w:rPr>
              <w:t>Ambulance</w:t>
            </w:r>
          </w:p>
        </w:tc>
        <w:tc>
          <w:tcPr>
            <w:tcW w:w="1928" w:type="dxa"/>
            <w:noWrap/>
          </w:tcPr>
          <w:p w14:paraId="3BCCBA19" w14:textId="7D20AB09" w:rsidR="00A61CC5" w:rsidRPr="00A61CC5" w:rsidRDefault="00A61CC5" w:rsidP="00A61CC5">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20"/>
                <w:lang w:eastAsia="en-AU"/>
              </w:rPr>
            </w:pPr>
            <w:r w:rsidRPr="003C67D4">
              <w:rPr>
                <w:sz w:val="18"/>
                <w:szCs w:val="20"/>
              </w:rPr>
              <w:t>0.72 M</w:t>
            </w:r>
          </w:p>
        </w:tc>
      </w:tr>
      <w:tr w:rsidR="00A61CC5" w:rsidRPr="0032576D" w14:paraId="793B1283"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tcPr>
          <w:p w14:paraId="65DE82AC" w14:textId="1D601F6B" w:rsidR="00A61CC5" w:rsidRPr="00D9359A" w:rsidRDefault="00A61CC5" w:rsidP="00A61CC5">
            <w:pPr>
              <w:spacing w:beforeLines="40" w:before="96" w:afterLines="40" w:after="96"/>
              <w:rPr>
                <w:rFonts w:eastAsia="Times New Roman" w:cs="Arial"/>
                <w:color w:val="000000"/>
                <w:sz w:val="18"/>
                <w:szCs w:val="18"/>
                <w:lang w:eastAsia="en-AU"/>
              </w:rPr>
            </w:pPr>
            <w:r w:rsidRPr="003C67D4">
              <w:rPr>
                <w:sz w:val="18"/>
                <w:szCs w:val="20"/>
              </w:rPr>
              <w:t>Family violence &amp; sexual assault services</w:t>
            </w:r>
          </w:p>
        </w:tc>
        <w:tc>
          <w:tcPr>
            <w:tcW w:w="1928" w:type="dxa"/>
            <w:noWrap/>
          </w:tcPr>
          <w:p w14:paraId="2448002A" w14:textId="694E642A" w:rsidR="00A61CC5" w:rsidRPr="00A61CC5" w:rsidRDefault="00A61CC5" w:rsidP="00A61CC5">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20"/>
                <w:lang w:eastAsia="en-AU"/>
              </w:rPr>
            </w:pPr>
            <w:r w:rsidRPr="003C67D4">
              <w:rPr>
                <w:sz w:val="18"/>
                <w:szCs w:val="20"/>
              </w:rPr>
              <w:t>-0.64 M</w:t>
            </w:r>
          </w:p>
        </w:tc>
      </w:tr>
      <w:tr w:rsidR="00B24FDD" w:rsidRPr="0032576D" w14:paraId="455F1276"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640497CC" w14:textId="77777777" w:rsidR="00B24FDD" w:rsidRPr="00E8445E" w:rsidRDefault="00B24FDD" w:rsidP="00D9359A">
            <w:pPr>
              <w:spacing w:beforeLines="40" w:before="96" w:afterLines="40" w:after="96"/>
              <w:rPr>
                <w:rFonts w:eastAsia="Times New Roman" w:cs="Arial"/>
                <w:i/>
                <w:iCs/>
                <w:color w:val="000000"/>
                <w:sz w:val="18"/>
                <w:szCs w:val="18"/>
                <w:lang w:eastAsia="en-AU"/>
              </w:rPr>
            </w:pPr>
            <w:r w:rsidRPr="00D9359A">
              <w:rPr>
                <w:rFonts w:eastAsia="Times New Roman" w:cs="Arial"/>
                <w:b/>
                <w:color w:val="000000"/>
                <w:sz w:val="18"/>
                <w:szCs w:val="18"/>
                <w:lang w:eastAsia="en-AU"/>
              </w:rPr>
              <w:t>Quality of life benefit</w:t>
            </w:r>
            <w:r w:rsidRPr="00E8445E">
              <w:rPr>
                <w:rFonts w:eastAsia="Times New Roman" w:cs="Arial"/>
                <w:i/>
                <w:iCs/>
                <w:color w:val="000000"/>
                <w:sz w:val="18"/>
                <w:szCs w:val="18"/>
                <w:lang w:eastAsia="en-AU"/>
              </w:rPr>
              <w:t xml:space="preserve"> </w:t>
            </w:r>
            <w:r w:rsidRPr="00E8445E">
              <w:rPr>
                <w:rFonts w:eastAsia="Times New Roman" w:cs="Arial"/>
                <w:i/>
                <w:iCs/>
                <w:color w:val="000000"/>
                <w:sz w:val="18"/>
                <w:szCs w:val="18"/>
                <w:lang w:eastAsia="en-AU"/>
              </w:rPr>
              <w:br/>
            </w:r>
            <w:r>
              <w:rPr>
                <w:rFonts w:eastAsia="Times New Roman" w:cs="Arial"/>
                <w:i/>
                <w:iCs/>
                <w:color w:val="000000"/>
                <w:sz w:val="18"/>
                <w:szCs w:val="18"/>
                <w:lang w:eastAsia="en-AU"/>
              </w:rPr>
              <w:t>Associated with being in stable housing relative to not participating in the program</w:t>
            </w:r>
            <w:r w:rsidRPr="00E8445E">
              <w:rPr>
                <w:rFonts w:eastAsia="Times New Roman" w:cs="Arial"/>
                <w:i/>
                <w:iCs/>
                <w:color w:val="000000"/>
                <w:sz w:val="18"/>
                <w:szCs w:val="18"/>
                <w:lang w:eastAsia="en-AU"/>
              </w:rPr>
              <w:t xml:space="preserve"> </w:t>
            </w:r>
          </w:p>
        </w:tc>
        <w:tc>
          <w:tcPr>
            <w:tcW w:w="1928" w:type="dxa"/>
            <w:shd w:val="clear" w:color="auto" w:fill="F0F0F0" w:themeFill="background2"/>
          </w:tcPr>
          <w:p w14:paraId="41326525" w14:textId="1CEDA5F6" w:rsidR="00B24FDD" w:rsidRPr="00E8445E" w:rsidRDefault="00B24FDD" w:rsidP="00D9359A">
            <w:pPr>
              <w:spacing w:beforeLines="40" w:before="96" w:afterLines="40" w:after="96"/>
              <w:cnfStyle w:val="000000000000" w:firstRow="0" w:lastRow="0" w:firstColumn="0" w:lastColumn="0" w:oddVBand="0" w:evenVBand="0" w:oddHBand="0" w:evenHBand="0" w:firstRowFirstColumn="0" w:firstRowLastColumn="0" w:lastRowFirstColumn="0" w:lastRowLastColumn="0"/>
              <w:rPr>
                <w:rFonts w:eastAsia="Times New Roman" w:cs="Arial"/>
                <w:i/>
                <w:iCs/>
                <w:color w:val="000000"/>
                <w:sz w:val="18"/>
                <w:szCs w:val="18"/>
                <w:lang w:eastAsia="en-AU"/>
              </w:rPr>
            </w:pPr>
          </w:p>
        </w:tc>
      </w:tr>
      <w:tr w:rsidR="00AC41CC" w:rsidRPr="0032576D" w14:paraId="0F94F0D2"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6B54006C" w14:textId="6C7D849F" w:rsidR="00AC41CC" w:rsidRPr="00D9359A" w:rsidRDefault="00AC41CC" w:rsidP="00D9359A">
            <w:pPr>
              <w:spacing w:beforeLines="40" w:before="96" w:afterLines="40" w:after="96"/>
              <w:rPr>
                <w:rFonts w:eastAsia="Times New Roman" w:cs="Arial"/>
                <w:color w:val="000000"/>
                <w:sz w:val="18"/>
                <w:szCs w:val="18"/>
                <w:lang w:eastAsia="en-AU"/>
              </w:rPr>
            </w:pPr>
            <w:r w:rsidRPr="00D9359A">
              <w:rPr>
                <w:rFonts w:eastAsia="Times New Roman" w:cs="Arial"/>
                <w:color w:val="000000"/>
                <w:sz w:val="18"/>
                <w:szCs w:val="18"/>
                <w:lang w:eastAsia="en-AU"/>
              </w:rPr>
              <w:t xml:space="preserve">Improvement in </w:t>
            </w:r>
            <w:r w:rsidR="00B53241" w:rsidRPr="00B53241">
              <w:rPr>
                <w:rFonts w:eastAsia="Times New Roman" w:cs="Arial"/>
                <w:color w:val="000000"/>
                <w:sz w:val="18"/>
                <w:szCs w:val="18"/>
                <w:lang w:eastAsia="en-AU"/>
              </w:rPr>
              <w:t>Quality Adjusted Life Years Quality Adjusted Life Years</w:t>
            </w:r>
            <w:r w:rsidRPr="00D9359A">
              <w:rPr>
                <w:rFonts w:eastAsia="Times New Roman" w:cs="Arial"/>
                <w:color w:val="000000"/>
                <w:sz w:val="18"/>
                <w:szCs w:val="18"/>
                <w:lang w:eastAsia="en-AU"/>
              </w:rPr>
              <w:t xml:space="preserve"> </w:t>
            </w:r>
          </w:p>
        </w:tc>
        <w:tc>
          <w:tcPr>
            <w:tcW w:w="1928" w:type="dxa"/>
            <w:noWrap/>
            <w:hideMark/>
          </w:tcPr>
          <w:p w14:paraId="10A11AFC" w14:textId="4820E1FD" w:rsidR="00AC41CC" w:rsidRPr="00D9359A" w:rsidRDefault="00AC3AD4"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color w:val="auto"/>
                <w:sz w:val="18"/>
                <w:szCs w:val="18"/>
                <w:lang w:eastAsia="en-AU"/>
              </w:rPr>
            </w:pPr>
            <w:r>
              <w:rPr>
                <w:rFonts w:eastAsia="Times New Roman" w:cs="Arial"/>
                <w:color w:val="auto"/>
                <w:sz w:val="18"/>
                <w:szCs w:val="18"/>
                <w:lang w:eastAsia="en-AU"/>
              </w:rPr>
              <w:t xml:space="preserve">14.6 </w:t>
            </w:r>
            <w:r w:rsidR="00AC41CC" w:rsidRPr="00D9359A">
              <w:rPr>
                <w:rFonts w:eastAsia="Times New Roman" w:cs="Arial"/>
                <w:color w:val="auto"/>
                <w:sz w:val="18"/>
                <w:szCs w:val="18"/>
                <w:lang w:eastAsia="en-AU"/>
              </w:rPr>
              <w:t>M</w:t>
            </w:r>
          </w:p>
        </w:tc>
      </w:tr>
      <w:tr w:rsidR="00AC41CC" w:rsidRPr="0032576D" w14:paraId="29150DCF" w14:textId="77777777" w:rsidTr="00B24FDD">
        <w:tc>
          <w:tcPr>
            <w:cnfStyle w:val="001000000000" w:firstRow="0" w:lastRow="0" w:firstColumn="1" w:lastColumn="0" w:oddVBand="0" w:evenVBand="0" w:oddHBand="0" w:evenHBand="0" w:firstRowFirstColumn="0" w:firstRowLastColumn="0" w:lastRowFirstColumn="0" w:lastRowLastColumn="0"/>
            <w:tcW w:w="8171" w:type="dxa"/>
            <w:noWrap/>
            <w:hideMark/>
          </w:tcPr>
          <w:p w14:paraId="5FE74F66" w14:textId="73B41AC7" w:rsidR="00AC41CC" w:rsidRPr="00D9359A" w:rsidRDefault="00E8445E" w:rsidP="00D9359A">
            <w:pPr>
              <w:spacing w:beforeLines="40" w:before="96" w:afterLines="40" w:after="96"/>
              <w:rPr>
                <w:rFonts w:eastAsia="Times New Roman" w:cs="Arial"/>
                <w:b/>
                <w:color w:val="000000"/>
                <w:sz w:val="18"/>
                <w:szCs w:val="18"/>
                <w:lang w:eastAsia="en-AU"/>
              </w:rPr>
            </w:pPr>
            <w:r w:rsidRPr="00D9359A">
              <w:rPr>
                <w:rFonts w:eastAsia="Times New Roman" w:cs="Arial"/>
                <w:b/>
                <w:color w:val="000000"/>
                <w:sz w:val="18"/>
                <w:szCs w:val="18"/>
                <w:lang w:eastAsia="en-AU"/>
              </w:rPr>
              <w:t>Total benefits</w:t>
            </w:r>
          </w:p>
        </w:tc>
        <w:tc>
          <w:tcPr>
            <w:tcW w:w="1928" w:type="dxa"/>
            <w:noWrap/>
            <w:hideMark/>
          </w:tcPr>
          <w:p w14:paraId="47DDF537" w14:textId="69E6DAC4" w:rsidR="00AC41CC" w:rsidRPr="00D9359A" w:rsidRDefault="000836C6"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auto"/>
                <w:sz w:val="18"/>
                <w:szCs w:val="18"/>
                <w:lang w:eastAsia="en-AU"/>
              </w:rPr>
            </w:pPr>
            <w:r>
              <w:rPr>
                <w:rFonts w:eastAsia="Times New Roman" w:cs="Arial"/>
                <w:b/>
                <w:color w:val="auto"/>
                <w:sz w:val="18"/>
                <w:szCs w:val="18"/>
                <w:lang w:eastAsia="en-AU"/>
              </w:rPr>
              <w:t>34.</w:t>
            </w:r>
            <w:r w:rsidR="00850160">
              <w:rPr>
                <w:rFonts w:eastAsia="Times New Roman" w:cs="Arial"/>
                <w:b/>
                <w:color w:val="auto"/>
                <w:sz w:val="18"/>
                <w:szCs w:val="18"/>
                <w:lang w:eastAsia="en-AU"/>
              </w:rPr>
              <w:t>29</w:t>
            </w:r>
            <w:r w:rsidR="00A90FEE">
              <w:rPr>
                <w:rFonts w:eastAsia="Times New Roman" w:cs="Arial"/>
                <w:b/>
                <w:color w:val="auto"/>
                <w:sz w:val="18"/>
                <w:szCs w:val="18"/>
                <w:lang w:eastAsia="en-AU"/>
              </w:rPr>
              <w:t xml:space="preserve"> </w:t>
            </w:r>
            <w:r w:rsidR="00AC41CC" w:rsidRPr="00D9359A">
              <w:rPr>
                <w:rFonts w:eastAsia="Times New Roman" w:cs="Arial"/>
                <w:b/>
                <w:color w:val="auto"/>
                <w:sz w:val="18"/>
                <w:szCs w:val="18"/>
                <w:lang w:eastAsia="en-AU"/>
              </w:rPr>
              <w:t>M</w:t>
            </w:r>
          </w:p>
        </w:tc>
      </w:tr>
      <w:tr w:rsidR="00AC41CC" w:rsidRPr="0032576D" w14:paraId="073EB9E6"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27BF74F9" w14:textId="77777777" w:rsidR="00AC41CC" w:rsidRPr="00D9359A" w:rsidRDefault="00AC41CC" w:rsidP="00D9359A">
            <w:pPr>
              <w:spacing w:beforeLines="40" w:before="96" w:afterLines="40" w:after="96"/>
              <w:rPr>
                <w:rFonts w:eastAsia="Times New Roman" w:cs="Arial"/>
                <w:b/>
                <w:color w:val="auto"/>
                <w:sz w:val="18"/>
                <w:szCs w:val="18"/>
                <w:lang w:eastAsia="en-AU"/>
              </w:rPr>
            </w:pPr>
            <w:r w:rsidRPr="00D9359A">
              <w:rPr>
                <w:rFonts w:eastAsia="Times New Roman" w:cs="Arial"/>
                <w:b/>
                <w:color w:val="auto"/>
                <w:sz w:val="18"/>
                <w:szCs w:val="18"/>
                <w:lang w:eastAsia="en-AU"/>
              </w:rPr>
              <w:t>Results - Economic Performance Measures</w:t>
            </w:r>
          </w:p>
        </w:tc>
        <w:tc>
          <w:tcPr>
            <w:tcW w:w="1928" w:type="dxa"/>
            <w:hideMark/>
          </w:tcPr>
          <w:p w14:paraId="76F745D3" w14:textId="77777777" w:rsidR="00AC41CC" w:rsidRPr="00D9359A" w:rsidRDefault="00AC41CC"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auto"/>
                <w:sz w:val="18"/>
                <w:szCs w:val="18"/>
                <w:lang w:eastAsia="en-AU"/>
              </w:rPr>
            </w:pPr>
            <w:r w:rsidRPr="00D9359A">
              <w:rPr>
                <w:rFonts w:eastAsia="Times New Roman" w:cs="Arial"/>
                <w:b/>
                <w:color w:val="auto"/>
                <w:sz w:val="18"/>
                <w:szCs w:val="18"/>
                <w:lang w:eastAsia="en-AU"/>
              </w:rPr>
              <w:t> </w:t>
            </w:r>
          </w:p>
        </w:tc>
      </w:tr>
      <w:tr w:rsidR="00AC41CC" w:rsidRPr="0032576D" w14:paraId="518327F0"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0C6E64FB" w14:textId="77777777" w:rsidR="00AC41CC" w:rsidRPr="00D9359A" w:rsidRDefault="00AC41CC" w:rsidP="00D9359A">
            <w:pPr>
              <w:spacing w:beforeLines="40" w:before="96" w:afterLines="40" w:after="96"/>
              <w:rPr>
                <w:rFonts w:eastAsia="Times New Roman" w:cs="Arial"/>
                <w:b/>
                <w:color w:val="1E49E2" w:themeColor="accent1"/>
                <w:sz w:val="18"/>
                <w:szCs w:val="18"/>
                <w:lang w:eastAsia="en-AU"/>
              </w:rPr>
            </w:pPr>
            <w:r w:rsidRPr="00D9359A">
              <w:rPr>
                <w:rFonts w:eastAsia="Times New Roman" w:cs="Arial"/>
                <w:b/>
                <w:color w:val="1E49E2" w:themeColor="accent1"/>
                <w:sz w:val="18"/>
                <w:szCs w:val="18"/>
                <w:lang w:eastAsia="en-AU"/>
              </w:rPr>
              <w:t>Net Present Value (NPV)</w:t>
            </w:r>
          </w:p>
        </w:tc>
        <w:tc>
          <w:tcPr>
            <w:tcW w:w="1928" w:type="dxa"/>
            <w:noWrap/>
            <w:hideMark/>
          </w:tcPr>
          <w:p w14:paraId="02249C0C" w14:textId="07B187CB" w:rsidR="00AC41CC" w:rsidRPr="00D9359A" w:rsidRDefault="00AC3AD4"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1E49E2" w:themeColor="accent1"/>
                <w:sz w:val="18"/>
                <w:szCs w:val="18"/>
                <w:lang w:eastAsia="en-AU"/>
              </w:rPr>
            </w:pPr>
            <w:r>
              <w:rPr>
                <w:rFonts w:eastAsia="Times New Roman" w:cs="Arial"/>
                <w:b/>
                <w:color w:val="1E49E2" w:themeColor="accent1"/>
                <w:sz w:val="18"/>
                <w:szCs w:val="18"/>
                <w:lang w:eastAsia="en-AU"/>
              </w:rPr>
              <w:t>18.</w:t>
            </w:r>
            <w:r w:rsidR="007341E5">
              <w:rPr>
                <w:rFonts w:eastAsia="Times New Roman" w:cs="Arial"/>
                <w:b/>
                <w:color w:val="1E49E2" w:themeColor="accent1"/>
                <w:sz w:val="18"/>
                <w:szCs w:val="18"/>
                <w:lang w:eastAsia="en-AU"/>
              </w:rPr>
              <w:t xml:space="preserve">68 </w:t>
            </w:r>
            <w:r w:rsidR="00AC41CC" w:rsidRPr="00D9359A">
              <w:rPr>
                <w:rFonts w:eastAsia="Times New Roman" w:cs="Arial"/>
                <w:b/>
                <w:color w:val="1E49E2" w:themeColor="accent1"/>
                <w:sz w:val="18"/>
                <w:szCs w:val="18"/>
                <w:lang w:eastAsia="en-AU"/>
              </w:rPr>
              <w:t>M</w:t>
            </w:r>
          </w:p>
        </w:tc>
      </w:tr>
      <w:tr w:rsidR="00AC41CC" w:rsidRPr="0032576D" w14:paraId="69507488" w14:textId="77777777" w:rsidTr="00B24FDD">
        <w:tc>
          <w:tcPr>
            <w:cnfStyle w:val="001000000000" w:firstRow="0" w:lastRow="0" w:firstColumn="1" w:lastColumn="0" w:oddVBand="0" w:evenVBand="0" w:oddHBand="0" w:evenHBand="0" w:firstRowFirstColumn="0" w:firstRowLastColumn="0" w:lastRowFirstColumn="0" w:lastRowLastColumn="0"/>
            <w:tcW w:w="8171" w:type="dxa"/>
            <w:hideMark/>
          </w:tcPr>
          <w:p w14:paraId="2FA00925" w14:textId="77777777" w:rsidR="00AC41CC" w:rsidRPr="00D9359A" w:rsidRDefault="00AC41CC" w:rsidP="00D9359A">
            <w:pPr>
              <w:spacing w:beforeLines="40" w:before="96" w:afterLines="40" w:after="96"/>
              <w:rPr>
                <w:rFonts w:eastAsia="Times New Roman" w:cs="Arial"/>
                <w:b/>
                <w:color w:val="1E49E2" w:themeColor="accent1"/>
                <w:sz w:val="18"/>
                <w:szCs w:val="18"/>
                <w:lang w:eastAsia="en-AU"/>
              </w:rPr>
            </w:pPr>
            <w:r w:rsidRPr="00D9359A">
              <w:rPr>
                <w:rFonts w:eastAsia="Times New Roman" w:cs="Arial"/>
                <w:b/>
                <w:color w:val="1E49E2" w:themeColor="accent1"/>
                <w:sz w:val="18"/>
                <w:szCs w:val="18"/>
                <w:lang w:eastAsia="en-AU"/>
              </w:rPr>
              <w:t>Benefit Cost Ratio (BCR)</w:t>
            </w:r>
          </w:p>
        </w:tc>
        <w:tc>
          <w:tcPr>
            <w:tcW w:w="1928" w:type="dxa"/>
            <w:noWrap/>
            <w:hideMark/>
          </w:tcPr>
          <w:p w14:paraId="298B8A96" w14:textId="0A38EE3D" w:rsidR="00AC41CC" w:rsidRPr="00D9359A" w:rsidRDefault="00AC3AD4" w:rsidP="00D9359A">
            <w:pPr>
              <w:spacing w:beforeLines="40" w:before="96" w:afterLines="40" w:after="96"/>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1E49E2" w:themeColor="accent1"/>
                <w:sz w:val="18"/>
                <w:szCs w:val="18"/>
                <w:lang w:eastAsia="en-AU"/>
              </w:rPr>
            </w:pPr>
            <w:r>
              <w:rPr>
                <w:rFonts w:eastAsia="Times New Roman" w:cs="Arial"/>
                <w:b/>
                <w:color w:val="1E49E2" w:themeColor="accent1"/>
                <w:sz w:val="18"/>
                <w:szCs w:val="18"/>
                <w:lang w:eastAsia="en-AU"/>
              </w:rPr>
              <w:t>2.</w:t>
            </w:r>
            <w:r w:rsidR="007341E5">
              <w:rPr>
                <w:rFonts w:eastAsia="Times New Roman" w:cs="Arial"/>
                <w:b/>
                <w:color w:val="1E49E2" w:themeColor="accent1"/>
                <w:sz w:val="18"/>
                <w:szCs w:val="18"/>
                <w:lang w:eastAsia="en-AU"/>
              </w:rPr>
              <w:t>20</w:t>
            </w:r>
          </w:p>
        </w:tc>
      </w:tr>
    </w:tbl>
    <w:p w14:paraId="578AA6D5" w14:textId="1FAD57E3" w:rsidR="00876012" w:rsidRPr="009A0E18" w:rsidRDefault="00876012" w:rsidP="00876012">
      <w:pPr>
        <w:pStyle w:val="HeadingLevel2NoNumber"/>
        <w:outlineLvl w:val="9"/>
        <w:rPr>
          <w:rStyle w:val="BodyTextChar"/>
        </w:rPr>
      </w:pPr>
      <w:bookmarkStart w:id="20" w:name="_Toc150333914"/>
      <w:r w:rsidRPr="00C27E1A">
        <w:rPr>
          <w:rFonts w:eastAsiaTheme="minorHAnsi" w:cstheme="minorBidi"/>
          <w:b w:val="0"/>
          <w:color w:val="000000" w:themeColor="text1"/>
          <w:sz w:val="20"/>
          <w:szCs w:val="22"/>
        </w:rPr>
        <w:t xml:space="preserve">Unit costs </w:t>
      </w:r>
      <w:r w:rsidR="00C767E3" w:rsidRPr="00C767E3">
        <w:rPr>
          <w:rFonts w:eastAsiaTheme="minorHAnsi" w:cstheme="minorBidi"/>
          <w:b w:val="0"/>
          <w:color w:val="000000" w:themeColor="text1"/>
          <w:sz w:val="20"/>
          <w:szCs w:val="22"/>
        </w:rPr>
        <w:t xml:space="preserve">for this analysis were sourced from Victorian Government data and are an </w:t>
      </w:r>
      <w:r w:rsidR="00C767E3">
        <w:rPr>
          <w:rFonts w:eastAsiaTheme="minorHAnsi" w:cstheme="minorBidi"/>
          <w:b w:val="0"/>
          <w:color w:val="000000" w:themeColor="text1"/>
          <w:sz w:val="20"/>
          <w:szCs w:val="22"/>
        </w:rPr>
        <w:t xml:space="preserve">input </w:t>
      </w:r>
      <w:r w:rsidRPr="00C27E1A">
        <w:rPr>
          <w:rFonts w:eastAsiaTheme="minorHAnsi" w:cstheme="minorBidi"/>
          <w:b w:val="0"/>
          <w:color w:val="000000" w:themeColor="text1"/>
          <w:sz w:val="20"/>
          <w:szCs w:val="22"/>
        </w:rPr>
        <w:t>into the avoided cost benefit estimates and represent the expected cost to the Victorian government of providing an additional unit of service. While these costs are defined and applied on a per-unit basis, they are an average of both the fixed and variable costs of service provision and will not reflect the reali</w:t>
      </w:r>
      <w:r w:rsidR="00027C05">
        <w:rPr>
          <w:rFonts w:eastAsiaTheme="minorHAnsi" w:cstheme="minorBidi"/>
          <w:b w:val="0"/>
          <w:color w:val="000000" w:themeColor="text1"/>
          <w:sz w:val="20"/>
          <w:szCs w:val="22"/>
        </w:rPr>
        <w:t>s</w:t>
      </w:r>
      <w:r w:rsidRPr="00C27E1A">
        <w:rPr>
          <w:rFonts w:eastAsiaTheme="minorHAnsi" w:cstheme="minorBidi"/>
          <w:b w:val="0"/>
          <w:color w:val="000000" w:themeColor="text1"/>
          <w:sz w:val="20"/>
          <w:szCs w:val="22"/>
        </w:rPr>
        <w:t>ed avoided cost of service provision arising from reduced service demand at the individual person level. The unit cost can change from year to year depending on when they are calculated and the data available (with an expectation these will change and be updated in the future).</w:t>
      </w:r>
    </w:p>
    <w:p w14:paraId="756BCDA8" w14:textId="77777777" w:rsidR="00BB633D" w:rsidRDefault="00BB633D" w:rsidP="00632D10">
      <w:pPr>
        <w:pStyle w:val="Bullet1stlevel"/>
        <w:numPr>
          <w:ilvl w:val="0"/>
          <w:numId w:val="0"/>
        </w:numPr>
        <w:sectPr w:rsidR="00BB633D" w:rsidSect="005B0986">
          <w:pgSz w:w="11906" w:h="16838"/>
          <w:pgMar w:top="851" w:right="851" w:bottom="851" w:left="851" w:header="567" w:footer="283" w:gutter="0"/>
          <w:pgNumType w:fmt="lowerRoman"/>
          <w:cols w:space="708"/>
          <w:docGrid w:linePitch="360"/>
        </w:sectPr>
      </w:pPr>
      <w:bookmarkStart w:id="21" w:name="glossary"/>
      <w:bookmarkEnd w:id="20"/>
      <w:bookmarkEnd w:id="21"/>
    </w:p>
    <w:p w14:paraId="1CE53F3C" w14:textId="1572D3F1" w:rsidR="00CC296F" w:rsidRDefault="00CC296F" w:rsidP="00CC296F">
      <w:pPr>
        <w:pStyle w:val="HeadingLevel1NoNumber"/>
      </w:pPr>
      <w:bookmarkStart w:id="22" w:name="_Toc178064000"/>
      <w:r>
        <w:lastRenderedPageBreak/>
        <w:t>Glossary</w:t>
      </w:r>
      <w:bookmarkEnd w:id="22"/>
    </w:p>
    <w:tbl>
      <w:tblPr>
        <w:tblStyle w:val="KPMGTable"/>
        <w:tblW w:w="0" w:type="auto"/>
        <w:tblLook w:val="04A0" w:firstRow="1" w:lastRow="0" w:firstColumn="1" w:lastColumn="0" w:noHBand="0" w:noVBand="1"/>
      </w:tblPr>
      <w:tblGrid>
        <w:gridCol w:w="1418"/>
        <w:gridCol w:w="6379"/>
      </w:tblGrid>
      <w:tr w:rsidR="007A1588" w14:paraId="3F293E63" w14:textId="77777777" w:rsidTr="007A15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740FF63" w14:textId="757FCB75" w:rsidR="007A1588" w:rsidRPr="007A1588" w:rsidRDefault="007A1588" w:rsidP="007A1588">
            <w:pPr>
              <w:pStyle w:val="TableHeading"/>
              <w:rPr>
                <w:sz w:val="20"/>
                <w:szCs w:val="24"/>
              </w:rPr>
            </w:pPr>
            <w:r w:rsidRPr="007A1588">
              <w:rPr>
                <w:sz w:val="20"/>
                <w:szCs w:val="24"/>
              </w:rPr>
              <w:t>Term</w:t>
            </w:r>
          </w:p>
        </w:tc>
        <w:tc>
          <w:tcPr>
            <w:tcW w:w="6379" w:type="dxa"/>
          </w:tcPr>
          <w:p w14:paraId="2392508F" w14:textId="0048A5CD" w:rsidR="007A1588" w:rsidRPr="007A1588" w:rsidRDefault="007A1588" w:rsidP="007A1588">
            <w:pPr>
              <w:pStyle w:val="TableHeading"/>
              <w:cnfStyle w:val="100000000000" w:firstRow="1" w:lastRow="0" w:firstColumn="0" w:lastColumn="0" w:oddVBand="0" w:evenVBand="0" w:oddHBand="0" w:evenHBand="0" w:firstRowFirstColumn="0" w:firstRowLastColumn="0" w:lastRowFirstColumn="0" w:lastRowLastColumn="0"/>
              <w:rPr>
                <w:sz w:val="20"/>
                <w:szCs w:val="24"/>
              </w:rPr>
            </w:pPr>
            <w:r w:rsidRPr="007A1588">
              <w:rPr>
                <w:sz w:val="20"/>
                <w:szCs w:val="24"/>
              </w:rPr>
              <w:t>Definition</w:t>
            </w:r>
          </w:p>
        </w:tc>
      </w:tr>
      <w:tr w:rsidR="007A1588" w14:paraId="54018DCF"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C4B3DE6" w14:textId="1AB9CED2" w:rsidR="007A1588" w:rsidRPr="007A1588" w:rsidRDefault="007A1588" w:rsidP="007A1588">
            <w:pPr>
              <w:pStyle w:val="Tabletext"/>
              <w:rPr>
                <w:sz w:val="20"/>
              </w:rPr>
            </w:pPr>
            <w:r w:rsidRPr="007A1588">
              <w:rPr>
                <w:rFonts w:eastAsia="Times New Roman" w:cs="Arial"/>
                <w:color w:val="000000"/>
                <w:sz w:val="20"/>
                <w:lang w:eastAsia="en-AU"/>
              </w:rPr>
              <w:t>AOD</w:t>
            </w:r>
          </w:p>
        </w:tc>
        <w:tc>
          <w:tcPr>
            <w:tcW w:w="6379" w:type="dxa"/>
          </w:tcPr>
          <w:p w14:paraId="5D92638A" w14:textId="653FFF4A"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Alcohol and other drug</w:t>
            </w:r>
          </w:p>
        </w:tc>
      </w:tr>
      <w:tr w:rsidR="007A1588" w14:paraId="05A8469D"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5AAA0E85" w14:textId="6331B224" w:rsidR="007A1588" w:rsidRPr="007A1588" w:rsidRDefault="007A1588" w:rsidP="007A1588">
            <w:pPr>
              <w:pStyle w:val="Tabletext"/>
              <w:rPr>
                <w:sz w:val="20"/>
              </w:rPr>
            </w:pPr>
            <w:r w:rsidRPr="007A1588">
              <w:rPr>
                <w:rFonts w:eastAsia="Times New Roman" w:cs="Arial"/>
                <w:color w:val="000000"/>
                <w:sz w:val="20"/>
                <w:lang w:eastAsia="en-AU"/>
              </w:rPr>
              <w:t>BCR</w:t>
            </w:r>
          </w:p>
        </w:tc>
        <w:tc>
          <w:tcPr>
            <w:tcW w:w="6379" w:type="dxa"/>
          </w:tcPr>
          <w:p w14:paraId="48FBF9BB" w14:textId="048BFD60"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Benefit cost ratio</w:t>
            </w:r>
          </w:p>
        </w:tc>
      </w:tr>
      <w:tr w:rsidR="007A1588" w14:paraId="2C8C5D25"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3A9BA0C" w14:textId="09840DBE" w:rsidR="007A1588" w:rsidRPr="007A1588" w:rsidRDefault="007A1588" w:rsidP="007A1588">
            <w:pPr>
              <w:pStyle w:val="Tabletext"/>
              <w:rPr>
                <w:sz w:val="20"/>
              </w:rPr>
            </w:pPr>
            <w:r w:rsidRPr="007A1588">
              <w:rPr>
                <w:rFonts w:eastAsia="Times New Roman" w:cs="Arial"/>
                <w:color w:val="000000"/>
                <w:sz w:val="20"/>
                <w:lang w:eastAsia="en-AU"/>
              </w:rPr>
              <w:t>BAU</w:t>
            </w:r>
          </w:p>
        </w:tc>
        <w:tc>
          <w:tcPr>
            <w:tcW w:w="6379" w:type="dxa"/>
          </w:tcPr>
          <w:p w14:paraId="41531D00" w14:textId="2A0FD88A"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business-as-usual </w:t>
            </w:r>
          </w:p>
        </w:tc>
      </w:tr>
      <w:tr w:rsidR="007A1588" w14:paraId="72B05263"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1FDE2D9C" w14:textId="3CF2E78C" w:rsidR="007A1588" w:rsidRPr="007A1588" w:rsidRDefault="007A1588" w:rsidP="007A1588">
            <w:pPr>
              <w:pStyle w:val="Tabletext"/>
              <w:rPr>
                <w:sz w:val="20"/>
              </w:rPr>
            </w:pPr>
            <w:r w:rsidRPr="007A1588">
              <w:rPr>
                <w:rFonts w:eastAsia="Times New Roman" w:cs="Arial"/>
                <w:color w:val="000000"/>
                <w:sz w:val="20"/>
                <w:lang w:eastAsia="en-AU"/>
              </w:rPr>
              <w:t>CSI</w:t>
            </w:r>
          </w:p>
        </w:tc>
        <w:tc>
          <w:tcPr>
            <w:tcW w:w="6379" w:type="dxa"/>
          </w:tcPr>
          <w:p w14:paraId="298872FE" w14:textId="4DA9AF4A"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Centre for Social Impact </w:t>
            </w:r>
          </w:p>
        </w:tc>
      </w:tr>
      <w:tr w:rsidR="007A1588" w14:paraId="39643373"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7155912E" w14:textId="01B68407" w:rsidR="007A1588" w:rsidRPr="007A1588" w:rsidRDefault="007A1588" w:rsidP="007A1588">
            <w:pPr>
              <w:pStyle w:val="Tabletext"/>
              <w:rPr>
                <w:sz w:val="20"/>
              </w:rPr>
            </w:pPr>
            <w:r w:rsidRPr="007A1588">
              <w:rPr>
                <w:rFonts w:eastAsia="Times New Roman" w:cs="Arial"/>
                <w:color w:val="000000"/>
                <w:sz w:val="20"/>
                <w:lang w:eastAsia="en-AU"/>
              </w:rPr>
              <w:t>CVDL</w:t>
            </w:r>
          </w:p>
        </w:tc>
        <w:tc>
          <w:tcPr>
            <w:tcW w:w="6379" w:type="dxa"/>
          </w:tcPr>
          <w:p w14:paraId="7AAF7D3B" w14:textId="51F3A15C"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Centre for Victorian Data Linkage </w:t>
            </w:r>
          </w:p>
        </w:tc>
      </w:tr>
      <w:tr w:rsidR="007A1588" w14:paraId="5BCA1CFC"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541695B9" w14:textId="0A8235B2" w:rsidR="007A1588" w:rsidRPr="007A1588" w:rsidRDefault="007A1588" w:rsidP="007A1588">
            <w:pPr>
              <w:pStyle w:val="Tabletext"/>
              <w:rPr>
                <w:sz w:val="20"/>
              </w:rPr>
            </w:pPr>
            <w:r w:rsidRPr="007A1588">
              <w:rPr>
                <w:rFonts w:eastAsia="Times New Roman" w:cs="Arial"/>
                <w:color w:val="000000"/>
                <w:sz w:val="20"/>
                <w:lang w:eastAsia="en-AU"/>
              </w:rPr>
              <w:t>COI</w:t>
            </w:r>
          </w:p>
        </w:tc>
        <w:tc>
          <w:tcPr>
            <w:tcW w:w="6379" w:type="dxa"/>
          </w:tcPr>
          <w:p w14:paraId="017AB6F9" w14:textId="4052AE07"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community of interest </w:t>
            </w:r>
          </w:p>
        </w:tc>
      </w:tr>
      <w:tr w:rsidR="007A1588" w14:paraId="628B7EEA"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199C9AAF" w14:textId="3EEB1D82" w:rsidR="007A1588" w:rsidRPr="007A1588" w:rsidRDefault="007A1588" w:rsidP="007A1588">
            <w:pPr>
              <w:pStyle w:val="Tabletext"/>
              <w:rPr>
                <w:sz w:val="20"/>
              </w:rPr>
            </w:pPr>
            <w:r w:rsidRPr="007A1588">
              <w:rPr>
                <w:rFonts w:eastAsia="Times New Roman" w:cs="Arial"/>
                <w:color w:val="000000"/>
                <w:sz w:val="20"/>
                <w:lang w:eastAsia="en-AU"/>
              </w:rPr>
              <w:t>CBA</w:t>
            </w:r>
          </w:p>
        </w:tc>
        <w:tc>
          <w:tcPr>
            <w:tcW w:w="6379" w:type="dxa"/>
          </w:tcPr>
          <w:p w14:paraId="27E6F681" w14:textId="5CD7CB55"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Cost-benefit analysis </w:t>
            </w:r>
          </w:p>
        </w:tc>
      </w:tr>
      <w:tr w:rsidR="007A1588" w14:paraId="0C14CE17"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6A778FA2" w14:textId="5DA0642D" w:rsidR="007A1588" w:rsidRPr="007A1588" w:rsidRDefault="007A1588" w:rsidP="007A1588">
            <w:pPr>
              <w:pStyle w:val="Tabletext"/>
              <w:rPr>
                <w:sz w:val="20"/>
              </w:rPr>
            </w:pPr>
            <w:r w:rsidRPr="007A1588">
              <w:rPr>
                <w:rFonts w:eastAsia="Times New Roman" w:cs="Arial"/>
                <w:color w:val="000000"/>
                <w:sz w:val="20"/>
                <w:lang w:eastAsia="en-AU"/>
              </w:rPr>
              <w:t>DFFH</w:t>
            </w:r>
          </w:p>
        </w:tc>
        <w:tc>
          <w:tcPr>
            <w:tcW w:w="6379" w:type="dxa"/>
          </w:tcPr>
          <w:p w14:paraId="07CE3004" w14:textId="6D300C8E"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Department of Families, Fairness and Housing</w:t>
            </w:r>
          </w:p>
        </w:tc>
      </w:tr>
      <w:tr w:rsidR="007A1588" w14:paraId="4C71FE14"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45E34E03" w14:textId="675E873D" w:rsidR="007A1588" w:rsidRPr="007A1588" w:rsidRDefault="007A1588" w:rsidP="007A1588">
            <w:pPr>
              <w:pStyle w:val="Tabletext"/>
              <w:rPr>
                <w:sz w:val="20"/>
              </w:rPr>
            </w:pPr>
            <w:r w:rsidRPr="007A1588">
              <w:rPr>
                <w:rFonts w:eastAsia="Times New Roman" w:cs="Arial"/>
                <w:color w:val="000000"/>
                <w:sz w:val="20"/>
                <w:lang w:eastAsia="en-AU"/>
              </w:rPr>
              <w:t>DTF</w:t>
            </w:r>
          </w:p>
        </w:tc>
        <w:tc>
          <w:tcPr>
            <w:tcW w:w="6379" w:type="dxa"/>
          </w:tcPr>
          <w:p w14:paraId="3C34B0DE" w14:textId="30771F7B"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Department of Treasury and Finance </w:t>
            </w:r>
          </w:p>
        </w:tc>
      </w:tr>
      <w:tr w:rsidR="007A1588" w14:paraId="771E4AF8"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39B75D88" w14:textId="64FF6FDF" w:rsidR="007A1588" w:rsidRPr="007A1588" w:rsidRDefault="007A1588" w:rsidP="007A1588">
            <w:pPr>
              <w:pStyle w:val="Tabletext"/>
              <w:rPr>
                <w:sz w:val="20"/>
              </w:rPr>
            </w:pPr>
            <w:r w:rsidRPr="007A1588">
              <w:rPr>
                <w:rFonts w:eastAsia="Times New Roman" w:cs="Arial"/>
                <w:color w:val="000000"/>
                <w:sz w:val="20"/>
                <w:lang w:eastAsia="en-AU"/>
              </w:rPr>
              <w:t>EIIF</w:t>
            </w:r>
          </w:p>
        </w:tc>
        <w:tc>
          <w:tcPr>
            <w:tcW w:w="6379" w:type="dxa"/>
          </w:tcPr>
          <w:p w14:paraId="4A8BFAB8" w14:textId="3673B513"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Early Intervention Investment Framework </w:t>
            </w:r>
          </w:p>
        </w:tc>
      </w:tr>
      <w:tr w:rsidR="007A1588" w14:paraId="1A31CA08"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419FD7D7" w14:textId="0FF6656F" w:rsidR="007A1588" w:rsidRPr="007A1588" w:rsidRDefault="007A1588" w:rsidP="007A1588">
            <w:pPr>
              <w:pStyle w:val="Tabletext"/>
              <w:rPr>
                <w:sz w:val="20"/>
              </w:rPr>
            </w:pPr>
            <w:r w:rsidRPr="007A1588">
              <w:rPr>
                <w:rFonts w:eastAsia="Times New Roman" w:cs="Arial"/>
                <w:color w:val="000000"/>
                <w:sz w:val="20"/>
                <w:lang w:eastAsia="en-AU"/>
              </w:rPr>
              <w:t>EWG</w:t>
            </w:r>
          </w:p>
        </w:tc>
        <w:tc>
          <w:tcPr>
            <w:tcW w:w="6379" w:type="dxa"/>
          </w:tcPr>
          <w:p w14:paraId="2C281EC9" w14:textId="7A9E0A65"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Evaluation Working Group</w:t>
            </w:r>
          </w:p>
        </w:tc>
      </w:tr>
      <w:tr w:rsidR="007A1588" w14:paraId="63F4AFF6"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190AED70" w14:textId="1C01B1F0" w:rsidR="007A1588" w:rsidRPr="007A1588" w:rsidRDefault="007A1588" w:rsidP="007A1588">
            <w:pPr>
              <w:pStyle w:val="Tabletext"/>
              <w:rPr>
                <w:sz w:val="20"/>
              </w:rPr>
            </w:pPr>
            <w:r w:rsidRPr="007A1588">
              <w:rPr>
                <w:rFonts w:eastAsia="Times New Roman" w:cs="Arial"/>
                <w:color w:val="000000"/>
                <w:sz w:val="20"/>
                <w:lang w:eastAsia="en-AU"/>
              </w:rPr>
              <w:t>GCM</w:t>
            </w:r>
          </w:p>
        </w:tc>
        <w:tc>
          <w:tcPr>
            <w:tcW w:w="6379" w:type="dxa"/>
          </w:tcPr>
          <w:p w14:paraId="53439D41" w14:textId="081417BC"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Government Contract Manager </w:t>
            </w:r>
          </w:p>
        </w:tc>
      </w:tr>
      <w:tr w:rsidR="007A1588" w14:paraId="1A3D3F93"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1E84386C" w14:textId="05DF4F15" w:rsidR="007A1588" w:rsidRPr="007A1588" w:rsidRDefault="007A1588" w:rsidP="007A1588">
            <w:pPr>
              <w:pStyle w:val="Tabletext"/>
              <w:rPr>
                <w:sz w:val="20"/>
              </w:rPr>
            </w:pPr>
            <w:r w:rsidRPr="007A1588">
              <w:rPr>
                <w:rFonts w:eastAsia="Times New Roman" w:cs="Arial"/>
                <w:color w:val="000000"/>
                <w:sz w:val="20"/>
                <w:lang w:eastAsia="en-AU"/>
              </w:rPr>
              <w:t>HLCF</w:t>
            </w:r>
          </w:p>
        </w:tc>
        <w:tc>
          <w:tcPr>
            <w:tcW w:w="6379" w:type="dxa"/>
          </w:tcPr>
          <w:p w14:paraId="517540A1" w14:textId="62E98C8D"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Head Leasing Contingency Fund </w:t>
            </w:r>
          </w:p>
        </w:tc>
      </w:tr>
      <w:tr w:rsidR="007A1588" w14:paraId="70184518"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18AF2DC1" w14:textId="34C1F8B5" w:rsidR="007A1588" w:rsidRPr="007A1588" w:rsidRDefault="007A1588" w:rsidP="007A1588">
            <w:pPr>
              <w:pStyle w:val="Tabletext"/>
              <w:rPr>
                <w:sz w:val="20"/>
              </w:rPr>
            </w:pPr>
            <w:r w:rsidRPr="007A1588">
              <w:rPr>
                <w:rFonts w:eastAsia="Times New Roman" w:cs="Arial"/>
                <w:color w:val="000000"/>
                <w:sz w:val="20"/>
                <w:lang w:eastAsia="en-AU"/>
              </w:rPr>
              <w:t>HDC</w:t>
            </w:r>
          </w:p>
        </w:tc>
        <w:tc>
          <w:tcPr>
            <w:tcW w:w="6379" w:type="dxa"/>
          </w:tcPr>
          <w:p w14:paraId="137AFBBD" w14:textId="106EF86C"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Homelessness Data Collection </w:t>
            </w:r>
          </w:p>
        </w:tc>
      </w:tr>
      <w:tr w:rsidR="007A1588" w14:paraId="070B8BD7"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58CC20C3" w14:textId="0C3CF159" w:rsidR="007A1588" w:rsidRPr="007A1588" w:rsidRDefault="007A1588" w:rsidP="007A1588">
            <w:pPr>
              <w:pStyle w:val="Tabletext"/>
              <w:rPr>
                <w:sz w:val="20"/>
              </w:rPr>
            </w:pPr>
            <w:r w:rsidRPr="007A1588">
              <w:rPr>
                <w:rFonts w:eastAsia="Times New Roman" w:cs="Arial"/>
                <w:color w:val="000000"/>
                <w:sz w:val="20"/>
                <w:lang w:eastAsia="en-AU"/>
              </w:rPr>
              <w:t>HiiP</w:t>
            </w:r>
          </w:p>
        </w:tc>
        <w:tc>
          <w:tcPr>
            <w:tcW w:w="6379" w:type="dxa"/>
          </w:tcPr>
          <w:p w14:paraId="2A11C6FC" w14:textId="190399F5"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Homelessness Integrated Information Program </w:t>
            </w:r>
          </w:p>
        </w:tc>
      </w:tr>
      <w:tr w:rsidR="007A1588" w14:paraId="4547C0D6"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39478408" w14:textId="3A360F71" w:rsidR="007A1588" w:rsidRPr="007A1588" w:rsidRDefault="007A1588" w:rsidP="007A1588">
            <w:pPr>
              <w:pStyle w:val="Tabletext"/>
              <w:rPr>
                <w:sz w:val="20"/>
              </w:rPr>
            </w:pPr>
            <w:r w:rsidRPr="007A1588">
              <w:rPr>
                <w:rFonts w:eastAsia="Times New Roman" w:cs="Arial"/>
                <w:color w:val="000000"/>
                <w:sz w:val="20"/>
                <w:lang w:eastAsia="en-AU"/>
              </w:rPr>
              <w:t>H2H</w:t>
            </w:r>
          </w:p>
        </w:tc>
        <w:tc>
          <w:tcPr>
            <w:tcW w:w="6379" w:type="dxa"/>
          </w:tcPr>
          <w:p w14:paraId="07A0F79C" w14:textId="46FB27CF"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Homelessness to a Home </w:t>
            </w:r>
          </w:p>
        </w:tc>
      </w:tr>
      <w:tr w:rsidR="007A1588" w14:paraId="5ED2B274"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6B4C23F3" w14:textId="2C330E29" w:rsidR="007A1588" w:rsidRPr="007A1588" w:rsidRDefault="007A1588" w:rsidP="007A1588">
            <w:pPr>
              <w:pStyle w:val="Tabletext"/>
              <w:rPr>
                <w:sz w:val="20"/>
              </w:rPr>
            </w:pPr>
            <w:r w:rsidRPr="007A1588">
              <w:rPr>
                <w:rFonts w:eastAsia="Times New Roman" w:cs="Arial"/>
                <w:color w:val="000000"/>
                <w:sz w:val="20"/>
                <w:lang w:eastAsia="en-AU"/>
              </w:rPr>
              <w:t>JWG</w:t>
            </w:r>
          </w:p>
        </w:tc>
        <w:tc>
          <w:tcPr>
            <w:tcW w:w="6379" w:type="dxa"/>
          </w:tcPr>
          <w:p w14:paraId="630C02C2" w14:textId="3DB30C31"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Joint Working Group </w:t>
            </w:r>
          </w:p>
        </w:tc>
      </w:tr>
      <w:tr w:rsidR="007A1588" w14:paraId="381052DB"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1FB27FD" w14:textId="18E790B7" w:rsidR="007A1588" w:rsidRPr="007A1588" w:rsidRDefault="007A1588" w:rsidP="007A1588">
            <w:pPr>
              <w:pStyle w:val="Tabletext"/>
              <w:rPr>
                <w:sz w:val="20"/>
              </w:rPr>
            </w:pPr>
            <w:r w:rsidRPr="007A1588">
              <w:rPr>
                <w:rFonts w:eastAsia="Times New Roman" w:cs="Arial"/>
                <w:color w:val="000000"/>
                <w:sz w:val="20"/>
                <w:lang w:eastAsia="en-AU"/>
              </w:rPr>
              <w:t>J2SI</w:t>
            </w:r>
          </w:p>
        </w:tc>
        <w:tc>
          <w:tcPr>
            <w:tcW w:w="6379" w:type="dxa"/>
          </w:tcPr>
          <w:p w14:paraId="3B39EB9A" w14:textId="06A778F4"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Journey to Social Inclusion </w:t>
            </w:r>
          </w:p>
        </w:tc>
      </w:tr>
      <w:tr w:rsidR="007A1588" w14:paraId="49E5B783"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45C04F38" w14:textId="61D7CC28" w:rsidR="007A1588" w:rsidRPr="007A1588" w:rsidRDefault="007A1588" w:rsidP="007A1588">
            <w:pPr>
              <w:pStyle w:val="Tabletext"/>
              <w:rPr>
                <w:sz w:val="20"/>
              </w:rPr>
            </w:pPr>
            <w:r w:rsidRPr="007A1588">
              <w:rPr>
                <w:rFonts w:eastAsia="Times New Roman" w:cs="Arial"/>
                <w:color w:val="000000"/>
                <w:sz w:val="20"/>
                <w:lang w:eastAsia="en-AU"/>
              </w:rPr>
              <w:t>NPV</w:t>
            </w:r>
          </w:p>
        </w:tc>
        <w:tc>
          <w:tcPr>
            <w:tcW w:w="6379" w:type="dxa"/>
          </w:tcPr>
          <w:p w14:paraId="7DABFBBF" w14:textId="2EBFF81E"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Net present value</w:t>
            </w:r>
          </w:p>
        </w:tc>
      </w:tr>
      <w:tr w:rsidR="007A1588" w14:paraId="0DF1F07C"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36580C8" w14:textId="159E6BB8" w:rsidR="007A1588" w:rsidRPr="007A1588" w:rsidRDefault="007A1588" w:rsidP="007A1588">
            <w:pPr>
              <w:pStyle w:val="Tabletext"/>
              <w:rPr>
                <w:sz w:val="20"/>
              </w:rPr>
            </w:pPr>
            <w:r w:rsidRPr="007A1588">
              <w:rPr>
                <w:rFonts w:eastAsia="Times New Roman" w:cs="Arial"/>
                <w:color w:val="000000"/>
                <w:sz w:val="20"/>
                <w:lang w:eastAsia="en-AU"/>
              </w:rPr>
              <w:t>PAD</w:t>
            </w:r>
          </w:p>
        </w:tc>
        <w:tc>
          <w:tcPr>
            <w:tcW w:w="6379" w:type="dxa"/>
          </w:tcPr>
          <w:p w14:paraId="080A4B28" w14:textId="79973CFE"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Partnerships Addressing Disadvantage </w:t>
            </w:r>
          </w:p>
        </w:tc>
      </w:tr>
      <w:tr w:rsidR="007A1588" w14:paraId="496C2D6E"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33FD28AD" w14:textId="3A0BE398" w:rsidR="007A1588" w:rsidRPr="007A1588" w:rsidRDefault="007A1588" w:rsidP="007A1588">
            <w:pPr>
              <w:pStyle w:val="Tabletext"/>
              <w:rPr>
                <w:sz w:val="20"/>
              </w:rPr>
            </w:pPr>
            <w:r w:rsidRPr="007A1588">
              <w:rPr>
                <w:rFonts w:eastAsia="Times New Roman" w:cs="Arial"/>
                <w:color w:val="000000"/>
                <w:sz w:val="20"/>
                <w:lang w:eastAsia="en-AU"/>
              </w:rPr>
              <w:t>PbR</w:t>
            </w:r>
          </w:p>
        </w:tc>
        <w:tc>
          <w:tcPr>
            <w:tcW w:w="6379" w:type="dxa"/>
          </w:tcPr>
          <w:p w14:paraId="120E4B51" w14:textId="752719DA"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Payment by Results </w:t>
            </w:r>
          </w:p>
        </w:tc>
      </w:tr>
      <w:tr w:rsidR="007A1588" w14:paraId="734D4448"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58DB8292" w14:textId="7817C604" w:rsidR="007A1588" w:rsidRPr="007A1588" w:rsidRDefault="007A1588" w:rsidP="007A1588">
            <w:pPr>
              <w:pStyle w:val="Tabletext"/>
              <w:rPr>
                <w:sz w:val="20"/>
              </w:rPr>
            </w:pPr>
            <w:r w:rsidRPr="007A1588">
              <w:rPr>
                <w:rFonts w:eastAsia="Times New Roman" w:cs="Arial"/>
                <w:color w:val="000000"/>
                <w:sz w:val="20"/>
                <w:lang w:eastAsia="en-AU"/>
              </w:rPr>
              <w:t>PARC</w:t>
            </w:r>
          </w:p>
        </w:tc>
        <w:tc>
          <w:tcPr>
            <w:tcW w:w="6379" w:type="dxa"/>
          </w:tcPr>
          <w:p w14:paraId="782D0CB4" w14:textId="4314712D"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Prevention &amp; Recovery Care </w:t>
            </w:r>
          </w:p>
        </w:tc>
      </w:tr>
      <w:tr w:rsidR="007A1588" w14:paraId="239B9335"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E99A899" w14:textId="0246B094" w:rsidR="007A1588" w:rsidRPr="007A1588" w:rsidRDefault="007A1588" w:rsidP="007A1588">
            <w:pPr>
              <w:pStyle w:val="Tabletext"/>
              <w:rPr>
                <w:sz w:val="20"/>
              </w:rPr>
            </w:pPr>
            <w:r w:rsidRPr="007A1588">
              <w:rPr>
                <w:rFonts w:eastAsia="Times New Roman" w:cs="Arial"/>
                <w:color w:val="000000"/>
                <w:sz w:val="20"/>
                <w:lang w:eastAsia="en-AU"/>
              </w:rPr>
              <w:t>QALY</w:t>
            </w:r>
          </w:p>
        </w:tc>
        <w:tc>
          <w:tcPr>
            <w:tcW w:w="6379" w:type="dxa"/>
          </w:tcPr>
          <w:p w14:paraId="57E5BD4A" w14:textId="6CF0E073"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Quality Adjusted Life Years </w:t>
            </w:r>
          </w:p>
        </w:tc>
      </w:tr>
      <w:tr w:rsidR="007A1588" w14:paraId="015CE7E6"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06FA361F" w14:textId="6FDF8EF1" w:rsidR="007A1588" w:rsidRPr="007A1588" w:rsidRDefault="007A1588" w:rsidP="007A1588">
            <w:pPr>
              <w:pStyle w:val="Tabletext"/>
              <w:rPr>
                <w:sz w:val="20"/>
              </w:rPr>
            </w:pPr>
            <w:r w:rsidRPr="007A1588">
              <w:rPr>
                <w:rFonts w:eastAsia="Times New Roman" w:cs="Arial"/>
                <w:color w:val="000000"/>
                <w:sz w:val="20"/>
                <w:lang w:eastAsia="en-AU"/>
              </w:rPr>
              <w:t>RCT</w:t>
            </w:r>
          </w:p>
        </w:tc>
        <w:tc>
          <w:tcPr>
            <w:tcW w:w="6379" w:type="dxa"/>
          </w:tcPr>
          <w:p w14:paraId="47FAF384" w14:textId="6E7BAB5C"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Randomised Controlled Trial </w:t>
            </w:r>
          </w:p>
        </w:tc>
      </w:tr>
      <w:tr w:rsidR="007A1588" w14:paraId="5FAABC19"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73C6E808" w14:textId="1969D359" w:rsidR="007A1588" w:rsidRPr="007A1588" w:rsidRDefault="007A1588" w:rsidP="007A1588">
            <w:pPr>
              <w:pStyle w:val="Tabletext"/>
              <w:rPr>
                <w:sz w:val="20"/>
              </w:rPr>
            </w:pPr>
            <w:r w:rsidRPr="007A1588">
              <w:rPr>
                <w:rFonts w:eastAsia="Times New Roman" w:cs="Arial"/>
                <w:color w:val="000000"/>
                <w:sz w:val="20"/>
                <w:lang w:eastAsia="en-AU"/>
              </w:rPr>
              <w:t>RMF</w:t>
            </w:r>
          </w:p>
        </w:tc>
        <w:tc>
          <w:tcPr>
            <w:tcW w:w="6379" w:type="dxa"/>
          </w:tcPr>
          <w:p w14:paraId="30C06335" w14:textId="0BDDB89B"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sz w:val="20"/>
              </w:rPr>
            </w:pPr>
            <w:r w:rsidRPr="007A1588">
              <w:rPr>
                <w:rFonts w:eastAsia="Times New Roman" w:cs="Arial"/>
                <w:color w:val="000000"/>
                <w:sz w:val="20"/>
                <w:lang w:eastAsia="en-AU"/>
              </w:rPr>
              <w:t xml:space="preserve">Resource Management Framework </w:t>
            </w:r>
          </w:p>
        </w:tc>
      </w:tr>
      <w:tr w:rsidR="007A1588" w14:paraId="44AD0BB9"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7A4FA636" w14:textId="50A217A9"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SHM</w:t>
            </w:r>
          </w:p>
        </w:tc>
        <w:tc>
          <w:tcPr>
            <w:tcW w:w="6379" w:type="dxa"/>
          </w:tcPr>
          <w:p w14:paraId="5CA86EBC" w14:textId="7572932C"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Sacred Heart Mission </w:t>
            </w:r>
          </w:p>
        </w:tc>
      </w:tr>
      <w:tr w:rsidR="007A1588" w14:paraId="4B9E033A"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5A69ABD9" w14:textId="4784E496"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SIBs</w:t>
            </w:r>
          </w:p>
        </w:tc>
        <w:tc>
          <w:tcPr>
            <w:tcW w:w="6379" w:type="dxa"/>
          </w:tcPr>
          <w:p w14:paraId="22F27C79" w14:textId="50423405"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Social Impact Bonds </w:t>
            </w:r>
          </w:p>
        </w:tc>
      </w:tr>
      <w:tr w:rsidR="007A1588" w14:paraId="6E76F4CA"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3689F706" w14:textId="16D28261"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SII</w:t>
            </w:r>
          </w:p>
        </w:tc>
        <w:tc>
          <w:tcPr>
            <w:tcW w:w="6379" w:type="dxa"/>
          </w:tcPr>
          <w:p w14:paraId="65D66F41" w14:textId="24E07F8F"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Social Impact Investment </w:t>
            </w:r>
          </w:p>
        </w:tc>
      </w:tr>
      <w:tr w:rsidR="007A1588" w14:paraId="379F3370"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E8CB24A" w14:textId="538A4CE4"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TICSPOT</w:t>
            </w:r>
          </w:p>
        </w:tc>
        <w:tc>
          <w:tcPr>
            <w:tcW w:w="6379" w:type="dxa"/>
          </w:tcPr>
          <w:p w14:paraId="66A08871" w14:textId="7BB4ACA7"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Trauma Informed Client Support and Planning Outcomes Tool </w:t>
            </w:r>
          </w:p>
        </w:tc>
      </w:tr>
      <w:tr w:rsidR="007A1588" w14:paraId="31E9996A"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476A34B6" w14:textId="5D507D19"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UWA</w:t>
            </w:r>
          </w:p>
        </w:tc>
        <w:tc>
          <w:tcPr>
            <w:tcW w:w="6379" w:type="dxa"/>
          </w:tcPr>
          <w:p w14:paraId="5074F50B" w14:textId="73DC20CA"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University of Western Australia </w:t>
            </w:r>
          </w:p>
        </w:tc>
      </w:tr>
      <w:tr w:rsidR="007A1588" w14:paraId="436D81B1"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2F2003B5" w14:textId="5EE2D71F"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VSLY</w:t>
            </w:r>
          </w:p>
        </w:tc>
        <w:tc>
          <w:tcPr>
            <w:tcW w:w="6379" w:type="dxa"/>
          </w:tcPr>
          <w:p w14:paraId="7A3AF8F3" w14:textId="3F63B646"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Value of a Statistical Life Year </w:t>
            </w:r>
          </w:p>
        </w:tc>
      </w:tr>
      <w:tr w:rsidR="007A1588" w14:paraId="6417D11C"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1E49AE89" w14:textId="6F54787D"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VHR</w:t>
            </w:r>
          </w:p>
        </w:tc>
        <w:tc>
          <w:tcPr>
            <w:tcW w:w="6379" w:type="dxa"/>
          </w:tcPr>
          <w:p w14:paraId="0BB9705A" w14:textId="169F442E"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Victorian Housing Register </w:t>
            </w:r>
          </w:p>
        </w:tc>
      </w:tr>
      <w:tr w:rsidR="007A1588" w14:paraId="550E9A77" w14:textId="77777777" w:rsidTr="007A1588">
        <w:tc>
          <w:tcPr>
            <w:cnfStyle w:val="001000000000" w:firstRow="0" w:lastRow="0" w:firstColumn="1" w:lastColumn="0" w:oddVBand="0" w:evenVBand="0" w:oddHBand="0" w:evenHBand="0" w:firstRowFirstColumn="0" w:firstRowLastColumn="0" w:lastRowFirstColumn="0" w:lastRowLastColumn="0"/>
            <w:tcW w:w="1418" w:type="dxa"/>
          </w:tcPr>
          <w:p w14:paraId="60300792" w14:textId="77075A6C" w:rsidR="007A1588" w:rsidRPr="007A1588" w:rsidRDefault="007A1588" w:rsidP="007A1588">
            <w:pPr>
              <w:pStyle w:val="Tabletext"/>
              <w:rPr>
                <w:rFonts w:eastAsia="Times New Roman" w:cs="Arial"/>
                <w:color w:val="000000"/>
                <w:sz w:val="20"/>
                <w:lang w:eastAsia="en-AU"/>
              </w:rPr>
            </w:pPr>
            <w:r w:rsidRPr="007A1588">
              <w:rPr>
                <w:rFonts w:eastAsia="Times New Roman" w:cs="Arial"/>
                <w:color w:val="000000"/>
                <w:sz w:val="20"/>
                <w:lang w:eastAsia="en-AU"/>
              </w:rPr>
              <w:t>VSIIDR</w:t>
            </w:r>
          </w:p>
        </w:tc>
        <w:tc>
          <w:tcPr>
            <w:tcW w:w="6379" w:type="dxa"/>
          </w:tcPr>
          <w:p w14:paraId="2D9F5863" w14:textId="7024C689" w:rsidR="007A1588" w:rsidRPr="007A1588" w:rsidRDefault="007A1588" w:rsidP="007A1588">
            <w:pPr>
              <w:pStyle w:val="Tabletex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lang w:eastAsia="en-AU"/>
              </w:rPr>
            </w:pPr>
            <w:r w:rsidRPr="007A1588">
              <w:rPr>
                <w:rFonts w:eastAsia="Times New Roman" w:cs="Arial"/>
                <w:color w:val="000000"/>
                <w:sz w:val="20"/>
                <w:lang w:eastAsia="en-AU"/>
              </w:rPr>
              <w:t xml:space="preserve">Victorian Social Investment Integrated Data Resource </w:t>
            </w:r>
          </w:p>
        </w:tc>
      </w:tr>
    </w:tbl>
    <w:p w14:paraId="2D0F3B2C" w14:textId="48FC94CC" w:rsidR="00B306E2" w:rsidRPr="00CB559D" w:rsidRDefault="00B306E2" w:rsidP="00EA0053">
      <w:pPr>
        <w:pStyle w:val="BodyText"/>
        <w:tabs>
          <w:tab w:val="left" w:pos="1240"/>
        </w:tabs>
        <w:sectPr w:rsidR="00B306E2" w:rsidRPr="00CB559D" w:rsidSect="005B0986">
          <w:pgSz w:w="11906" w:h="16838"/>
          <w:pgMar w:top="851" w:right="851" w:bottom="851" w:left="851" w:header="567" w:footer="283" w:gutter="0"/>
          <w:pgNumType w:fmt="lowerRoman"/>
          <w:cols w:space="708"/>
          <w:docGrid w:linePitch="360"/>
        </w:sectPr>
      </w:pPr>
    </w:p>
    <w:p w14:paraId="3C5DD403" w14:textId="77777777" w:rsidR="00C34053" w:rsidRPr="009A0E18" w:rsidRDefault="00C34053" w:rsidP="009A0E18">
      <w:pPr>
        <w:pStyle w:val="Heading1TOCNoShow"/>
      </w:pPr>
      <w:r w:rsidRPr="009A0E18">
        <w:lastRenderedPageBreak/>
        <w:t>Contents</w:t>
      </w:r>
      <w:bookmarkStart w:id="23" w:name="contents"/>
      <w:bookmarkEnd w:id="23"/>
    </w:p>
    <w:p w14:paraId="3D57AA6E" w14:textId="14A2CFEC" w:rsidR="000A5A5D" w:rsidRDefault="003C27FF">
      <w:pPr>
        <w:pStyle w:val="TOC1"/>
        <w:rPr>
          <w:rFonts w:asciiTheme="minorHAnsi" w:eastAsiaTheme="minorEastAsia" w:hAnsiTheme="minorHAnsi"/>
          <w:b w:val="0"/>
          <w:color w:val="auto"/>
          <w:sz w:val="22"/>
          <w:lang w:eastAsia="en-AU"/>
        </w:rPr>
      </w:pPr>
      <w:r w:rsidRPr="00225456">
        <w:rPr>
          <w:sz w:val="18"/>
          <w:szCs w:val="20"/>
        </w:rPr>
        <w:fldChar w:fldCharType="begin"/>
      </w:r>
      <w:r w:rsidRPr="00225456">
        <w:rPr>
          <w:b w:val="0"/>
          <w:sz w:val="18"/>
          <w:szCs w:val="20"/>
        </w:rPr>
        <w:instrText xml:space="preserve"> TOC \o "1-1" \h \z \t "Heading 2,2" </w:instrText>
      </w:r>
      <w:r w:rsidRPr="00225456">
        <w:rPr>
          <w:sz w:val="18"/>
          <w:szCs w:val="20"/>
        </w:rPr>
        <w:fldChar w:fldCharType="separate"/>
      </w:r>
      <w:hyperlink w:anchor="_Toc178063999" w:history="1">
        <w:r w:rsidR="000A5A5D" w:rsidRPr="001E6FCE">
          <w:rPr>
            <w:rStyle w:val="Hyperlink"/>
          </w:rPr>
          <w:t>1</w:t>
        </w:r>
        <w:r w:rsidR="000A5A5D">
          <w:rPr>
            <w:rFonts w:asciiTheme="minorHAnsi" w:eastAsiaTheme="minorEastAsia" w:hAnsiTheme="minorHAnsi"/>
            <w:b w:val="0"/>
            <w:color w:val="auto"/>
            <w:sz w:val="22"/>
            <w:lang w:eastAsia="en-AU"/>
          </w:rPr>
          <w:tab/>
        </w:r>
        <w:r w:rsidR="000A5A5D" w:rsidRPr="001E6FCE">
          <w:rPr>
            <w:rStyle w:val="Hyperlink"/>
          </w:rPr>
          <w:t>Executive summary</w:t>
        </w:r>
        <w:r w:rsidR="000A5A5D">
          <w:rPr>
            <w:webHidden/>
          </w:rPr>
          <w:tab/>
        </w:r>
        <w:r w:rsidR="000A5A5D">
          <w:rPr>
            <w:webHidden/>
          </w:rPr>
          <w:fldChar w:fldCharType="begin"/>
        </w:r>
        <w:r w:rsidR="000A5A5D">
          <w:rPr>
            <w:webHidden/>
          </w:rPr>
          <w:instrText xml:space="preserve"> PAGEREF _Toc178063999 \h </w:instrText>
        </w:r>
        <w:r w:rsidR="000A5A5D">
          <w:rPr>
            <w:webHidden/>
          </w:rPr>
        </w:r>
        <w:r w:rsidR="000A5A5D">
          <w:rPr>
            <w:webHidden/>
          </w:rPr>
          <w:fldChar w:fldCharType="separate"/>
        </w:r>
        <w:r w:rsidR="000A5A5D">
          <w:rPr>
            <w:webHidden/>
          </w:rPr>
          <w:t>i</w:t>
        </w:r>
        <w:r w:rsidR="000A5A5D">
          <w:rPr>
            <w:webHidden/>
          </w:rPr>
          <w:fldChar w:fldCharType="end"/>
        </w:r>
      </w:hyperlink>
    </w:p>
    <w:p w14:paraId="67321E64" w14:textId="41EE8281" w:rsidR="000A5A5D" w:rsidRDefault="0061017C">
      <w:pPr>
        <w:pStyle w:val="TOC1"/>
        <w:rPr>
          <w:rFonts w:asciiTheme="minorHAnsi" w:eastAsiaTheme="minorEastAsia" w:hAnsiTheme="minorHAnsi"/>
          <w:b w:val="0"/>
          <w:color w:val="auto"/>
          <w:sz w:val="22"/>
          <w:lang w:eastAsia="en-AU"/>
        </w:rPr>
      </w:pPr>
      <w:hyperlink w:anchor="_Toc178064000" w:history="1">
        <w:r w:rsidR="000A5A5D" w:rsidRPr="001E6FCE">
          <w:rPr>
            <w:rStyle w:val="Hyperlink"/>
          </w:rPr>
          <w:t>2</w:t>
        </w:r>
        <w:r w:rsidR="000A5A5D">
          <w:rPr>
            <w:rFonts w:asciiTheme="minorHAnsi" w:eastAsiaTheme="minorEastAsia" w:hAnsiTheme="minorHAnsi"/>
            <w:b w:val="0"/>
            <w:color w:val="auto"/>
            <w:sz w:val="22"/>
            <w:lang w:eastAsia="en-AU"/>
          </w:rPr>
          <w:tab/>
        </w:r>
        <w:r w:rsidR="000A5A5D" w:rsidRPr="001E6FCE">
          <w:rPr>
            <w:rStyle w:val="Hyperlink"/>
          </w:rPr>
          <w:t>Glossary</w:t>
        </w:r>
        <w:r w:rsidR="000A5A5D">
          <w:rPr>
            <w:webHidden/>
          </w:rPr>
          <w:tab/>
        </w:r>
        <w:r w:rsidR="000A5A5D">
          <w:rPr>
            <w:webHidden/>
          </w:rPr>
          <w:fldChar w:fldCharType="begin"/>
        </w:r>
        <w:r w:rsidR="000A5A5D">
          <w:rPr>
            <w:webHidden/>
          </w:rPr>
          <w:instrText xml:space="preserve"> PAGEREF _Toc178064000 \h </w:instrText>
        </w:r>
        <w:r w:rsidR="000A5A5D">
          <w:rPr>
            <w:webHidden/>
          </w:rPr>
        </w:r>
        <w:r w:rsidR="000A5A5D">
          <w:rPr>
            <w:webHidden/>
          </w:rPr>
          <w:fldChar w:fldCharType="separate"/>
        </w:r>
        <w:r w:rsidR="000A5A5D">
          <w:rPr>
            <w:webHidden/>
          </w:rPr>
          <w:t>xi</w:t>
        </w:r>
        <w:r w:rsidR="000A5A5D">
          <w:rPr>
            <w:webHidden/>
          </w:rPr>
          <w:fldChar w:fldCharType="end"/>
        </w:r>
      </w:hyperlink>
    </w:p>
    <w:p w14:paraId="08C4D9C4" w14:textId="72974948" w:rsidR="000A5A5D" w:rsidRDefault="0061017C">
      <w:pPr>
        <w:pStyle w:val="TOC1"/>
        <w:rPr>
          <w:rFonts w:asciiTheme="minorHAnsi" w:eastAsiaTheme="minorEastAsia" w:hAnsiTheme="minorHAnsi"/>
          <w:b w:val="0"/>
          <w:color w:val="auto"/>
          <w:sz w:val="22"/>
          <w:lang w:eastAsia="en-AU"/>
        </w:rPr>
      </w:pPr>
      <w:hyperlink w:anchor="_Toc178064001" w:history="1">
        <w:r w:rsidR="000A5A5D" w:rsidRPr="001E6FCE">
          <w:rPr>
            <w:rStyle w:val="Hyperlink"/>
          </w:rPr>
          <w:t>3</w:t>
        </w:r>
        <w:r w:rsidR="000A5A5D">
          <w:rPr>
            <w:rFonts w:asciiTheme="minorHAnsi" w:eastAsiaTheme="minorEastAsia" w:hAnsiTheme="minorHAnsi"/>
            <w:b w:val="0"/>
            <w:color w:val="auto"/>
            <w:sz w:val="22"/>
            <w:lang w:eastAsia="en-AU"/>
          </w:rPr>
          <w:tab/>
        </w:r>
        <w:r w:rsidR="000A5A5D" w:rsidRPr="001E6FCE">
          <w:rPr>
            <w:rStyle w:val="Hyperlink"/>
          </w:rPr>
          <w:t>Introduction</w:t>
        </w:r>
        <w:r w:rsidR="000A5A5D">
          <w:rPr>
            <w:webHidden/>
          </w:rPr>
          <w:tab/>
        </w:r>
        <w:r w:rsidR="000A5A5D">
          <w:rPr>
            <w:webHidden/>
          </w:rPr>
          <w:fldChar w:fldCharType="begin"/>
        </w:r>
        <w:r w:rsidR="000A5A5D">
          <w:rPr>
            <w:webHidden/>
          </w:rPr>
          <w:instrText xml:space="preserve"> PAGEREF _Toc178064001 \h </w:instrText>
        </w:r>
        <w:r w:rsidR="000A5A5D">
          <w:rPr>
            <w:webHidden/>
          </w:rPr>
        </w:r>
        <w:r w:rsidR="000A5A5D">
          <w:rPr>
            <w:webHidden/>
          </w:rPr>
          <w:fldChar w:fldCharType="separate"/>
        </w:r>
        <w:r w:rsidR="000A5A5D">
          <w:rPr>
            <w:webHidden/>
          </w:rPr>
          <w:t>1</w:t>
        </w:r>
        <w:r w:rsidR="000A5A5D">
          <w:rPr>
            <w:webHidden/>
          </w:rPr>
          <w:fldChar w:fldCharType="end"/>
        </w:r>
      </w:hyperlink>
    </w:p>
    <w:p w14:paraId="02E2FC37" w14:textId="11625127" w:rsidR="000A5A5D" w:rsidRDefault="0061017C">
      <w:pPr>
        <w:pStyle w:val="TOC2"/>
        <w:rPr>
          <w:rFonts w:asciiTheme="minorHAnsi" w:eastAsiaTheme="minorEastAsia" w:hAnsiTheme="minorHAnsi"/>
          <w:color w:val="auto"/>
          <w:sz w:val="22"/>
          <w:lang w:eastAsia="en-AU"/>
        </w:rPr>
      </w:pPr>
      <w:hyperlink w:anchor="_Toc178064002" w:history="1">
        <w:r w:rsidR="000A5A5D" w:rsidRPr="001E6FCE">
          <w:rPr>
            <w:rStyle w:val="Hyperlink"/>
          </w:rPr>
          <w:t>3.1</w:t>
        </w:r>
        <w:r w:rsidR="000A5A5D">
          <w:rPr>
            <w:rFonts w:asciiTheme="minorHAnsi" w:eastAsiaTheme="minorEastAsia" w:hAnsiTheme="minorHAnsi"/>
            <w:color w:val="auto"/>
            <w:sz w:val="22"/>
            <w:lang w:eastAsia="en-AU"/>
          </w:rPr>
          <w:tab/>
        </w:r>
        <w:r w:rsidR="000A5A5D" w:rsidRPr="001E6FCE">
          <w:rPr>
            <w:rStyle w:val="Hyperlink"/>
          </w:rPr>
          <w:t>Background and context</w:t>
        </w:r>
        <w:r w:rsidR="000A5A5D">
          <w:rPr>
            <w:webHidden/>
          </w:rPr>
          <w:tab/>
        </w:r>
        <w:r w:rsidR="000A5A5D">
          <w:rPr>
            <w:webHidden/>
          </w:rPr>
          <w:fldChar w:fldCharType="begin"/>
        </w:r>
        <w:r w:rsidR="000A5A5D">
          <w:rPr>
            <w:webHidden/>
          </w:rPr>
          <w:instrText xml:space="preserve"> PAGEREF _Toc178064002 \h </w:instrText>
        </w:r>
        <w:r w:rsidR="000A5A5D">
          <w:rPr>
            <w:webHidden/>
          </w:rPr>
        </w:r>
        <w:r w:rsidR="000A5A5D">
          <w:rPr>
            <w:webHidden/>
          </w:rPr>
          <w:fldChar w:fldCharType="separate"/>
        </w:r>
        <w:r w:rsidR="000A5A5D">
          <w:rPr>
            <w:webHidden/>
          </w:rPr>
          <w:t>1</w:t>
        </w:r>
        <w:r w:rsidR="000A5A5D">
          <w:rPr>
            <w:webHidden/>
          </w:rPr>
          <w:fldChar w:fldCharType="end"/>
        </w:r>
      </w:hyperlink>
    </w:p>
    <w:p w14:paraId="58F26C72" w14:textId="110AE8E5" w:rsidR="000A5A5D" w:rsidRDefault="0061017C">
      <w:pPr>
        <w:pStyle w:val="TOC2"/>
        <w:rPr>
          <w:rFonts w:asciiTheme="minorHAnsi" w:eastAsiaTheme="minorEastAsia" w:hAnsiTheme="minorHAnsi"/>
          <w:color w:val="auto"/>
          <w:sz w:val="22"/>
          <w:lang w:eastAsia="en-AU"/>
        </w:rPr>
      </w:pPr>
      <w:hyperlink w:anchor="_Toc178064003" w:history="1">
        <w:r w:rsidR="000A5A5D" w:rsidRPr="001E6FCE">
          <w:rPr>
            <w:rStyle w:val="Hyperlink"/>
          </w:rPr>
          <w:t>3.2</w:t>
        </w:r>
        <w:r w:rsidR="000A5A5D">
          <w:rPr>
            <w:rFonts w:asciiTheme="minorHAnsi" w:eastAsiaTheme="minorEastAsia" w:hAnsiTheme="minorHAnsi"/>
            <w:color w:val="auto"/>
            <w:sz w:val="22"/>
            <w:lang w:eastAsia="en-AU"/>
          </w:rPr>
          <w:tab/>
        </w:r>
        <w:r w:rsidR="000A5A5D" w:rsidRPr="001E6FCE">
          <w:rPr>
            <w:rStyle w:val="Hyperlink"/>
          </w:rPr>
          <w:t>Summary of Stages 1 and 2 Evaluation Findings</w:t>
        </w:r>
        <w:r w:rsidR="000A5A5D">
          <w:rPr>
            <w:webHidden/>
          </w:rPr>
          <w:tab/>
        </w:r>
        <w:r w:rsidR="000A5A5D">
          <w:rPr>
            <w:webHidden/>
          </w:rPr>
          <w:fldChar w:fldCharType="begin"/>
        </w:r>
        <w:r w:rsidR="000A5A5D">
          <w:rPr>
            <w:webHidden/>
          </w:rPr>
          <w:instrText xml:space="preserve"> PAGEREF _Toc178064003 \h </w:instrText>
        </w:r>
        <w:r w:rsidR="000A5A5D">
          <w:rPr>
            <w:webHidden/>
          </w:rPr>
        </w:r>
        <w:r w:rsidR="000A5A5D">
          <w:rPr>
            <w:webHidden/>
          </w:rPr>
          <w:fldChar w:fldCharType="separate"/>
        </w:r>
        <w:r w:rsidR="000A5A5D">
          <w:rPr>
            <w:webHidden/>
          </w:rPr>
          <w:t>6</w:t>
        </w:r>
        <w:r w:rsidR="000A5A5D">
          <w:rPr>
            <w:webHidden/>
          </w:rPr>
          <w:fldChar w:fldCharType="end"/>
        </w:r>
      </w:hyperlink>
    </w:p>
    <w:p w14:paraId="67374088" w14:textId="60AB406F" w:rsidR="000A5A5D" w:rsidRDefault="0061017C">
      <w:pPr>
        <w:pStyle w:val="TOC2"/>
        <w:rPr>
          <w:rFonts w:asciiTheme="minorHAnsi" w:eastAsiaTheme="minorEastAsia" w:hAnsiTheme="minorHAnsi"/>
          <w:color w:val="auto"/>
          <w:sz w:val="22"/>
          <w:lang w:eastAsia="en-AU"/>
        </w:rPr>
      </w:pPr>
      <w:hyperlink w:anchor="_Toc178064004" w:history="1">
        <w:r w:rsidR="000A5A5D" w:rsidRPr="001E6FCE">
          <w:rPr>
            <w:rStyle w:val="Hyperlink"/>
          </w:rPr>
          <w:t>3.3</w:t>
        </w:r>
        <w:r w:rsidR="000A5A5D">
          <w:rPr>
            <w:rFonts w:asciiTheme="minorHAnsi" w:eastAsiaTheme="minorEastAsia" w:hAnsiTheme="minorHAnsi"/>
            <w:color w:val="auto"/>
            <w:sz w:val="22"/>
            <w:lang w:eastAsia="en-AU"/>
          </w:rPr>
          <w:tab/>
        </w:r>
        <w:r w:rsidR="000A5A5D" w:rsidRPr="001E6FCE">
          <w:rPr>
            <w:rStyle w:val="Hyperlink"/>
          </w:rPr>
          <w:t>Structure of this report</w:t>
        </w:r>
        <w:r w:rsidR="000A5A5D">
          <w:rPr>
            <w:webHidden/>
          </w:rPr>
          <w:tab/>
        </w:r>
        <w:r w:rsidR="000A5A5D">
          <w:rPr>
            <w:webHidden/>
          </w:rPr>
          <w:fldChar w:fldCharType="begin"/>
        </w:r>
        <w:r w:rsidR="000A5A5D">
          <w:rPr>
            <w:webHidden/>
          </w:rPr>
          <w:instrText xml:space="preserve"> PAGEREF _Toc178064004 \h </w:instrText>
        </w:r>
        <w:r w:rsidR="000A5A5D">
          <w:rPr>
            <w:webHidden/>
          </w:rPr>
        </w:r>
        <w:r w:rsidR="000A5A5D">
          <w:rPr>
            <w:webHidden/>
          </w:rPr>
          <w:fldChar w:fldCharType="separate"/>
        </w:r>
        <w:r w:rsidR="000A5A5D">
          <w:rPr>
            <w:webHidden/>
          </w:rPr>
          <w:t>7</w:t>
        </w:r>
        <w:r w:rsidR="000A5A5D">
          <w:rPr>
            <w:webHidden/>
          </w:rPr>
          <w:fldChar w:fldCharType="end"/>
        </w:r>
      </w:hyperlink>
    </w:p>
    <w:p w14:paraId="4DB3A08F" w14:textId="77D97A4D" w:rsidR="000A5A5D" w:rsidRDefault="0061017C">
      <w:pPr>
        <w:pStyle w:val="TOC1"/>
        <w:rPr>
          <w:rFonts w:asciiTheme="minorHAnsi" w:eastAsiaTheme="minorEastAsia" w:hAnsiTheme="minorHAnsi"/>
          <w:b w:val="0"/>
          <w:color w:val="auto"/>
          <w:sz w:val="22"/>
          <w:lang w:eastAsia="en-AU"/>
        </w:rPr>
      </w:pPr>
      <w:hyperlink w:anchor="_Toc178064005" w:history="1">
        <w:r w:rsidR="000A5A5D" w:rsidRPr="001E6FCE">
          <w:rPr>
            <w:rStyle w:val="Hyperlink"/>
          </w:rPr>
          <w:t>4</w:t>
        </w:r>
        <w:r w:rsidR="000A5A5D">
          <w:rPr>
            <w:rFonts w:asciiTheme="minorHAnsi" w:eastAsiaTheme="minorEastAsia" w:hAnsiTheme="minorHAnsi"/>
            <w:b w:val="0"/>
            <w:color w:val="auto"/>
            <w:sz w:val="22"/>
            <w:lang w:eastAsia="en-AU"/>
          </w:rPr>
          <w:tab/>
        </w:r>
        <w:r w:rsidR="000A5A5D" w:rsidRPr="001E6FCE">
          <w:rPr>
            <w:rStyle w:val="Hyperlink"/>
          </w:rPr>
          <w:t>Evaluation overview</w:t>
        </w:r>
        <w:r w:rsidR="000A5A5D">
          <w:rPr>
            <w:webHidden/>
          </w:rPr>
          <w:tab/>
        </w:r>
        <w:r w:rsidR="000A5A5D">
          <w:rPr>
            <w:webHidden/>
          </w:rPr>
          <w:fldChar w:fldCharType="begin"/>
        </w:r>
        <w:r w:rsidR="000A5A5D">
          <w:rPr>
            <w:webHidden/>
          </w:rPr>
          <w:instrText xml:space="preserve"> PAGEREF _Toc178064005 \h </w:instrText>
        </w:r>
        <w:r w:rsidR="000A5A5D">
          <w:rPr>
            <w:webHidden/>
          </w:rPr>
        </w:r>
        <w:r w:rsidR="000A5A5D">
          <w:rPr>
            <w:webHidden/>
          </w:rPr>
          <w:fldChar w:fldCharType="separate"/>
        </w:r>
        <w:r w:rsidR="000A5A5D">
          <w:rPr>
            <w:webHidden/>
          </w:rPr>
          <w:t>8</w:t>
        </w:r>
        <w:r w:rsidR="000A5A5D">
          <w:rPr>
            <w:webHidden/>
          </w:rPr>
          <w:fldChar w:fldCharType="end"/>
        </w:r>
      </w:hyperlink>
    </w:p>
    <w:p w14:paraId="7F237127" w14:textId="68309A2B" w:rsidR="000A5A5D" w:rsidRDefault="0061017C">
      <w:pPr>
        <w:pStyle w:val="TOC2"/>
        <w:rPr>
          <w:rFonts w:asciiTheme="minorHAnsi" w:eastAsiaTheme="minorEastAsia" w:hAnsiTheme="minorHAnsi"/>
          <w:color w:val="auto"/>
          <w:sz w:val="22"/>
          <w:lang w:eastAsia="en-AU"/>
        </w:rPr>
      </w:pPr>
      <w:hyperlink w:anchor="_Toc178064006" w:history="1">
        <w:r w:rsidR="000A5A5D" w:rsidRPr="001E6FCE">
          <w:rPr>
            <w:rStyle w:val="Hyperlink"/>
          </w:rPr>
          <w:t>4.1</w:t>
        </w:r>
        <w:r w:rsidR="000A5A5D">
          <w:rPr>
            <w:rFonts w:asciiTheme="minorHAnsi" w:eastAsiaTheme="minorEastAsia" w:hAnsiTheme="minorHAnsi"/>
            <w:color w:val="auto"/>
            <w:sz w:val="22"/>
            <w:lang w:eastAsia="en-AU"/>
          </w:rPr>
          <w:tab/>
        </w:r>
        <w:r w:rsidR="000A5A5D" w:rsidRPr="001E6FCE">
          <w:rPr>
            <w:rStyle w:val="Hyperlink"/>
          </w:rPr>
          <w:t>Conceptual approach and principles</w:t>
        </w:r>
        <w:r w:rsidR="000A5A5D">
          <w:rPr>
            <w:webHidden/>
          </w:rPr>
          <w:tab/>
        </w:r>
        <w:r w:rsidR="000A5A5D">
          <w:rPr>
            <w:webHidden/>
          </w:rPr>
          <w:fldChar w:fldCharType="begin"/>
        </w:r>
        <w:r w:rsidR="000A5A5D">
          <w:rPr>
            <w:webHidden/>
          </w:rPr>
          <w:instrText xml:space="preserve"> PAGEREF _Toc178064006 \h </w:instrText>
        </w:r>
        <w:r w:rsidR="000A5A5D">
          <w:rPr>
            <w:webHidden/>
          </w:rPr>
        </w:r>
        <w:r w:rsidR="000A5A5D">
          <w:rPr>
            <w:webHidden/>
          </w:rPr>
          <w:fldChar w:fldCharType="separate"/>
        </w:r>
        <w:r w:rsidR="000A5A5D">
          <w:rPr>
            <w:webHidden/>
          </w:rPr>
          <w:t>8</w:t>
        </w:r>
        <w:r w:rsidR="000A5A5D">
          <w:rPr>
            <w:webHidden/>
          </w:rPr>
          <w:fldChar w:fldCharType="end"/>
        </w:r>
      </w:hyperlink>
    </w:p>
    <w:p w14:paraId="0DB8D1E4" w14:textId="3ACA107E" w:rsidR="000A5A5D" w:rsidRDefault="0061017C">
      <w:pPr>
        <w:pStyle w:val="TOC2"/>
        <w:rPr>
          <w:rFonts w:asciiTheme="minorHAnsi" w:eastAsiaTheme="minorEastAsia" w:hAnsiTheme="minorHAnsi"/>
          <w:color w:val="auto"/>
          <w:sz w:val="22"/>
          <w:lang w:eastAsia="en-AU"/>
        </w:rPr>
      </w:pPr>
      <w:hyperlink w:anchor="_Toc178064007" w:history="1">
        <w:r w:rsidR="000A5A5D" w:rsidRPr="001E6FCE">
          <w:rPr>
            <w:rStyle w:val="Hyperlink"/>
          </w:rPr>
          <w:t>4.2</w:t>
        </w:r>
        <w:r w:rsidR="000A5A5D">
          <w:rPr>
            <w:rFonts w:asciiTheme="minorHAnsi" w:eastAsiaTheme="minorEastAsia" w:hAnsiTheme="minorHAnsi"/>
            <w:color w:val="auto"/>
            <w:sz w:val="22"/>
            <w:lang w:eastAsia="en-AU"/>
          </w:rPr>
          <w:tab/>
        </w:r>
        <w:r w:rsidR="000A5A5D" w:rsidRPr="001E6FCE">
          <w:rPr>
            <w:rStyle w:val="Hyperlink"/>
          </w:rPr>
          <w:t>Evaluation inputs</w:t>
        </w:r>
        <w:r w:rsidR="000A5A5D">
          <w:rPr>
            <w:webHidden/>
          </w:rPr>
          <w:tab/>
        </w:r>
        <w:r w:rsidR="000A5A5D">
          <w:rPr>
            <w:webHidden/>
          </w:rPr>
          <w:fldChar w:fldCharType="begin"/>
        </w:r>
        <w:r w:rsidR="000A5A5D">
          <w:rPr>
            <w:webHidden/>
          </w:rPr>
          <w:instrText xml:space="preserve"> PAGEREF _Toc178064007 \h </w:instrText>
        </w:r>
        <w:r w:rsidR="000A5A5D">
          <w:rPr>
            <w:webHidden/>
          </w:rPr>
        </w:r>
        <w:r w:rsidR="000A5A5D">
          <w:rPr>
            <w:webHidden/>
          </w:rPr>
          <w:fldChar w:fldCharType="separate"/>
        </w:r>
        <w:r w:rsidR="000A5A5D">
          <w:rPr>
            <w:webHidden/>
          </w:rPr>
          <w:t>12</w:t>
        </w:r>
        <w:r w:rsidR="000A5A5D">
          <w:rPr>
            <w:webHidden/>
          </w:rPr>
          <w:fldChar w:fldCharType="end"/>
        </w:r>
      </w:hyperlink>
    </w:p>
    <w:p w14:paraId="0658E0E3" w14:textId="15E28ADC" w:rsidR="000A5A5D" w:rsidRDefault="0061017C">
      <w:pPr>
        <w:pStyle w:val="TOC2"/>
        <w:rPr>
          <w:rFonts w:asciiTheme="minorHAnsi" w:eastAsiaTheme="minorEastAsia" w:hAnsiTheme="minorHAnsi"/>
          <w:color w:val="auto"/>
          <w:sz w:val="22"/>
          <w:lang w:eastAsia="en-AU"/>
        </w:rPr>
      </w:pPr>
      <w:hyperlink w:anchor="_Toc178064008" w:history="1">
        <w:r w:rsidR="000A5A5D" w:rsidRPr="001E6FCE">
          <w:rPr>
            <w:rStyle w:val="Hyperlink"/>
          </w:rPr>
          <w:t>4.3</w:t>
        </w:r>
        <w:r w:rsidR="000A5A5D">
          <w:rPr>
            <w:rFonts w:asciiTheme="minorHAnsi" w:eastAsiaTheme="minorEastAsia" w:hAnsiTheme="minorHAnsi"/>
            <w:color w:val="auto"/>
            <w:sz w:val="22"/>
            <w:lang w:eastAsia="en-AU"/>
          </w:rPr>
          <w:tab/>
        </w:r>
        <w:r w:rsidR="000A5A5D" w:rsidRPr="001E6FCE">
          <w:rPr>
            <w:rStyle w:val="Hyperlink"/>
          </w:rPr>
          <w:t>Strengths and limitations</w:t>
        </w:r>
        <w:r w:rsidR="000A5A5D">
          <w:rPr>
            <w:webHidden/>
          </w:rPr>
          <w:tab/>
        </w:r>
        <w:r w:rsidR="000A5A5D">
          <w:rPr>
            <w:webHidden/>
          </w:rPr>
          <w:fldChar w:fldCharType="begin"/>
        </w:r>
        <w:r w:rsidR="000A5A5D">
          <w:rPr>
            <w:webHidden/>
          </w:rPr>
          <w:instrText xml:space="preserve"> PAGEREF _Toc178064008 \h </w:instrText>
        </w:r>
        <w:r w:rsidR="000A5A5D">
          <w:rPr>
            <w:webHidden/>
          </w:rPr>
        </w:r>
        <w:r w:rsidR="000A5A5D">
          <w:rPr>
            <w:webHidden/>
          </w:rPr>
          <w:fldChar w:fldCharType="separate"/>
        </w:r>
        <w:r w:rsidR="000A5A5D">
          <w:rPr>
            <w:webHidden/>
          </w:rPr>
          <w:t>14</w:t>
        </w:r>
        <w:r w:rsidR="000A5A5D">
          <w:rPr>
            <w:webHidden/>
          </w:rPr>
          <w:fldChar w:fldCharType="end"/>
        </w:r>
      </w:hyperlink>
    </w:p>
    <w:p w14:paraId="1AB81BC4" w14:textId="1B164E6A" w:rsidR="000A5A5D" w:rsidRDefault="0061017C">
      <w:pPr>
        <w:pStyle w:val="TOC1"/>
        <w:rPr>
          <w:rFonts w:asciiTheme="minorHAnsi" w:eastAsiaTheme="minorEastAsia" w:hAnsiTheme="minorHAnsi"/>
          <w:b w:val="0"/>
          <w:color w:val="auto"/>
          <w:sz w:val="22"/>
          <w:lang w:eastAsia="en-AU"/>
        </w:rPr>
      </w:pPr>
      <w:hyperlink w:anchor="_Toc178064009" w:history="1">
        <w:r w:rsidR="000A5A5D" w:rsidRPr="001E6FCE">
          <w:rPr>
            <w:rStyle w:val="Hyperlink"/>
          </w:rPr>
          <w:t>5</w:t>
        </w:r>
        <w:r w:rsidR="000A5A5D">
          <w:rPr>
            <w:rFonts w:asciiTheme="minorHAnsi" w:eastAsiaTheme="minorEastAsia" w:hAnsiTheme="minorHAnsi"/>
            <w:b w:val="0"/>
            <w:color w:val="auto"/>
            <w:sz w:val="22"/>
            <w:lang w:eastAsia="en-AU"/>
          </w:rPr>
          <w:tab/>
        </w:r>
        <w:r w:rsidR="000A5A5D" w:rsidRPr="001E6FCE">
          <w:rPr>
            <w:rStyle w:val="Hyperlink"/>
          </w:rPr>
          <w:t>Outcomes evaluation</w:t>
        </w:r>
        <w:r w:rsidR="000A5A5D">
          <w:rPr>
            <w:webHidden/>
          </w:rPr>
          <w:tab/>
        </w:r>
        <w:r w:rsidR="000A5A5D">
          <w:rPr>
            <w:webHidden/>
          </w:rPr>
          <w:fldChar w:fldCharType="begin"/>
        </w:r>
        <w:r w:rsidR="000A5A5D">
          <w:rPr>
            <w:webHidden/>
          </w:rPr>
          <w:instrText xml:space="preserve"> PAGEREF _Toc178064009 \h </w:instrText>
        </w:r>
        <w:r w:rsidR="000A5A5D">
          <w:rPr>
            <w:webHidden/>
          </w:rPr>
        </w:r>
        <w:r w:rsidR="000A5A5D">
          <w:rPr>
            <w:webHidden/>
          </w:rPr>
          <w:fldChar w:fldCharType="separate"/>
        </w:r>
        <w:r w:rsidR="000A5A5D">
          <w:rPr>
            <w:webHidden/>
          </w:rPr>
          <w:t>16</w:t>
        </w:r>
        <w:r w:rsidR="000A5A5D">
          <w:rPr>
            <w:webHidden/>
          </w:rPr>
          <w:fldChar w:fldCharType="end"/>
        </w:r>
      </w:hyperlink>
    </w:p>
    <w:p w14:paraId="240DE3A1" w14:textId="52E154E2" w:rsidR="000A5A5D" w:rsidRDefault="0061017C">
      <w:pPr>
        <w:pStyle w:val="TOC2"/>
        <w:rPr>
          <w:rFonts w:asciiTheme="minorHAnsi" w:eastAsiaTheme="minorEastAsia" w:hAnsiTheme="minorHAnsi"/>
          <w:color w:val="auto"/>
          <w:sz w:val="22"/>
          <w:lang w:eastAsia="en-AU"/>
        </w:rPr>
      </w:pPr>
      <w:hyperlink w:anchor="_Toc178064010" w:history="1">
        <w:r w:rsidR="000A5A5D" w:rsidRPr="001E6FCE">
          <w:rPr>
            <w:rStyle w:val="Hyperlink"/>
          </w:rPr>
          <w:t>5.1</w:t>
        </w:r>
        <w:r w:rsidR="000A5A5D">
          <w:rPr>
            <w:rFonts w:asciiTheme="minorHAnsi" w:eastAsiaTheme="minorEastAsia" w:hAnsiTheme="minorHAnsi"/>
            <w:color w:val="auto"/>
            <w:sz w:val="22"/>
            <w:lang w:eastAsia="en-AU"/>
          </w:rPr>
          <w:tab/>
        </w:r>
        <w:r w:rsidR="000A5A5D" w:rsidRPr="001E6FCE">
          <w:rPr>
            <w:rStyle w:val="Hyperlink"/>
          </w:rPr>
          <w:t>What were the outcomes of the J2SI PAD in light of its structure as a SII funding mechanism?</w:t>
        </w:r>
        <w:r w:rsidR="000A5A5D">
          <w:rPr>
            <w:webHidden/>
          </w:rPr>
          <w:tab/>
        </w:r>
        <w:r w:rsidR="000A5A5D">
          <w:rPr>
            <w:webHidden/>
          </w:rPr>
          <w:fldChar w:fldCharType="begin"/>
        </w:r>
        <w:r w:rsidR="000A5A5D">
          <w:rPr>
            <w:webHidden/>
          </w:rPr>
          <w:instrText xml:space="preserve"> PAGEREF _Toc178064010 \h </w:instrText>
        </w:r>
        <w:r w:rsidR="000A5A5D">
          <w:rPr>
            <w:webHidden/>
          </w:rPr>
        </w:r>
        <w:r w:rsidR="000A5A5D">
          <w:rPr>
            <w:webHidden/>
          </w:rPr>
          <w:fldChar w:fldCharType="separate"/>
        </w:r>
        <w:r w:rsidR="000A5A5D">
          <w:rPr>
            <w:webHidden/>
          </w:rPr>
          <w:t>16</w:t>
        </w:r>
        <w:r w:rsidR="000A5A5D">
          <w:rPr>
            <w:webHidden/>
          </w:rPr>
          <w:fldChar w:fldCharType="end"/>
        </w:r>
      </w:hyperlink>
    </w:p>
    <w:p w14:paraId="43E25E85" w14:textId="484A1CBF" w:rsidR="000A5A5D" w:rsidRDefault="0061017C">
      <w:pPr>
        <w:pStyle w:val="TOC2"/>
        <w:rPr>
          <w:rFonts w:asciiTheme="minorHAnsi" w:eastAsiaTheme="minorEastAsia" w:hAnsiTheme="minorHAnsi"/>
          <w:color w:val="auto"/>
          <w:sz w:val="22"/>
          <w:lang w:eastAsia="en-AU"/>
        </w:rPr>
      </w:pPr>
      <w:hyperlink w:anchor="_Toc178064011" w:history="1">
        <w:r w:rsidR="000A5A5D" w:rsidRPr="001E6FCE">
          <w:rPr>
            <w:rStyle w:val="Hyperlink"/>
          </w:rPr>
          <w:t>5.2</w:t>
        </w:r>
        <w:r w:rsidR="000A5A5D">
          <w:rPr>
            <w:rFonts w:asciiTheme="minorHAnsi" w:eastAsiaTheme="minorEastAsia" w:hAnsiTheme="minorHAnsi"/>
            <w:color w:val="auto"/>
            <w:sz w:val="22"/>
            <w:lang w:eastAsia="en-AU"/>
          </w:rPr>
          <w:tab/>
        </w:r>
        <w:r w:rsidR="000A5A5D" w:rsidRPr="001E6FCE">
          <w:rPr>
            <w:rStyle w:val="Hyperlink"/>
          </w:rPr>
          <w:t>What other factors impacted outcomes?</w:t>
        </w:r>
        <w:r w:rsidR="000A5A5D">
          <w:rPr>
            <w:webHidden/>
          </w:rPr>
          <w:tab/>
        </w:r>
        <w:r w:rsidR="000A5A5D">
          <w:rPr>
            <w:webHidden/>
          </w:rPr>
          <w:fldChar w:fldCharType="begin"/>
        </w:r>
        <w:r w:rsidR="000A5A5D">
          <w:rPr>
            <w:webHidden/>
          </w:rPr>
          <w:instrText xml:space="preserve"> PAGEREF _Toc178064011 \h </w:instrText>
        </w:r>
        <w:r w:rsidR="000A5A5D">
          <w:rPr>
            <w:webHidden/>
          </w:rPr>
        </w:r>
        <w:r w:rsidR="000A5A5D">
          <w:rPr>
            <w:webHidden/>
          </w:rPr>
          <w:fldChar w:fldCharType="separate"/>
        </w:r>
        <w:r w:rsidR="000A5A5D">
          <w:rPr>
            <w:webHidden/>
          </w:rPr>
          <w:t>39</w:t>
        </w:r>
        <w:r w:rsidR="000A5A5D">
          <w:rPr>
            <w:webHidden/>
          </w:rPr>
          <w:fldChar w:fldCharType="end"/>
        </w:r>
      </w:hyperlink>
    </w:p>
    <w:p w14:paraId="5E50F5A6" w14:textId="7BABE1F3" w:rsidR="000A5A5D" w:rsidRDefault="0061017C">
      <w:pPr>
        <w:pStyle w:val="TOC1"/>
        <w:rPr>
          <w:rFonts w:asciiTheme="minorHAnsi" w:eastAsiaTheme="minorEastAsia" w:hAnsiTheme="minorHAnsi"/>
          <w:b w:val="0"/>
          <w:color w:val="auto"/>
          <w:sz w:val="22"/>
          <w:lang w:eastAsia="en-AU"/>
        </w:rPr>
      </w:pPr>
      <w:hyperlink w:anchor="_Toc178064012" w:history="1">
        <w:r w:rsidR="000A5A5D" w:rsidRPr="001E6FCE">
          <w:rPr>
            <w:rStyle w:val="Hyperlink"/>
          </w:rPr>
          <w:t>6</w:t>
        </w:r>
        <w:r w:rsidR="000A5A5D">
          <w:rPr>
            <w:rFonts w:asciiTheme="minorHAnsi" w:eastAsiaTheme="minorEastAsia" w:hAnsiTheme="minorHAnsi"/>
            <w:b w:val="0"/>
            <w:color w:val="auto"/>
            <w:sz w:val="22"/>
            <w:lang w:eastAsia="en-AU"/>
          </w:rPr>
          <w:tab/>
        </w:r>
        <w:r w:rsidR="000A5A5D" w:rsidRPr="001E6FCE">
          <w:rPr>
            <w:rStyle w:val="Hyperlink"/>
          </w:rPr>
          <w:t>Cost benefit analysis (CBA)</w:t>
        </w:r>
        <w:r w:rsidR="000A5A5D">
          <w:rPr>
            <w:webHidden/>
          </w:rPr>
          <w:tab/>
        </w:r>
        <w:r w:rsidR="000A5A5D">
          <w:rPr>
            <w:webHidden/>
          </w:rPr>
          <w:fldChar w:fldCharType="begin"/>
        </w:r>
        <w:r w:rsidR="000A5A5D">
          <w:rPr>
            <w:webHidden/>
          </w:rPr>
          <w:instrText xml:space="preserve"> PAGEREF _Toc178064012 \h </w:instrText>
        </w:r>
        <w:r w:rsidR="000A5A5D">
          <w:rPr>
            <w:webHidden/>
          </w:rPr>
        </w:r>
        <w:r w:rsidR="000A5A5D">
          <w:rPr>
            <w:webHidden/>
          </w:rPr>
          <w:fldChar w:fldCharType="separate"/>
        </w:r>
        <w:r w:rsidR="000A5A5D">
          <w:rPr>
            <w:webHidden/>
          </w:rPr>
          <w:t>41</w:t>
        </w:r>
        <w:r w:rsidR="000A5A5D">
          <w:rPr>
            <w:webHidden/>
          </w:rPr>
          <w:fldChar w:fldCharType="end"/>
        </w:r>
      </w:hyperlink>
    </w:p>
    <w:p w14:paraId="62ECB945" w14:textId="25B8B389" w:rsidR="000A5A5D" w:rsidRDefault="0061017C">
      <w:pPr>
        <w:pStyle w:val="TOC2"/>
        <w:rPr>
          <w:rFonts w:asciiTheme="minorHAnsi" w:eastAsiaTheme="minorEastAsia" w:hAnsiTheme="minorHAnsi"/>
          <w:color w:val="auto"/>
          <w:sz w:val="22"/>
          <w:lang w:eastAsia="en-AU"/>
        </w:rPr>
      </w:pPr>
      <w:hyperlink w:anchor="_Toc178064013" w:history="1">
        <w:r w:rsidR="000A5A5D" w:rsidRPr="001E6FCE">
          <w:rPr>
            <w:rStyle w:val="Hyperlink"/>
          </w:rPr>
          <w:t>6.1</w:t>
        </w:r>
        <w:r w:rsidR="000A5A5D">
          <w:rPr>
            <w:rFonts w:asciiTheme="minorHAnsi" w:eastAsiaTheme="minorEastAsia" w:hAnsiTheme="minorHAnsi"/>
            <w:color w:val="auto"/>
            <w:sz w:val="22"/>
            <w:lang w:eastAsia="en-AU"/>
          </w:rPr>
          <w:tab/>
        </w:r>
        <w:r w:rsidR="000A5A5D" w:rsidRPr="001E6FCE">
          <w:rPr>
            <w:rStyle w:val="Hyperlink"/>
          </w:rPr>
          <w:t>Approach to the CBA</w:t>
        </w:r>
        <w:r w:rsidR="000A5A5D">
          <w:rPr>
            <w:webHidden/>
          </w:rPr>
          <w:tab/>
        </w:r>
        <w:r w:rsidR="000A5A5D">
          <w:rPr>
            <w:webHidden/>
          </w:rPr>
          <w:fldChar w:fldCharType="begin"/>
        </w:r>
        <w:r w:rsidR="000A5A5D">
          <w:rPr>
            <w:webHidden/>
          </w:rPr>
          <w:instrText xml:space="preserve"> PAGEREF _Toc178064013 \h </w:instrText>
        </w:r>
        <w:r w:rsidR="000A5A5D">
          <w:rPr>
            <w:webHidden/>
          </w:rPr>
        </w:r>
        <w:r w:rsidR="000A5A5D">
          <w:rPr>
            <w:webHidden/>
          </w:rPr>
          <w:fldChar w:fldCharType="separate"/>
        </w:r>
        <w:r w:rsidR="000A5A5D">
          <w:rPr>
            <w:webHidden/>
          </w:rPr>
          <w:t>42</w:t>
        </w:r>
        <w:r w:rsidR="000A5A5D">
          <w:rPr>
            <w:webHidden/>
          </w:rPr>
          <w:fldChar w:fldCharType="end"/>
        </w:r>
      </w:hyperlink>
    </w:p>
    <w:p w14:paraId="2E8C6F59" w14:textId="1A0725E9" w:rsidR="000A5A5D" w:rsidRDefault="0061017C">
      <w:pPr>
        <w:pStyle w:val="TOC2"/>
        <w:rPr>
          <w:rFonts w:asciiTheme="minorHAnsi" w:eastAsiaTheme="minorEastAsia" w:hAnsiTheme="minorHAnsi"/>
          <w:color w:val="auto"/>
          <w:sz w:val="22"/>
          <w:lang w:eastAsia="en-AU"/>
        </w:rPr>
      </w:pPr>
      <w:hyperlink w:anchor="_Toc178064014" w:history="1">
        <w:r w:rsidR="000A5A5D" w:rsidRPr="001E6FCE">
          <w:rPr>
            <w:rStyle w:val="Hyperlink"/>
          </w:rPr>
          <w:t>6.2</w:t>
        </w:r>
        <w:r w:rsidR="000A5A5D">
          <w:rPr>
            <w:rFonts w:asciiTheme="minorHAnsi" w:eastAsiaTheme="minorEastAsia" w:hAnsiTheme="minorHAnsi"/>
            <w:color w:val="auto"/>
            <w:sz w:val="22"/>
            <w:lang w:eastAsia="en-AU"/>
          </w:rPr>
          <w:tab/>
        </w:r>
        <w:r w:rsidR="000A5A5D" w:rsidRPr="001E6FCE">
          <w:rPr>
            <w:rStyle w:val="Hyperlink"/>
          </w:rPr>
          <w:t>CBA results</w:t>
        </w:r>
        <w:r w:rsidR="000A5A5D">
          <w:rPr>
            <w:webHidden/>
          </w:rPr>
          <w:tab/>
        </w:r>
        <w:r w:rsidR="000A5A5D">
          <w:rPr>
            <w:webHidden/>
          </w:rPr>
          <w:fldChar w:fldCharType="begin"/>
        </w:r>
        <w:r w:rsidR="000A5A5D">
          <w:rPr>
            <w:webHidden/>
          </w:rPr>
          <w:instrText xml:space="preserve"> PAGEREF _Toc178064014 \h </w:instrText>
        </w:r>
        <w:r w:rsidR="000A5A5D">
          <w:rPr>
            <w:webHidden/>
          </w:rPr>
        </w:r>
        <w:r w:rsidR="000A5A5D">
          <w:rPr>
            <w:webHidden/>
          </w:rPr>
          <w:fldChar w:fldCharType="separate"/>
        </w:r>
        <w:r w:rsidR="000A5A5D">
          <w:rPr>
            <w:webHidden/>
          </w:rPr>
          <w:t>46</w:t>
        </w:r>
        <w:r w:rsidR="000A5A5D">
          <w:rPr>
            <w:webHidden/>
          </w:rPr>
          <w:fldChar w:fldCharType="end"/>
        </w:r>
      </w:hyperlink>
    </w:p>
    <w:p w14:paraId="5C9876A8" w14:textId="427F30E2" w:rsidR="000A5A5D" w:rsidRDefault="0061017C">
      <w:pPr>
        <w:pStyle w:val="TOC1"/>
        <w:rPr>
          <w:rFonts w:asciiTheme="minorHAnsi" w:eastAsiaTheme="minorEastAsia" w:hAnsiTheme="minorHAnsi"/>
          <w:b w:val="0"/>
          <w:color w:val="auto"/>
          <w:sz w:val="22"/>
          <w:lang w:eastAsia="en-AU"/>
        </w:rPr>
      </w:pPr>
      <w:hyperlink w:anchor="_Toc178064015" w:history="1">
        <w:r w:rsidR="000A5A5D" w:rsidRPr="001E6FCE">
          <w:rPr>
            <w:rStyle w:val="Hyperlink"/>
          </w:rPr>
          <w:t>Appendix A : Program logic</w:t>
        </w:r>
        <w:r w:rsidR="000A5A5D">
          <w:rPr>
            <w:webHidden/>
          </w:rPr>
          <w:tab/>
        </w:r>
        <w:r w:rsidR="000A5A5D">
          <w:rPr>
            <w:webHidden/>
          </w:rPr>
          <w:fldChar w:fldCharType="begin"/>
        </w:r>
        <w:r w:rsidR="000A5A5D">
          <w:rPr>
            <w:webHidden/>
          </w:rPr>
          <w:instrText xml:space="preserve"> PAGEREF _Toc178064015 \h </w:instrText>
        </w:r>
        <w:r w:rsidR="000A5A5D">
          <w:rPr>
            <w:webHidden/>
          </w:rPr>
        </w:r>
        <w:r w:rsidR="000A5A5D">
          <w:rPr>
            <w:webHidden/>
          </w:rPr>
          <w:fldChar w:fldCharType="separate"/>
        </w:r>
        <w:r w:rsidR="000A5A5D">
          <w:rPr>
            <w:webHidden/>
          </w:rPr>
          <w:t>50</w:t>
        </w:r>
        <w:r w:rsidR="000A5A5D">
          <w:rPr>
            <w:webHidden/>
          </w:rPr>
          <w:fldChar w:fldCharType="end"/>
        </w:r>
      </w:hyperlink>
    </w:p>
    <w:p w14:paraId="600CF641" w14:textId="37D2C954" w:rsidR="000A5A5D" w:rsidRDefault="0061017C">
      <w:pPr>
        <w:pStyle w:val="TOC1"/>
        <w:rPr>
          <w:rFonts w:asciiTheme="minorHAnsi" w:eastAsiaTheme="minorEastAsia" w:hAnsiTheme="minorHAnsi"/>
          <w:b w:val="0"/>
          <w:color w:val="auto"/>
          <w:sz w:val="22"/>
          <w:lang w:eastAsia="en-AU"/>
        </w:rPr>
      </w:pPr>
      <w:hyperlink w:anchor="_Toc178064016" w:history="1">
        <w:r w:rsidR="000A5A5D" w:rsidRPr="001E6FCE">
          <w:rPr>
            <w:rStyle w:val="Hyperlink"/>
          </w:rPr>
          <w:t>Appendix B : Summary of outcomes for Government and Sacred Heart Mission</w:t>
        </w:r>
        <w:r w:rsidR="000A5A5D">
          <w:rPr>
            <w:webHidden/>
          </w:rPr>
          <w:tab/>
        </w:r>
        <w:r w:rsidR="000A5A5D">
          <w:rPr>
            <w:webHidden/>
          </w:rPr>
          <w:fldChar w:fldCharType="begin"/>
        </w:r>
        <w:r w:rsidR="000A5A5D">
          <w:rPr>
            <w:webHidden/>
          </w:rPr>
          <w:instrText xml:space="preserve"> PAGEREF _Toc178064016 \h </w:instrText>
        </w:r>
        <w:r w:rsidR="000A5A5D">
          <w:rPr>
            <w:webHidden/>
          </w:rPr>
        </w:r>
        <w:r w:rsidR="000A5A5D">
          <w:rPr>
            <w:webHidden/>
          </w:rPr>
          <w:fldChar w:fldCharType="separate"/>
        </w:r>
        <w:r w:rsidR="000A5A5D">
          <w:rPr>
            <w:webHidden/>
          </w:rPr>
          <w:t>52</w:t>
        </w:r>
        <w:r w:rsidR="000A5A5D">
          <w:rPr>
            <w:webHidden/>
          </w:rPr>
          <w:fldChar w:fldCharType="end"/>
        </w:r>
      </w:hyperlink>
    </w:p>
    <w:p w14:paraId="70241CBD" w14:textId="6C4FF2AD" w:rsidR="00CE6C51" w:rsidRDefault="003C27FF" w:rsidP="00C34053">
      <w:pPr>
        <w:pStyle w:val="BodyText"/>
        <w:rPr>
          <w:b/>
          <w:sz w:val="18"/>
          <w:szCs w:val="20"/>
        </w:rPr>
        <w:sectPr w:rsidR="00CE6C51" w:rsidSect="005B0986">
          <w:headerReference w:type="even" r:id="rId28"/>
          <w:headerReference w:type="default" r:id="rId29"/>
          <w:footerReference w:type="even" r:id="rId30"/>
          <w:footerReference w:type="default" r:id="rId31"/>
          <w:headerReference w:type="first" r:id="rId32"/>
          <w:footerReference w:type="first" r:id="rId33"/>
          <w:pgSz w:w="11906" w:h="16838"/>
          <w:pgMar w:top="851" w:right="851" w:bottom="851" w:left="1985" w:header="567" w:footer="284" w:gutter="0"/>
          <w:pgNumType w:fmt="lowerRoman"/>
          <w:cols w:space="708"/>
          <w:docGrid w:linePitch="360"/>
        </w:sectPr>
      </w:pPr>
      <w:r w:rsidRPr="00225456">
        <w:rPr>
          <w:b/>
          <w:sz w:val="18"/>
          <w:szCs w:val="20"/>
        </w:rPr>
        <w:fldChar w:fldCharType="end"/>
      </w:r>
    </w:p>
    <w:p w14:paraId="3F942323" w14:textId="1C98DC30" w:rsidR="0011019E" w:rsidRPr="000F7EFB" w:rsidRDefault="0011019E" w:rsidP="00C34053">
      <w:pPr>
        <w:pStyle w:val="BodyText"/>
        <w:rPr>
          <w:b/>
        </w:rPr>
      </w:pPr>
      <w:r w:rsidRPr="000F7EFB">
        <w:rPr>
          <w:b/>
        </w:rPr>
        <w:lastRenderedPageBreak/>
        <w:t>Inherent Limitations</w:t>
      </w:r>
    </w:p>
    <w:p w14:paraId="7C4591E9" w14:textId="02E63B12" w:rsidR="00CE6C51" w:rsidRPr="000F7EFB" w:rsidRDefault="00CE6C51" w:rsidP="00CE6C51">
      <w:pPr>
        <w:ind w:right="330"/>
        <w:rPr>
          <w:rFonts w:eastAsia="Univers for KPMG Light" w:cs="Arial"/>
          <w:sz w:val="18"/>
          <w:szCs w:val="18"/>
        </w:rPr>
      </w:pPr>
      <w:r w:rsidRPr="000F7EFB">
        <w:rPr>
          <w:rFonts w:cs="Arial"/>
          <w:spacing w:val="-1"/>
          <w:sz w:val="18"/>
          <w:szCs w:val="18"/>
        </w:rPr>
        <w:t>This Summary Report has been prepared as outlined in the Scope Section. The</w:t>
      </w:r>
      <w:r w:rsidRPr="000F7EFB">
        <w:rPr>
          <w:rFonts w:cs="Arial"/>
          <w:sz w:val="18"/>
          <w:szCs w:val="18"/>
        </w:rPr>
        <w:t xml:space="preserve"> </w:t>
      </w:r>
      <w:r w:rsidRPr="000F7EFB">
        <w:rPr>
          <w:rFonts w:cs="Arial"/>
          <w:spacing w:val="-1"/>
          <w:sz w:val="18"/>
          <w:szCs w:val="18"/>
        </w:rPr>
        <w:t>services</w:t>
      </w:r>
      <w:r w:rsidRPr="000F7EFB">
        <w:rPr>
          <w:rFonts w:cs="Arial"/>
          <w:sz w:val="18"/>
          <w:szCs w:val="18"/>
        </w:rPr>
        <w:t xml:space="preserve"> </w:t>
      </w:r>
      <w:r w:rsidRPr="000F7EFB">
        <w:rPr>
          <w:rFonts w:cs="Arial"/>
          <w:spacing w:val="-1"/>
          <w:sz w:val="18"/>
          <w:szCs w:val="18"/>
        </w:rPr>
        <w:t>provided</w:t>
      </w:r>
      <w:r w:rsidRPr="000F7EFB">
        <w:rPr>
          <w:rFonts w:cs="Arial"/>
          <w:spacing w:val="1"/>
          <w:sz w:val="18"/>
          <w:szCs w:val="18"/>
        </w:rPr>
        <w:t xml:space="preserve"> </w:t>
      </w:r>
      <w:r w:rsidRPr="000F7EFB">
        <w:rPr>
          <w:rFonts w:cs="Arial"/>
          <w:spacing w:val="-1"/>
          <w:sz w:val="18"/>
          <w:szCs w:val="18"/>
        </w:rPr>
        <w:t>in</w:t>
      </w:r>
      <w:r w:rsidRPr="000F7EFB">
        <w:rPr>
          <w:rFonts w:cs="Arial"/>
          <w:sz w:val="18"/>
          <w:szCs w:val="18"/>
        </w:rPr>
        <w:t xml:space="preserve"> </w:t>
      </w:r>
      <w:r w:rsidRPr="000F7EFB">
        <w:rPr>
          <w:rFonts w:cs="Arial"/>
          <w:spacing w:val="-1"/>
          <w:sz w:val="18"/>
          <w:szCs w:val="18"/>
        </w:rPr>
        <w:t>connection with</w:t>
      </w:r>
      <w:r w:rsidR="002435E1" w:rsidRPr="000F7EFB">
        <w:rPr>
          <w:rFonts w:cs="Arial"/>
          <w:spacing w:val="-1"/>
          <w:sz w:val="18"/>
          <w:szCs w:val="18"/>
        </w:rPr>
        <w:t xml:space="preserve"> </w:t>
      </w:r>
      <w:r w:rsidRPr="000F7EFB">
        <w:rPr>
          <w:rFonts w:cs="Arial"/>
          <w:spacing w:val="-1"/>
          <w:sz w:val="18"/>
          <w:szCs w:val="18"/>
        </w:rPr>
        <w:t>this</w:t>
      </w:r>
      <w:r w:rsidRPr="000F7EFB">
        <w:rPr>
          <w:rFonts w:cs="Arial"/>
          <w:sz w:val="18"/>
          <w:szCs w:val="18"/>
        </w:rPr>
        <w:t xml:space="preserve"> </w:t>
      </w:r>
      <w:r w:rsidRPr="000F7EFB">
        <w:rPr>
          <w:rFonts w:cs="Arial"/>
          <w:spacing w:val="-1"/>
          <w:sz w:val="18"/>
          <w:szCs w:val="18"/>
        </w:rPr>
        <w:t>engagement</w:t>
      </w:r>
      <w:r w:rsidRPr="000F7EFB">
        <w:rPr>
          <w:rFonts w:cs="Arial"/>
          <w:sz w:val="18"/>
          <w:szCs w:val="18"/>
        </w:rPr>
        <w:t xml:space="preserve"> </w:t>
      </w:r>
      <w:r w:rsidRPr="000F7EFB">
        <w:rPr>
          <w:rFonts w:cs="Arial"/>
          <w:spacing w:val="-1"/>
          <w:sz w:val="18"/>
          <w:szCs w:val="18"/>
        </w:rPr>
        <w:t>comprise an</w:t>
      </w:r>
      <w:r w:rsidRPr="000F7EFB">
        <w:rPr>
          <w:rFonts w:cs="Arial"/>
          <w:sz w:val="18"/>
          <w:szCs w:val="18"/>
        </w:rPr>
        <w:t xml:space="preserve"> </w:t>
      </w:r>
      <w:r w:rsidRPr="000F7EFB">
        <w:rPr>
          <w:rFonts w:cs="Arial"/>
          <w:spacing w:val="-1"/>
          <w:sz w:val="18"/>
          <w:szCs w:val="18"/>
        </w:rPr>
        <w:t>advisory</w:t>
      </w:r>
      <w:r w:rsidRPr="000F7EFB">
        <w:rPr>
          <w:rFonts w:cs="Arial"/>
          <w:sz w:val="18"/>
          <w:szCs w:val="18"/>
        </w:rPr>
        <w:t xml:space="preserve"> </w:t>
      </w:r>
      <w:r w:rsidRPr="000F7EFB">
        <w:rPr>
          <w:rFonts w:cs="Arial"/>
          <w:spacing w:val="-1"/>
          <w:sz w:val="18"/>
          <w:szCs w:val="18"/>
        </w:rPr>
        <w:t>engagement,</w:t>
      </w:r>
      <w:r w:rsidRPr="000F7EFB">
        <w:rPr>
          <w:rFonts w:cs="Arial"/>
          <w:sz w:val="18"/>
          <w:szCs w:val="18"/>
        </w:rPr>
        <w:t xml:space="preserve"> </w:t>
      </w:r>
      <w:r w:rsidRPr="000F7EFB">
        <w:rPr>
          <w:rFonts w:cs="Arial"/>
          <w:spacing w:val="-1"/>
          <w:sz w:val="18"/>
          <w:szCs w:val="18"/>
        </w:rPr>
        <w:t>which</w:t>
      </w:r>
      <w:r w:rsidRPr="000F7EFB">
        <w:rPr>
          <w:rFonts w:cs="Arial"/>
          <w:sz w:val="18"/>
          <w:szCs w:val="18"/>
        </w:rPr>
        <w:t xml:space="preserve"> </w:t>
      </w:r>
      <w:r w:rsidRPr="000F7EFB">
        <w:rPr>
          <w:rFonts w:cs="Arial"/>
          <w:spacing w:val="-1"/>
          <w:sz w:val="18"/>
          <w:szCs w:val="18"/>
        </w:rPr>
        <w:t>is</w:t>
      </w:r>
      <w:r w:rsidRPr="000F7EFB">
        <w:rPr>
          <w:rFonts w:cs="Arial"/>
          <w:sz w:val="18"/>
          <w:szCs w:val="18"/>
        </w:rPr>
        <w:t xml:space="preserve"> </w:t>
      </w:r>
      <w:r w:rsidRPr="000F7EFB">
        <w:rPr>
          <w:rFonts w:cs="Arial"/>
          <w:spacing w:val="-1"/>
          <w:sz w:val="18"/>
          <w:szCs w:val="18"/>
        </w:rPr>
        <w:t>not</w:t>
      </w:r>
      <w:r w:rsidRPr="000F7EFB">
        <w:rPr>
          <w:rFonts w:cs="Arial"/>
          <w:sz w:val="18"/>
          <w:szCs w:val="18"/>
        </w:rPr>
        <w:t xml:space="preserve"> </w:t>
      </w:r>
      <w:r w:rsidRPr="000F7EFB">
        <w:rPr>
          <w:rFonts w:cs="Arial"/>
          <w:spacing w:val="-1"/>
          <w:sz w:val="18"/>
          <w:szCs w:val="18"/>
        </w:rPr>
        <w:t>subject</w:t>
      </w:r>
      <w:r w:rsidRPr="000F7EFB">
        <w:rPr>
          <w:rFonts w:cs="Arial"/>
          <w:sz w:val="18"/>
          <w:szCs w:val="18"/>
        </w:rPr>
        <w:t xml:space="preserve"> </w:t>
      </w:r>
      <w:r w:rsidRPr="000F7EFB">
        <w:rPr>
          <w:rFonts w:cs="Arial"/>
          <w:spacing w:val="-1"/>
          <w:sz w:val="18"/>
          <w:szCs w:val="18"/>
        </w:rPr>
        <w:t>to</w:t>
      </w:r>
      <w:r w:rsidRPr="000F7EFB">
        <w:rPr>
          <w:rFonts w:cs="Arial"/>
          <w:sz w:val="18"/>
          <w:szCs w:val="18"/>
        </w:rPr>
        <w:t xml:space="preserve"> </w:t>
      </w:r>
      <w:r w:rsidRPr="000F7EFB">
        <w:rPr>
          <w:rFonts w:cs="Arial"/>
          <w:spacing w:val="-1"/>
          <w:sz w:val="18"/>
          <w:szCs w:val="18"/>
        </w:rPr>
        <w:t>assurance</w:t>
      </w:r>
      <w:r w:rsidRPr="000F7EFB">
        <w:rPr>
          <w:rFonts w:cs="Arial"/>
          <w:sz w:val="18"/>
          <w:szCs w:val="18"/>
        </w:rPr>
        <w:t xml:space="preserve"> </w:t>
      </w:r>
      <w:r w:rsidRPr="000F7EFB">
        <w:rPr>
          <w:rFonts w:cs="Arial"/>
          <w:spacing w:val="-1"/>
          <w:sz w:val="18"/>
          <w:szCs w:val="18"/>
        </w:rPr>
        <w:t>or</w:t>
      </w:r>
      <w:r w:rsidRPr="000F7EFB">
        <w:rPr>
          <w:rFonts w:cs="Arial"/>
          <w:sz w:val="18"/>
          <w:szCs w:val="18"/>
        </w:rPr>
        <w:t xml:space="preserve"> </w:t>
      </w:r>
      <w:r w:rsidRPr="000F7EFB">
        <w:rPr>
          <w:rFonts w:cs="Arial"/>
          <w:spacing w:val="-1"/>
          <w:sz w:val="18"/>
          <w:szCs w:val="18"/>
        </w:rPr>
        <w:t>other</w:t>
      </w:r>
      <w:r w:rsidRPr="000F7EFB">
        <w:rPr>
          <w:rFonts w:cs="Arial"/>
          <w:sz w:val="18"/>
          <w:szCs w:val="18"/>
        </w:rPr>
        <w:t xml:space="preserve"> </w:t>
      </w:r>
      <w:r w:rsidRPr="000F7EFB">
        <w:rPr>
          <w:rFonts w:cs="Arial"/>
          <w:spacing w:val="-1"/>
          <w:sz w:val="18"/>
          <w:szCs w:val="18"/>
        </w:rPr>
        <w:t>standards</w:t>
      </w:r>
      <w:r w:rsidR="0011019E" w:rsidRPr="000F7EFB">
        <w:rPr>
          <w:rFonts w:cs="Arial"/>
          <w:spacing w:val="-1"/>
          <w:sz w:val="18"/>
          <w:szCs w:val="18"/>
        </w:rPr>
        <w:t xml:space="preserve"> </w:t>
      </w:r>
      <w:r w:rsidRPr="000F7EFB">
        <w:rPr>
          <w:rFonts w:cs="Arial"/>
          <w:spacing w:val="-1"/>
          <w:sz w:val="18"/>
          <w:szCs w:val="18"/>
        </w:rPr>
        <w:t>issued</w:t>
      </w:r>
      <w:r w:rsidRPr="000F7EFB">
        <w:rPr>
          <w:rFonts w:cs="Arial"/>
          <w:spacing w:val="1"/>
          <w:sz w:val="18"/>
          <w:szCs w:val="18"/>
        </w:rPr>
        <w:t xml:space="preserve"> </w:t>
      </w:r>
      <w:r w:rsidRPr="000F7EFB">
        <w:rPr>
          <w:rFonts w:cs="Arial"/>
          <w:spacing w:val="-1"/>
          <w:sz w:val="18"/>
          <w:szCs w:val="18"/>
        </w:rPr>
        <w:t>by</w:t>
      </w:r>
      <w:r w:rsidRPr="000F7EFB">
        <w:rPr>
          <w:rFonts w:cs="Arial"/>
          <w:sz w:val="18"/>
          <w:szCs w:val="18"/>
        </w:rPr>
        <w:t xml:space="preserve"> </w:t>
      </w:r>
      <w:r w:rsidRPr="000F7EFB">
        <w:rPr>
          <w:rFonts w:cs="Arial"/>
          <w:spacing w:val="-1"/>
          <w:sz w:val="18"/>
          <w:szCs w:val="18"/>
        </w:rPr>
        <w:t>the</w:t>
      </w:r>
      <w:r w:rsidRPr="000F7EFB">
        <w:rPr>
          <w:rFonts w:cs="Arial"/>
          <w:spacing w:val="1"/>
          <w:sz w:val="18"/>
          <w:szCs w:val="18"/>
        </w:rPr>
        <w:t xml:space="preserve"> </w:t>
      </w:r>
      <w:r w:rsidRPr="000F7EFB">
        <w:rPr>
          <w:rFonts w:cs="Arial"/>
          <w:spacing w:val="-1"/>
          <w:sz w:val="18"/>
          <w:szCs w:val="18"/>
        </w:rPr>
        <w:t>Australian</w:t>
      </w:r>
      <w:r w:rsidRPr="000F7EFB">
        <w:rPr>
          <w:rFonts w:cs="Arial"/>
          <w:sz w:val="18"/>
          <w:szCs w:val="18"/>
        </w:rPr>
        <w:t xml:space="preserve"> </w:t>
      </w:r>
      <w:r w:rsidRPr="000F7EFB">
        <w:rPr>
          <w:rFonts w:cs="Arial"/>
          <w:spacing w:val="-1"/>
          <w:sz w:val="18"/>
          <w:szCs w:val="18"/>
        </w:rPr>
        <w:t>Auditing</w:t>
      </w:r>
      <w:r w:rsidRPr="000F7EFB">
        <w:rPr>
          <w:rFonts w:cs="Arial"/>
          <w:sz w:val="18"/>
          <w:szCs w:val="18"/>
        </w:rPr>
        <w:t xml:space="preserve"> </w:t>
      </w:r>
      <w:r w:rsidRPr="000F7EFB">
        <w:rPr>
          <w:rFonts w:cs="Arial"/>
          <w:spacing w:val="-1"/>
          <w:sz w:val="18"/>
          <w:szCs w:val="18"/>
        </w:rPr>
        <w:t>and</w:t>
      </w:r>
      <w:r w:rsidRPr="000F7EFB">
        <w:rPr>
          <w:rFonts w:cs="Arial"/>
          <w:sz w:val="18"/>
          <w:szCs w:val="18"/>
        </w:rPr>
        <w:t xml:space="preserve"> </w:t>
      </w:r>
      <w:r w:rsidRPr="000F7EFB">
        <w:rPr>
          <w:rFonts w:cs="Arial"/>
          <w:spacing w:val="-1"/>
          <w:sz w:val="18"/>
          <w:szCs w:val="18"/>
        </w:rPr>
        <w:t>Assurance</w:t>
      </w:r>
      <w:r w:rsidRPr="000F7EFB">
        <w:rPr>
          <w:rFonts w:cs="Arial"/>
          <w:sz w:val="18"/>
          <w:szCs w:val="18"/>
        </w:rPr>
        <w:t xml:space="preserve"> </w:t>
      </w:r>
      <w:r w:rsidRPr="000F7EFB">
        <w:rPr>
          <w:rFonts w:cs="Arial"/>
          <w:spacing w:val="-1"/>
          <w:sz w:val="18"/>
          <w:szCs w:val="18"/>
        </w:rPr>
        <w:t>Standards</w:t>
      </w:r>
      <w:r w:rsidRPr="000F7EFB">
        <w:rPr>
          <w:rFonts w:cs="Arial"/>
          <w:sz w:val="18"/>
          <w:szCs w:val="18"/>
        </w:rPr>
        <w:t xml:space="preserve"> </w:t>
      </w:r>
      <w:r w:rsidRPr="000F7EFB">
        <w:rPr>
          <w:rFonts w:cs="Arial"/>
          <w:spacing w:val="-1"/>
          <w:sz w:val="18"/>
          <w:szCs w:val="18"/>
        </w:rPr>
        <w:t>Board</w:t>
      </w:r>
      <w:r w:rsidRPr="000F7EFB">
        <w:rPr>
          <w:rFonts w:cs="Arial"/>
          <w:sz w:val="18"/>
          <w:szCs w:val="18"/>
        </w:rPr>
        <w:t xml:space="preserve"> </w:t>
      </w:r>
      <w:r w:rsidRPr="000F7EFB">
        <w:rPr>
          <w:rFonts w:cs="Arial"/>
          <w:spacing w:val="-1"/>
          <w:sz w:val="18"/>
          <w:szCs w:val="18"/>
        </w:rPr>
        <w:t>and,</w:t>
      </w:r>
      <w:r w:rsidRPr="000F7EFB">
        <w:rPr>
          <w:rFonts w:cs="Arial"/>
          <w:sz w:val="18"/>
          <w:szCs w:val="18"/>
        </w:rPr>
        <w:t xml:space="preserve"> </w:t>
      </w:r>
      <w:r w:rsidRPr="000F7EFB">
        <w:rPr>
          <w:rFonts w:cs="Arial"/>
          <w:spacing w:val="-1"/>
          <w:sz w:val="18"/>
          <w:szCs w:val="18"/>
        </w:rPr>
        <w:t>consequently</w:t>
      </w:r>
      <w:r w:rsidRPr="000F7EFB">
        <w:rPr>
          <w:rFonts w:cs="Arial"/>
          <w:sz w:val="18"/>
          <w:szCs w:val="18"/>
        </w:rPr>
        <w:t xml:space="preserve"> no</w:t>
      </w:r>
      <w:r w:rsidRPr="000F7EFB">
        <w:rPr>
          <w:rFonts w:cs="Arial"/>
          <w:spacing w:val="-1"/>
          <w:sz w:val="18"/>
          <w:szCs w:val="18"/>
        </w:rPr>
        <w:t xml:space="preserve"> opinions</w:t>
      </w:r>
      <w:r w:rsidRPr="000F7EFB">
        <w:rPr>
          <w:rFonts w:cs="Arial"/>
          <w:sz w:val="18"/>
          <w:szCs w:val="18"/>
        </w:rPr>
        <w:t xml:space="preserve"> </w:t>
      </w:r>
      <w:r w:rsidRPr="000F7EFB">
        <w:rPr>
          <w:rFonts w:cs="Arial"/>
          <w:spacing w:val="-1"/>
          <w:sz w:val="18"/>
          <w:szCs w:val="18"/>
        </w:rPr>
        <w:t>or</w:t>
      </w:r>
      <w:r w:rsidRPr="000F7EFB">
        <w:rPr>
          <w:rFonts w:cs="Arial"/>
          <w:spacing w:val="48"/>
          <w:sz w:val="18"/>
          <w:szCs w:val="18"/>
        </w:rPr>
        <w:t xml:space="preserve"> </w:t>
      </w:r>
      <w:r w:rsidRPr="000F7EFB">
        <w:rPr>
          <w:rFonts w:cs="Arial"/>
          <w:spacing w:val="-1"/>
          <w:sz w:val="18"/>
          <w:szCs w:val="18"/>
        </w:rPr>
        <w:t>conclusions</w:t>
      </w:r>
      <w:r w:rsidRPr="000F7EFB">
        <w:rPr>
          <w:rFonts w:cs="Arial"/>
          <w:sz w:val="18"/>
          <w:szCs w:val="18"/>
        </w:rPr>
        <w:t xml:space="preserve"> </w:t>
      </w:r>
      <w:r w:rsidRPr="000F7EFB">
        <w:rPr>
          <w:rFonts w:cs="Arial"/>
          <w:spacing w:val="-1"/>
          <w:sz w:val="18"/>
          <w:szCs w:val="18"/>
        </w:rPr>
        <w:t>intended</w:t>
      </w:r>
      <w:r w:rsidRPr="000F7EFB">
        <w:rPr>
          <w:rFonts w:cs="Arial"/>
          <w:sz w:val="18"/>
          <w:szCs w:val="18"/>
        </w:rPr>
        <w:t xml:space="preserve"> </w:t>
      </w:r>
      <w:r w:rsidRPr="000F7EFB">
        <w:rPr>
          <w:rFonts w:cs="Arial"/>
          <w:spacing w:val="-1"/>
          <w:sz w:val="18"/>
          <w:szCs w:val="18"/>
        </w:rPr>
        <w:t>to</w:t>
      </w:r>
      <w:r w:rsidRPr="000F7EFB">
        <w:rPr>
          <w:rFonts w:cs="Arial"/>
          <w:sz w:val="18"/>
          <w:szCs w:val="18"/>
        </w:rPr>
        <w:t xml:space="preserve"> </w:t>
      </w:r>
      <w:r w:rsidRPr="000F7EFB">
        <w:rPr>
          <w:rFonts w:cs="Arial"/>
          <w:spacing w:val="-1"/>
          <w:sz w:val="18"/>
          <w:szCs w:val="18"/>
        </w:rPr>
        <w:t>convey assurance</w:t>
      </w:r>
      <w:r w:rsidRPr="000F7EFB">
        <w:rPr>
          <w:rFonts w:cs="Arial"/>
          <w:sz w:val="18"/>
          <w:szCs w:val="18"/>
        </w:rPr>
        <w:t xml:space="preserve"> </w:t>
      </w:r>
      <w:r w:rsidRPr="000F7EFB">
        <w:rPr>
          <w:rFonts w:cs="Arial"/>
          <w:spacing w:val="-1"/>
          <w:sz w:val="18"/>
          <w:szCs w:val="18"/>
        </w:rPr>
        <w:t>have</w:t>
      </w:r>
      <w:r w:rsidRPr="000F7EFB">
        <w:rPr>
          <w:rFonts w:cs="Arial"/>
          <w:sz w:val="18"/>
          <w:szCs w:val="18"/>
        </w:rPr>
        <w:t xml:space="preserve"> </w:t>
      </w:r>
      <w:r w:rsidRPr="000F7EFB">
        <w:rPr>
          <w:rFonts w:cs="Arial"/>
          <w:spacing w:val="-1"/>
          <w:sz w:val="18"/>
          <w:szCs w:val="18"/>
        </w:rPr>
        <w:t>been</w:t>
      </w:r>
      <w:r w:rsidRPr="000F7EFB">
        <w:rPr>
          <w:rFonts w:cs="Arial"/>
          <w:sz w:val="18"/>
          <w:szCs w:val="18"/>
        </w:rPr>
        <w:t xml:space="preserve"> </w:t>
      </w:r>
      <w:r w:rsidRPr="000F7EFB">
        <w:rPr>
          <w:rFonts w:cs="Arial"/>
          <w:spacing w:val="-1"/>
          <w:sz w:val="18"/>
          <w:szCs w:val="18"/>
        </w:rPr>
        <w:t>expressed.</w:t>
      </w:r>
    </w:p>
    <w:p w14:paraId="13FB8C9C" w14:textId="5B6ED3B0" w:rsidR="00CE6C51" w:rsidRPr="000F7EFB" w:rsidRDefault="00CE6C51" w:rsidP="00CE6C51">
      <w:pPr>
        <w:ind w:right="330"/>
        <w:rPr>
          <w:rFonts w:cs="Arial"/>
          <w:spacing w:val="-1"/>
          <w:sz w:val="18"/>
          <w:szCs w:val="18"/>
        </w:rPr>
      </w:pPr>
      <w:r w:rsidRPr="000F7EFB">
        <w:rPr>
          <w:rFonts w:cs="Arial"/>
          <w:spacing w:val="-1"/>
          <w:sz w:val="18"/>
          <w:szCs w:val="18"/>
        </w:rPr>
        <w:t xml:space="preserve">This Summary Report provides a summary of KPMG’s findings during the course of the work undertaken for </w:t>
      </w:r>
      <w:r w:rsidR="002435E1" w:rsidRPr="000F7EFB">
        <w:rPr>
          <w:rFonts w:cs="Arial"/>
          <w:spacing w:val="-1"/>
          <w:sz w:val="18"/>
          <w:szCs w:val="18"/>
        </w:rPr>
        <w:t>the Department of Treasury and Finance</w:t>
      </w:r>
      <w:r w:rsidRPr="000F7EFB">
        <w:rPr>
          <w:rFonts w:cs="Arial"/>
          <w:spacing w:val="-1"/>
          <w:sz w:val="18"/>
          <w:szCs w:val="18"/>
        </w:rPr>
        <w:t xml:space="preserve"> under the terms of KPMG’s</w:t>
      </w:r>
      <w:r w:rsidR="002435E1" w:rsidRPr="000F7EFB">
        <w:rPr>
          <w:rFonts w:cs="Arial"/>
          <w:spacing w:val="-1"/>
          <w:sz w:val="18"/>
          <w:szCs w:val="18"/>
        </w:rPr>
        <w:t xml:space="preserve"> engagement letter dated</w:t>
      </w:r>
      <w:r w:rsidR="002435E1" w:rsidRPr="000F7EFB">
        <w:rPr>
          <w:sz w:val="18"/>
          <w:szCs w:val="20"/>
        </w:rPr>
        <w:t xml:space="preserve"> 31 August 2021, and variation dated 27 July 2023</w:t>
      </w:r>
      <w:r w:rsidRPr="000F7EFB">
        <w:rPr>
          <w:rFonts w:cs="Arial"/>
          <w:spacing w:val="-1"/>
          <w:sz w:val="18"/>
          <w:szCs w:val="18"/>
        </w:rPr>
        <w:t xml:space="preserve">. The contents of this Summary Report do not represent our conclusive findings, which are only contained in KPMG’s final detailed report issued </w:t>
      </w:r>
      <w:r w:rsidR="002435E1" w:rsidRPr="000F7EFB">
        <w:rPr>
          <w:rFonts w:cs="Arial"/>
          <w:spacing w:val="-1"/>
          <w:sz w:val="18"/>
          <w:szCs w:val="18"/>
        </w:rPr>
        <w:t xml:space="preserve">to the Department of </w:t>
      </w:r>
      <w:r w:rsidR="00883C76" w:rsidRPr="000F7EFB">
        <w:rPr>
          <w:rFonts w:cs="Arial"/>
          <w:spacing w:val="-1"/>
          <w:sz w:val="18"/>
          <w:szCs w:val="18"/>
        </w:rPr>
        <w:t>T</w:t>
      </w:r>
      <w:r w:rsidR="002435E1" w:rsidRPr="000F7EFB">
        <w:rPr>
          <w:rFonts w:cs="Arial"/>
          <w:spacing w:val="-1"/>
          <w:sz w:val="18"/>
          <w:szCs w:val="18"/>
        </w:rPr>
        <w:t>reasury and Finance</w:t>
      </w:r>
      <w:r w:rsidRPr="000F7EFB">
        <w:rPr>
          <w:rFonts w:cs="Arial"/>
          <w:spacing w:val="-1"/>
          <w:sz w:val="18"/>
          <w:szCs w:val="18"/>
        </w:rPr>
        <w:t xml:space="preserve"> on </w:t>
      </w:r>
      <w:r w:rsidR="002435E1" w:rsidRPr="000F7EFB">
        <w:rPr>
          <w:rFonts w:cs="Arial"/>
          <w:spacing w:val="-1"/>
          <w:sz w:val="18"/>
          <w:szCs w:val="18"/>
        </w:rPr>
        <w:t>19 January 2024</w:t>
      </w:r>
      <w:r w:rsidRPr="000F7EFB">
        <w:rPr>
          <w:rFonts w:cs="Arial"/>
          <w:spacing w:val="-1"/>
          <w:sz w:val="18"/>
          <w:szCs w:val="18"/>
        </w:rPr>
        <w:t xml:space="preserve">. </w:t>
      </w:r>
    </w:p>
    <w:p w14:paraId="344E04FB" w14:textId="4450E39D" w:rsidR="00CE6C51" w:rsidRPr="000F7EFB" w:rsidRDefault="00CE6C51" w:rsidP="00CE6C51">
      <w:pPr>
        <w:ind w:right="389"/>
        <w:rPr>
          <w:rFonts w:cs="Arial"/>
          <w:spacing w:val="-1"/>
          <w:sz w:val="18"/>
          <w:szCs w:val="18"/>
        </w:rPr>
      </w:pPr>
      <w:r w:rsidRPr="000F7EFB">
        <w:rPr>
          <w:rFonts w:cs="Arial"/>
          <w:spacing w:val="-1"/>
          <w:sz w:val="18"/>
          <w:szCs w:val="18"/>
        </w:rPr>
        <w:t xml:space="preserve">KPMG does not make any representation or warranty as to the accuracy, completeness, reasonableness, or reliability of the information included (whether directly or by reference) in the report, statements, representations and documentation provided by </w:t>
      </w:r>
      <w:r w:rsidR="002435E1" w:rsidRPr="000F7EFB">
        <w:rPr>
          <w:rFonts w:cs="Arial"/>
          <w:spacing w:val="-1"/>
          <w:sz w:val="18"/>
          <w:szCs w:val="18"/>
        </w:rPr>
        <w:t>the Department of Treasury and Finance</w:t>
      </w:r>
      <w:r w:rsidRPr="000F7EFB">
        <w:rPr>
          <w:rFonts w:cs="Arial"/>
          <w:spacing w:val="-1"/>
          <w:sz w:val="18"/>
          <w:szCs w:val="18"/>
        </w:rPr>
        <w:t xml:space="preserve">’s management and stakeholders consulted as part of the process, and / or the achievement or reasonableness of any plans, projections, forecasts, management targets, prospects or returns described (whether express or implied) in the report.  There will usually be differences between forecast or projected and actual results, </w:t>
      </w:r>
      <w:r w:rsidR="0011019E" w:rsidRPr="000F7EFB">
        <w:rPr>
          <w:rFonts w:cs="Arial"/>
          <w:spacing w:val="-1"/>
          <w:sz w:val="18"/>
          <w:szCs w:val="18"/>
        </w:rPr>
        <w:t>because</w:t>
      </w:r>
      <w:r w:rsidRPr="000F7EFB">
        <w:rPr>
          <w:rFonts w:cs="Arial"/>
          <w:spacing w:val="-1"/>
          <w:sz w:val="18"/>
          <w:szCs w:val="18"/>
        </w:rPr>
        <w:t xml:space="preserve"> events and circumstances frequently do not occur as expected or predicted, and those differences may be material.  Additionally, KPMG does not make any confirmation or assessment of the commercial merits, technical feasibility or compliance with any applicable legislation or regulation of the </w:t>
      </w:r>
      <w:r w:rsidR="00743076" w:rsidRPr="000F7EFB">
        <w:rPr>
          <w:rFonts w:cs="Arial"/>
          <w:spacing w:val="-1"/>
          <w:sz w:val="18"/>
          <w:szCs w:val="18"/>
        </w:rPr>
        <w:t>program</w:t>
      </w:r>
      <w:r w:rsidRPr="000F7EFB">
        <w:rPr>
          <w:rFonts w:cs="Arial"/>
          <w:spacing w:val="-1"/>
          <w:sz w:val="18"/>
          <w:szCs w:val="18"/>
        </w:rPr>
        <w:t>.</w:t>
      </w:r>
    </w:p>
    <w:p w14:paraId="1C232651" w14:textId="0E9B1D5E" w:rsidR="00CE6C51" w:rsidRPr="000F7EFB" w:rsidRDefault="00CE6C51" w:rsidP="00CE6C51">
      <w:pPr>
        <w:ind w:right="389"/>
        <w:rPr>
          <w:rFonts w:cs="Arial"/>
          <w:sz w:val="18"/>
          <w:szCs w:val="18"/>
        </w:rPr>
      </w:pPr>
      <w:r w:rsidRPr="000F7EFB">
        <w:rPr>
          <w:rFonts w:cs="Arial"/>
          <w:spacing w:val="-1"/>
          <w:sz w:val="18"/>
          <w:szCs w:val="18"/>
        </w:rPr>
        <w:t>KPMG</w:t>
      </w:r>
      <w:r w:rsidRPr="000F7EFB">
        <w:rPr>
          <w:rFonts w:cs="Arial"/>
          <w:sz w:val="18"/>
          <w:szCs w:val="18"/>
        </w:rPr>
        <w:t xml:space="preserve"> </w:t>
      </w:r>
      <w:r w:rsidRPr="000F7EFB">
        <w:rPr>
          <w:rFonts w:cs="Arial"/>
          <w:spacing w:val="-1"/>
          <w:sz w:val="18"/>
          <w:szCs w:val="18"/>
        </w:rPr>
        <w:t>have</w:t>
      </w:r>
      <w:r w:rsidRPr="000F7EFB">
        <w:rPr>
          <w:rFonts w:cs="Arial"/>
          <w:sz w:val="18"/>
          <w:szCs w:val="18"/>
        </w:rPr>
        <w:t xml:space="preserve"> </w:t>
      </w:r>
      <w:r w:rsidRPr="000F7EFB">
        <w:rPr>
          <w:rFonts w:cs="Arial"/>
          <w:spacing w:val="-1"/>
          <w:sz w:val="18"/>
          <w:szCs w:val="18"/>
        </w:rPr>
        <w:t>indicated</w:t>
      </w:r>
      <w:r w:rsidRPr="000F7EFB">
        <w:rPr>
          <w:rFonts w:cs="Arial"/>
          <w:sz w:val="18"/>
          <w:szCs w:val="18"/>
        </w:rPr>
        <w:t xml:space="preserve"> </w:t>
      </w:r>
      <w:r w:rsidRPr="000F7EFB">
        <w:rPr>
          <w:rFonts w:cs="Arial"/>
          <w:spacing w:val="-1"/>
          <w:sz w:val="18"/>
          <w:szCs w:val="18"/>
        </w:rPr>
        <w:t>within</w:t>
      </w:r>
      <w:r w:rsidRPr="000F7EFB">
        <w:rPr>
          <w:rFonts w:cs="Arial"/>
          <w:spacing w:val="1"/>
          <w:sz w:val="18"/>
          <w:szCs w:val="18"/>
        </w:rPr>
        <w:t xml:space="preserve"> </w:t>
      </w:r>
      <w:r w:rsidRPr="000F7EFB">
        <w:rPr>
          <w:rFonts w:cs="Arial"/>
          <w:spacing w:val="-1"/>
          <w:sz w:val="18"/>
          <w:szCs w:val="18"/>
        </w:rPr>
        <w:t>this</w:t>
      </w:r>
      <w:r w:rsidRPr="000F7EFB">
        <w:rPr>
          <w:rFonts w:cs="Arial"/>
          <w:sz w:val="18"/>
          <w:szCs w:val="18"/>
        </w:rPr>
        <w:t xml:space="preserve"> Summary Report </w:t>
      </w:r>
      <w:r w:rsidRPr="000F7EFB">
        <w:rPr>
          <w:rFonts w:cs="Arial"/>
          <w:spacing w:val="-1"/>
          <w:sz w:val="18"/>
          <w:szCs w:val="18"/>
        </w:rPr>
        <w:t>the</w:t>
      </w:r>
      <w:r w:rsidRPr="000F7EFB">
        <w:rPr>
          <w:rFonts w:cs="Arial"/>
          <w:sz w:val="18"/>
          <w:szCs w:val="18"/>
        </w:rPr>
        <w:t xml:space="preserve"> </w:t>
      </w:r>
      <w:r w:rsidRPr="000F7EFB">
        <w:rPr>
          <w:rFonts w:cs="Arial"/>
          <w:spacing w:val="-1"/>
          <w:sz w:val="18"/>
          <w:szCs w:val="18"/>
        </w:rPr>
        <w:t>sources</w:t>
      </w:r>
      <w:r w:rsidRPr="000F7EFB">
        <w:rPr>
          <w:rFonts w:cs="Arial"/>
          <w:sz w:val="18"/>
          <w:szCs w:val="18"/>
        </w:rPr>
        <w:t xml:space="preserve"> </w:t>
      </w:r>
      <w:r w:rsidRPr="000F7EFB">
        <w:rPr>
          <w:rFonts w:cs="Arial"/>
          <w:spacing w:val="-1"/>
          <w:sz w:val="18"/>
          <w:szCs w:val="18"/>
        </w:rPr>
        <w:t>of</w:t>
      </w:r>
      <w:r w:rsidRPr="000F7EFB">
        <w:rPr>
          <w:rFonts w:cs="Arial"/>
          <w:spacing w:val="-2"/>
          <w:sz w:val="18"/>
          <w:szCs w:val="18"/>
        </w:rPr>
        <w:t xml:space="preserve"> </w:t>
      </w:r>
      <w:r w:rsidRPr="000F7EFB">
        <w:rPr>
          <w:rFonts w:cs="Arial"/>
          <w:spacing w:val="-1"/>
          <w:sz w:val="18"/>
          <w:szCs w:val="18"/>
        </w:rPr>
        <w:t>the</w:t>
      </w:r>
      <w:r w:rsidRPr="000F7EFB">
        <w:rPr>
          <w:rFonts w:cs="Arial"/>
          <w:sz w:val="18"/>
          <w:szCs w:val="18"/>
        </w:rPr>
        <w:t xml:space="preserve"> </w:t>
      </w:r>
      <w:r w:rsidRPr="000F7EFB">
        <w:rPr>
          <w:rFonts w:cs="Arial"/>
          <w:spacing w:val="-1"/>
          <w:sz w:val="18"/>
          <w:szCs w:val="18"/>
        </w:rPr>
        <w:t>information</w:t>
      </w:r>
      <w:r w:rsidRPr="000F7EFB">
        <w:rPr>
          <w:rFonts w:cs="Arial"/>
          <w:sz w:val="18"/>
          <w:szCs w:val="18"/>
        </w:rPr>
        <w:t xml:space="preserve"> </w:t>
      </w:r>
      <w:r w:rsidRPr="000F7EFB">
        <w:rPr>
          <w:rFonts w:cs="Arial"/>
          <w:spacing w:val="-1"/>
          <w:sz w:val="18"/>
          <w:szCs w:val="18"/>
        </w:rPr>
        <w:t>provided.</w:t>
      </w:r>
      <w:r w:rsidRPr="000F7EFB">
        <w:rPr>
          <w:rFonts w:cs="Arial"/>
          <w:sz w:val="18"/>
          <w:szCs w:val="18"/>
        </w:rPr>
        <w:t xml:space="preserve">  </w:t>
      </w:r>
      <w:r w:rsidRPr="000F7EFB">
        <w:rPr>
          <w:rFonts w:cs="Arial"/>
          <w:spacing w:val="-1"/>
          <w:sz w:val="18"/>
          <w:szCs w:val="18"/>
        </w:rPr>
        <w:t>We</w:t>
      </w:r>
      <w:r w:rsidRPr="000F7EFB">
        <w:rPr>
          <w:rFonts w:cs="Arial"/>
          <w:sz w:val="18"/>
          <w:szCs w:val="18"/>
        </w:rPr>
        <w:t xml:space="preserve"> </w:t>
      </w:r>
      <w:r w:rsidRPr="000F7EFB">
        <w:rPr>
          <w:rFonts w:cs="Arial"/>
          <w:spacing w:val="-1"/>
          <w:sz w:val="18"/>
          <w:szCs w:val="18"/>
        </w:rPr>
        <w:t>have not</w:t>
      </w:r>
      <w:r w:rsidRPr="000F7EFB">
        <w:rPr>
          <w:rFonts w:cs="Arial"/>
          <w:sz w:val="18"/>
          <w:szCs w:val="18"/>
        </w:rPr>
        <w:t xml:space="preserve"> </w:t>
      </w:r>
      <w:r w:rsidRPr="000F7EFB">
        <w:rPr>
          <w:rFonts w:cs="Arial"/>
          <w:spacing w:val="-1"/>
          <w:sz w:val="18"/>
          <w:szCs w:val="18"/>
        </w:rPr>
        <w:t>sought</w:t>
      </w:r>
      <w:r w:rsidRPr="000F7EFB">
        <w:rPr>
          <w:rFonts w:cs="Arial"/>
          <w:sz w:val="18"/>
          <w:szCs w:val="18"/>
        </w:rPr>
        <w:t xml:space="preserve"> </w:t>
      </w:r>
      <w:r w:rsidRPr="000F7EFB">
        <w:rPr>
          <w:rFonts w:cs="Arial"/>
          <w:spacing w:val="-1"/>
          <w:sz w:val="18"/>
          <w:szCs w:val="18"/>
        </w:rPr>
        <w:t>to</w:t>
      </w:r>
      <w:r w:rsidR="00883C76" w:rsidRPr="000F7EFB">
        <w:rPr>
          <w:rFonts w:cs="Arial"/>
          <w:spacing w:val="60"/>
          <w:sz w:val="18"/>
          <w:szCs w:val="18"/>
        </w:rPr>
        <w:t xml:space="preserve"> </w:t>
      </w:r>
      <w:r w:rsidRPr="000F7EFB">
        <w:rPr>
          <w:rFonts w:cs="Arial"/>
          <w:spacing w:val="-1"/>
          <w:sz w:val="18"/>
          <w:szCs w:val="18"/>
        </w:rPr>
        <w:t>independently</w:t>
      </w:r>
      <w:r w:rsidRPr="000F7EFB">
        <w:rPr>
          <w:rFonts w:cs="Arial"/>
          <w:spacing w:val="1"/>
          <w:sz w:val="18"/>
          <w:szCs w:val="18"/>
        </w:rPr>
        <w:t xml:space="preserve"> </w:t>
      </w:r>
      <w:r w:rsidRPr="000F7EFB">
        <w:rPr>
          <w:rFonts w:cs="Arial"/>
          <w:spacing w:val="-1"/>
          <w:sz w:val="18"/>
          <w:szCs w:val="18"/>
        </w:rPr>
        <w:t>verify</w:t>
      </w:r>
      <w:r w:rsidRPr="000F7EFB">
        <w:rPr>
          <w:rFonts w:cs="Arial"/>
          <w:sz w:val="18"/>
          <w:szCs w:val="18"/>
        </w:rPr>
        <w:t xml:space="preserve"> </w:t>
      </w:r>
      <w:r w:rsidRPr="000F7EFB">
        <w:rPr>
          <w:rFonts w:cs="Arial"/>
          <w:spacing w:val="-1"/>
          <w:sz w:val="18"/>
          <w:szCs w:val="18"/>
        </w:rPr>
        <w:t>those</w:t>
      </w:r>
      <w:r w:rsidRPr="000F7EFB">
        <w:rPr>
          <w:rFonts w:cs="Arial"/>
          <w:sz w:val="18"/>
          <w:szCs w:val="18"/>
        </w:rPr>
        <w:t xml:space="preserve"> </w:t>
      </w:r>
      <w:r w:rsidRPr="000F7EFB">
        <w:rPr>
          <w:rFonts w:cs="Arial"/>
          <w:spacing w:val="-1"/>
          <w:sz w:val="18"/>
          <w:szCs w:val="18"/>
        </w:rPr>
        <w:t>sources</w:t>
      </w:r>
      <w:r w:rsidRPr="000F7EFB">
        <w:rPr>
          <w:rFonts w:cs="Arial"/>
          <w:sz w:val="18"/>
          <w:szCs w:val="18"/>
        </w:rPr>
        <w:t xml:space="preserve"> </w:t>
      </w:r>
      <w:r w:rsidRPr="000F7EFB">
        <w:rPr>
          <w:rFonts w:cs="Arial"/>
          <w:spacing w:val="-1"/>
          <w:sz w:val="18"/>
          <w:szCs w:val="18"/>
        </w:rPr>
        <w:t>unless</w:t>
      </w:r>
      <w:r w:rsidRPr="000F7EFB">
        <w:rPr>
          <w:rFonts w:cs="Arial"/>
          <w:sz w:val="18"/>
          <w:szCs w:val="18"/>
        </w:rPr>
        <w:t xml:space="preserve"> </w:t>
      </w:r>
      <w:r w:rsidRPr="000F7EFB">
        <w:rPr>
          <w:rFonts w:cs="Arial"/>
          <w:spacing w:val="-1"/>
          <w:sz w:val="18"/>
          <w:szCs w:val="18"/>
        </w:rPr>
        <w:t>otherwise</w:t>
      </w:r>
      <w:r w:rsidRPr="000F7EFB">
        <w:rPr>
          <w:rFonts w:cs="Arial"/>
          <w:sz w:val="18"/>
          <w:szCs w:val="18"/>
        </w:rPr>
        <w:t xml:space="preserve"> </w:t>
      </w:r>
      <w:r w:rsidRPr="000F7EFB">
        <w:rPr>
          <w:rFonts w:cs="Arial"/>
          <w:spacing w:val="-1"/>
          <w:sz w:val="18"/>
          <w:szCs w:val="18"/>
        </w:rPr>
        <w:t>noted</w:t>
      </w:r>
      <w:r w:rsidRPr="000F7EFB">
        <w:rPr>
          <w:rFonts w:cs="Arial"/>
          <w:sz w:val="18"/>
          <w:szCs w:val="18"/>
        </w:rPr>
        <w:t xml:space="preserve"> </w:t>
      </w:r>
      <w:r w:rsidRPr="000F7EFB">
        <w:rPr>
          <w:rFonts w:cs="Arial"/>
          <w:spacing w:val="-1"/>
          <w:sz w:val="18"/>
          <w:szCs w:val="18"/>
        </w:rPr>
        <w:t>within</w:t>
      </w:r>
      <w:r w:rsidRPr="000F7EFB">
        <w:rPr>
          <w:rFonts w:cs="Arial"/>
          <w:sz w:val="18"/>
          <w:szCs w:val="18"/>
        </w:rPr>
        <w:t xml:space="preserve"> </w:t>
      </w:r>
      <w:r w:rsidRPr="000F7EFB">
        <w:rPr>
          <w:rFonts w:cs="Arial"/>
          <w:spacing w:val="-1"/>
          <w:sz w:val="18"/>
          <w:szCs w:val="18"/>
        </w:rPr>
        <w:t>the</w:t>
      </w:r>
      <w:r w:rsidRPr="000F7EFB">
        <w:rPr>
          <w:rFonts w:cs="Arial"/>
          <w:sz w:val="18"/>
          <w:szCs w:val="18"/>
        </w:rPr>
        <w:t xml:space="preserve"> Summary Report. </w:t>
      </w:r>
    </w:p>
    <w:p w14:paraId="0B81B4B7" w14:textId="43CE2EF5" w:rsidR="00CE6C51" w:rsidRDefault="00CE6C51" w:rsidP="00CE6C51">
      <w:pPr>
        <w:ind w:right="389"/>
        <w:rPr>
          <w:rFonts w:cs="Arial"/>
          <w:spacing w:val="-1"/>
          <w:sz w:val="18"/>
          <w:szCs w:val="18"/>
        </w:rPr>
      </w:pPr>
      <w:r w:rsidRPr="000F7EFB">
        <w:rPr>
          <w:rFonts w:cs="Arial"/>
          <w:spacing w:val="-1"/>
          <w:sz w:val="18"/>
          <w:szCs w:val="18"/>
        </w:rPr>
        <w:t>KPMG</w:t>
      </w:r>
      <w:r w:rsidRPr="000F7EFB">
        <w:rPr>
          <w:rFonts w:cs="Arial"/>
          <w:sz w:val="18"/>
          <w:szCs w:val="18"/>
        </w:rPr>
        <w:t xml:space="preserve"> </w:t>
      </w:r>
      <w:r w:rsidRPr="000F7EFB">
        <w:rPr>
          <w:rFonts w:cs="Arial"/>
          <w:spacing w:val="-1"/>
          <w:sz w:val="18"/>
          <w:szCs w:val="18"/>
        </w:rPr>
        <w:t>is</w:t>
      </w:r>
      <w:r w:rsidRPr="000F7EFB">
        <w:rPr>
          <w:rFonts w:cs="Arial"/>
          <w:sz w:val="18"/>
          <w:szCs w:val="18"/>
        </w:rPr>
        <w:t xml:space="preserve"> </w:t>
      </w:r>
      <w:r w:rsidRPr="000F7EFB">
        <w:rPr>
          <w:rFonts w:cs="Arial"/>
          <w:spacing w:val="-1"/>
          <w:sz w:val="18"/>
          <w:szCs w:val="18"/>
        </w:rPr>
        <w:t>under</w:t>
      </w:r>
      <w:r w:rsidRPr="000F7EFB">
        <w:rPr>
          <w:rFonts w:cs="Arial"/>
          <w:sz w:val="18"/>
          <w:szCs w:val="18"/>
        </w:rPr>
        <w:t xml:space="preserve"> </w:t>
      </w:r>
      <w:r w:rsidRPr="000F7EFB">
        <w:rPr>
          <w:rFonts w:cs="Arial"/>
          <w:spacing w:val="-1"/>
          <w:sz w:val="18"/>
          <w:szCs w:val="18"/>
        </w:rPr>
        <w:t>no</w:t>
      </w:r>
      <w:r w:rsidRPr="000F7EFB">
        <w:rPr>
          <w:rFonts w:cs="Arial"/>
          <w:sz w:val="18"/>
          <w:szCs w:val="18"/>
        </w:rPr>
        <w:t xml:space="preserve"> </w:t>
      </w:r>
      <w:r w:rsidRPr="000F7EFB">
        <w:rPr>
          <w:rFonts w:cs="Arial"/>
          <w:spacing w:val="-1"/>
          <w:sz w:val="18"/>
          <w:szCs w:val="18"/>
        </w:rPr>
        <w:t>obligation</w:t>
      </w:r>
      <w:r w:rsidRPr="000F7EFB">
        <w:rPr>
          <w:rFonts w:cs="Arial"/>
          <w:sz w:val="18"/>
          <w:szCs w:val="18"/>
        </w:rPr>
        <w:t xml:space="preserve"> in</w:t>
      </w:r>
      <w:r w:rsidRPr="000F7EFB">
        <w:rPr>
          <w:rFonts w:cs="Arial"/>
          <w:spacing w:val="-1"/>
          <w:sz w:val="18"/>
          <w:szCs w:val="18"/>
        </w:rPr>
        <w:t xml:space="preserve"> any</w:t>
      </w:r>
      <w:r w:rsidRPr="000F7EFB">
        <w:rPr>
          <w:rFonts w:cs="Arial"/>
          <w:sz w:val="18"/>
          <w:szCs w:val="18"/>
        </w:rPr>
        <w:t xml:space="preserve"> </w:t>
      </w:r>
      <w:r w:rsidRPr="000F7EFB">
        <w:rPr>
          <w:rFonts w:cs="Arial"/>
          <w:spacing w:val="-1"/>
          <w:sz w:val="18"/>
          <w:szCs w:val="18"/>
        </w:rPr>
        <w:t>circumstance</w:t>
      </w:r>
      <w:r w:rsidRPr="000F7EFB">
        <w:rPr>
          <w:rFonts w:cs="Arial"/>
          <w:sz w:val="18"/>
          <w:szCs w:val="18"/>
        </w:rPr>
        <w:t xml:space="preserve"> </w:t>
      </w:r>
      <w:r w:rsidRPr="000F7EFB">
        <w:rPr>
          <w:rFonts w:cs="Arial"/>
          <w:spacing w:val="-1"/>
          <w:sz w:val="18"/>
          <w:szCs w:val="18"/>
        </w:rPr>
        <w:t>to</w:t>
      </w:r>
      <w:r w:rsidRPr="000F7EFB">
        <w:rPr>
          <w:rFonts w:cs="Arial"/>
          <w:sz w:val="18"/>
          <w:szCs w:val="18"/>
        </w:rPr>
        <w:t xml:space="preserve"> </w:t>
      </w:r>
      <w:r w:rsidRPr="000F7EFB">
        <w:rPr>
          <w:rFonts w:cs="Arial"/>
          <w:spacing w:val="-1"/>
          <w:sz w:val="18"/>
          <w:szCs w:val="18"/>
        </w:rPr>
        <w:t>update</w:t>
      </w:r>
      <w:r w:rsidRPr="000F7EFB">
        <w:rPr>
          <w:rFonts w:cs="Arial"/>
          <w:spacing w:val="-2"/>
          <w:sz w:val="18"/>
          <w:szCs w:val="18"/>
        </w:rPr>
        <w:t xml:space="preserve"> </w:t>
      </w:r>
      <w:r w:rsidRPr="000F7EFB">
        <w:rPr>
          <w:rFonts w:cs="Arial"/>
          <w:spacing w:val="-1"/>
          <w:sz w:val="18"/>
          <w:szCs w:val="18"/>
        </w:rPr>
        <w:t>this</w:t>
      </w:r>
      <w:r w:rsidRPr="000F7EFB">
        <w:rPr>
          <w:rFonts w:cs="Arial"/>
          <w:sz w:val="18"/>
          <w:szCs w:val="18"/>
        </w:rPr>
        <w:t xml:space="preserve"> Summary Report</w:t>
      </w:r>
      <w:r w:rsidRPr="000F7EFB">
        <w:rPr>
          <w:rFonts w:cs="Arial"/>
          <w:spacing w:val="-1"/>
          <w:sz w:val="18"/>
          <w:szCs w:val="18"/>
        </w:rPr>
        <w:t>,</w:t>
      </w:r>
      <w:r w:rsidRPr="000F7EFB">
        <w:rPr>
          <w:rFonts w:cs="Arial"/>
          <w:sz w:val="18"/>
          <w:szCs w:val="18"/>
        </w:rPr>
        <w:t xml:space="preserve"> </w:t>
      </w:r>
      <w:r w:rsidRPr="000F7EFB">
        <w:rPr>
          <w:rFonts w:cs="Arial"/>
          <w:spacing w:val="-1"/>
          <w:sz w:val="18"/>
          <w:szCs w:val="18"/>
        </w:rPr>
        <w:t>in</w:t>
      </w:r>
      <w:r w:rsidRPr="000F7EFB">
        <w:rPr>
          <w:rFonts w:cs="Arial"/>
          <w:spacing w:val="1"/>
          <w:sz w:val="18"/>
          <w:szCs w:val="18"/>
        </w:rPr>
        <w:t xml:space="preserve"> </w:t>
      </w:r>
      <w:r w:rsidRPr="000F7EFB">
        <w:rPr>
          <w:rFonts w:cs="Arial"/>
          <w:spacing w:val="-1"/>
          <w:sz w:val="18"/>
          <w:szCs w:val="18"/>
        </w:rPr>
        <w:t>either</w:t>
      </w:r>
      <w:r w:rsidRPr="000F7EFB">
        <w:rPr>
          <w:rFonts w:cs="Arial"/>
          <w:sz w:val="18"/>
          <w:szCs w:val="18"/>
        </w:rPr>
        <w:t xml:space="preserve"> </w:t>
      </w:r>
      <w:r w:rsidRPr="000F7EFB">
        <w:rPr>
          <w:rFonts w:cs="Arial"/>
          <w:spacing w:val="-1"/>
          <w:sz w:val="18"/>
          <w:szCs w:val="18"/>
        </w:rPr>
        <w:t>oral</w:t>
      </w:r>
      <w:r w:rsidRPr="000F7EFB">
        <w:rPr>
          <w:rFonts w:cs="Arial"/>
          <w:sz w:val="18"/>
          <w:szCs w:val="18"/>
        </w:rPr>
        <w:t xml:space="preserve"> </w:t>
      </w:r>
      <w:r w:rsidRPr="000F7EFB">
        <w:rPr>
          <w:rFonts w:cs="Arial"/>
          <w:spacing w:val="-1"/>
          <w:sz w:val="18"/>
          <w:szCs w:val="18"/>
        </w:rPr>
        <w:t>or</w:t>
      </w:r>
      <w:r w:rsidRPr="000F7EFB">
        <w:rPr>
          <w:rFonts w:cs="Arial"/>
          <w:sz w:val="18"/>
          <w:szCs w:val="18"/>
        </w:rPr>
        <w:t xml:space="preserve"> </w:t>
      </w:r>
      <w:r w:rsidRPr="000F7EFB">
        <w:rPr>
          <w:rFonts w:cs="Arial"/>
          <w:spacing w:val="-1"/>
          <w:sz w:val="18"/>
          <w:szCs w:val="18"/>
        </w:rPr>
        <w:t>written</w:t>
      </w:r>
      <w:r w:rsidRPr="000F7EFB">
        <w:rPr>
          <w:rFonts w:cs="Arial"/>
          <w:sz w:val="18"/>
          <w:szCs w:val="18"/>
        </w:rPr>
        <w:t xml:space="preserve"> </w:t>
      </w:r>
      <w:r w:rsidRPr="000F7EFB">
        <w:rPr>
          <w:rFonts w:cs="Arial"/>
          <w:spacing w:val="-1"/>
          <w:sz w:val="18"/>
          <w:szCs w:val="18"/>
        </w:rPr>
        <w:t>form,</w:t>
      </w:r>
      <w:r w:rsidRPr="000F7EFB">
        <w:rPr>
          <w:rFonts w:cs="Arial"/>
          <w:sz w:val="18"/>
          <w:szCs w:val="18"/>
        </w:rPr>
        <w:t xml:space="preserve"> </w:t>
      </w:r>
      <w:r w:rsidRPr="000F7EFB">
        <w:rPr>
          <w:rFonts w:cs="Arial"/>
          <w:spacing w:val="-1"/>
          <w:sz w:val="18"/>
          <w:szCs w:val="18"/>
        </w:rPr>
        <w:t>for</w:t>
      </w:r>
      <w:r w:rsidRPr="000F7EFB">
        <w:rPr>
          <w:rFonts w:cs="Arial"/>
          <w:spacing w:val="50"/>
          <w:sz w:val="18"/>
          <w:szCs w:val="18"/>
        </w:rPr>
        <w:t xml:space="preserve"> </w:t>
      </w:r>
      <w:r w:rsidRPr="000F7EFB">
        <w:rPr>
          <w:rFonts w:cs="Arial"/>
          <w:spacing w:val="-1"/>
          <w:sz w:val="18"/>
          <w:szCs w:val="18"/>
        </w:rPr>
        <w:t>events</w:t>
      </w:r>
      <w:r w:rsidRPr="000F7EFB">
        <w:rPr>
          <w:rFonts w:cs="Arial"/>
          <w:sz w:val="18"/>
          <w:szCs w:val="18"/>
        </w:rPr>
        <w:t xml:space="preserve"> </w:t>
      </w:r>
      <w:r w:rsidRPr="000F7EFB">
        <w:rPr>
          <w:rFonts w:cs="Arial"/>
          <w:spacing w:val="-1"/>
          <w:sz w:val="18"/>
          <w:szCs w:val="18"/>
        </w:rPr>
        <w:t>occurring</w:t>
      </w:r>
      <w:r w:rsidRPr="000F7EFB">
        <w:rPr>
          <w:rFonts w:cs="Arial"/>
          <w:sz w:val="18"/>
          <w:szCs w:val="18"/>
        </w:rPr>
        <w:t xml:space="preserve"> </w:t>
      </w:r>
      <w:r w:rsidRPr="000F7EFB">
        <w:rPr>
          <w:rFonts w:cs="Arial"/>
          <w:spacing w:val="-1"/>
          <w:sz w:val="18"/>
          <w:szCs w:val="18"/>
        </w:rPr>
        <w:t>after</w:t>
      </w:r>
      <w:r w:rsidRPr="000F7EFB">
        <w:rPr>
          <w:rFonts w:cs="Arial"/>
          <w:sz w:val="18"/>
          <w:szCs w:val="18"/>
        </w:rPr>
        <w:t xml:space="preserve"> </w:t>
      </w:r>
      <w:r w:rsidRPr="000F7EFB">
        <w:rPr>
          <w:rFonts w:cs="Arial"/>
          <w:spacing w:val="-1"/>
          <w:sz w:val="18"/>
          <w:szCs w:val="18"/>
        </w:rPr>
        <w:t>the Summary Report and / or KPMG’s detailed</w:t>
      </w:r>
      <w:r w:rsidRPr="000F7EFB">
        <w:rPr>
          <w:rFonts w:cs="Arial"/>
          <w:sz w:val="18"/>
          <w:szCs w:val="18"/>
        </w:rPr>
        <w:t xml:space="preserve"> </w:t>
      </w:r>
      <w:r w:rsidRPr="000F7EFB">
        <w:rPr>
          <w:rFonts w:cs="Arial"/>
          <w:spacing w:val="-1"/>
          <w:sz w:val="18"/>
          <w:szCs w:val="18"/>
        </w:rPr>
        <w:t>report</w:t>
      </w:r>
      <w:r w:rsidRPr="000F7EFB">
        <w:rPr>
          <w:rFonts w:cs="Arial"/>
          <w:sz w:val="18"/>
          <w:szCs w:val="18"/>
        </w:rPr>
        <w:t xml:space="preserve"> </w:t>
      </w:r>
      <w:r w:rsidRPr="000F7EFB">
        <w:rPr>
          <w:rFonts w:cs="Arial"/>
          <w:spacing w:val="-1"/>
          <w:sz w:val="18"/>
          <w:szCs w:val="18"/>
        </w:rPr>
        <w:t>have</w:t>
      </w:r>
      <w:r w:rsidRPr="000F7EFB">
        <w:rPr>
          <w:rFonts w:cs="Arial"/>
          <w:sz w:val="18"/>
          <w:szCs w:val="18"/>
        </w:rPr>
        <w:t xml:space="preserve"> </w:t>
      </w:r>
      <w:r w:rsidRPr="000F7EFB">
        <w:rPr>
          <w:rFonts w:cs="Arial"/>
          <w:spacing w:val="-1"/>
          <w:sz w:val="18"/>
          <w:szCs w:val="18"/>
        </w:rPr>
        <w:t>been</w:t>
      </w:r>
      <w:r w:rsidRPr="000F7EFB">
        <w:rPr>
          <w:rFonts w:cs="Arial"/>
          <w:sz w:val="18"/>
          <w:szCs w:val="18"/>
        </w:rPr>
        <w:t xml:space="preserve"> </w:t>
      </w:r>
      <w:r w:rsidRPr="000F7EFB">
        <w:rPr>
          <w:rFonts w:cs="Arial"/>
          <w:spacing w:val="-1"/>
          <w:sz w:val="18"/>
          <w:szCs w:val="18"/>
        </w:rPr>
        <w:t>issued</w:t>
      </w:r>
      <w:r w:rsidRPr="000F7EFB">
        <w:rPr>
          <w:rFonts w:cs="Arial"/>
          <w:sz w:val="18"/>
          <w:szCs w:val="18"/>
        </w:rPr>
        <w:t xml:space="preserve"> in</w:t>
      </w:r>
      <w:r w:rsidRPr="000F7EFB">
        <w:rPr>
          <w:rFonts w:cs="Arial"/>
          <w:spacing w:val="-1"/>
          <w:sz w:val="18"/>
          <w:szCs w:val="18"/>
        </w:rPr>
        <w:t xml:space="preserve"> final</w:t>
      </w:r>
      <w:r w:rsidRPr="000F7EFB">
        <w:rPr>
          <w:rFonts w:cs="Arial"/>
          <w:sz w:val="18"/>
          <w:szCs w:val="18"/>
        </w:rPr>
        <w:t xml:space="preserve"> </w:t>
      </w:r>
      <w:r w:rsidRPr="000F7EFB">
        <w:rPr>
          <w:rFonts w:cs="Arial"/>
          <w:spacing w:val="-1"/>
          <w:sz w:val="18"/>
          <w:szCs w:val="18"/>
        </w:rPr>
        <w:t>form.</w:t>
      </w:r>
    </w:p>
    <w:p w14:paraId="09FE884E" w14:textId="77777777" w:rsidR="00CE6C51" w:rsidRPr="000F7EFB" w:rsidRDefault="00CE6C51" w:rsidP="005D5472">
      <w:pPr>
        <w:pStyle w:val="BodyText"/>
        <w:spacing w:before="240"/>
        <w:rPr>
          <w:b/>
        </w:rPr>
      </w:pPr>
      <w:r w:rsidRPr="000F7EFB">
        <w:rPr>
          <w:b/>
        </w:rPr>
        <w:t>Third Party Reliance</w:t>
      </w:r>
    </w:p>
    <w:p w14:paraId="04BFD82E" w14:textId="2C7CCD2A" w:rsidR="00CE6C51" w:rsidRPr="000F7EFB" w:rsidRDefault="00CE6C51" w:rsidP="00CE6C51">
      <w:pPr>
        <w:ind w:right="330"/>
        <w:rPr>
          <w:rFonts w:eastAsia="Univers for KPMG Light" w:cs="Arial"/>
          <w:sz w:val="18"/>
          <w:szCs w:val="18"/>
        </w:rPr>
      </w:pPr>
      <w:r w:rsidRPr="000F7EFB">
        <w:rPr>
          <w:rFonts w:eastAsia="Univers for KPMG Light" w:cs="Arial"/>
          <w:spacing w:val="-1"/>
          <w:sz w:val="18"/>
          <w:szCs w:val="18"/>
        </w:rPr>
        <w:t>This</w:t>
      </w:r>
      <w:r w:rsidRPr="000F7EFB">
        <w:rPr>
          <w:rFonts w:eastAsia="Univers for KPMG Light" w:cs="Arial"/>
          <w:sz w:val="18"/>
          <w:szCs w:val="18"/>
        </w:rPr>
        <w:t xml:space="preserve"> Summary Report </w:t>
      </w:r>
      <w:r w:rsidRPr="000F7EFB">
        <w:rPr>
          <w:rFonts w:eastAsia="Univers for KPMG Light" w:cs="Arial"/>
          <w:spacing w:val="-1"/>
          <w:sz w:val="18"/>
          <w:szCs w:val="18"/>
        </w:rPr>
        <w:t>is</w:t>
      </w:r>
      <w:r w:rsidRPr="000F7EFB">
        <w:rPr>
          <w:rFonts w:eastAsia="Univers for KPMG Light" w:cs="Arial"/>
          <w:sz w:val="18"/>
          <w:szCs w:val="18"/>
        </w:rPr>
        <w:t xml:space="preserve"> </w:t>
      </w:r>
      <w:r w:rsidRPr="000F7EFB">
        <w:rPr>
          <w:rFonts w:eastAsia="Univers for KPMG Light" w:cs="Arial"/>
          <w:spacing w:val="-1"/>
          <w:sz w:val="18"/>
          <w:szCs w:val="18"/>
        </w:rPr>
        <w:t>solely</w:t>
      </w:r>
      <w:r w:rsidRPr="000F7EFB">
        <w:rPr>
          <w:rFonts w:eastAsia="Univers for KPMG Light" w:cs="Arial"/>
          <w:sz w:val="18"/>
          <w:szCs w:val="18"/>
        </w:rPr>
        <w:t xml:space="preserve"> </w:t>
      </w:r>
      <w:r w:rsidRPr="000F7EFB">
        <w:rPr>
          <w:rFonts w:eastAsia="Univers for KPMG Light" w:cs="Arial"/>
          <w:spacing w:val="-1"/>
          <w:sz w:val="18"/>
          <w:szCs w:val="18"/>
        </w:rPr>
        <w:t>for</w:t>
      </w:r>
      <w:r w:rsidRPr="000F7EFB">
        <w:rPr>
          <w:rFonts w:eastAsia="Univers for KPMG Light" w:cs="Arial"/>
          <w:sz w:val="18"/>
          <w:szCs w:val="18"/>
        </w:rPr>
        <w:t xml:space="preserve"> </w:t>
      </w:r>
      <w:r w:rsidRPr="000F7EFB">
        <w:rPr>
          <w:rFonts w:eastAsia="Univers for KPMG Light" w:cs="Arial"/>
          <w:spacing w:val="-1"/>
          <w:sz w:val="18"/>
          <w:szCs w:val="18"/>
        </w:rPr>
        <w:t>the</w:t>
      </w:r>
      <w:r w:rsidRPr="000F7EFB">
        <w:rPr>
          <w:rFonts w:eastAsia="Univers for KPMG Light" w:cs="Arial"/>
          <w:sz w:val="18"/>
          <w:szCs w:val="18"/>
        </w:rPr>
        <w:t xml:space="preserve"> </w:t>
      </w:r>
      <w:r w:rsidRPr="000F7EFB">
        <w:rPr>
          <w:rFonts w:eastAsia="Univers for KPMG Light" w:cs="Arial"/>
          <w:spacing w:val="-1"/>
          <w:sz w:val="18"/>
          <w:szCs w:val="18"/>
        </w:rPr>
        <w:t>purpose</w:t>
      </w:r>
      <w:r w:rsidRPr="000F7EFB">
        <w:rPr>
          <w:rFonts w:eastAsia="Univers for KPMG Light" w:cs="Arial"/>
          <w:sz w:val="18"/>
          <w:szCs w:val="18"/>
        </w:rPr>
        <w:t xml:space="preserve"> </w:t>
      </w:r>
      <w:r w:rsidRPr="000F7EFB">
        <w:rPr>
          <w:rFonts w:eastAsia="Univers for KPMG Light" w:cs="Arial"/>
          <w:spacing w:val="-1"/>
          <w:sz w:val="18"/>
          <w:szCs w:val="18"/>
        </w:rPr>
        <w:t>set</w:t>
      </w:r>
      <w:r w:rsidRPr="000F7EFB">
        <w:rPr>
          <w:rFonts w:eastAsia="Univers for KPMG Light" w:cs="Arial"/>
          <w:sz w:val="18"/>
          <w:szCs w:val="18"/>
        </w:rPr>
        <w:t xml:space="preserve"> </w:t>
      </w:r>
      <w:r w:rsidRPr="000F7EFB">
        <w:rPr>
          <w:rFonts w:eastAsia="Univers for KPMG Light" w:cs="Arial"/>
          <w:spacing w:val="-1"/>
          <w:sz w:val="18"/>
          <w:szCs w:val="18"/>
        </w:rPr>
        <w:t>out</w:t>
      </w:r>
      <w:r w:rsidRPr="000F7EFB">
        <w:rPr>
          <w:rFonts w:eastAsia="Univers for KPMG Light" w:cs="Arial"/>
          <w:sz w:val="18"/>
          <w:szCs w:val="18"/>
        </w:rPr>
        <w:t xml:space="preserve"> </w:t>
      </w:r>
      <w:r w:rsidR="00883C76" w:rsidRPr="000F7EFB">
        <w:rPr>
          <w:rFonts w:eastAsia="Univers for KPMG Light" w:cs="Arial"/>
          <w:sz w:val="18"/>
          <w:szCs w:val="18"/>
        </w:rPr>
        <w:t xml:space="preserve">in </w:t>
      </w:r>
      <w:r w:rsidRPr="000F7EFB">
        <w:rPr>
          <w:rFonts w:eastAsia="Univers for KPMG Light" w:cs="Arial"/>
          <w:sz w:val="18"/>
          <w:szCs w:val="18"/>
        </w:rPr>
        <w:t xml:space="preserve">the Scope Section and for </w:t>
      </w:r>
      <w:r w:rsidR="00743076" w:rsidRPr="000F7EFB">
        <w:rPr>
          <w:rFonts w:cs="Arial"/>
          <w:spacing w:val="-1"/>
          <w:sz w:val="18"/>
          <w:szCs w:val="18"/>
        </w:rPr>
        <w:t>Department of Treasury and Finance</w:t>
      </w:r>
      <w:r w:rsidRPr="000F7EFB">
        <w:rPr>
          <w:rFonts w:eastAsia="Univers for KPMG Light" w:cs="Arial"/>
          <w:sz w:val="18"/>
          <w:szCs w:val="18"/>
        </w:rPr>
        <w:t xml:space="preserve">’s information, and is not to be used for any other purpose of distributed to any other party without KPMG’s prior written consent. </w:t>
      </w:r>
    </w:p>
    <w:p w14:paraId="4ED506E5" w14:textId="776C4272" w:rsidR="00CE6C51" w:rsidRDefault="00CE6C51" w:rsidP="00CE6C51">
      <w:pPr>
        <w:ind w:right="330"/>
        <w:rPr>
          <w:rFonts w:eastAsia="Univers for KPMG Light" w:cs="Arial"/>
          <w:spacing w:val="-1"/>
          <w:sz w:val="18"/>
          <w:szCs w:val="18"/>
        </w:rPr>
      </w:pPr>
      <w:r w:rsidRPr="000F7EFB">
        <w:rPr>
          <w:rFonts w:eastAsia="Univers for KPMG Light" w:cs="Arial"/>
          <w:spacing w:val="-1"/>
          <w:sz w:val="18"/>
          <w:szCs w:val="18"/>
        </w:rPr>
        <w:t>This</w:t>
      </w:r>
      <w:r w:rsidRPr="000F7EFB">
        <w:rPr>
          <w:rFonts w:eastAsia="Univers for KPMG Light" w:cs="Arial"/>
          <w:sz w:val="18"/>
          <w:szCs w:val="18"/>
        </w:rPr>
        <w:t xml:space="preserve"> Summary Report </w:t>
      </w:r>
      <w:r w:rsidRPr="000F7EFB">
        <w:rPr>
          <w:rFonts w:eastAsia="Univers for KPMG Light" w:cs="Arial"/>
          <w:spacing w:val="-1"/>
          <w:sz w:val="18"/>
          <w:szCs w:val="18"/>
        </w:rPr>
        <w:t>has</w:t>
      </w:r>
      <w:r w:rsidRPr="000F7EFB">
        <w:rPr>
          <w:rFonts w:eastAsia="Univers for KPMG Light" w:cs="Arial"/>
          <w:spacing w:val="1"/>
          <w:sz w:val="18"/>
          <w:szCs w:val="18"/>
        </w:rPr>
        <w:t xml:space="preserve"> </w:t>
      </w:r>
      <w:r w:rsidRPr="000F7EFB">
        <w:rPr>
          <w:rFonts w:eastAsia="Univers for KPMG Light" w:cs="Arial"/>
          <w:spacing w:val="-1"/>
          <w:sz w:val="18"/>
          <w:szCs w:val="18"/>
        </w:rPr>
        <w:t>been</w:t>
      </w:r>
      <w:r w:rsidRPr="000F7EFB">
        <w:rPr>
          <w:rFonts w:eastAsia="Univers for KPMG Light" w:cs="Arial"/>
          <w:sz w:val="18"/>
          <w:szCs w:val="18"/>
        </w:rPr>
        <w:t xml:space="preserve"> </w:t>
      </w:r>
      <w:r w:rsidRPr="000F7EFB">
        <w:rPr>
          <w:rFonts w:eastAsia="Univers for KPMG Light" w:cs="Arial"/>
          <w:spacing w:val="-1"/>
          <w:sz w:val="18"/>
          <w:szCs w:val="18"/>
        </w:rPr>
        <w:t>prepared</w:t>
      </w:r>
      <w:r w:rsidRPr="000F7EFB">
        <w:rPr>
          <w:rFonts w:eastAsia="Univers for KPMG Light" w:cs="Arial"/>
          <w:spacing w:val="1"/>
          <w:sz w:val="18"/>
          <w:szCs w:val="18"/>
        </w:rPr>
        <w:t xml:space="preserve"> </w:t>
      </w:r>
      <w:r w:rsidRPr="000F7EFB">
        <w:rPr>
          <w:rFonts w:eastAsia="Univers for KPMG Light" w:cs="Arial"/>
          <w:spacing w:val="-1"/>
          <w:sz w:val="18"/>
          <w:szCs w:val="18"/>
        </w:rPr>
        <w:t>at</w:t>
      </w:r>
      <w:r w:rsidRPr="000F7EFB">
        <w:rPr>
          <w:rFonts w:eastAsia="Univers for KPMG Light" w:cs="Arial"/>
          <w:sz w:val="18"/>
          <w:szCs w:val="18"/>
        </w:rPr>
        <w:t xml:space="preserve"> </w:t>
      </w:r>
      <w:r w:rsidRPr="000F7EFB">
        <w:rPr>
          <w:rFonts w:eastAsia="Univers for KPMG Light" w:cs="Arial"/>
          <w:spacing w:val="-1"/>
          <w:sz w:val="18"/>
          <w:szCs w:val="18"/>
        </w:rPr>
        <w:t>the</w:t>
      </w:r>
      <w:r w:rsidRPr="000F7EFB">
        <w:rPr>
          <w:rFonts w:eastAsia="Univers for KPMG Light" w:cs="Arial"/>
          <w:sz w:val="18"/>
          <w:szCs w:val="18"/>
        </w:rPr>
        <w:t xml:space="preserve"> </w:t>
      </w:r>
      <w:r w:rsidRPr="000F7EFB">
        <w:rPr>
          <w:rFonts w:eastAsia="Univers for KPMG Light" w:cs="Arial"/>
          <w:spacing w:val="-1"/>
          <w:sz w:val="18"/>
          <w:szCs w:val="18"/>
        </w:rPr>
        <w:t>request</w:t>
      </w:r>
      <w:r w:rsidRPr="000F7EFB">
        <w:rPr>
          <w:rFonts w:eastAsia="Univers for KPMG Light" w:cs="Arial"/>
          <w:spacing w:val="1"/>
          <w:sz w:val="18"/>
          <w:szCs w:val="18"/>
        </w:rPr>
        <w:t xml:space="preserve"> </w:t>
      </w:r>
      <w:r w:rsidRPr="000F7EFB">
        <w:rPr>
          <w:rFonts w:eastAsia="Univers for KPMG Light" w:cs="Arial"/>
          <w:spacing w:val="-1"/>
          <w:sz w:val="18"/>
          <w:szCs w:val="18"/>
        </w:rPr>
        <w:t>of</w:t>
      </w:r>
      <w:r w:rsidRPr="000F7EFB">
        <w:rPr>
          <w:rFonts w:eastAsia="Univers for KPMG Light" w:cs="Arial"/>
          <w:sz w:val="18"/>
          <w:szCs w:val="18"/>
        </w:rPr>
        <w:t xml:space="preserve"> </w:t>
      </w:r>
      <w:r w:rsidR="00743076" w:rsidRPr="000F7EFB">
        <w:rPr>
          <w:rFonts w:eastAsia="Univers for KPMG Light" w:cs="Arial"/>
          <w:sz w:val="18"/>
          <w:szCs w:val="18"/>
        </w:rPr>
        <w:t xml:space="preserve">the </w:t>
      </w:r>
      <w:r w:rsidR="00743076" w:rsidRPr="000F7EFB">
        <w:rPr>
          <w:rFonts w:cs="Arial"/>
          <w:spacing w:val="-1"/>
          <w:sz w:val="18"/>
          <w:szCs w:val="18"/>
        </w:rPr>
        <w:t>Department of Treasury and Finance</w:t>
      </w:r>
      <w:r w:rsidR="00743076" w:rsidRPr="000F7EFB">
        <w:rPr>
          <w:rFonts w:eastAsia="Univers for KPMG Light" w:cs="Arial"/>
          <w:spacing w:val="-1"/>
          <w:sz w:val="18"/>
          <w:szCs w:val="18"/>
        </w:rPr>
        <w:t xml:space="preserve"> </w:t>
      </w:r>
      <w:r w:rsidRPr="000F7EFB">
        <w:rPr>
          <w:rFonts w:eastAsia="Univers for KPMG Light" w:cs="Arial"/>
          <w:spacing w:val="-1"/>
          <w:sz w:val="18"/>
          <w:szCs w:val="18"/>
        </w:rPr>
        <w:t>in</w:t>
      </w:r>
      <w:r w:rsidRPr="000F7EFB">
        <w:rPr>
          <w:rFonts w:eastAsia="Univers for KPMG Light" w:cs="Arial"/>
          <w:sz w:val="18"/>
          <w:szCs w:val="18"/>
        </w:rPr>
        <w:t xml:space="preserve"> </w:t>
      </w:r>
      <w:r w:rsidRPr="000F7EFB">
        <w:rPr>
          <w:rFonts w:eastAsia="Univers for KPMG Light" w:cs="Arial"/>
          <w:spacing w:val="-1"/>
          <w:sz w:val="18"/>
          <w:szCs w:val="18"/>
        </w:rPr>
        <w:t>accordance with</w:t>
      </w:r>
      <w:r w:rsidRPr="000F7EFB">
        <w:rPr>
          <w:rFonts w:eastAsia="Univers for KPMG Light" w:cs="Arial"/>
          <w:spacing w:val="1"/>
          <w:sz w:val="18"/>
          <w:szCs w:val="18"/>
        </w:rPr>
        <w:t xml:space="preserve"> </w:t>
      </w:r>
      <w:r w:rsidRPr="000F7EFB">
        <w:rPr>
          <w:rFonts w:eastAsia="Univers for KPMG Light" w:cs="Arial"/>
          <w:spacing w:val="-1"/>
          <w:sz w:val="18"/>
          <w:szCs w:val="18"/>
        </w:rPr>
        <w:t>the</w:t>
      </w:r>
      <w:r w:rsidRPr="000F7EFB">
        <w:rPr>
          <w:rFonts w:eastAsia="Univers for KPMG Light" w:cs="Arial"/>
          <w:sz w:val="18"/>
          <w:szCs w:val="18"/>
        </w:rPr>
        <w:t xml:space="preserve"> </w:t>
      </w:r>
      <w:r w:rsidRPr="000F7EFB">
        <w:rPr>
          <w:rFonts w:eastAsia="Univers for KPMG Light" w:cs="Arial"/>
          <w:spacing w:val="-1"/>
          <w:sz w:val="18"/>
          <w:szCs w:val="18"/>
        </w:rPr>
        <w:t>terms</w:t>
      </w:r>
      <w:r w:rsidRPr="000F7EFB">
        <w:rPr>
          <w:rFonts w:eastAsia="Univers for KPMG Light" w:cs="Arial"/>
          <w:sz w:val="18"/>
          <w:szCs w:val="18"/>
        </w:rPr>
        <w:t xml:space="preserve"> </w:t>
      </w:r>
      <w:r w:rsidRPr="000F7EFB">
        <w:rPr>
          <w:rFonts w:eastAsia="Univers for KPMG Light" w:cs="Arial"/>
          <w:spacing w:val="-1"/>
          <w:sz w:val="18"/>
          <w:szCs w:val="18"/>
        </w:rPr>
        <w:t>of</w:t>
      </w:r>
      <w:r w:rsidRPr="000F7EFB">
        <w:rPr>
          <w:rFonts w:eastAsia="Univers for KPMG Light" w:cs="Arial"/>
          <w:sz w:val="18"/>
          <w:szCs w:val="18"/>
        </w:rPr>
        <w:t xml:space="preserve"> </w:t>
      </w:r>
      <w:r w:rsidRPr="000F7EFB">
        <w:rPr>
          <w:rFonts w:eastAsia="Univers for KPMG Light" w:cs="Arial"/>
          <w:spacing w:val="-1"/>
          <w:sz w:val="18"/>
          <w:szCs w:val="18"/>
        </w:rPr>
        <w:t xml:space="preserve">KPMG’s Engagement Letter dated </w:t>
      </w:r>
      <w:r w:rsidR="00743076" w:rsidRPr="000F7EFB">
        <w:rPr>
          <w:sz w:val="18"/>
          <w:szCs w:val="20"/>
        </w:rPr>
        <w:t>31 August 2021, and variation dated 27 July 2023</w:t>
      </w:r>
      <w:r w:rsidRPr="000F7EFB">
        <w:rPr>
          <w:rFonts w:eastAsia="Univers for KPMG Light" w:cs="Arial"/>
          <w:spacing w:val="-1"/>
          <w:sz w:val="18"/>
          <w:szCs w:val="18"/>
        </w:rPr>
        <w:t>.</w:t>
      </w:r>
      <w:r w:rsidRPr="000F7EFB">
        <w:rPr>
          <w:rFonts w:eastAsia="Univers for KPMG Light" w:cs="Arial"/>
          <w:sz w:val="18"/>
          <w:szCs w:val="18"/>
        </w:rPr>
        <w:t xml:space="preserve"> </w:t>
      </w:r>
      <w:r w:rsidRPr="000F7EFB">
        <w:rPr>
          <w:rFonts w:eastAsia="Univers for KPMG Light" w:cs="Arial"/>
          <w:spacing w:val="-1"/>
          <w:sz w:val="18"/>
          <w:szCs w:val="18"/>
        </w:rPr>
        <w:t>Other</w:t>
      </w:r>
      <w:r w:rsidRPr="000F7EFB">
        <w:rPr>
          <w:rFonts w:eastAsia="Univers for KPMG Light" w:cs="Arial"/>
          <w:sz w:val="18"/>
          <w:szCs w:val="18"/>
        </w:rPr>
        <w:t xml:space="preserve"> </w:t>
      </w:r>
      <w:r w:rsidRPr="000F7EFB">
        <w:rPr>
          <w:rFonts w:eastAsia="Univers for KPMG Light" w:cs="Arial"/>
          <w:spacing w:val="-1"/>
          <w:sz w:val="18"/>
          <w:szCs w:val="18"/>
        </w:rPr>
        <w:t>than</w:t>
      </w:r>
      <w:r w:rsidRPr="000F7EFB">
        <w:rPr>
          <w:rFonts w:eastAsia="Univers for KPMG Light" w:cs="Arial"/>
          <w:sz w:val="18"/>
          <w:szCs w:val="18"/>
        </w:rPr>
        <w:t xml:space="preserve"> </w:t>
      </w:r>
      <w:r w:rsidRPr="000F7EFB">
        <w:rPr>
          <w:rFonts w:eastAsia="Univers for KPMG Light" w:cs="Arial"/>
          <w:spacing w:val="-1"/>
          <w:sz w:val="18"/>
          <w:szCs w:val="18"/>
        </w:rPr>
        <w:t>our</w:t>
      </w:r>
      <w:r w:rsidRPr="000F7EFB">
        <w:rPr>
          <w:rFonts w:eastAsia="Univers for KPMG Light" w:cs="Arial"/>
          <w:spacing w:val="54"/>
          <w:sz w:val="18"/>
          <w:szCs w:val="18"/>
        </w:rPr>
        <w:t xml:space="preserve"> </w:t>
      </w:r>
      <w:r w:rsidRPr="000F7EFB">
        <w:rPr>
          <w:rFonts w:eastAsia="Univers for KPMG Light" w:cs="Arial"/>
          <w:spacing w:val="-1"/>
          <w:sz w:val="18"/>
          <w:szCs w:val="18"/>
        </w:rPr>
        <w:t>responsibility</w:t>
      </w:r>
      <w:r w:rsidRPr="000F7EFB">
        <w:rPr>
          <w:rFonts w:eastAsia="Univers for KPMG Light" w:cs="Arial"/>
          <w:sz w:val="18"/>
          <w:szCs w:val="18"/>
        </w:rPr>
        <w:t xml:space="preserve"> to </w:t>
      </w:r>
      <w:r w:rsidR="00743076" w:rsidRPr="000F7EFB">
        <w:rPr>
          <w:rFonts w:eastAsia="Univers for KPMG Light" w:cs="Arial"/>
          <w:sz w:val="18"/>
          <w:szCs w:val="18"/>
        </w:rPr>
        <w:t>the Department of Treasury and Finance</w:t>
      </w:r>
      <w:r w:rsidRPr="000F7EFB">
        <w:rPr>
          <w:rFonts w:eastAsia="Univers for KPMG Light" w:cs="Arial"/>
          <w:spacing w:val="-1"/>
          <w:sz w:val="18"/>
          <w:szCs w:val="18"/>
        </w:rPr>
        <w:t>,</w:t>
      </w:r>
      <w:r w:rsidRPr="000F7EFB">
        <w:rPr>
          <w:rFonts w:eastAsia="Univers for KPMG Light" w:cs="Arial"/>
          <w:sz w:val="18"/>
          <w:szCs w:val="18"/>
        </w:rPr>
        <w:t xml:space="preserve"> </w:t>
      </w:r>
      <w:r w:rsidRPr="000F7EFB">
        <w:rPr>
          <w:rFonts w:eastAsia="Univers for KPMG Light" w:cs="Arial"/>
          <w:spacing w:val="-1"/>
          <w:sz w:val="18"/>
          <w:szCs w:val="18"/>
        </w:rPr>
        <w:t>neither</w:t>
      </w:r>
      <w:r w:rsidRPr="000F7EFB">
        <w:rPr>
          <w:rFonts w:eastAsia="Univers for KPMG Light" w:cs="Arial"/>
          <w:sz w:val="18"/>
          <w:szCs w:val="18"/>
        </w:rPr>
        <w:t xml:space="preserve"> </w:t>
      </w:r>
      <w:r w:rsidRPr="000F7EFB">
        <w:rPr>
          <w:rFonts w:eastAsia="Univers for KPMG Light" w:cs="Arial"/>
          <w:spacing w:val="-1"/>
          <w:sz w:val="18"/>
          <w:szCs w:val="18"/>
        </w:rPr>
        <w:t>KPMG</w:t>
      </w:r>
      <w:r w:rsidRPr="000F7EFB">
        <w:rPr>
          <w:rFonts w:eastAsia="Univers for KPMG Light" w:cs="Arial"/>
          <w:sz w:val="18"/>
          <w:szCs w:val="18"/>
        </w:rPr>
        <w:t xml:space="preserve"> </w:t>
      </w:r>
      <w:r w:rsidRPr="000F7EFB">
        <w:rPr>
          <w:rFonts w:eastAsia="Univers for KPMG Light" w:cs="Arial"/>
          <w:spacing w:val="-1"/>
          <w:sz w:val="18"/>
          <w:szCs w:val="18"/>
        </w:rPr>
        <w:t>nor</w:t>
      </w:r>
      <w:r w:rsidRPr="000F7EFB">
        <w:rPr>
          <w:rFonts w:eastAsia="Univers for KPMG Light" w:cs="Arial"/>
          <w:sz w:val="18"/>
          <w:szCs w:val="18"/>
        </w:rPr>
        <w:t xml:space="preserve"> </w:t>
      </w:r>
      <w:r w:rsidRPr="000F7EFB">
        <w:rPr>
          <w:rFonts w:eastAsia="Univers for KPMG Light" w:cs="Arial"/>
          <w:spacing w:val="-1"/>
          <w:sz w:val="18"/>
          <w:szCs w:val="18"/>
        </w:rPr>
        <w:t>any</w:t>
      </w:r>
      <w:r w:rsidRPr="000F7EFB">
        <w:rPr>
          <w:rFonts w:eastAsia="Univers for KPMG Light" w:cs="Arial"/>
          <w:sz w:val="18"/>
          <w:szCs w:val="18"/>
        </w:rPr>
        <w:t xml:space="preserve"> </w:t>
      </w:r>
      <w:r w:rsidRPr="000F7EFB">
        <w:rPr>
          <w:rFonts w:eastAsia="Univers for KPMG Light" w:cs="Arial"/>
          <w:spacing w:val="-1"/>
          <w:sz w:val="18"/>
          <w:szCs w:val="18"/>
        </w:rPr>
        <w:t>member</w:t>
      </w:r>
      <w:r w:rsidRPr="000F7EFB">
        <w:rPr>
          <w:rFonts w:eastAsia="Univers for KPMG Light" w:cs="Arial"/>
          <w:sz w:val="18"/>
          <w:szCs w:val="18"/>
        </w:rPr>
        <w:t xml:space="preserve"> or </w:t>
      </w:r>
      <w:r w:rsidRPr="000F7EFB">
        <w:rPr>
          <w:rFonts w:eastAsia="Univers for KPMG Light" w:cs="Arial"/>
          <w:spacing w:val="-1"/>
          <w:sz w:val="18"/>
          <w:szCs w:val="18"/>
        </w:rPr>
        <w:t>employee</w:t>
      </w:r>
      <w:r w:rsidRPr="000F7EFB">
        <w:rPr>
          <w:rFonts w:eastAsia="Univers for KPMG Light" w:cs="Arial"/>
          <w:sz w:val="18"/>
          <w:szCs w:val="18"/>
        </w:rPr>
        <w:t xml:space="preserve"> </w:t>
      </w:r>
      <w:r w:rsidRPr="000F7EFB">
        <w:rPr>
          <w:rFonts w:eastAsia="Univers for KPMG Light" w:cs="Arial"/>
          <w:spacing w:val="-1"/>
          <w:sz w:val="18"/>
          <w:szCs w:val="18"/>
        </w:rPr>
        <w:t>of</w:t>
      </w:r>
      <w:r w:rsidRPr="000F7EFB">
        <w:rPr>
          <w:rFonts w:eastAsia="Univers for KPMG Light" w:cs="Arial"/>
          <w:spacing w:val="1"/>
          <w:sz w:val="18"/>
          <w:szCs w:val="18"/>
        </w:rPr>
        <w:t xml:space="preserve"> </w:t>
      </w:r>
      <w:r w:rsidRPr="000F7EFB">
        <w:rPr>
          <w:rFonts w:eastAsia="Univers for KPMG Light" w:cs="Arial"/>
          <w:spacing w:val="-1"/>
          <w:sz w:val="18"/>
          <w:szCs w:val="18"/>
        </w:rPr>
        <w:t>KPMG</w:t>
      </w:r>
      <w:r w:rsidRPr="000F7EFB">
        <w:rPr>
          <w:rFonts w:eastAsia="Univers for KPMG Light" w:cs="Arial"/>
          <w:sz w:val="18"/>
          <w:szCs w:val="18"/>
        </w:rPr>
        <w:t xml:space="preserve"> </w:t>
      </w:r>
      <w:r w:rsidRPr="000F7EFB">
        <w:rPr>
          <w:rFonts w:eastAsia="Univers for KPMG Light" w:cs="Arial"/>
          <w:spacing w:val="-1"/>
          <w:sz w:val="18"/>
          <w:szCs w:val="18"/>
        </w:rPr>
        <w:t>undertakes</w:t>
      </w:r>
      <w:r w:rsidRPr="000F7EFB">
        <w:rPr>
          <w:rFonts w:eastAsia="Univers for KPMG Light" w:cs="Arial"/>
          <w:spacing w:val="48"/>
          <w:sz w:val="18"/>
          <w:szCs w:val="18"/>
        </w:rPr>
        <w:t xml:space="preserve"> </w:t>
      </w:r>
      <w:r w:rsidRPr="000F7EFB">
        <w:rPr>
          <w:rFonts w:eastAsia="Univers for KPMG Light" w:cs="Arial"/>
          <w:spacing w:val="-1"/>
          <w:sz w:val="18"/>
          <w:szCs w:val="18"/>
        </w:rPr>
        <w:t>responsibility</w:t>
      </w:r>
      <w:r w:rsidRPr="000F7EFB">
        <w:rPr>
          <w:rFonts w:eastAsia="Univers for KPMG Light" w:cs="Arial"/>
          <w:sz w:val="18"/>
          <w:szCs w:val="18"/>
        </w:rPr>
        <w:t xml:space="preserve"> </w:t>
      </w:r>
      <w:r w:rsidRPr="000F7EFB">
        <w:rPr>
          <w:rFonts w:eastAsia="Univers for KPMG Light" w:cs="Arial"/>
          <w:spacing w:val="-1"/>
          <w:sz w:val="18"/>
          <w:szCs w:val="18"/>
        </w:rPr>
        <w:t>arising</w:t>
      </w:r>
      <w:r w:rsidRPr="000F7EFB">
        <w:rPr>
          <w:rFonts w:eastAsia="Univers for KPMG Light" w:cs="Arial"/>
          <w:sz w:val="18"/>
          <w:szCs w:val="18"/>
        </w:rPr>
        <w:t xml:space="preserve"> in</w:t>
      </w:r>
      <w:r w:rsidRPr="000F7EFB">
        <w:rPr>
          <w:rFonts w:eastAsia="Univers for KPMG Light" w:cs="Arial"/>
          <w:spacing w:val="-1"/>
          <w:sz w:val="18"/>
          <w:szCs w:val="18"/>
        </w:rPr>
        <w:t xml:space="preserve"> any</w:t>
      </w:r>
      <w:r w:rsidRPr="000F7EFB">
        <w:rPr>
          <w:rFonts w:eastAsia="Univers for KPMG Light" w:cs="Arial"/>
          <w:sz w:val="18"/>
          <w:szCs w:val="18"/>
        </w:rPr>
        <w:t xml:space="preserve"> </w:t>
      </w:r>
      <w:r w:rsidRPr="000F7EFB">
        <w:rPr>
          <w:rFonts w:eastAsia="Univers for KPMG Light" w:cs="Arial"/>
          <w:spacing w:val="-1"/>
          <w:sz w:val="18"/>
          <w:szCs w:val="18"/>
        </w:rPr>
        <w:t>way</w:t>
      </w:r>
      <w:r w:rsidRPr="000F7EFB">
        <w:rPr>
          <w:rFonts w:eastAsia="Univers for KPMG Light" w:cs="Arial"/>
          <w:sz w:val="18"/>
          <w:szCs w:val="18"/>
        </w:rPr>
        <w:t xml:space="preserve"> </w:t>
      </w:r>
      <w:r w:rsidRPr="000F7EFB">
        <w:rPr>
          <w:rFonts w:eastAsia="Univers for KPMG Light" w:cs="Arial"/>
          <w:spacing w:val="-1"/>
          <w:sz w:val="18"/>
          <w:szCs w:val="18"/>
        </w:rPr>
        <w:t>from</w:t>
      </w:r>
      <w:r w:rsidRPr="000F7EFB">
        <w:rPr>
          <w:rFonts w:eastAsia="Univers for KPMG Light" w:cs="Arial"/>
          <w:sz w:val="18"/>
          <w:szCs w:val="18"/>
        </w:rPr>
        <w:t xml:space="preserve"> </w:t>
      </w:r>
      <w:r w:rsidRPr="000F7EFB">
        <w:rPr>
          <w:rFonts w:eastAsia="Univers for KPMG Light" w:cs="Arial"/>
          <w:spacing w:val="-1"/>
          <w:sz w:val="18"/>
          <w:szCs w:val="18"/>
        </w:rPr>
        <w:t>reliance</w:t>
      </w:r>
      <w:r w:rsidRPr="000F7EFB">
        <w:rPr>
          <w:rFonts w:eastAsia="Univers for KPMG Light" w:cs="Arial"/>
          <w:sz w:val="18"/>
          <w:szCs w:val="18"/>
        </w:rPr>
        <w:t xml:space="preserve"> </w:t>
      </w:r>
      <w:r w:rsidRPr="000F7EFB">
        <w:rPr>
          <w:rFonts w:eastAsia="Univers for KPMG Light" w:cs="Arial"/>
          <w:spacing w:val="-1"/>
          <w:sz w:val="18"/>
          <w:szCs w:val="18"/>
        </w:rPr>
        <w:t>placed</w:t>
      </w:r>
      <w:r w:rsidRPr="000F7EFB">
        <w:rPr>
          <w:rFonts w:eastAsia="Univers for KPMG Light" w:cs="Arial"/>
          <w:sz w:val="18"/>
          <w:szCs w:val="18"/>
        </w:rPr>
        <w:t xml:space="preserve"> </w:t>
      </w:r>
      <w:r w:rsidRPr="000F7EFB">
        <w:rPr>
          <w:rFonts w:eastAsia="Univers for KPMG Light" w:cs="Arial"/>
          <w:spacing w:val="-1"/>
          <w:sz w:val="18"/>
          <w:szCs w:val="18"/>
        </w:rPr>
        <w:t>by</w:t>
      </w:r>
      <w:r w:rsidRPr="000F7EFB">
        <w:rPr>
          <w:rFonts w:eastAsia="Univers for KPMG Light" w:cs="Arial"/>
          <w:sz w:val="18"/>
          <w:szCs w:val="18"/>
        </w:rPr>
        <w:t xml:space="preserve"> a </w:t>
      </w:r>
      <w:r w:rsidRPr="000F7EFB">
        <w:rPr>
          <w:rFonts w:eastAsia="Univers for KPMG Light" w:cs="Arial"/>
          <w:spacing w:val="-1"/>
          <w:sz w:val="18"/>
          <w:szCs w:val="18"/>
        </w:rPr>
        <w:t>third</w:t>
      </w:r>
      <w:r w:rsidRPr="000F7EFB">
        <w:rPr>
          <w:rFonts w:eastAsia="Univers for KPMG Light" w:cs="Arial"/>
          <w:sz w:val="18"/>
          <w:szCs w:val="18"/>
        </w:rPr>
        <w:t xml:space="preserve"> </w:t>
      </w:r>
      <w:r w:rsidRPr="000F7EFB">
        <w:rPr>
          <w:rFonts w:eastAsia="Univers for KPMG Light" w:cs="Arial"/>
          <w:spacing w:val="-1"/>
          <w:sz w:val="18"/>
          <w:szCs w:val="18"/>
        </w:rPr>
        <w:t>party</w:t>
      </w:r>
      <w:r w:rsidRPr="000F7EFB">
        <w:rPr>
          <w:rFonts w:eastAsia="Univers for KPMG Light" w:cs="Arial"/>
          <w:sz w:val="18"/>
          <w:szCs w:val="18"/>
        </w:rPr>
        <w:t xml:space="preserve"> </w:t>
      </w:r>
      <w:r w:rsidRPr="000F7EFB">
        <w:rPr>
          <w:rFonts w:eastAsia="Univers for KPMG Light" w:cs="Arial"/>
          <w:spacing w:val="-1"/>
          <w:sz w:val="18"/>
          <w:szCs w:val="18"/>
        </w:rPr>
        <w:t>on</w:t>
      </w:r>
      <w:r w:rsidRPr="000F7EFB">
        <w:rPr>
          <w:rFonts w:eastAsia="Univers for KPMG Light" w:cs="Arial"/>
          <w:sz w:val="18"/>
          <w:szCs w:val="18"/>
        </w:rPr>
        <w:t xml:space="preserve"> this Summary Report</w:t>
      </w:r>
      <w:r w:rsidRPr="000F7EFB">
        <w:rPr>
          <w:rFonts w:eastAsia="Univers for KPMG Light" w:cs="Arial"/>
          <w:spacing w:val="-1"/>
          <w:sz w:val="18"/>
          <w:szCs w:val="18"/>
        </w:rPr>
        <w:t>.</w:t>
      </w:r>
      <w:r w:rsidRPr="000F7EFB">
        <w:rPr>
          <w:rFonts w:eastAsia="Univers for KPMG Light" w:cs="Arial"/>
          <w:sz w:val="18"/>
          <w:szCs w:val="18"/>
        </w:rPr>
        <w:t xml:space="preserve">  </w:t>
      </w:r>
      <w:r w:rsidRPr="000F7EFB">
        <w:rPr>
          <w:rFonts w:eastAsia="Univers for KPMG Light" w:cs="Arial"/>
          <w:spacing w:val="-1"/>
          <w:sz w:val="18"/>
          <w:szCs w:val="18"/>
        </w:rPr>
        <w:t>Any</w:t>
      </w:r>
      <w:r w:rsidRPr="000F7EFB">
        <w:rPr>
          <w:rFonts w:eastAsia="Univers for KPMG Light" w:cs="Arial"/>
          <w:sz w:val="18"/>
          <w:szCs w:val="18"/>
        </w:rPr>
        <w:t xml:space="preserve"> </w:t>
      </w:r>
      <w:r w:rsidRPr="000F7EFB">
        <w:rPr>
          <w:rFonts w:eastAsia="Univers for KPMG Light" w:cs="Arial"/>
          <w:spacing w:val="-1"/>
          <w:sz w:val="18"/>
          <w:szCs w:val="18"/>
        </w:rPr>
        <w:t>reliance</w:t>
      </w:r>
      <w:r w:rsidRPr="000F7EFB">
        <w:rPr>
          <w:rFonts w:eastAsia="Univers for KPMG Light" w:cs="Arial"/>
          <w:sz w:val="18"/>
          <w:szCs w:val="18"/>
        </w:rPr>
        <w:t xml:space="preserve"> </w:t>
      </w:r>
      <w:r w:rsidRPr="000F7EFB">
        <w:rPr>
          <w:rFonts w:eastAsia="Univers for KPMG Light" w:cs="Arial"/>
          <w:spacing w:val="-1"/>
          <w:sz w:val="18"/>
          <w:szCs w:val="18"/>
        </w:rPr>
        <w:t>placed</w:t>
      </w:r>
      <w:r w:rsidRPr="000F7EFB">
        <w:rPr>
          <w:rFonts w:eastAsia="Univers for KPMG Light" w:cs="Arial"/>
          <w:spacing w:val="1"/>
          <w:sz w:val="18"/>
          <w:szCs w:val="18"/>
        </w:rPr>
        <w:t xml:space="preserve"> </w:t>
      </w:r>
      <w:r w:rsidRPr="000F7EFB">
        <w:rPr>
          <w:rFonts w:eastAsia="Univers for KPMG Light" w:cs="Arial"/>
          <w:spacing w:val="-1"/>
          <w:sz w:val="18"/>
          <w:szCs w:val="18"/>
        </w:rPr>
        <w:t>is</w:t>
      </w:r>
      <w:r w:rsidRPr="000F7EFB">
        <w:rPr>
          <w:rFonts w:eastAsia="Univers for KPMG Light" w:cs="Arial"/>
          <w:spacing w:val="52"/>
          <w:sz w:val="18"/>
          <w:szCs w:val="18"/>
        </w:rPr>
        <w:t xml:space="preserve"> </w:t>
      </w:r>
      <w:r w:rsidRPr="000F7EFB">
        <w:rPr>
          <w:rFonts w:eastAsia="Univers for KPMG Light" w:cs="Arial"/>
          <w:spacing w:val="-1"/>
          <w:sz w:val="18"/>
          <w:szCs w:val="18"/>
        </w:rPr>
        <w:t>that</w:t>
      </w:r>
      <w:r w:rsidRPr="000F7EFB">
        <w:rPr>
          <w:rFonts w:eastAsia="Univers for KPMG Light" w:cs="Arial"/>
          <w:sz w:val="18"/>
          <w:szCs w:val="18"/>
        </w:rPr>
        <w:t xml:space="preserve"> </w:t>
      </w:r>
      <w:r w:rsidRPr="000F7EFB">
        <w:rPr>
          <w:rFonts w:eastAsia="Univers for KPMG Light" w:cs="Arial"/>
          <w:spacing w:val="-1"/>
          <w:sz w:val="18"/>
          <w:szCs w:val="18"/>
        </w:rPr>
        <w:t>party’s</w:t>
      </w:r>
      <w:r w:rsidRPr="000F7EFB">
        <w:rPr>
          <w:rFonts w:eastAsia="Univers for KPMG Light" w:cs="Arial"/>
          <w:sz w:val="18"/>
          <w:szCs w:val="18"/>
        </w:rPr>
        <w:t xml:space="preserve"> </w:t>
      </w:r>
      <w:r w:rsidRPr="000F7EFB">
        <w:rPr>
          <w:rFonts w:eastAsia="Univers for KPMG Light" w:cs="Arial"/>
          <w:spacing w:val="-1"/>
          <w:sz w:val="18"/>
          <w:szCs w:val="18"/>
        </w:rPr>
        <w:t>sole</w:t>
      </w:r>
      <w:r w:rsidRPr="000F7EFB">
        <w:rPr>
          <w:rFonts w:eastAsia="Univers for KPMG Light" w:cs="Arial"/>
          <w:sz w:val="18"/>
          <w:szCs w:val="18"/>
        </w:rPr>
        <w:t xml:space="preserve"> </w:t>
      </w:r>
      <w:r w:rsidRPr="000F7EFB">
        <w:rPr>
          <w:rFonts w:eastAsia="Univers for KPMG Light" w:cs="Arial"/>
          <w:spacing w:val="-1"/>
          <w:sz w:val="18"/>
          <w:szCs w:val="18"/>
        </w:rPr>
        <w:t>responsibility.</w:t>
      </w:r>
      <w:r w:rsidRPr="00FD67DF">
        <w:rPr>
          <w:rFonts w:eastAsia="Univers for KPMG Light" w:cs="Arial"/>
          <w:spacing w:val="-1"/>
          <w:sz w:val="18"/>
          <w:szCs w:val="18"/>
        </w:rPr>
        <w:t xml:space="preserve"> </w:t>
      </w:r>
    </w:p>
    <w:p w14:paraId="13EE2649" w14:textId="77777777" w:rsidR="00ED0DF7" w:rsidRPr="00ED0DF7" w:rsidRDefault="00ED0DF7" w:rsidP="005D5472">
      <w:pPr>
        <w:pStyle w:val="BodyText"/>
        <w:spacing w:before="240"/>
        <w:rPr>
          <w:rFonts w:eastAsia="Univers for KPMG Light" w:cs="Arial"/>
          <w:sz w:val="18"/>
          <w:szCs w:val="18"/>
        </w:rPr>
      </w:pPr>
      <w:bookmarkStart w:id="24" w:name="_Hlk174546421"/>
      <w:r w:rsidRPr="00ED0DF7">
        <w:rPr>
          <w:b/>
        </w:rPr>
        <w:t>Accessibility</w:t>
      </w:r>
    </w:p>
    <w:p w14:paraId="323F77D7" w14:textId="77777777" w:rsidR="00ED0DF7" w:rsidRPr="00ED0DF7" w:rsidRDefault="00ED0DF7" w:rsidP="00ED0DF7">
      <w:pPr>
        <w:pStyle w:val="BodyText"/>
        <w:rPr>
          <w:rFonts w:eastAsia="Univers for KPMG Light" w:cs="Arial"/>
          <w:sz w:val="18"/>
          <w:szCs w:val="18"/>
        </w:rPr>
      </w:pPr>
      <w:r w:rsidRPr="00ED0DF7">
        <w:rPr>
          <w:rFonts w:eastAsia="Univers for KPMG Light" w:cs="Arial"/>
          <w:sz w:val="18"/>
          <w:szCs w:val="18"/>
        </w:rPr>
        <w:t>To comply with the Commonwealth Government’s accessibility requirements for publishing on the internet, two versions of this Report are available: a KPMG-branded PDF version and an unbranded Microsoft Word version. The KPMG-branded PDF version of this Report remains the definitive version of this Report.</w:t>
      </w:r>
    </w:p>
    <w:bookmarkEnd w:id="24"/>
    <w:p w14:paraId="103A6193" w14:textId="37BB94A7" w:rsidR="00C34053" w:rsidRPr="004D1BFE" w:rsidRDefault="00C34053" w:rsidP="00621EBD">
      <w:pPr>
        <w:pStyle w:val="disclaimerbodytext"/>
        <w:rPr>
          <w:sz w:val="16"/>
          <w:szCs w:val="18"/>
        </w:rPr>
      </w:pPr>
    </w:p>
    <w:p w14:paraId="7E809EA1" w14:textId="77777777" w:rsidR="00225456" w:rsidRDefault="00225456" w:rsidP="00621EBD">
      <w:pPr>
        <w:pStyle w:val="disclaimerbodytext"/>
        <w:sectPr w:rsidR="00225456" w:rsidSect="005B0986">
          <w:pgSz w:w="11906" w:h="16838"/>
          <w:pgMar w:top="851" w:right="851" w:bottom="851" w:left="1985" w:header="567" w:footer="284" w:gutter="0"/>
          <w:pgNumType w:fmt="lowerRoman"/>
          <w:cols w:space="708"/>
          <w:docGrid w:linePitch="360"/>
        </w:sectPr>
      </w:pPr>
    </w:p>
    <w:p w14:paraId="3F315D59" w14:textId="3D2A6272" w:rsidR="00B71BAA" w:rsidRPr="00B71BAA" w:rsidRDefault="00D779C0" w:rsidP="00B53241">
      <w:pPr>
        <w:pStyle w:val="BodyText"/>
        <w:rPr>
          <w:b/>
          <w:color w:val="00338D"/>
          <w:sz w:val="28"/>
          <w:szCs w:val="28"/>
        </w:rPr>
      </w:pPr>
      <w:r w:rsidRPr="00D779C0">
        <w:rPr>
          <w:b/>
          <w:color w:val="00338D"/>
          <w:sz w:val="28"/>
          <w:szCs w:val="28"/>
        </w:rPr>
        <w:lastRenderedPageBreak/>
        <w:t>Index of Figures and Tables</w:t>
      </w:r>
    </w:p>
    <w:p w14:paraId="79FCC978" w14:textId="5526FD14" w:rsidR="00325BE2" w:rsidRDefault="00D779C0">
      <w:pPr>
        <w:pStyle w:val="TableofFigures"/>
        <w:rPr>
          <w:rFonts w:asciiTheme="minorHAnsi" w:eastAsiaTheme="minorEastAsia" w:hAnsiTheme="minorHAnsi"/>
          <w:noProof/>
          <w:color w:val="auto"/>
          <w:sz w:val="22"/>
          <w:lang w:eastAsia="en-AU"/>
        </w:rPr>
      </w:pPr>
      <w:r w:rsidRPr="00D317C0">
        <w:rPr>
          <w:sz w:val="14"/>
          <w:szCs w:val="14"/>
        </w:rPr>
        <w:fldChar w:fldCharType="begin"/>
      </w:r>
      <w:r w:rsidRPr="00D317C0">
        <w:rPr>
          <w:sz w:val="14"/>
          <w:szCs w:val="14"/>
        </w:rPr>
        <w:instrText xml:space="preserve"> TOC \h \z \c "Figure" </w:instrText>
      </w:r>
      <w:r w:rsidRPr="00D317C0">
        <w:rPr>
          <w:sz w:val="14"/>
          <w:szCs w:val="14"/>
        </w:rPr>
        <w:fldChar w:fldCharType="separate"/>
      </w:r>
      <w:hyperlink w:anchor="_Toc174547286" w:history="1">
        <w:r w:rsidR="00325BE2" w:rsidRPr="00131E58">
          <w:rPr>
            <w:rStyle w:val="Hyperlink"/>
            <w:noProof/>
          </w:rPr>
          <w:t>Figure 1: Conceptual evaluation approach</w:t>
        </w:r>
        <w:r w:rsidR="00325BE2">
          <w:rPr>
            <w:noProof/>
            <w:webHidden/>
          </w:rPr>
          <w:tab/>
        </w:r>
        <w:r w:rsidR="00325BE2">
          <w:rPr>
            <w:noProof/>
            <w:webHidden/>
          </w:rPr>
          <w:fldChar w:fldCharType="begin"/>
        </w:r>
        <w:r w:rsidR="00325BE2">
          <w:rPr>
            <w:noProof/>
            <w:webHidden/>
          </w:rPr>
          <w:instrText xml:space="preserve"> PAGEREF _Toc174547286 \h </w:instrText>
        </w:r>
        <w:r w:rsidR="00325BE2">
          <w:rPr>
            <w:noProof/>
            <w:webHidden/>
          </w:rPr>
        </w:r>
        <w:r w:rsidR="00325BE2">
          <w:rPr>
            <w:noProof/>
            <w:webHidden/>
          </w:rPr>
          <w:fldChar w:fldCharType="separate"/>
        </w:r>
        <w:r w:rsidR="007B3437">
          <w:rPr>
            <w:noProof/>
            <w:webHidden/>
          </w:rPr>
          <w:t>iv</w:t>
        </w:r>
        <w:r w:rsidR="00325BE2">
          <w:rPr>
            <w:noProof/>
            <w:webHidden/>
          </w:rPr>
          <w:fldChar w:fldCharType="end"/>
        </w:r>
      </w:hyperlink>
    </w:p>
    <w:p w14:paraId="71C9F927" w14:textId="34625578" w:rsidR="00325BE2" w:rsidRDefault="0061017C">
      <w:pPr>
        <w:pStyle w:val="TableofFigures"/>
        <w:rPr>
          <w:rFonts w:asciiTheme="minorHAnsi" w:eastAsiaTheme="minorEastAsia" w:hAnsiTheme="minorHAnsi"/>
          <w:noProof/>
          <w:color w:val="auto"/>
          <w:sz w:val="22"/>
          <w:lang w:eastAsia="en-AU"/>
        </w:rPr>
      </w:pPr>
      <w:hyperlink w:anchor="_Toc174547287" w:history="1">
        <w:r w:rsidR="00325BE2" w:rsidRPr="00131E58">
          <w:rPr>
            <w:rStyle w:val="Hyperlink"/>
            <w:noProof/>
          </w:rPr>
          <w:t>Figure 2 Program outcomes and evaluation components</w:t>
        </w:r>
        <w:r w:rsidR="00325BE2">
          <w:rPr>
            <w:noProof/>
            <w:webHidden/>
          </w:rPr>
          <w:tab/>
        </w:r>
        <w:r w:rsidR="00325BE2">
          <w:rPr>
            <w:noProof/>
            <w:webHidden/>
          </w:rPr>
          <w:fldChar w:fldCharType="begin"/>
        </w:r>
        <w:r w:rsidR="00325BE2">
          <w:rPr>
            <w:noProof/>
            <w:webHidden/>
          </w:rPr>
          <w:instrText xml:space="preserve"> PAGEREF _Toc174547287 \h </w:instrText>
        </w:r>
        <w:r w:rsidR="00325BE2">
          <w:rPr>
            <w:noProof/>
            <w:webHidden/>
          </w:rPr>
        </w:r>
        <w:r w:rsidR="00325BE2">
          <w:rPr>
            <w:noProof/>
            <w:webHidden/>
          </w:rPr>
          <w:fldChar w:fldCharType="separate"/>
        </w:r>
        <w:r w:rsidR="007B3437">
          <w:rPr>
            <w:noProof/>
            <w:webHidden/>
          </w:rPr>
          <w:t>ix</w:t>
        </w:r>
        <w:r w:rsidR="00325BE2">
          <w:rPr>
            <w:noProof/>
            <w:webHidden/>
          </w:rPr>
          <w:fldChar w:fldCharType="end"/>
        </w:r>
      </w:hyperlink>
    </w:p>
    <w:p w14:paraId="6C68310C" w14:textId="2C608375" w:rsidR="00325BE2" w:rsidRDefault="0061017C">
      <w:pPr>
        <w:pStyle w:val="TableofFigures"/>
        <w:rPr>
          <w:rFonts w:asciiTheme="minorHAnsi" w:eastAsiaTheme="minorEastAsia" w:hAnsiTheme="minorHAnsi"/>
          <w:noProof/>
          <w:color w:val="auto"/>
          <w:sz w:val="22"/>
          <w:lang w:eastAsia="en-AU"/>
        </w:rPr>
      </w:pPr>
      <w:hyperlink w:anchor="_Toc174547288" w:history="1">
        <w:r w:rsidR="00325BE2" w:rsidRPr="00131E58">
          <w:rPr>
            <w:rStyle w:val="Hyperlink"/>
            <w:noProof/>
          </w:rPr>
          <w:t>Figure 3: Conceptual approach to the evaluation</w:t>
        </w:r>
        <w:r w:rsidR="00325BE2">
          <w:rPr>
            <w:noProof/>
            <w:webHidden/>
          </w:rPr>
          <w:tab/>
        </w:r>
        <w:r w:rsidR="00325BE2">
          <w:rPr>
            <w:noProof/>
            <w:webHidden/>
          </w:rPr>
          <w:fldChar w:fldCharType="begin"/>
        </w:r>
        <w:r w:rsidR="00325BE2">
          <w:rPr>
            <w:noProof/>
            <w:webHidden/>
          </w:rPr>
          <w:instrText xml:space="preserve"> PAGEREF _Toc174547288 \h </w:instrText>
        </w:r>
        <w:r w:rsidR="00325BE2">
          <w:rPr>
            <w:noProof/>
            <w:webHidden/>
          </w:rPr>
        </w:r>
        <w:r w:rsidR="00325BE2">
          <w:rPr>
            <w:noProof/>
            <w:webHidden/>
          </w:rPr>
          <w:fldChar w:fldCharType="separate"/>
        </w:r>
        <w:r w:rsidR="007B3437">
          <w:rPr>
            <w:noProof/>
            <w:webHidden/>
          </w:rPr>
          <w:t>9</w:t>
        </w:r>
        <w:r w:rsidR="00325BE2">
          <w:rPr>
            <w:noProof/>
            <w:webHidden/>
          </w:rPr>
          <w:fldChar w:fldCharType="end"/>
        </w:r>
      </w:hyperlink>
    </w:p>
    <w:p w14:paraId="742E7824" w14:textId="4A3F3865" w:rsidR="00325BE2" w:rsidRDefault="0061017C">
      <w:pPr>
        <w:pStyle w:val="TableofFigures"/>
        <w:rPr>
          <w:rFonts w:asciiTheme="minorHAnsi" w:eastAsiaTheme="minorEastAsia" w:hAnsiTheme="minorHAnsi"/>
          <w:noProof/>
          <w:color w:val="auto"/>
          <w:sz w:val="22"/>
          <w:lang w:eastAsia="en-AU"/>
        </w:rPr>
      </w:pPr>
      <w:hyperlink w:anchor="_Toc174547289" w:history="1">
        <w:r w:rsidR="00325BE2" w:rsidRPr="00131E58">
          <w:rPr>
            <w:rStyle w:val="Hyperlink"/>
            <w:noProof/>
          </w:rPr>
          <w:t>Figure 4: J2SI PAD program logic</w:t>
        </w:r>
        <w:r w:rsidR="00325BE2">
          <w:rPr>
            <w:noProof/>
            <w:webHidden/>
          </w:rPr>
          <w:tab/>
        </w:r>
        <w:r w:rsidR="00325BE2">
          <w:rPr>
            <w:noProof/>
            <w:webHidden/>
          </w:rPr>
          <w:fldChar w:fldCharType="begin"/>
        </w:r>
        <w:r w:rsidR="00325BE2">
          <w:rPr>
            <w:noProof/>
            <w:webHidden/>
          </w:rPr>
          <w:instrText xml:space="preserve"> PAGEREF _Toc174547289 \h </w:instrText>
        </w:r>
        <w:r w:rsidR="00325BE2">
          <w:rPr>
            <w:noProof/>
            <w:webHidden/>
          </w:rPr>
        </w:r>
        <w:r w:rsidR="00325BE2">
          <w:rPr>
            <w:noProof/>
            <w:webHidden/>
          </w:rPr>
          <w:fldChar w:fldCharType="separate"/>
        </w:r>
        <w:r w:rsidR="007B3437">
          <w:rPr>
            <w:noProof/>
            <w:webHidden/>
          </w:rPr>
          <w:t>10</w:t>
        </w:r>
        <w:r w:rsidR="00325BE2">
          <w:rPr>
            <w:noProof/>
            <w:webHidden/>
          </w:rPr>
          <w:fldChar w:fldCharType="end"/>
        </w:r>
      </w:hyperlink>
    </w:p>
    <w:p w14:paraId="35C3F4BD" w14:textId="5BD41565" w:rsidR="00325BE2" w:rsidRDefault="0061017C">
      <w:pPr>
        <w:pStyle w:val="TableofFigures"/>
        <w:rPr>
          <w:rFonts w:asciiTheme="minorHAnsi" w:eastAsiaTheme="minorEastAsia" w:hAnsiTheme="minorHAnsi"/>
          <w:noProof/>
          <w:color w:val="auto"/>
          <w:sz w:val="22"/>
          <w:lang w:eastAsia="en-AU"/>
        </w:rPr>
      </w:pPr>
      <w:hyperlink w:anchor="_Toc174547290" w:history="1">
        <w:r w:rsidR="00325BE2" w:rsidRPr="00131E58">
          <w:rPr>
            <w:rStyle w:val="Hyperlink"/>
            <w:noProof/>
          </w:rPr>
          <w:t>Figure 5: Conceptual evaluation approach</w:t>
        </w:r>
        <w:r w:rsidR="00325BE2">
          <w:rPr>
            <w:noProof/>
            <w:webHidden/>
          </w:rPr>
          <w:tab/>
        </w:r>
        <w:r w:rsidR="00325BE2">
          <w:rPr>
            <w:noProof/>
            <w:webHidden/>
          </w:rPr>
          <w:fldChar w:fldCharType="begin"/>
        </w:r>
        <w:r w:rsidR="00325BE2">
          <w:rPr>
            <w:noProof/>
            <w:webHidden/>
          </w:rPr>
          <w:instrText xml:space="preserve"> PAGEREF _Toc174547290 \h </w:instrText>
        </w:r>
        <w:r w:rsidR="00325BE2">
          <w:rPr>
            <w:noProof/>
            <w:webHidden/>
          </w:rPr>
        </w:r>
        <w:r w:rsidR="00325BE2">
          <w:rPr>
            <w:noProof/>
            <w:webHidden/>
          </w:rPr>
          <w:fldChar w:fldCharType="separate"/>
        </w:r>
        <w:r w:rsidR="007B3437">
          <w:rPr>
            <w:noProof/>
            <w:webHidden/>
          </w:rPr>
          <w:t>11</w:t>
        </w:r>
        <w:r w:rsidR="00325BE2">
          <w:rPr>
            <w:noProof/>
            <w:webHidden/>
          </w:rPr>
          <w:fldChar w:fldCharType="end"/>
        </w:r>
      </w:hyperlink>
    </w:p>
    <w:p w14:paraId="3990D3A6" w14:textId="772314C3" w:rsidR="00325BE2" w:rsidRDefault="0061017C">
      <w:pPr>
        <w:pStyle w:val="TableofFigures"/>
        <w:rPr>
          <w:rFonts w:asciiTheme="minorHAnsi" w:eastAsiaTheme="minorEastAsia" w:hAnsiTheme="minorHAnsi"/>
          <w:noProof/>
          <w:color w:val="auto"/>
          <w:sz w:val="22"/>
          <w:lang w:eastAsia="en-AU"/>
        </w:rPr>
      </w:pPr>
      <w:hyperlink w:anchor="_Toc174547291" w:history="1">
        <w:r w:rsidR="00325BE2" w:rsidRPr="00131E58">
          <w:rPr>
            <w:rStyle w:val="Hyperlink"/>
            <w:noProof/>
          </w:rPr>
          <w:t>Figure 6: Average score of J2SI PAD client survey to questions relating to housing</w:t>
        </w:r>
        <w:r w:rsidR="00325BE2" w:rsidRPr="00131E58">
          <w:rPr>
            <w:rStyle w:val="Hyperlink"/>
            <w:rFonts w:ascii="Cambria" w:hAnsi="Cambria" w:cs="ZWAdobeF"/>
            <w:noProof/>
            <w:vertAlign w:val="superscript"/>
          </w:rPr>
          <w:t>,</w:t>
        </w:r>
        <w:r w:rsidR="00325BE2">
          <w:rPr>
            <w:noProof/>
            <w:webHidden/>
          </w:rPr>
          <w:tab/>
        </w:r>
        <w:r w:rsidR="00325BE2">
          <w:rPr>
            <w:noProof/>
            <w:webHidden/>
          </w:rPr>
          <w:fldChar w:fldCharType="begin"/>
        </w:r>
        <w:r w:rsidR="00325BE2">
          <w:rPr>
            <w:noProof/>
            <w:webHidden/>
          </w:rPr>
          <w:instrText xml:space="preserve"> PAGEREF _Toc174547291 \h </w:instrText>
        </w:r>
        <w:r w:rsidR="00325BE2">
          <w:rPr>
            <w:noProof/>
            <w:webHidden/>
          </w:rPr>
        </w:r>
        <w:r w:rsidR="00325BE2">
          <w:rPr>
            <w:noProof/>
            <w:webHidden/>
          </w:rPr>
          <w:fldChar w:fldCharType="separate"/>
        </w:r>
        <w:r w:rsidR="007B3437">
          <w:rPr>
            <w:noProof/>
            <w:webHidden/>
          </w:rPr>
          <w:t>18</w:t>
        </w:r>
        <w:r w:rsidR="00325BE2">
          <w:rPr>
            <w:noProof/>
            <w:webHidden/>
          </w:rPr>
          <w:fldChar w:fldCharType="end"/>
        </w:r>
      </w:hyperlink>
    </w:p>
    <w:p w14:paraId="04144ABE" w14:textId="16588CB7" w:rsidR="00325BE2" w:rsidRDefault="0061017C">
      <w:pPr>
        <w:pStyle w:val="TableofFigures"/>
        <w:rPr>
          <w:rFonts w:asciiTheme="minorHAnsi" w:eastAsiaTheme="minorEastAsia" w:hAnsiTheme="minorHAnsi"/>
          <w:noProof/>
          <w:color w:val="auto"/>
          <w:sz w:val="22"/>
          <w:lang w:eastAsia="en-AU"/>
        </w:rPr>
      </w:pPr>
      <w:hyperlink w:anchor="_Toc174547292" w:history="1">
        <w:r w:rsidR="00325BE2" w:rsidRPr="00131E58">
          <w:rPr>
            <w:rStyle w:val="Hyperlink"/>
            <w:noProof/>
          </w:rPr>
          <w:t>Figure 7: Average score of J2SI PAD client survey to questions relating to health</w:t>
        </w:r>
        <w:r w:rsidR="00325BE2">
          <w:rPr>
            <w:noProof/>
            <w:webHidden/>
          </w:rPr>
          <w:tab/>
        </w:r>
        <w:r w:rsidR="00325BE2">
          <w:rPr>
            <w:noProof/>
            <w:webHidden/>
          </w:rPr>
          <w:fldChar w:fldCharType="begin"/>
        </w:r>
        <w:r w:rsidR="00325BE2">
          <w:rPr>
            <w:noProof/>
            <w:webHidden/>
          </w:rPr>
          <w:instrText xml:space="preserve"> PAGEREF _Toc174547292 \h </w:instrText>
        </w:r>
        <w:r w:rsidR="00325BE2">
          <w:rPr>
            <w:noProof/>
            <w:webHidden/>
          </w:rPr>
        </w:r>
        <w:r w:rsidR="00325BE2">
          <w:rPr>
            <w:noProof/>
            <w:webHidden/>
          </w:rPr>
          <w:fldChar w:fldCharType="separate"/>
        </w:r>
        <w:r w:rsidR="007B3437">
          <w:rPr>
            <w:noProof/>
            <w:webHidden/>
          </w:rPr>
          <w:t>19</w:t>
        </w:r>
        <w:r w:rsidR="00325BE2">
          <w:rPr>
            <w:noProof/>
            <w:webHidden/>
          </w:rPr>
          <w:fldChar w:fldCharType="end"/>
        </w:r>
      </w:hyperlink>
    </w:p>
    <w:p w14:paraId="198420C9" w14:textId="503D29C4" w:rsidR="00325BE2" w:rsidRDefault="0061017C">
      <w:pPr>
        <w:pStyle w:val="TableofFigures"/>
        <w:rPr>
          <w:rFonts w:asciiTheme="minorHAnsi" w:eastAsiaTheme="minorEastAsia" w:hAnsiTheme="minorHAnsi"/>
          <w:noProof/>
          <w:color w:val="auto"/>
          <w:sz w:val="22"/>
          <w:lang w:eastAsia="en-AU"/>
        </w:rPr>
      </w:pPr>
      <w:hyperlink w:anchor="_Toc174547293" w:history="1">
        <w:r w:rsidR="00325BE2" w:rsidRPr="00131E58">
          <w:rPr>
            <w:rStyle w:val="Hyperlink"/>
            <w:noProof/>
          </w:rPr>
          <w:t>Figure 8: Average score of J2SI PAD client survey to questions relating to health service access</w:t>
        </w:r>
        <w:r w:rsidR="00325BE2">
          <w:rPr>
            <w:noProof/>
            <w:webHidden/>
          </w:rPr>
          <w:tab/>
        </w:r>
        <w:r w:rsidR="00325BE2">
          <w:rPr>
            <w:noProof/>
            <w:webHidden/>
          </w:rPr>
          <w:fldChar w:fldCharType="begin"/>
        </w:r>
        <w:r w:rsidR="00325BE2">
          <w:rPr>
            <w:noProof/>
            <w:webHidden/>
          </w:rPr>
          <w:instrText xml:space="preserve"> PAGEREF _Toc174547293 \h </w:instrText>
        </w:r>
        <w:r w:rsidR="00325BE2">
          <w:rPr>
            <w:noProof/>
            <w:webHidden/>
          </w:rPr>
        </w:r>
        <w:r w:rsidR="00325BE2">
          <w:rPr>
            <w:noProof/>
            <w:webHidden/>
          </w:rPr>
          <w:fldChar w:fldCharType="separate"/>
        </w:r>
        <w:r w:rsidR="007B3437">
          <w:rPr>
            <w:noProof/>
            <w:webHidden/>
          </w:rPr>
          <w:t>19</w:t>
        </w:r>
        <w:r w:rsidR="00325BE2">
          <w:rPr>
            <w:noProof/>
            <w:webHidden/>
          </w:rPr>
          <w:fldChar w:fldCharType="end"/>
        </w:r>
      </w:hyperlink>
    </w:p>
    <w:p w14:paraId="7CEA769D" w14:textId="7B4DC75D" w:rsidR="00325BE2" w:rsidRDefault="0061017C">
      <w:pPr>
        <w:pStyle w:val="TableofFigures"/>
        <w:rPr>
          <w:rFonts w:asciiTheme="minorHAnsi" w:eastAsiaTheme="minorEastAsia" w:hAnsiTheme="minorHAnsi"/>
          <w:noProof/>
          <w:color w:val="auto"/>
          <w:sz w:val="22"/>
          <w:lang w:eastAsia="en-AU"/>
        </w:rPr>
      </w:pPr>
      <w:hyperlink w:anchor="_Toc174547294" w:history="1">
        <w:r w:rsidR="00325BE2" w:rsidRPr="00131E58">
          <w:rPr>
            <w:rStyle w:val="Hyperlink"/>
            <w:noProof/>
          </w:rPr>
          <w:t>Figure 9: Average presentation to ED, per J2SI client, per month across the program period</w:t>
        </w:r>
        <w:r w:rsidR="00325BE2">
          <w:rPr>
            <w:noProof/>
            <w:webHidden/>
          </w:rPr>
          <w:tab/>
        </w:r>
        <w:r w:rsidR="00325BE2">
          <w:rPr>
            <w:noProof/>
            <w:webHidden/>
          </w:rPr>
          <w:fldChar w:fldCharType="begin"/>
        </w:r>
        <w:r w:rsidR="00325BE2">
          <w:rPr>
            <w:noProof/>
            <w:webHidden/>
          </w:rPr>
          <w:instrText xml:space="preserve"> PAGEREF _Toc174547294 \h </w:instrText>
        </w:r>
        <w:r w:rsidR="00325BE2">
          <w:rPr>
            <w:noProof/>
            <w:webHidden/>
          </w:rPr>
        </w:r>
        <w:r w:rsidR="00325BE2">
          <w:rPr>
            <w:noProof/>
            <w:webHidden/>
          </w:rPr>
          <w:fldChar w:fldCharType="separate"/>
        </w:r>
        <w:r w:rsidR="007B3437">
          <w:rPr>
            <w:noProof/>
            <w:webHidden/>
          </w:rPr>
          <w:t>20</w:t>
        </w:r>
        <w:r w:rsidR="00325BE2">
          <w:rPr>
            <w:noProof/>
            <w:webHidden/>
          </w:rPr>
          <w:fldChar w:fldCharType="end"/>
        </w:r>
      </w:hyperlink>
    </w:p>
    <w:p w14:paraId="49D55CB2" w14:textId="28B3EAC2" w:rsidR="00325BE2" w:rsidRDefault="0061017C">
      <w:pPr>
        <w:pStyle w:val="TableofFigures"/>
        <w:rPr>
          <w:rFonts w:asciiTheme="minorHAnsi" w:eastAsiaTheme="minorEastAsia" w:hAnsiTheme="minorHAnsi"/>
          <w:noProof/>
          <w:color w:val="auto"/>
          <w:sz w:val="22"/>
          <w:lang w:eastAsia="en-AU"/>
        </w:rPr>
      </w:pPr>
      <w:hyperlink w:anchor="_Toc174547295" w:history="1">
        <w:r w:rsidR="00325BE2" w:rsidRPr="00131E58">
          <w:rPr>
            <w:rStyle w:val="Hyperlink"/>
            <w:noProof/>
          </w:rPr>
          <w:t>Figure 10: Average community health hours, per J2SI client, per month across the program period</w:t>
        </w:r>
        <w:r w:rsidR="00325BE2">
          <w:rPr>
            <w:noProof/>
            <w:webHidden/>
          </w:rPr>
          <w:tab/>
        </w:r>
        <w:r w:rsidR="00325BE2">
          <w:rPr>
            <w:noProof/>
            <w:webHidden/>
          </w:rPr>
          <w:fldChar w:fldCharType="begin"/>
        </w:r>
        <w:r w:rsidR="00325BE2">
          <w:rPr>
            <w:noProof/>
            <w:webHidden/>
          </w:rPr>
          <w:instrText xml:space="preserve"> PAGEREF _Toc174547295 \h </w:instrText>
        </w:r>
        <w:r w:rsidR="00325BE2">
          <w:rPr>
            <w:noProof/>
            <w:webHidden/>
          </w:rPr>
        </w:r>
        <w:r w:rsidR="00325BE2">
          <w:rPr>
            <w:noProof/>
            <w:webHidden/>
          </w:rPr>
          <w:fldChar w:fldCharType="separate"/>
        </w:r>
        <w:r w:rsidR="007B3437">
          <w:rPr>
            <w:noProof/>
            <w:webHidden/>
          </w:rPr>
          <w:t>20</w:t>
        </w:r>
        <w:r w:rsidR="00325BE2">
          <w:rPr>
            <w:noProof/>
            <w:webHidden/>
          </w:rPr>
          <w:fldChar w:fldCharType="end"/>
        </w:r>
      </w:hyperlink>
    </w:p>
    <w:p w14:paraId="1951F5A7" w14:textId="10B3F2DC" w:rsidR="00325BE2" w:rsidRDefault="0061017C">
      <w:pPr>
        <w:pStyle w:val="TableofFigures"/>
        <w:rPr>
          <w:rFonts w:asciiTheme="minorHAnsi" w:eastAsiaTheme="minorEastAsia" w:hAnsiTheme="minorHAnsi"/>
          <w:noProof/>
          <w:color w:val="auto"/>
          <w:sz w:val="22"/>
          <w:lang w:eastAsia="en-AU"/>
        </w:rPr>
      </w:pPr>
      <w:hyperlink w:anchor="_Toc174547296" w:history="1">
        <w:r w:rsidR="00325BE2" w:rsidRPr="00131E58">
          <w:rPr>
            <w:rStyle w:val="Hyperlink"/>
            <w:noProof/>
          </w:rPr>
          <w:t xml:space="preserve">Figure </w:t>
        </w:r>
        <w:r w:rsidR="00325BE2" w:rsidRPr="00131E58">
          <w:rPr>
            <w:rStyle w:val="Hyperlink"/>
            <w:rFonts w:cs="@Batang"/>
            <w:noProof/>
          </w:rPr>
          <w:t>11</w:t>
        </w:r>
        <w:r w:rsidR="00325BE2" w:rsidRPr="00131E58">
          <w:rPr>
            <w:rStyle w:val="Hyperlink"/>
            <w:noProof/>
          </w:rPr>
          <w:t>: Average score of J2SI PAD client survey to questions relating to independence</w:t>
        </w:r>
        <w:r w:rsidR="00325BE2">
          <w:rPr>
            <w:noProof/>
            <w:webHidden/>
          </w:rPr>
          <w:tab/>
        </w:r>
        <w:r w:rsidR="00325BE2">
          <w:rPr>
            <w:noProof/>
            <w:webHidden/>
          </w:rPr>
          <w:fldChar w:fldCharType="begin"/>
        </w:r>
        <w:r w:rsidR="00325BE2">
          <w:rPr>
            <w:noProof/>
            <w:webHidden/>
          </w:rPr>
          <w:instrText xml:space="preserve"> PAGEREF _Toc174547296 \h </w:instrText>
        </w:r>
        <w:r w:rsidR="00325BE2">
          <w:rPr>
            <w:noProof/>
            <w:webHidden/>
          </w:rPr>
        </w:r>
        <w:r w:rsidR="00325BE2">
          <w:rPr>
            <w:noProof/>
            <w:webHidden/>
          </w:rPr>
          <w:fldChar w:fldCharType="separate"/>
        </w:r>
        <w:r w:rsidR="007B3437">
          <w:rPr>
            <w:noProof/>
            <w:webHidden/>
          </w:rPr>
          <w:t>21</w:t>
        </w:r>
        <w:r w:rsidR="00325BE2">
          <w:rPr>
            <w:noProof/>
            <w:webHidden/>
          </w:rPr>
          <w:fldChar w:fldCharType="end"/>
        </w:r>
      </w:hyperlink>
    </w:p>
    <w:p w14:paraId="7849CB1A" w14:textId="49865F04" w:rsidR="00325BE2" w:rsidRDefault="0061017C">
      <w:pPr>
        <w:pStyle w:val="TableofFigures"/>
        <w:rPr>
          <w:rFonts w:asciiTheme="minorHAnsi" w:eastAsiaTheme="minorEastAsia" w:hAnsiTheme="minorHAnsi"/>
          <w:noProof/>
          <w:color w:val="auto"/>
          <w:sz w:val="22"/>
          <w:lang w:eastAsia="en-AU"/>
        </w:rPr>
      </w:pPr>
      <w:hyperlink w:anchor="_Toc174547297" w:history="1">
        <w:r w:rsidR="00325BE2" w:rsidRPr="00131E58">
          <w:rPr>
            <w:rStyle w:val="Hyperlink"/>
            <w:noProof/>
          </w:rPr>
          <w:t>Figure 12: Average score of J2SI PAD client survey to questions relating to economic participation</w:t>
        </w:r>
        <w:r w:rsidR="00325BE2">
          <w:rPr>
            <w:noProof/>
            <w:webHidden/>
          </w:rPr>
          <w:tab/>
        </w:r>
        <w:r w:rsidR="00325BE2">
          <w:rPr>
            <w:noProof/>
            <w:webHidden/>
          </w:rPr>
          <w:fldChar w:fldCharType="begin"/>
        </w:r>
        <w:r w:rsidR="00325BE2">
          <w:rPr>
            <w:noProof/>
            <w:webHidden/>
          </w:rPr>
          <w:instrText xml:space="preserve"> PAGEREF _Toc174547297 \h </w:instrText>
        </w:r>
        <w:r w:rsidR="00325BE2">
          <w:rPr>
            <w:noProof/>
            <w:webHidden/>
          </w:rPr>
        </w:r>
        <w:r w:rsidR="00325BE2">
          <w:rPr>
            <w:noProof/>
            <w:webHidden/>
          </w:rPr>
          <w:fldChar w:fldCharType="separate"/>
        </w:r>
        <w:r w:rsidR="007B3437">
          <w:rPr>
            <w:noProof/>
            <w:webHidden/>
          </w:rPr>
          <w:t>22</w:t>
        </w:r>
        <w:r w:rsidR="00325BE2">
          <w:rPr>
            <w:noProof/>
            <w:webHidden/>
          </w:rPr>
          <w:fldChar w:fldCharType="end"/>
        </w:r>
      </w:hyperlink>
    </w:p>
    <w:p w14:paraId="42019091" w14:textId="3E7F639B" w:rsidR="00325BE2" w:rsidRDefault="0061017C">
      <w:pPr>
        <w:pStyle w:val="TableofFigures"/>
        <w:rPr>
          <w:rFonts w:asciiTheme="minorHAnsi" w:eastAsiaTheme="minorEastAsia" w:hAnsiTheme="minorHAnsi"/>
          <w:noProof/>
          <w:color w:val="auto"/>
          <w:sz w:val="22"/>
          <w:lang w:eastAsia="en-AU"/>
        </w:rPr>
      </w:pPr>
      <w:hyperlink w:anchor="_Toc174547298" w:history="1">
        <w:r w:rsidR="00325BE2" w:rsidRPr="00131E58">
          <w:rPr>
            <w:rStyle w:val="Hyperlink"/>
            <w:noProof/>
          </w:rPr>
          <w:t>Figure 13: Average score of J2SI PAD client survey to questions relating to social participation</w:t>
        </w:r>
        <w:r w:rsidR="00325BE2">
          <w:rPr>
            <w:noProof/>
            <w:webHidden/>
          </w:rPr>
          <w:tab/>
        </w:r>
        <w:r w:rsidR="00325BE2">
          <w:rPr>
            <w:noProof/>
            <w:webHidden/>
          </w:rPr>
          <w:fldChar w:fldCharType="begin"/>
        </w:r>
        <w:r w:rsidR="00325BE2">
          <w:rPr>
            <w:noProof/>
            <w:webHidden/>
          </w:rPr>
          <w:instrText xml:space="preserve"> PAGEREF _Toc174547298 \h </w:instrText>
        </w:r>
        <w:r w:rsidR="00325BE2">
          <w:rPr>
            <w:noProof/>
            <w:webHidden/>
          </w:rPr>
        </w:r>
        <w:r w:rsidR="00325BE2">
          <w:rPr>
            <w:noProof/>
            <w:webHidden/>
          </w:rPr>
          <w:fldChar w:fldCharType="separate"/>
        </w:r>
        <w:r w:rsidR="007B3437">
          <w:rPr>
            <w:noProof/>
            <w:webHidden/>
          </w:rPr>
          <w:t>23</w:t>
        </w:r>
        <w:r w:rsidR="00325BE2">
          <w:rPr>
            <w:noProof/>
            <w:webHidden/>
          </w:rPr>
          <w:fldChar w:fldCharType="end"/>
        </w:r>
      </w:hyperlink>
    </w:p>
    <w:p w14:paraId="5113E8B6" w14:textId="4EB731AA" w:rsidR="00325BE2" w:rsidRDefault="0061017C">
      <w:pPr>
        <w:pStyle w:val="TableofFigures"/>
        <w:rPr>
          <w:rFonts w:asciiTheme="minorHAnsi" w:eastAsiaTheme="minorEastAsia" w:hAnsiTheme="minorHAnsi"/>
          <w:noProof/>
          <w:color w:val="auto"/>
          <w:sz w:val="22"/>
          <w:lang w:eastAsia="en-AU"/>
        </w:rPr>
      </w:pPr>
      <w:hyperlink w:anchor="_Toc174547299" w:history="1">
        <w:r w:rsidR="00325BE2" w:rsidRPr="00131E58">
          <w:rPr>
            <w:rStyle w:val="Hyperlink"/>
            <w:noProof/>
          </w:rPr>
          <w:t>Figure 14: Average police interactions, per J2SI client, per month across the program period</w:t>
        </w:r>
        <w:r w:rsidR="00325BE2">
          <w:rPr>
            <w:noProof/>
            <w:webHidden/>
          </w:rPr>
          <w:tab/>
        </w:r>
        <w:r w:rsidR="00325BE2">
          <w:rPr>
            <w:noProof/>
            <w:webHidden/>
          </w:rPr>
          <w:fldChar w:fldCharType="begin"/>
        </w:r>
        <w:r w:rsidR="00325BE2">
          <w:rPr>
            <w:noProof/>
            <w:webHidden/>
          </w:rPr>
          <w:instrText xml:space="preserve"> PAGEREF _Toc174547299 \h </w:instrText>
        </w:r>
        <w:r w:rsidR="00325BE2">
          <w:rPr>
            <w:noProof/>
            <w:webHidden/>
          </w:rPr>
        </w:r>
        <w:r w:rsidR="00325BE2">
          <w:rPr>
            <w:noProof/>
            <w:webHidden/>
          </w:rPr>
          <w:fldChar w:fldCharType="separate"/>
        </w:r>
        <w:r w:rsidR="007B3437">
          <w:rPr>
            <w:noProof/>
            <w:webHidden/>
          </w:rPr>
          <w:t>24</w:t>
        </w:r>
        <w:r w:rsidR="00325BE2">
          <w:rPr>
            <w:noProof/>
            <w:webHidden/>
          </w:rPr>
          <w:fldChar w:fldCharType="end"/>
        </w:r>
      </w:hyperlink>
    </w:p>
    <w:p w14:paraId="03D36663" w14:textId="4486DDB4" w:rsidR="00325BE2" w:rsidRDefault="0061017C">
      <w:pPr>
        <w:pStyle w:val="TableofFigures"/>
        <w:rPr>
          <w:rFonts w:asciiTheme="minorHAnsi" w:eastAsiaTheme="minorEastAsia" w:hAnsiTheme="minorHAnsi"/>
          <w:noProof/>
          <w:color w:val="auto"/>
          <w:sz w:val="22"/>
          <w:lang w:eastAsia="en-AU"/>
        </w:rPr>
      </w:pPr>
      <w:hyperlink w:anchor="_Toc174547300" w:history="1">
        <w:r w:rsidR="00325BE2" w:rsidRPr="00131E58">
          <w:rPr>
            <w:rStyle w:val="Hyperlink"/>
            <w:noProof/>
          </w:rPr>
          <w:t>Figure 15: Average days in custody, per J2SI client, per month across the program period</w:t>
        </w:r>
        <w:r w:rsidR="00325BE2">
          <w:rPr>
            <w:noProof/>
            <w:webHidden/>
          </w:rPr>
          <w:tab/>
        </w:r>
        <w:r w:rsidR="00325BE2">
          <w:rPr>
            <w:noProof/>
            <w:webHidden/>
          </w:rPr>
          <w:fldChar w:fldCharType="begin"/>
        </w:r>
        <w:r w:rsidR="00325BE2">
          <w:rPr>
            <w:noProof/>
            <w:webHidden/>
          </w:rPr>
          <w:instrText xml:space="preserve"> PAGEREF _Toc174547300 \h </w:instrText>
        </w:r>
        <w:r w:rsidR="00325BE2">
          <w:rPr>
            <w:noProof/>
            <w:webHidden/>
          </w:rPr>
        </w:r>
        <w:r w:rsidR="00325BE2">
          <w:rPr>
            <w:noProof/>
            <w:webHidden/>
          </w:rPr>
          <w:fldChar w:fldCharType="separate"/>
        </w:r>
        <w:r w:rsidR="007B3437">
          <w:rPr>
            <w:noProof/>
            <w:webHidden/>
          </w:rPr>
          <w:t>24</w:t>
        </w:r>
        <w:r w:rsidR="00325BE2">
          <w:rPr>
            <w:noProof/>
            <w:webHidden/>
          </w:rPr>
          <w:fldChar w:fldCharType="end"/>
        </w:r>
      </w:hyperlink>
    </w:p>
    <w:p w14:paraId="600B9664" w14:textId="22312906" w:rsidR="00325BE2" w:rsidRDefault="0061017C">
      <w:pPr>
        <w:pStyle w:val="TableofFigures"/>
        <w:rPr>
          <w:rFonts w:asciiTheme="minorHAnsi" w:eastAsiaTheme="minorEastAsia" w:hAnsiTheme="minorHAnsi"/>
          <w:noProof/>
          <w:color w:val="auto"/>
          <w:sz w:val="22"/>
          <w:lang w:eastAsia="en-AU"/>
        </w:rPr>
      </w:pPr>
      <w:hyperlink w:anchor="_Toc174547301" w:history="1">
        <w:r w:rsidR="00325BE2" w:rsidRPr="00131E58">
          <w:rPr>
            <w:rStyle w:val="Hyperlink"/>
            <w:noProof/>
          </w:rPr>
          <w:t>Figure 16: J2SI PAD – outcomes evaluation and CBA linkage</w:t>
        </w:r>
        <w:r w:rsidR="00325BE2">
          <w:rPr>
            <w:noProof/>
            <w:webHidden/>
          </w:rPr>
          <w:tab/>
        </w:r>
        <w:r w:rsidR="00325BE2">
          <w:rPr>
            <w:noProof/>
            <w:webHidden/>
          </w:rPr>
          <w:fldChar w:fldCharType="begin"/>
        </w:r>
        <w:r w:rsidR="00325BE2">
          <w:rPr>
            <w:noProof/>
            <w:webHidden/>
          </w:rPr>
          <w:instrText xml:space="preserve"> PAGEREF _Toc174547301 \h </w:instrText>
        </w:r>
        <w:r w:rsidR="00325BE2">
          <w:rPr>
            <w:noProof/>
            <w:webHidden/>
          </w:rPr>
        </w:r>
        <w:r w:rsidR="00325BE2">
          <w:rPr>
            <w:noProof/>
            <w:webHidden/>
          </w:rPr>
          <w:fldChar w:fldCharType="separate"/>
        </w:r>
        <w:r w:rsidR="007B3437">
          <w:rPr>
            <w:noProof/>
            <w:webHidden/>
          </w:rPr>
          <w:t>40</w:t>
        </w:r>
        <w:r w:rsidR="00325BE2">
          <w:rPr>
            <w:noProof/>
            <w:webHidden/>
          </w:rPr>
          <w:fldChar w:fldCharType="end"/>
        </w:r>
      </w:hyperlink>
    </w:p>
    <w:p w14:paraId="6DB29944" w14:textId="37955D89" w:rsidR="00D779C0" w:rsidRPr="00D317C0" w:rsidRDefault="00D779C0" w:rsidP="00B71BAA">
      <w:pPr>
        <w:pStyle w:val="TableofFigures"/>
        <w:rPr>
          <w:sz w:val="14"/>
          <w:szCs w:val="14"/>
        </w:rPr>
      </w:pPr>
      <w:r w:rsidRPr="00D317C0">
        <w:rPr>
          <w:sz w:val="14"/>
          <w:szCs w:val="14"/>
        </w:rPr>
        <w:fldChar w:fldCharType="end"/>
      </w:r>
    </w:p>
    <w:p w14:paraId="22C85F72" w14:textId="31B8A187" w:rsidR="00325BE2" w:rsidRDefault="00D779C0">
      <w:pPr>
        <w:pStyle w:val="TableofFigures"/>
        <w:rPr>
          <w:rFonts w:asciiTheme="minorHAnsi" w:eastAsiaTheme="minorEastAsia" w:hAnsiTheme="minorHAnsi"/>
          <w:noProof/>
          <w:color w:val="auto"/>
          <w:sz w:val="22"/>
          <w:lang w:eastAsia="en-AU"/>
        </w:rPr>
      </w:pPr>
      <w:r w:rsidRPr="00D317C0">
        <w:rPr>
          <w:sz w:val="14"/>
          <w:szCs w:val="14"/>
        </w:rPr>
        <w:fldChar w:fldCharType="begin"/>
      </w:r>
      <w:r w:rsidRPr="00D317C0">
        <w:rPr>
          <w:sz w:val="14"/>
          <w:szCs w:val="14"/>
        </w:rPr>
        <w:instrText xml:space="preserve"> TOC \h \z \c "Table" </w:instrText>
      </w:r>
      <w:r w:rsidRPr="00D317C0">
        <w:rPr>
          <w:sz w:val="14"/>
          <w:szCs w:val="14"/>
        </w:rPr>
        <w:fldChar w:fldCharType="separate"/>
      </w:r>
      <w:hyperlink w:anchor="_Toc174547302" w:history="1">
        <w:r w:rsidR="00325BE2" w:rsidRPr="00BF2B90">
          <w:rPr>
            <w:rStyle w:val="Hyperlink"/>
            <w:noProof/>
          </w:rPr>
          <w:t>Table 1: J2SI SII PAD Cohorts</w:t>
        </w:r>
        <w:r w:rsidR="00325BE2">
          <w:rPr>
            <w:noProof/>
            <w:webHidden/>
          </w:rPr>
          <w:tab/>
        </w:r>
        <w:r w:rsidR="00325BE2">
          <w:rPr>
            <w:noProof/>
            <w:webHidden/>
          </w:rPr>
          <w:fldChar w:fldCharType="begin"/>
        </w:r>
        <w:r w:rsidR="00325BE2">
          <w:rPr>
            <w:noProof/>
            <w:webHidden/>
          </w:rPr>
          <w:instrText xml:space="preserve"> PAGEREF _Toc174547302 \h </w:instrText>
        </w:r>
        <w:r w:rsidR="00325BE2">
          <w:rPr>
            <w:noProof/>
            <w:webHidden/>
          </w:rPr>
        </w:r>
        <w:r w:rsidR="00325BE2">
          <w:rPr>
            <w:noProof/>
            <w:webHidden/>
          </w:rPr>
          <w:fldChar w:fldCharType="separate"/>
        </w:r>
        <w:r w:rsidR="007B3437">
          <w:rPr>
            <w:noProof/>
            <w:webHidden/>
          </w:rPr>
          <w:t>i</w:t>
        </w:r>
        <w:r w:rsidR="00325BE2">
          <w:rPr>
            <w:noProof/>
            <w:webHidden/>
          </w:rPr>
          <w:fldChar w:fldCharType="end"/>
        </w:r>
      </w:hyperlink>
    </w:p>
    <w:p w14:paraId="7C026477" w14:textId="55AB2C08" w:rsidR="00325BE2" w:rsidRDefault="0061017C">
      <w:pPr>
        <w:pStyle w:val="TableofFigures"/>
        <w:rPr>
          <w:rFonts w:asciiTheme="minorHAnsi" w:eastAsiaTheme="minorEastAsia" w:hAnsiTheme="minorHAnsi"/>
          <w:noProof/>
          <w:color w:val="auto"/>
          <w:sz w:val="22"/>
          <w:lang w:eastAsia="en-AU"/>
        </w:rPr>
      </w:pPr>
      <w:hyperlink w:anchor="_Toc174547303" w:history="1">
        <w:r w:rsidR="00325BE2" w:rsidRPr="00BF2B90">
          <w:rPr>
            <w:rStyle w:val="Hyperlink"/>
            <w:noProof/>
          </w:rPr>
          <w:t>Table 2: Elements of J2SI as a PAD</w:t>
        </w:r>
        <w:r w:rsidR="00325BE2">
          <w:rPr>
            <w:noProof/>
            <w:webHidden/>
          </w:rPr>
          <w:tab/>
        </w:r>
        <w:r w:rsidR="00325BE2">
          <w:rPr>
            <w:noProof/>
            <w:webHidden/>
          </w:rPr>
          <w:fldChar w:fldCharType="begin"/>
        </w:r>
        <w:r w:rsidR="00325BE2">
          <w:rPr>
            <w:noProof/>
            <w:webHidden/>
          </w:rPr>
          <w:instrText xml:space="preserve"> PAGEREF _Toc174547303 \h </w:instrText>
        </w:r>
        <w:r w:rsidR="00325BE2">
          <w:rPr>
            <w:noProof/>
            <w:webHidden/>
          </w:rPr>
        </w:r>
        <w:r w:rsidR="00325BE2">
          <w:rPr>
            <w:noProof/>
            <w:webHidden/>
          </w:rPr>
          <w:fldChar w:fldCharType="separate"/>
        </w:r>
        <w:r w:rsidR="007B3437">
          <w:rPr>
            <w:noProof/>
            <w:webHidden/>
          </w:rPr>
          <w:t>ii</w:t>
        </w:r>
        <w:r w:rsidR="00325BE2">
          <w:rPr>
            <w:noProof/>
            <w:webHidden/>
          </w:rPr>
          <w:fldChar w:fldCharType="end"/>
        </w:r>
      </w:hyperlink>
    </w:p>
    <w:p w14:paraId="02D51116" w14:textId="7FBEAD16" w:rsidR="00325BE2" w:rsidRDefault="0061017C">
      <w:pPr>
        <w:pStyle w:val="TableofFigures"/>
        <w:rPr>
          <w:rFonts w:asciiTheme="minorHAnsi" w:eastAsiaTheme="minorEastAsia" w:hAnsiTheme="minorHAnsi"/>
          <w:noProof/>
          <w:color w:val="auto"/>
          <w:sz w:val="22"/>
          <w:lang w:eastAsia="en-AU"/>
        </w:rPr>
      </w:pPr>
      <w:hyperlink w:anchor="_Toc174547304" w:history="1">
        <w:r w:rsidR="00325BE2" w:rsidRPr="00BF2B90">
          <w:rPr>
            <w:rStyle w:val="Hyperlink"/>
            <w:noProof/>
          </w:rPr>
          <w:t>Table 3: Summary of J2SI PAD outcomes in light of its structure as an SII</w:t>
        </w:r>
        <w:r w:rsidR="00325BE2">
          <w:rPr>
            <w:noProof/>
            <w:webHidden/>
          </w:rPr>
          <w:tab/>
        </w:r>
        <w:r w:rsidR="00325BE2">
          <w:rPr>
            <w:noProof/>
            <w:webHidden/>
          </w:rPr>
          <w:fldChar w:fldCharType="begin"/>
        </w:r>
        <w:r w:rsidR="00325BE2">
          <w:rPr>
            <w:noProof/>
            <w:webHidden/>
          </w:rPr>
          <w:instrText xml:space="preserve"> PAGEREF _Toc174547304 \h </w:instrText>
        </w:r>
        <w:r w:rsidR="00325BE2">
          <w:rPr>
            <w:noProof/>
            <w:webHidden/>
          </w:rPr>
        </w:r>
        <w:r w:rsidR="00325BE2">
          <w:rPr>
            <w:noProof/>
            <w:webHidden/>
          </w:rPr>
          <w:fldChar w:fldCharType="separate"/>
        </w:r>
        <w:r w:rsidR="007B3437">
          <w:rPr>
            <w:noProof/>
            <w:webHidden/>
          </w:rPr>
          <w:t>vi</w:t>
        </w:r>
        <w:r w:rsidR="00325BE2">
          <w:rPr>
            <w:noProof/>
            <w:webHidden/>
          </w:rPr>
          <w:fldChar w:fldCharType="end"/>
        </w:r>
      </w:hyperlink>
    </w:p>
    <w:p w14:paraId="42FD232D" w14:textId="7DA32458" w:rsidR="00325BE2" w:rsidRDefault="0061017C">
      <w:pPr>
        <w:pStyle w:val="TableofFigures"/>
        <w:rPr>
          <w:rFonts w:asciiTheme="minorHAnsi" w:eastAsiaTheme="minorEastAsia" w:hAnsiTheme="minorHAnsi"/>
          <w:noProof/>
          <w:color w:val="auto"/>
          <w:sz w:val="22"/>
          <w:lang w:eastAsia="en-AU"/>
        </w:rPr>
      </w:pPr>
      <w:hyperlink w:anchor="_Toc174547305" w:history="1">
        <w:r w:rsidR="00325BE2" w:rsidRPr="00BF2B90">
          <w:rPr>
            <w:rStyle w:val="Hyperlink"/>
            <w:noProof/>
          </w:rPr>
          <w:t>Table 4: Cost Benefit Analysis Outputs – Net Present Value</w:t>
        </w:r>
        <w:r w:rsidR="00325BE2">
          <w:rPr>
            <w:noProof/>
            <w:webHidden/>
          </w:rPr>
          <w:tab/>
        </w:r>
        <w:r w:rsidR="00325BE2">
          <w:rPr>
            <w:noProof/>
            <w:webHidden/>
          </w:rPr>
          <w:fldChar w:fldCharType="begin"/>
        </w:r>
        <w:r w:rsidR="00325BE2">
          <w:rPr>
            <w:noProof/>
            <w:webHidden/>
          </w:rPr>
          <w:instrText xml:space="preserve"> PAGEREF _Toc174547305 \h </w:instrText>
        </w:r>
        <w:r w:rsidR="00325BE2">
          <w:rPr>
            <w:noProof/>
            <w:webHidden/>
          </w:rPr>
        </w:r>
        <w:r w:rsidR="00325BE2">
          <w:rPr>
            <w:noProof/>
            <w:webHidden/>
          </w:rPr>
          <w:fldChar w:fldCharType="separate"/>
        </w:r>
        <w:r w:rsidR="007B3437">
          <w:rPr>
            <w:noProof/>
            <w:webHidden/>
          </w:rPr>
          <w:t>x</w:t>
        </w:r>
        <w:r w:rsidR="00325BE2">
          <w:rPr>
            <w:noProof/>
            <w:webHidden/>
          </w:rPr>
          <w:fldChar w:fldCharType="end"/>
        </w:r>
      </w:hyperlink>
    </w:p>
    <w:p w14:paraId="043B594F" w14:textId="471A97E9" w:rsidR="00325BE2" w:rsidRDefault="0061017C">
      <w:pPr>
        <w:pStyle w:val="TableofFigures"/>
        <w:rPr>
          <w:rFonts w:asciiTheme="minorHAnsi" w:eastAsiaTheme="minorEastAsia" w:hAnsiTheme="minorHAnsi"/>
          <w:noProof/>
          <w:color w:val="auto"/>
          <w:sz w:val="22"/>
          <w:lang w:eastAsia="en-AU"/>
        </w:rPr>
      </w:pPr>
      <w:hyperlink w:anchor="_Toc174547306" w:history="1">
        <w:r w:rsidR="00325BE2" w:rsidRPr="00BF2B90">
          <w:rPr>
            <w:rStyle w:val="Hyperlink"/>
            <w:noProof/>
          </w:rPr>
          <w:t>Table 5: J2SI SII PAD Cohorts</w:t>
        </w:r>
        <w:r w:rsidR="00325BE2">
          <w:rPr>
            <w:noProof/>
            <w:webHidden/>
          </w:rPr>
          <w:tab/>
        </w:r>
        <w:r w:rsidR="00325BE2">
          <w:rPr>
            <w:noProof/>
            <w:webHidden/>
          </w:rPr>
          <w:fldChar w:fldCharType="begin"/>
        </w:r>
        <w:r w:rsidR="00325BE2">
          <w:rPr>
            <w:noProof/>
            <w:webHidden/>
          </w:rPr>
          <w:instrText xml:space="preserve"> PAGEREF _Toc174547306 \h </w:instrText>
        </w:r>
        <w:r w:rsidR="00325BE2">
          <w:rPr>
            <w:noProof/>
            <w:webHidden/>
          </w:rPr>
        </w:r>
        <w:r w:rsidR="00325BE2">
          <w:rPr>
            <w:noProof/>
            <w:webHidden/>
          </w:rPr>
          <w:fldChar w:fldCharType="separate"/>
        </w:r>
        <w:r w:rsidR="007B3437">
          <w:rPr>
            <w:noProof/>
            <w:webHidden/>
          </w:rPr>
          <w:t>1</w:t>
        </w:r>
        <w:r w:rsidR="00325BE2">
          <w:rPr>
            <w:noProof/>
            <w:webHidden/>
          </w:rPr>
          <w:fldChar w:fldCharType="end"/>
        </w:r>
      </w:hyperlink>
    </w:p>
    <w:p w14:paraId="73DDDBA7" w14:textId="2FC2372B" w:rsidR="00325BE2" w:rsidRDefault="0061017C">
      <w:pPr>
        <w:pStyle w:val="TableofFigures"/>
        <w:rPr>
          <w:rFonts w:asciiTheme="minorHAnsi" w:eastAsiaTheme="minorEastAsia" w:hAnsiTheme="minorHAnsi"/>
          <w:noProof/>
          <w:color w:val="auto"/>
          <w:sz w:val="22"/>
          <w:lang w:eastAsia="en-AU"/>
        </w:rPr>
      </w:pPr>
      <w:hyperlink w:anchor="_Toc174547307" w:history="1">
        <w:r w:rsidR="00325BE2" w:rsidRPr="00BF2B90">
          <w:rPr>
            <w:rStyle w:val="Hyperlink"/>
            <w:noProof/>
          </w:rPr>
          <w:t>Table 6: J2SI program iterations</w:t>
        </w:r>
        <w:r w:rsidR="00325BE2">
          <w:rPr>
            <w:noProof/>
            <w:webHidden/>
          </w:rPr>
          <w:tab/>
        </w:r>
        <w:r w:rsidR="00325BE2">
          <w:rPr>
            <w:noProof/>
            <w:webHidden/>
          </w:rPr>
          <w:fldChar w:fldCharType="begin"/>
        </w:r>
        <w:r w:rsidR="00325BE2">
          <w:rPr>
            <w:noProof/>
            <w:webHidden/>
          </w:rPr>
          <w:instrText xml:space="preserve"> PAGEREF _Toc174547307 \h </w:instrText>
        </w:r>
        <w:r w:rsidR="00325BE2">
          <w:rPr>
            <w:noProof/>
            <w:webHidden/>
          </w:rPr>
        </w:r>
        <w:r w:rsidR="00325BE2">
          <w:rPr>
            <w:noProof/>
            <w:webHidden/>
          </w:rPr>
          <w:fldChar w:fldCharType="separate"/>
        </w:r>
        <w:r w:rsidR="007B3437">
          <w:rPr>
            <w:noProof/>
            <w:webHidden/>
          </w:rPr>
          <w:t>2</w:t>
        </w:r>
        <w:r w:rsidR="00325BE2">
          <w:rPr>
            <w:noProof/>
            <w:webHidden/>
          </w:rPr>
          <w:fldChar w:fldCharType="end"/>
        </w:r>
      </w:hyperlink>
    </w:p>
    <w:p w14:paraId="2140791A" w14:textId="3A46A3EF" w:rsidR="00325BE2" w:rsidRDefault="0061017C">
      <w:pPr>
        <w:pStyle w:val="TableofFigures"/>
        <w:rPr>
          <w:rFonts w:asciiTheme="minorHAnsi" w:eastAsiaTheme="minorEastAsia" w:hAnsiTheme="minorHAnsi"/>
          <w:noProof/>
          <w:color w:val="auto"/>
          <w:sz w:val="22"/>
          <w:lang w:eastAsia="en-AU"/>
        </w:rPr>
      </w:pPr>
      <w:hyperlink w:anchor="_Toc174547308" w:history="1">
        <w:r w:rsidR="00325BE2" w:rsidRPr="00BF2B90">
          <w:rPr>
            <w:rStyle w:val="Hyperlink"/>
            <w:noProof/>
          </w:rPr>
          <w:t>Table 7: Key elements of J2SI as a PAD</w:t>
        </w:r>
        <w:r w:rsidR="00325BE2">
          <w:rPr>
            <w:noProof/>
            <w:webHidden/>
          </w:rPr>
          <w:tab/>
        </w:r>
        <w:r w:rsidR="00325BE2">
          <w:rPr>
            <w:noProof/>
            <w:webHidden/>
          </w:rPr>
          <w:fldChar w:fldCharType="begin"/>
        </w:r>
        <w:r w:rsidR="00325BE2">
          <w:rPr>
            <w:noProof/>
            <w:webHidden/>
          </w:rPr>
          <w:instrText xml:space="preserve"> PAGEREF _Toc174547308 \h </w:instrText>
        </w:r>
        <w:r w:rsidR="00325BE2">
          <w:rPr>
            <w:noProof/>
            <w:webHidden/>
          </w:rPr>
        </w:r>
        <w:r w:rsidR="00325BE2">
          <w:rPr>
            <w:noProof/>
            <w:webHidden/>
          </w:rPr>
          <w:fldChar w:fldCharType="separate"/>
        </w:r>
        <w:r w:rsidR="007B3437">
          <w:rPr>
            <w:noProof/>
            <w:webHidden/>
          </w:rPr>
          <w:t>2</w:t>
        </w:r>
        <w:r w:rsidR="00325BE2">
          <w:rPr>
            <w:noProof/>
            <w:webHidden/>
          </w:rPr>
          <w:fldChar w:fldCharType="end"/>
        </w:r>
      </w:hyperlink>
    </w:p>
    <w:p w14:paraId="41728F6B" w14:textId="3AE57C88" w:rsidR="00325BE2" w:rsidRDefault="0061017C">
      <w:pPr>
        <w:pStyle w:val="TableofFigures"/>
        <w:rPr>
          <w:rFonts w:asciiTheme="minorHAnsi" w:eastAsiaTheme="minorEastAsia" w:hAnsiTheme="minorHAnsi"/>
          <w:noProof/>
          <w:color w:val="auto"/>
          <w:sz w:val="22"/>
          <w:lang w:eastAsia="en-AU"/>
        </w:rPr>
      </w:pPr>
      <w:hyperlink w:anchor="_Toc174547309" w:history="1">
        <w:r w:rsidR="00325BE2" w:rsidRPr="00BF2B90">
          <w:rPr>
            <w:rStyle w:val="Hyperlink"/>
            <w:noProof/>
          </w:rPr>
          <w:t>Table 8: Final evaluation questions and sub-questions</w:t>
        </w:r>
        <w:r w:rsidR="00325BE2">
          <w:rPr>
            <w:noProof/>
            <w:webHidden/>
          </w:rPr>
          <w:tab/>
        </w:r>
        <w:r w:rsidR="00325BE2">
          <w:rPr>
            <w:noProof/>
            <w:webHidden/>
          </w:rPr>
          <w:fldChar w:fldCharType="begin"/>
        </w:r>
        <w:r w:rsidR="00325BE2">
          <w:rPr>
            <w:noProof/>
            <w:webHidden/>
          </w:rPr>
          <w:instrText xml:space="preserve"> PAGEREF _Toc174547309 \h </w:instrText>
        </w:r>
        <w:r w:rsidR="00325BE2">
          <w:rPr>
            <w:noProof/>
            <w:webHidden/>
          </w:rPr>
        </w:r>
        <w:r w:rsidR="00325BE2">
          <w:rPr>
            <w:noProof/>
            <w:webHidden/>
          </w:rPr>
          <w:fldChar w:fldCharType="separate"/>
        </w:r>
        <w:r w:rsidR="007B3437">
          <w:rPr>
            <w:noProof/>
            <w:webHidden/>
          </w:rPr>
          <w:t>11</w:t>
        </w:r>
        <w:r w:rsidR="00325BE2">
          <w:rPr>
            <w:noProof/>
            <w:webHidden/>
          </w:rPr>
          <w:fldChar w:fldCharType="end"/>
        </w:r>
      </w:hyperlink>
    </w:p>
    <w:p w14:paraId="62F4E5D1" w14:textId="14404694" w:rsidR="00325BE2" w:rsidRDefault="0061017C">
      <w:pPr>
        <w:pStyle w:val="TableofFigures"/>
        <w:rPr>
          <w:rFonts w:asciiTheme="minorHAnsi" w:eastAsiaTheme="minorEastAsia" w:hAnsiTheme="minorHAnsi"/>
          <w:noProof/>
          <w:color w:val="auto"/>
          <w:sz w:val="22"/>
          <w:lang w:eastAsia="en-AU"/>
        </w:rPr>
      </w:pPr>
      <w:hyperlink w:anchor="_Toc174547310" w:history="1">
        <w:r w:rsidR="00325BE2" w:rsidRPr="00BF2B90">
          <w:rPr>
            <w:rStyle w:val="Hyperlink"/>
            <w:noProof/>
          </w:rPr>
          <w:t>Table 9: Count of stakeholder interviews</w:t>
        </w:r>
        <w:r w:rsidR="00325BE2">
          <w:rPr>
            <w:noProof/>
            <w:webHidden/>
          </w:rPr>
          <w:tab/>
        </w:r>
        <w:r w:rsidR="00325BE2">
          <w:rPr>
            <w:noProof/>
            <w:webHidden/>
          </w:rPr>
          <w:fldChar w:fldCharType="begin"/>
        </w:r>
        <w:r w:rsidR="00325BE2">
          <w:rPr>
            <w:noProof/>
            <w:webHidden/>
          </w:rPr>
          <w:instrText xml:space="preserve"> PAGEREF _Toc174547310 \h </w:instrText>
        </w:r>
        <w:r w:rsidR="00325BE2">
          <w:rPr>
            <w:noProof/>
            <w:webHidden/>
          </w:rPr>
        </w:r>
        <w:r w:rsidR="00325BE2">
          <w:rPr>
            <w:noProof/>
            <w:webHidden/>
          </w:rPr>
          <w:fldChar w:fldCharType="separate"/>
        </w:r>
        <w:r w:rsidR="007B3437">
          <w:rPr>
            <w:noProof/>
            <w:webHidden/>
          </w:rPr>
          <w:t>14</w:t>
        </w:r>
        <w:r w:rsidR="00325BE2">
          <w:rPr>
            <w:noProof/>
            <w:webHidden/>
          </w:rPr>
          <w:fldChar w:fldCharType="end"/>
        </w:r>
      </w:hyperlink>
    </w:p>
    <w:p w14:paraId="68217CFB" w14:textId="3960C2C8" w:rsidR="00325BE2" w:rsidRDefault="0061017C">
      <w:pPr>
        <w:pStyle w:val="TableofFigures"/>
        <w:rPr>
          <w:rFonts w:asciiTheme="minorHAnsi" w:eastAsiaTheme="minorEastAsia" w:hAnsiTheme="minorHAnsi"/>
          <w:noProof/>
          <w:color w:val="auto"/>
          <w:sz w:val="22"/>
          <w:lang w:eastAsia="en-AU"/>
        </w:rPr>
      </w:pPr>
      <w:hyperlink w:anchor="_Toc174547311" w:history="1">
        <w:r w:rsidR="00325BE2" w:rsidRPr="00BF2B90">
          <w:rPr>
            <w:rStyle w:val="Hyperlink"/>
            <w:noProof/>
          </w:rPr>
          <w:t>Table 10: Average time to stable housing J2SI PAD vs VHR</w:t>
        </w:r>
        <w:r w:rsidR="00325BE2">
          <w:rPr>
            <w:noProof/>
            <w:webHidden/>
          </w:rPr>
          <w:tab/>
        </w:r>
        <w:r w:rsidR="00325BE2">
          <w:rPr>
            <w:noProof/>
            <w:webHidden/>
          </w:rPr>
          <w:fldChar w:fldCharType="begin"/>
        </w:r>
        <w:r w:rsidR="00325BE2">
          <w:rPr>
            <w:noProof/>
            <w:webHidden/>
          </w:rPr>
          <w:instrText xml:space="preserve"> PAGEREF _Toc174547311 \h </w:instrText>
        </w:r>
        <w:r w:rsidR="00325BE2">
          <w:rPr>
            <w:noProof/>
            <w:webHidden/>
          </w:rPr>
        </w:r>
        <w:r w:rsidR="00325BE2">
          <w:rPr>
            <w:noProof/>
            <w:webHidden/>
          </w:rPr>
          <w:fldChar w:fldCharType="separate"/>
        </w:r>
        <w:r w:rsidR="007B3437">
          <w:rPr>
            <w:noProof/>
            <w:webHidden/>
          </w:rPr>
          <w:t>25</w:t>
        </w:r>
        <w:r w:rsidR="00325BE2">
          <w:rPr>
            <w:noProof/>
            <w:webHidden/>
          </w:rPr>
          <w:fldChar w:fldCharType="end"/>
        </w:r>
      </w:hyperlink>
    </w:p>
    <w:p w14:paraId="67C4A543" w14:textId="0D2F56BE" w:rsidR="00325BE2" w:rsidRDefault="0061017C">
      <w:pPr>
        <w:pStyle w:val="TableofFigures"/>
        <w:rPr>
          <w:rFonts w:asciiTheme="minorHAnsi" w:eastAsiaTheme="minorEastAsia" w:hAnsiTheme="minorHAnsi"/>
          <w:noProof/>
          <w:color w:val="auto"/>
          <w:sz w:val="22"/>
          <w:lang w:eastAsia="en-AU"/>
        </w:rPr>
      </w:pPr>
      <w:hyperlink w:anchor="_Toc174547312" w:history="1">
        <w:r w:rsidR="00325BE2" w:rsidRPr="00BF2B90">
          <w:rPr>
            <w:rStyle w:val="Hyperlink"/>
            <w:noProof/>
          </w:rPr>
          <w:t>Table 11: J2SI PAD compared to the J2SI Phase 2 RCT (see interpretation note below)</w:t>
        </w:r>
        <w:r w:rsidR="00325BE2">
          <w:rPr>
            <w:noProof/>
            <w:webHidden/>
          </w:rPr>
          <w:tab/>
        </w:r>
        <w:r w:rsidR="00325BE2">
          <w:rPr>
            <w:noProof/>
            <w:webHidden/>
          </w:rPr>
          <w:fldChar w:fldCharType="begin"/>
        </w:r>
        <w:r w:rsidR="00325BE2">
          <w:rPr>
            <w:noProof/>
            <w:webHidden/>
          </w:rPr>
          <w:instrText xml:space="preserve"> PAGEREF _Toc174547312 \h </w:instrText>
        </w:r>
        <w:r w:rsidR="00325BE2">
          <w:rPr>
            <w:noProof/>
            <w:webHidden/>
          </w:rPr>
        </w:r>
        <w:r w:rsidR="00325BE2">
          <w:rPr>
            <w:noProof/>
            <w:webHidden/>
          </w:rPr>
          <w:fldChar w:fldCharType="separate"/>
        </w:r>
        <w:r w:rsidR="007B3437">
          <w:rPr>
            <w:noProof/>
            <w:webHidden/>
          </w:rPr>
          <w:t>28</w:t>
        </w:r>
        <w:r w:rsidR="00325BE2">
          <w:rPr>
            <w:noProof/>
            <w:webHidden/>
          </w:rPr>
          <w:fldChar w:fldCharType="end"/>
        </w:r>
      </w:hyperlink>
    </w:p>
    <w:p w14:paraId="7E04F3BF" w14:textId="0FC939B2" w:rsidR="00325BE2" w:rsidRDefault="0061017C">
      <w:pPr>
        <w:pStyle w:val="TableofFigures"/>
        <w:rPr>
          <w:rFonts w:asciiTheme="minorHAnsi" w:eastAsiaTheme="minorEastAsia" w:hAnsiTheme="minorHAnsi"/>
          <w:noProof/>
          <w:color w:val="auto"/>
          <w:sz w:val="22"/>
          <w:lang w:eastAsia="en-AU"/>
        </w:rPr>
      </w:pPr>
      <w:hyperlink w:anchor="_Toc174547313" w:history="1">
        <w:r w:rsidR="00325BE2" w:rsidRPr="00BF2B90">
          <w:rPr>
            <w:rStyle w:val="Hyperlink"/>
            <w:noProof/>
          </w:rPr>
          <w:t>Table 12: CBA assumptions and parameters</w:t>
        </w:r>
        <w:r w:rsidR="00325BE2">
          <w:rPr>
            <w:noProof/>
            <w:webHidden/>
          </w:rPr>
          <w:tab/>
        </w:r>
        <w:r w:rsidR="00325BE2">
          <w:rPr>
            <w:noProof/>
            <w:webHidden/>
          </w:rPr>
          <w:fldChar w:fldCharType="begin"/>
        </w:r>
        <w:r w:rsidR="00325BE2">
          <w:rPr>
            <w:noProof/>
            <w:webHidden/>
          </w:rPr>
          <w:instrText xml:space="preserve"> PAGEREF _Toc174547313 \h </w:instrText>
        </w:r>
        <w:r w:rsidR="00325BE2">
          <w:rPr>
            <w:noProof/>
            <w:webHidden/>
          </w:rPr>
        </w:r>
        <w:r w:rsidR="00325BE2">
          <w:rPr>
            <w:noProof/>
            <w:webHidden/>
          </w:rPr>
          <w:fldChar w:fldCharType="separate"/>
        </w:r>
        <w:r w:rsidR="007B3437">
          <w:rPr>
            <w:noProof/>
            <w:webHidden/>
          </w:rPr>
          <w:t>41</w:t>
        </w:r>
        <w:r w:rsidR="00325BE2">
          <w:rPr>
            <w:noProof/>
            <w:webHidden/>
          </w:rPr>
          <w:fldChar w:fldCharType="end"/>
        </w:r>
      </w:hyperlink>
    </w:p>
    <w:p w14:paraId="1F07E29F" w14:textId="4DCF3F70" w:rsidR="00325BE2" w:rsidRDefault="0061017C">
      <w:pPr>
        <w:pStyle w:val="TableofFigures"/>
        <w:rPr>
          <w:rFonts w:asciiTheme="minorHAnsi" w:eastAsiaTheme="minorEastAsia" w:hAnsiTheme="minorHAnsi"/>
          <w:noProof/>
          <w:color w:val="auto"/>
          <w:sz w:val="22"/>
          <w:lang w:eastAsia="en-AU"/>
        </w:rPr>
      </w:pPr>
      <w:hyperlink w:anchor="_Toc174547314" w:history="1">
        <w:r w:rsidR="00325BE2" w:rsidRPr="00BF2B90">
          <w:rPr>
            <w:rStyle w:val="Hyperlink"/>
            <w:noProof/>
          </w:rPr>
          <w:t>Table 13: Cost inputs – Nominal (in years incurred)</w:t>
        </w:r>
        <w:r w:rsidR="00325BE2">
          <w:rPr>
            <w:noProof/>
            <w:webHidden/>
          </w:rPr>
          <w:tab/>
        </w:r>
        <w:r w:rsidR="00325BE2">
          <w:rPr>
            <w:noProof/>
            <w:webHidden/>
          </w:rPr>
          <w:fldChar w:fldCharType="begin"/>
        </w:r>
        <w:r w:rsidR="00325BE2">
          <w:rPr>
            <w:noProof/>
            <w:webHidden/>
          </w:rPr>
          <w:instrText xml:space="preserve"> PAGEREF _Toc174547314 \h </w:instrText>
        </w:r>
        <w:r w:rsidR="00325BE2">
          <w:rPr>
            <w:noProof/>
            <w:webHidden/>
          </w:rPr>
        </w:r>
        <w:r w:rsidR="00325BE2">
          <w:rPr>
            <w:noProof/>
            <w:webHidden/>
          </w:rPr>
          <w:fldChar w:fldCharType="separate"/>
        </w:r>
        <w:r w:rsidR="007B3437">
          <w:rPr>
            <w:noProof/>
            <w:webHidden/>
          </w:rPr>
          <w:t>42</w:t>
        </w:r>
        <w:r w:rsidR="00325BE2">
          <w:rPr>
            <w:noProof/>
            <w:webHidden/>
          </w:rPr>
          <w:fldChar w:fldCharType="end"/>
        </w:r>
      </w:hyperlink>
    </w:p>
    <w:p w14:paraId="0C8DA789" w14:textId="73FBAB6C" w:rsidR="00325BE2" w:rsidRDefault="0061017C">
      <w:pPr>
        <w:pStyle w:val="TableofFigures"/>
        <w:rPr>
          <w:rFonts w:asciiTheme="minorHAnsi" w:eastAsiaTheme="minorEastAsia" w:hAnsiTheme="minorHAnsi"/>
          <w:noProof/>
          <w:color w:val="auto"/>
          <w:sz w:val="22"/>
          <w:lang w:eastAsia="en-AU"/>
        </w:rPr>
      </w:pPr>
      <w:hyperlink w:anchor="_Toc174547315" w:history="1">
        <w:r w:rsidR="00325BE2" w:rsidRPr="00BF2B90">
          <w:rPr>
            <w:rStyle w:val="Hyperlink"/>
            <w:noProof/>
          </w:rPr>
          <w:t>Table 14: J2SI PAD and non-intervention cohorts descriptive statistics</w:t>
        </w:r>
        <w:r w:rsidR="00325BE2">
          <w:rPr>
            <w:noProof/>
            <w:webHidden/>
          </w:rPr>
          <w:tab/>
        </w:r>
        <w:r w:rsidR="00325BE2">
          <w:rPr>
            <w:noProof/>
            <w:webHidden/>
          </w:rPr>
          <w:fldChar w:fldCharType="begin"/>
        </w:r>
        <w:r w:rsidR="00325BE2">
          <w:rPr>
            <w:noProof/>
            <w:webHidden/>
          </w:rPr>
          <w:instrText xml:space="preserve"> PAGEREF _Toc174547315 \h </w:instrText>
        </w:r>
        <w:r w:rsidR="00325BE2">
          <w:rPr>
            <w:noProof/>
            <w:webHidden/>
          </w:rPr>
        </w:r>
        <w:r w:rsidR="00325BE2">
          <w:rPr>
            <w:noProof/>
            <w:webHidden/>
          </w:rPr>
          <w:fldChar w:fldCharType="separate"/>
        </w:r>
        <w:r w:rsidR="007B3437">
          <w:rPr>
            <w:noProof/>
            <w:webHidden/>
          </w:rPr>
          <w:t>43</w:t>
        </w:r>
        <w:r w:rsidR="00325BE2">
          <w:rPr>
            <w:noProof/>
            <w:webHidden/>
          </w:rPr>
          <w:fldChar w:fldCharType="end"/>
        </w:r>
      </w:hyperlink>
    </w:p>
    <w:p w14:paraId="3160E7F8" w14:textId="38F219D2" w:rsidR="00325BE2" w:rsidRDefault="0061017C">
      <w:pPr>
        <w:pStyle w:val="TableofFigures"/>
        <w:rPr>
          <w:rFonts w:asciiTheme="minorHAnsi" w:eastAsiaTheme="minorEastAsia" w:hAnsiTheme="minorHAnsi"/>
          <w:noProof/>
          <w:color w:val="auto"/>
          <w:sz w:val="22"/>
          <w:lang w:eastAsia="en-AU"/>
        </w:rPr>
      </w:pPr>
      <w:hyperlink w:anchor="_Toc174547316" w:history="1">
        <w:r w:rsidR="00325BE2" w:rsidRPr="00BF2B90">
          <w:rPr>
            <w:rStyle w:val="Hyperlink"/>
            <w:noProof/>
          </w:rPr>
          <w:t>Table 15: Table of variables and their margins on a per unit (person-months) basis</w:t>
        </w:r>
        <w:r w:rsidR="00325BE2">
          <w:rPr>
            <w:noProof/>
            <w:webHidden/>
          </w:rPr>
          <w:tab/>
        </w:r>
        <w:r w:rsidR="00325BE2">
          <w:rPr>
            <w:noProof/>
            <w:webHidden/>
          </w:rPr>
          <w:fldChar w:fldCharType="begin"/>
        </w:r>
        <w:r w:rsidR="00325BE2">
          <w:rPr>
            <w:noProof/>
            <w:webHidden/>
          </w:rPr>
          <w:instrText xml:space="preserve"> PAGEREF _Toc174547316 \h </w:instrText>
        </w:r>
        <w:r w:rsidR="00325BE2">
          <w:rPr>
            <w:noProof/>
            <w:webHidden/>
          </w:rPr>
        </w:r>
        <w:r w:rsidR="00325BE2">
          <w:rPr>
            <w:noProof/>
            <w:webHidden/>
          </w:rPr>
          <w:fldChar w:fldCharType="separate"/>
        </w:r>
        <w:r w:rsidR="007B3437">
          <w:rPr>
            <w:noProof/>
            <w:webHidden/>
          </w:rPr>
          <w:t>43</w:t>
        </w:r>
        <w:r w:rsidR="00325BE2">
          <w:rPr>
            <w:noProof/>
            <w:webHidden/>
          </w:rPr>
          <w:fldChar w:fldCharType="end"/>
        </w:r>
      </w:hyperlink>
    </w:p>
    <w:p w14:paraId="6DAFED95" w14:textId="25446CCC" w:rsidR="00325BE2" w:rsidRDefault="0061017C">
      <w:pPr>
        <w:pStyle w:val="TableofFigures"/>
        <w:rPr>
          <w:rFonts w:asciiTheme="minorHAnsi" w:eastAsiaTheme="minorEastAsia" w:hAnsiTheme="minorHAnsi"/>
          <w:noProof/>
          <w:color w:val="auto"/>
          <w:sz w:val="22"/>
          <w:lang w:eastAsia="en-AU"/>
        </w:rPr>
      </w:pPr>
      <w:hyperlink w:anchor="_Toc174547317" w:history="1">
        <w:r w:rsidR="00325BE2" w:rsidRPr="00BF2B90">
          <w:rPr>
            <w:rStyle w:val="Hyperlink"/>
            <w:noProof/>
          </w:rPr>
          <w:t>Table 16: Cost Benefit Analysis Outputs – Net Present Value</w:t>
        </w:r>
        <w:r w:rsidR="00325BE2">
          <w:rPr>
            <w:noProof/>
            <w:webHidden/>
          </w:rPr>
          <w:tab/>
        </w:r>
        <w:r w:rsidR="00325BE2">
          <w:rPr>
            <w:noProof/>
            <w:webHidden/>
          </w:rPr>
          <w:fldChar w:fldCharType="begin"/>
        </w:r>
        <w:r w:rsidR="00325BE2">
          <w:rPr>
            <w:noProof/>
            <w:webHidden/>
          </w:rPr>
          <w:instrText xml:space="preserve"> PAGEREF _Toc174547317 \h </w:instrText>
        </w:r>
        <w:r w:rsidR="00325BE2">
          <w:rPr>
            <w:noProof/>
            <w:webHidden/>
          </w:rPr>
        </w:r>
        <w:r w:rsidR="00325BE2">
          <w:rPr>
            <w:noProof/>
            <w:webHidden/>
          </w:rPr>
          <w:fldChar w:fldCharType="separate"/>
        </w:r>
        <w:r w:rsidR="007B3437">
          <w:rPr>
            <w:noProof/>
            <w:webHidden/>
          </w:rPr>
          <w:t>45</w:t>
        </w:r>
        <w:r w:rsidR="00325BE2">
          <w:rPr>
            <w:noProof/>
            <w:webHidden/>
          </w:rPr>
          <w:fldChar w:fldCharType="end"/>
        </w:r>
      </w:hyperlink>
    </w:p>
    <w:p w14:paraId="113A5AD4" w14:textId="40A80800" w:rsidR="00325BE2" w:rsidRDefault="0061017C">
      <w:pPr>
        <w:pStyle w:val="TableofFigures"/>
        <w:rPr>
          <w:rFonts w:asciiTheme="minorHAnsi" w:eastAsiaTheme="minorEastAsia" w:hAnsiTheme="minorHAnsi"/>
          <w:noProof/>
          <w:color w:val="auto"/>
          <w:sz w:val="22"/>
          <w:lang w:eastAsia="en-AU"/>
        </w:rPr>
      </w:pPr>
      <w:hyperlink w:anchor="_Toc174547318" w:history="1">
        <w:r w:rsidR="00325BE2" w:rsidRPr="00BF2B90">
          <w:rPr>
            <w:rStyle w:val="Hyperlink"/>
            <w:noProof/>
          </w:rPr>
          <w:t>Table 17: Sensitivity analysis</w:t>
        </w:r>
        <w:r w:rsidR="00325BE2">
          <w:rPr>
            <w:noProof/>
            <w:webHidden/>
          </w:rPr>
          <w:tab/>
        </w:r>
        <w:r w:rsidR="00325BE2">
          <w:rPr>
            <w:noProof/>
            <w:webHidden/>
          </w:rPr>
          <w:fldChar w:fldCharType="begin"/>
        </w:r>
        <w:r w:rsidR="00325BE2">
          <w:rPr>
            <w:noProof/>
            <w:webHidden/>
          </w:rPr>
          <w:instrText xml:space="preserve"> PAGEREF _Toc174547318 \h </w:instrText>
        </w:r>
        <w:r w:rsidR="00325BE2">
          <w:rPr>
            <w:noProof/>
            <w:webHidden/>
          </w:rPr>
        </w:r>
        <w:r w:rsidR="00325BE2">
          <w:rPr>
            <w:noProof/>
            <w:webHidden/>
          </w:rPr>
          <w:fldChar w:fldCharType="separate"/>
        </w:r>
        <w:r w:rsidR="007B3437">
          <w:rPr>
            <w:noProof/>
            <w:webHidden/>
          </w:rPr>
          <w:t>47</w:t>
        </w:r>
        <w:r w:rsidR="00325BE2">
          <w:rPr>
            <w:noProof/>
            <w:webHidden/>
          </w:rPr>
          <w:fldChar w:fldCharType="end"/>
        </w:r>
      </w:hyperlink>
    </w:p>
    <w:p w14:paraId="404A5168" w14:textId="06BB2780" w:rsidR="00ED0DF7" w:rsidRDefault="00D779C0">
      <w:pPr>
        <w:pStyle w:val="TableofFigures"/>
        <w:rPr>
          <w:noProof/>
        </w:rPr>
      </w:pPr>
      <w:r w:rsidRPr="00D317C0">
        <w:rPr>
          <w:sz w:val="14"/>
          <w:szCs w:val="14"/>
        </w:rPr>
        <w:fldChar w:fldCharType="end"/>
      </w:r>
      <w:r w:rsidRPr="00D317C0">
        <w:rPr>
          <w:sz w:val="14"/>
          <w:szCs w:val="14"/>
        </w:rPr>
        <w:fldChar w:fldCharType="begin"/>
      </w:r>
      <w:r w:rsidRPr="00D317C0">
        <w:rPr>
          <w:sz w:val="14"/>
          <w:szCs w:val="14"/>
        </w:rPr>
        <w:instrText xml:space="preserve"> TOC \h \z \c "Table A -" </w:instrText>
      </w:r>
      <w:r w:rsidRPr="00D317C0">
        <w:rPr>
          <w:sz w:val="14"/>
          <w:szCs w:val="14"/>
        </w:rPr>
        <w:fldChar w:fldCharType="separate"/>
      </w:r>
    </w:p>
    <w:p w14:paraId="7E21D353" w14:textId="142CBDA6" w:rsidR="00ED0DF7" w:rsidRDefault="0061017C">
      <w:pPr>
        <w:pStyle w:val="TableofFigures"/>
        <w:rPr>
          <w:rFonts w:asciiTheme="minorHAnsi" w:eastAsiaTheme="minorEastAsia" w:hAnsiTheme="minorHAnsi"/>
          <w:noProof/>
          <w:color w:val="auto"/>
          <w:sz w:val="22"/>
          <w:lang w:eastAsia="en-AU"/>
        </w:rPr>
      </w:pPr>
      <w:hyperlink w:anchor="_Toc173934734" w:history="1">
        <w:r w:rsidR="00ED0DF7" w:rsidRPr="0017786F">
          <w:rPr>
            <w:rStyle w:val="Hyperlink"/>
            <w:noProof/>
          </w:rPr>
          <w:t>Table A - 1: Key findings against program logic outcomes - Program outcomes</w:t>
        </w:r>
        <w:r w:rsidR="00ED0DF7">
          <w:rPr>
            <w:noProof/>
            <w:webHidden/>
          </w:rPr>
          <w:tab/>
        </w:r>
        <w:r w:rsidR="00ED0DF7">
          <w:rPr>
            <w:noProof/>
            <w:webHidden/>
          </w:rPr>
          <w:fldChar w:fldCharType="begin"/>
        </w:r>
        <w:r w:rsidR="00ED0DF7">
          <w:rPr>
            <w:noProof/>
            <w:webHidden/>
          </w:rPr>
          <w:instrText xml:space="preserve"> PAGEREF _Toc173934734 \h </w:instrText>
        </w:r>
        <w:r w:rsidR="00ED0DF7">
          <w:rPr>
            <w:noProof/>
            <w:webHidden/>
          </w:rPr>
        </w:r>
        <w:r w:rsidR="00ED0DF7">
          <w:rPr>
            <w:noProof/>
            <w:webHidden/>
          </w:rPr>
          <w:fldChar w:fldCharType="separate"/>
        </w:r>
        <w:r w:rsidR="00ED0DF7">
          <w:rPr>
            <w:noProof/>
            <w:webHidden/>
          </w:rPr>
          <w:t>46</w:t>
        </w:r>
        <w:r w:rsidR="00ED0DF7">
          <w:rPr>
            <w:noProof/>
            <w:webHidden/>
          </w:rPr>
          <w:fldChar w:fldCharType="end"/>
        </w:r>
      </w:hyperlink>
    </w:p>
    <w:p w14:paraId="72B52178" w14:textId="37B2623A" w:rsidR="00ED0DF7" w:rsidRDefault="0061017C">
      <w:pPr>
        <w:pStyle w:val="TableofFigures"/>
        <w:rPr>
          <w:rFonts w:asciiTheme="minorHAnsi" w:eastAsiaTheme="minorEastAsia" w:hAnsiTheme="minorHAnsi"/>
          <w:noProof/>
          <w:color w:val="auto"/>
          <w:sz w:val="22"/>
          <w:lang w:eastAsia="en-AU"/>
        </w:rPr>
      </w:pPr>
      <w:hyperlink w:anchor="_Toc173934735" w:history="1">
        <w:r w:rsidR="00ED0DF7" w:rsidRPr="0017786F">
          <w:rPr>
            <w:rStyle w:val="Hyperlink"/>
            <w:noProof/>
          </w:rPr>
          <w:t>Table A - 2: Key findings against program logic outcomes - Policy outcomes</w:t>
        </w:r>
        <w:r w:rsidR="00ED0DF7">
          <w:rPr>
            <w:noProof/>
            <w:webHidden/>
          </w:rPr>
          <w:tab/>
        </w:r>
        <w:r w:rsidR="00ED0DF7">
          <w:rPr>
            <w:noProof/>
            <w:webHidden/>
          </w:rPr>
          <w:fldChar w:fldCharType="begin"/>
        </w:r>
        <w:r w:rsidR="00ED0DF7">
          <w:rPr>
            <w:noProof/>
            <w:webHidden/>
          </w:rPr>
          <w:instrText xml:space="preserve"> PAGEREF _Toc173934735 \h </w:instrText>
        </w:r>
        <w:r w:rsidR="00ED0DF7">
          <w:rPr>
            <w:noProof/>
            <w:webHidden/>
          </w:rPr>
        </w:r>
        <w:r w:rsidR="00ED0DF7">
          <w:rPr>
            <w:noProof/>
            <w:webHidden/>
          </w:rPr>
          <w:fldChar w:fldCharType="separate"/>
        </w:r>
        <w:r w:rsidR="00ED0DF7">
          <w:rPr>
            <w:noProof/>
            <w:webHidden/>
          </w:rPr>
          <w:t>46</w:t>
        </w:r>
        <w:r w:rsidR="00ED0DF7">
          <w:rPr>
            <w:noProof/>
            <w:webHidden/>
          </w:rPr>
          <w:fldChar w:fldCharType="end"/>
        </w:r>
      </w:hyperlink>
    </w:p>
    <w:p w14:paraId="152E4324" w14:textId="33AA884D" w:rsidR="00755D91" w:rsidRPr="00D317C0" w:rsidRDefault="00D779C0" w:rsidP="00B71BAA">
      <w:pPr>
        <w:pStyle w:val="TableofFigures"/>
        <w:rPr>
          <w:sz w:val="14"/>
          <w:szCs w:val="14"/>
        </w:rPr>
      </w:pPr>
      <w:r w:rsidRPr="00D317C0">
        <w:rPr>
          <w:sz w:val="14"/>
          <w:szCs w:val="14"/>
        </w:rPr>
        <w:fldChar w:fldCharType="end"/>
      </w:r>
    </w:p>
    <w:p w14:paraId="40009A4F" w14:textId="1A7BA9D0" w:rsidR="003C67D4" w:rsidRPr="00755D91" w:rsidRDefault="003C67D4" w:rsidP="00755D91">
      <w:pPr>
        <w:sectPr w:rsidR="003C67D4" w:rsidRPr="00755D91" w:rsidSect="005B0986">
          <w:pgSz w:w="11906" w:h="16838" w:code="9"/>
          <w:pgMar w:top="851" w:right="851" w:bottom="851" w:left="1701" w:header="567" w:footer="709" w:gutter="0"/>
          <w:pgNumType w:fmt="lowerRoman"/>
          <w:cols w:space="708"/>
          <w:docGrid w:linePitch="360"/>
        </w:sectPr>
      </w:pPr>
    </w:p>
    <w:p w14:paraId="1EF98AAD" w14:textId="32429812" w:rsidR="001C7F44" w:rsidRPr="00846864" w:rsidRDefault="00DA31FA" w:rsidP="00325BE2">
      <w:pPr>
        <w:pStyle w:val="HeadingLevel2NoNumber"/>
      </w:pPr>
      <w:r>
        <w:lastRenderedPageBreak/>
        <w:t>A note on t</w:t>
      </w:r>
      <w:r w:rsidR="001C7F44" w:rsidRPr="00846864">
        <w:t>erminology</w:t>
      </w:r>
    </w:p>
    <w:p w14:paraId="7FE4FA5C" w14:textId="284FC1C9" w:rsidR="001C7F44" w:rsidRPr="00846864" w:rsidRDefault="002068E7" w:rsidP="001C7F44">
      <w:pPr>
        <w:pStyle w:val="BodyText"/>
      </w:pPr>
      <w:r w:rsidRPr="00846864">
        <w:t>Within this report</w:t>
      </w:r>
      <w:r w:rsidR="00D431DA" w:rsidRPr="00846864">
        <w:t>,</w:t>
      </w:r>
      <w:r w:rsidRPr="00846864">
        <w:t xml:space="preserve"> a number of terms </w:t>
      </w:r>
      <w:r w:rsidR="00D431DA" w:rsidRPr="00846864">
        <w:t>are</w:t>
      </w:r>
      <w:r w:rsidRPr="00846864">
        <w:t xml:space="preserve"> used which are defined below. Some have been used interchangeably throughout</w:t>
      </w:r>
      <w:r w:rsidR="00D431DA" w:rsidRPr="00846864">
        <w:t xml:space="preserve"> the report</w:t>
      </w:r>
      <w:r w:rsidR="00D23106" w:rsidRPr="00846864">
        <w:t>, and this has been noted.</w:t>
      </w:r>
    </w:p>
    <w:p w14:paraId="74280BCA" w14:textId="0BA9C268" w:rsidR="00D23106" w:rsidRPr="00FD67DF" w:rsidRDefault="00D23106" w:rsidP="00FD67DF">
      <w:pPr>
        <w:pStyle w:val="BodyText10"/>
        <w:rPr>
          <w:b/>
          <w:bCs/>
        </w:rPr>
      </w:pPr>
      <w:r w:rsidRPr="00FD67DF">
        <w:rPr>
          <w:b/>
          <w:bCs/>
        </w:rPr>
        <w:t xml:space="preserve">J2SI PAD and J2SI </w:t>
      </w:r>
      <w:r w:rsidR="003B2534" w:rsidRPr="00FD67DF">
        <w:rPr>
          <w:b/>
          <w:bCs/>
        </w:rPr>
        <w:t>Program</w:t>
      </w:r>
    </w:p>
    <w:p w14:paraId="3CAB6A69" w14:textId="2B8C640B" w:rsidR="003B2534" w:rsidRPr="00846864" w:rsidRDefault="003B2534" w:rsidP="00D23106">
      <w:pPr>
        <w:pStyle w:val="BodyText"/>
      </w:pPr>
      <w:r w:rsidRPr="00846864">
        <w:t>The Journey to Social Inclusion (J2SI) program has been developed and delivered by Sacred Heart Mission (SHM), first implemented as a pilot in 20</w:t>
      </w:r>
      <w:r w:rsidR="00BC60ED" w:rsidRPr="00846864">
        <w:t>09</w:t>
      </w:r>
      <w:r w:rsidRPr="00846864">
        <w:t>. Throughout this report, where the findings focus on the J2SI program, this is how it is referred</w:t>
      </w:r>
      <w:r w:rsidR="00B53241" w:rsidRPr="00846864">
        <w:t xml:space="preserve"> to</w:t>
      </w:r>
      <w:r w:rsidRPr="00846864">
        <w:t>.</w:t>
      </w:r>
    </w:p>
    <w:p w14:paraId="0750C648" w14:textId="323F36E3" w:rsidR="00D23106" w:rsidRPr="00846864" w:rsidRDefault="003B2534" w:rsidP="00D23106">
      <w:pPr>
        <w:pStyle w:val="BodyText"/>
      </w:pPr>
      <w:r w:rsidRPr="00846864">
        <w:t>Where the findings are related to the delivery of J2SI as a Social Impact Investment (SII) through the Partnerships Against Disadvantage (PAD) initiative</w:t>
      </w:r>
      <w:r w:rsidR="00503D3C" w:rsidRPr="00846864">
        <w:t xml:space="preserve"> from 2018</w:t>
      </w:r>
      <w:r w:rsidRPr="00846864">
        <w:t>,</w:t>
      </w:r>
      <w:r w:rsidR="00AF7338" w:rsidRPr="00846864">
        <w:t xml:space="preserve"> </w:t>
      </w:r>
      <w:r w:rsidR="00077EE6" w:rsidRPr="00846864">
        <w:t>the term J2SI PAD</w:t>
      </w:r>
      <w:r w:rsidR="00305161" w:rsidRPr="00846864">
        <w:t xml:space="preserve"> is used. </w:t>
      </w:r>
    </w:p>
    <w:p w14:paraId="40D36A82" w14:textId="0E5506C3" w:rsidR="00676377" w:rsidRPr="00FD67DF" w:rsidRDefault="00440462" w:rsidP="00FD67DF">
      <w:pPr>
        <w:pStyle w:val="BodyText10"/>
        <w:rPr>
          <w:b/>
          <w:bCs/>
        </w:rPr>
      </w:pPr>
      <w:r w:rsidRPr="00FD67DF">
        <w:rPr>
          <w:b/>
          <w:bCs/>
        </w:rPr>
        <w:t>Non-intervention</w:t>
      </w:r>
      <w:r w:rsidR="00676377" w:rsidRPr="00FD67DF">
        <w:rPr>
          <w:b/>
          <w:bCs/>
        </w:rPr>
        <w:t xml:space="preserve"> group</w:t>
      </w:r>
    </w:p>
    <w:p w14:paraId="09A9D978" w14:textId="62C73EF8" w:rsidR="00676377" w:rsidRDefault="00F9346F" w:rsidP="00676377">
      <w:pPr>
        <w:pStyle w:val="BodyText"/>
      </w:pPr>
      <w:r w:rsidRPr="00846864">
        <w:t xml:space="preserve">To enable estimation of the effects of </w:t>
      </w:r>
      <w:r w:rsidR="00D431DA" w:rsidRPr="00846864">
        <w:t xml:space="preserve">the </w:t>
      </w:r>
      <w:r w:rsidRPr="00846864">
        <w:t xml:space="preserve">J2SI program, an analysis dataset was </w:t>
      </w:r>
      <w:r w:rsidR="00550F76" w:rsidRPr="00846864">
        <w:t xml:space="preserve">constructed </w:t>
      </w:r>
      <w:r w:rsidR="00A47BCA" w:rsidRPr="00846864">
        <w:t>consisting</w:t>
      </w:r>
      <w:r w:rsidR="00550F76" w:rsidRPr="00846864">
        <w:t xml:space="preserve"> of J2SI clients and people who never participated in J2SI (or similar programs) even though</w:t>
      </w:r>
      <w:r w:rsidR="00D431DA" w:rsidRPr="00846864">
        <w:t>,</w:t>
      </w:r>
      <w:r w:rsidR="00550F76" w:rsidRPr="00846864">
        <w:t xml:space="preserve"> at some point in time</w:t>
      </w:r>
      <w:r w:rsidR="00D431DA" w:rsidRPr="00846864">
        <w:t>,</w:t>
      </w:r>
      <w:r w:rsidR="00550F76" w:rsidRPr="00846864">
        <w:t xml:space="preserve"> they might have been plausibly eligible</w:t>
      </w:r>
      <w:r w:rsidR="00E174C6" w:rsidRPr="00846864">
        <w:t xml:space="preserve"> for the program. This group, referred to as the non-intervention </w:t>
      </w:r>
      <w:r w:rsidR="00F56563" w:rsidRPr="00846864">
        <w:t>group</w:t>
      </w:r>
      <w:r w:rsidR="00E174C6">
        <w:t xml:space="preserve">, was selected </w:t>
      </w:r>
      <w:r w:rsidR="00C72FFE">
        <w:t xml:space="preserve">from the linked dataset </w:t>
      </w:r>
      <w:r w:rsidR="009F4E65">
        <w:t xml:space="preserve">by </w:t>
      </w:r>
      <w:r w:rsidR="0035312E">
        <w:t>including people who</w:t>
      </w:r>
      <w:r w:rsidR="009F4E65">
        <w:t xml:space="preserve"> </w:t>
      </w:r>
      <w:r w:rsidR="0035312E">
        <w:t>met</w:t>
      </w:r>
      <w:r w:rsidR="009F4E65">
        <w:t xml:space="preserve"> either of</w:t>
      </w:r>
      <w:r w:rsidR="00E174C6">
        <w:t xml:space="preserve"> the </w:t>
      </w:r>
      <w:r w:rsidR="002A342A">
        <w:t>following</w:t>
      </w:r>
      <w:r w:rsidR="009F4E65">
        <w:t xml:space="preserve"> </w:t>
      </w:r>
      <w:r w:rsidR="00E174C6">
        <w:t>criteria</w:t>
      </w:r>
      <w:r w:rsidR="009F4E65">
        <w:t>:</w:t>
      </w:r>
    </w:p>
    <w:p w14:paraId="68583CE7" w14:textId="136D8AFA" w:rsidR="009F4E65" w:rsidRDefault="00D431DA" w:rsidP="002A7355">
      <w:pPr>
        <w:pStyle w:val="BodyText"/>
        <w:numPr>
          <w:ilvl w:val="0"/>
          <w:numId w:val="19"/>
        </w:numPr>
      </w:pPr>
      <w:r>
        <w:t>R</w:t>
      </w:r>
      <w:r w:rsidR="009F4E65">
        <w:t xml:space="preserve">ecorded </w:t>
      </w:r>
      <w:r>
        <w:t>three</w:t>
      </w:r>
      <w:r w:rsidR="009F4E65">
        <w:t xml:space="preserve"> consecutive years of </w:t>
      </w:r>
      <w:r w:rsidR="00FB197D">
        <w:t xml:space="preserve">at least </w:t>
      </w:r>
      <w:r w:rsidR="009F4E65">
        <w:t>42 days of sustained homelessness service use each year</w:t>
      </w:r>
      <w:r>
        <w:t>; or</w:t>
      </w:r>
    </w:p>
    <w:p w14:paraId="2215C9EF" w14:textId="7AC80B90" w:rsidR="002A342A" w:rsidRDefault="00D431DA" w:rsidP="002A7355">
      <w:pPr>
        <w:pStyle w:val="BodyText"/>
        <w:numPr>
          <w:ilvl w:val="0"/>
          <w:numId w:val="19"/>
        </w:numPr>
      </w:pPr>
      <w:r>
        <w:t>R</w:t>
      </w:r>
      <w:r w:rsidR="009F4E65">
        <w:t xml:space="preserve">ecorded </w:t>
      </w:r>
      <w:r>
        <w:t>three</w:t>
      </w:r>
      <w:r w:rsidR="009F4E65">
        <w:t xml:space="preserve"> consecutive years of </w:t>
      </w:r>
      <w:r w:rsidR="00FB197D">
        <w:t xml:space="preserve">at least </w:t>
      </w:r>
      <w:r w:rsidR="009F4E65">
        <w:t>30 days of sustained homelessness service use each year</w:t>
      </w:r>
      <w:r w:rsidR="007C7EAC">
        <w:t>.</w:t>
      </w:r>
      <w:r w:rsidR="004E0DB8">
        <w:rPr>
          <w:rStyle w:val="FootnoteReference"/>
        </w:rPr>
        <w:footnoteReference w:id="15"/>
      </w:r>
    </w:p>
    <w:p w14:paraId="6E1A93E6" w14:textId="051E6C7F" w:rsidR="008D7EAD" w:rsidRDefault="008D7EAD" w:rsidP="002A342A">
      <w:pPr>
        <w:pStyle w:val="BodyText"/>
      </w:pPr>
      <w:r>
        <w:t>In the absence of an experimental setup, the non-intervention group</w:t>
      </w:r>
      <w:r w:rsidR="001B1852">
        <w:t>,</w:t>
      </w:r>
      <w:r>
        <w:t xml:space="preserve"> </w:t>
      </w:r>
      <w:r w:rsidR="009D4276">
        <w:t>broadly comparable in terms of characteristics and outcomes</w:t>
      </w:r>
      <w:r w:rsidR="001B1852">
        <w:t>,</w:t>
      </w:r>
      <w:r w:rsidR="00A6500C">
        <w:t xml:space="preserve"> provided a basis for a difference-in-difference</w:t>
      </w:r>
      <w:r w:rsidR="008A1154">
        <w:t>s</w:t>
      </w:r>
      <w:r w:rsidR="00A6500C">
        <w:t xml:space="preserve"> and statistical analysis of </w:t>
      </w:r>
      <w:r w:rsidR="00803267">
        <w:t xml:space="preserve">the impact of J2SI on utilisation </w:t>
      </w:r>
      <w:r w:rsidR="00A6500C">
        <w:t>outcomes</w:t>
      </w:r>
      <w:r w:rsidR="00803267">
        <w:t>.</w:t>
      </w:r>
    </w:p>
    <w:p w14:paraId="7B154650" w14:textId="0028B5A7" w:rsidR="00C32C63" w:rsidRDefault="00C32C63" w:rsidP="00C34053">
      <w:pPr>
        <w:pStyle w:val="BodyText"/>
        <w:sectPr w:rsidR="00C32C63" w:rsidSect="005B0986">
          <w:pgSz w:w="11906" w:h="16838"/>
          <w:pgMar w:top="851" w:right="851" w:bottom="851" w:left="1985" w:header="567" w:footer="284" w:gutter="0"/>
          <w:pgNumType w:fmt="lowerRoman"/>
          <w:cols w:space="708"/>
          <w:docGrid w:linePitch="360"/>
        </w:sectPr>
      </w:pPr>
    </w:p>
    <w:p w14:paraId="7A377753" w14:textId="40776DFC" w:rsidR="004D5C1E" w:rsidRDefault="00786025" w:rsidP="004D5C1E">
      <w:pPr>
        <w:pStyle w:val="Heading1"/>
      </w:pPr>
      <w:bookmarkStart w:id="25" w:name="_Introduction"/>
      <w:bookmarkStart w:id="26" w:name="_Toc178064001"/>
      <w:bookmarkEnd w:id="25"/>
      <w:r>
        <w:lastRenderedPageBreak/>
        <w:t>Introduction</w:t>
      </w:r>
      <w:bookmarkEnd w:id="26"/>
    </w:p>
    <w:p w14:paraId="587BE4B8" w14:textId="06C4C9DD" w:rsidR="002C458E" w:rsidRDefault="002C458E" w:rsidP="002C458E">
      <w:pPr>
        <w:pStyle w:val="BodyText"/>
      </w:pPr>
      <w:r w:rsidRPr="00091306">
        <w:t xml:space="preserve">The </w:t>
      </w:r>
      <w:r w:rsidRPr="00A42E91">
        <w:t xml:space="preserve">Journey to Social Inclusion </w:t>
      </w:r>
      <w:r w:rsidR="002E512F" w:rsidRPr="00A42E91">
        <w:t>(J2SI)</w:t>
      </w:r>
      <w:r w:rsidR="002E512F" w:rsidRPr="00091306">
        <w:t xml:space="preserve"> </w:t>
      </w:r>
      <w:r w:rsidR="00B55449">
        <w:t>Social Impact Investment</w:t>
      </w:r>
      <w:r w:rsidR="00A14BC1">
        <w:t xml:space="preserve"> </w:t>
      </w:r>
      <w:r w:rsidR="002E512F">
        <w:t xml:space="preserve">(SII) </w:t>
      </w:r>
      <w:r>
        <w:t>delivered</w:t>
      </w:r>
      <w:r w:rsidRPr="00091306">
        <w:t xml:space="preserve"> by </w:t>
      </w:r>
      <w:r w:rsidRPr="00A42E91">
        <w:t>Sacred Heart Mission (SHM)</w:t>
      </w:r>
      <w:r w:rsidR="00792BDD">
        <w:t>,</w:t>
      </w:r>
      <w:r>
        <w:t xml:space="preserve"> in partnership with the Victorian Government</w:t>
      </w:r>
      <w:r w:rsidR="0079603D">
        <w:t xml:space="preserve">, </w:t>
      </w:r>
      <w:r w:rsidRPr="00091306">
        <w:t xml:space="preserve">is </w:t>
      </w:r>
      <w:r w:rsidR="004B1DEE">
        <w:t xml:space="preserve">one of five </w:t>
      </w:r>
      <w:r w:rsidR="00555D4F">
        <w:t xml:space="preserve">social impact investments delivered under the </w:t>
      </w:r>
      <w:r w:rsidR="0079603D">
        <w:t xml:space="preserve">Victorian Government’s </w:t>
      </w:r>
      <w:r w:rsidR="004B1DEE">
        <w:t>Partnerships Addressing Disadvantage (PAD) initiative</w:t>
      </w:r>
      <w:r w:rsidR="00792BDD">
        <w:t>. The program</w:t>
      </w:r>
      <w:r w:rsidR="00BD0098">
        <w:t xml:space="preserve"> </w:t>
      </w:r>
      <w:r w:rsidR="0079603D">
        <w:t>seeks</w:t>
      </w:r>
      <w:r w:rsidRPr="00091306">
        <w:t xml:space="preserve"> to address the compounding issues </w:t>
      </w:r>
      <w:r w:rsidR="00836F8F">
        <w:t xml:space="preserve">associated </w:t>
      </w:r>
      <w:r w:rsidR="00145518">
        <w:t>with</w:t>
      </w:r>
      <w:r w:rsidRPr="00091306">
        <w:t xml:space="preserve"> long</w:t>
      </w:r>
      <w:r w:rsidR="00ED646E">
        <w:t>-</w:t>
      </w:r>
      <w:r w:rsidRPr="00091306">
        <w:t>term homelessness</w:t>
      </w:r>
      <w:r w:rsidR="00D431DA">
        <w:t>,</w:t>
      </w:r>
      <w:r w:rsidRPr="00091306">
        <w:t xml:space="preserve"> </w:t>
      </w:r>
      <w:r w:rsidR="00145518">
        <w:t xml:space="preserve">including </w:t>
      </w:r>
      <w:r w:rsidR="00817183">
        <w:t>a</w:t>
      </w:r>
      <w:r w:rsidRPr="00091306">
        <w:t xml:space="preserve"> lack of affordable housing, ongoing unemployment, mental health issues, substance abuse, failed transitions from state care or prison, relationship breakdowns and family violence. </w:t>
      </w:r>
    </w:p>
    <w:p w14:paraId="09F6B49F" w14:textId="01FFD3B7" w:rsidR="002C458E" w:rsidRDefault="002C458E" w:rsidP="002C458E">
      <w:pPr>
        <w:pStyle w:val="BodyText"/>
      </w:pPr>
      <w:r>
        <w:t xml:space="preserve">KPMG has been engaged to undertake a three-stage evaluation of </w:t>
      </w:r>
      <w:r w:rsidR="00BD0098">
        <w:t xml:space="preserve">the </w:t>
      </w:r>
      <w:r>
        <w:t>J2SI</w:t>
      </w:r>
      <w:r w:rsidR="00F0472D">
        <w:t xml:space="preserve"> </w:t>
      </w:r>
      <w:r w:rsidR="00BD0098">
        <w:t>PAD</w:t>
      </w:r>
      <w:r w:rsidR="00705C95">
        <w:t xml:space="preserve"> which was delivered as a SII</w:t>
      </w:r>
      <w:r>
        <w:t xml:space="preserve">. This document presents </w:t>
      </w:r>
      <w:r w:rsidR="00792BDD">
        <w:t xml:space="preserve">the final </w:t>
      </w:r>
      <w:r w:rsidR="00555D4F">
        <w:t>evaluation</w:t>
      </w:r>
      <w:r w:rsidR="00792BDD">
        <w:t xml:space="preserve"> findings.</w:t>
      </w:r>
    </w:p>
    <w:p w14:paraId="3CE9AC8E" w14:textId="5B2DDFFC" w:rsidR="00F05902" w:rsidRPr="00621E34" w:rsidRDefault="00786025" w:rsidP="0004206D">
      <w:pPr>
        <w:pStyle w:val="Heading2"/>
      </w:pPr>
      <w:bookmarkStart w:id="27" w:name="_Toc178064002"/>
      <w:r w:rsidRPr="00621E34">
        <w:t>Background and context</w:t>
      </w:r>
      <w:bookmarkEnd w:id="27"/>
    </w:p>
    <w:p w14:paraId="02A04BEE" w14:textId="741D3382" w:rsidR="0049552B" w:rsidRDefault="008A4D82" w:rsidP="00325BE2">
      <w:pPr>
        <w:pStyle w:val="BodyText"/>
      </w:pPr>
      <w:r>
        <w:t xml:space="preserve">The </w:t>
      </w:r>
      <w:r w:rsidRPr="000006E2">
        <w:t>Department of Treasury and Finance (DTF)</w:t>
      </w:r>
      <w:r>
        <w:t xml:space="preserve"> launched </w:t>
      </w:r>
      <w:r w:rsidR="00BD0098">
        <w:t>the PAD initiative as</w:t>
      </w:r>
      <w:r>
        <w:t xml:space="preserve"> an innovative way to reduce deep</w:t>
      </w:r>
      <w:r w:rsidR="00D431DA">
        <w:noBreakHyphen/>
      </w:r>
      <w:r>
        <w:t xml:space="preserve">seated disadvantage and provide better outcomes for vulnerable </w:t>
      </w:r>
      <w:r w:rsidR="00A03E63">
        <w:t>people</w:t>
      </w:r>
      <w:r>
        <w:t xml:space="preserve"> in Victoria.</w:t>
      </w:r>
      <w:r w:rsidR="00395EDD">
        <w:t xml:space="preserve"> The</w:t>
      </w:r>
      <w:r w:rsidR="00A14BC1">
        <w:t xml:space="preserve"> J2SI</w:t>
      </w:r>
      <w:r w:rsidRPr="00227F5E">
        <w:t xml:space="preserve"> </w:t>
      </w:r>
      <w:r w:rsidR="005848BE">
        <w:t>PAD</w:t>
      </w:r>
      <w:r w:rsidRPr="00227F5E">
        <w:t xml:space="preserve"> </w:t>
      </w:r>
      <w:r w:rsidR="00A14BC1">
        <w:t>was</w:t>
      </w:r>
      <w:r w:rsidRPr="00227F5E">
        <w:t xml:space="preserve"> one of the first </w:t>
      </w:r>
      <w:r>
        <w:t>PAD transactions i</w:t>
      </w:r>
      <w:r w:rsidRPr="00227F5E">
        <w:t>n Victoria</w:t>
      </w:r>
      <w:r w:rsidR="005848BE">
        <w:t xml:space="preserve">, </w:t>
      </w:r>
      <w:r w:rsidR="00400AC9">
        <w:t xml:space="preserve">with service delivery </w:t>
      </w:r>
      <w:r w:rsidR="005848BE">
        <w:t xml:space="preserve">commencing </w:t>
      </w:r>
      <w:r w:rsidR="00C61843">
        <w:t>on 1</w:t>
      </w:r>
      <w:r>
        <w:t xml:space="preserve"> August 2018</w:t>
      </w:r>
      <w:r w:rsidR="009E08A9">
        <w:t>, with</w:t>
      </w:r>
      <w:r>
        <w:t xml:space="preserve"> </w:t>
      </w:r>
      <w:r w:rsidR="00A14BC1">
        <w:t xml:space="preserve">three </w:t>
      </w:r>
      <w:r w:rsidR="0049552B">
        <w:t>cohorts</w:t>
      </w:r>
      <w:r w:rsidR="00A14BC1">
        <w:t xml:space="preserve"> of clients </w:t>
      </w:r>
      <w:r w:rsidR="00555D4F">
        <w:t xml:space="preserve">across </w:t>
      </w:r>
      <w:r w:rsidR="00A14BC1">
        <w:t>a three</w:t>
      </w:r>
      <w:r w:rsidR="00D431DA">
        <w:t>-</w:t>
      </w:r>
      <w:r w:rsidR="00A14BC1">
        <w:t xml:space="preserve">year </w:t>
      </w:r>
      <w:r w:rsidR="00555D4F">
        <w:t xml:space="preserve">service delivery </w:t>
      </w:r>
      <w:r w:rsidR="00A14BC1">
        <w:t>period</w:t>
      </w:r>
      <w:r w:rsidR="005848BE">
        <w:t xml:space="preserve"> (</w:t>
      </w:r>
      <w:r w:rsidR="00ED646E">
        <w:t>see</w:t>
      </w:r>
      <w:r w:rsidR="008D7AA8">
        <w:t xml:space="preserve"> </w:t>
      </w:r>
      <w:r w:rsidR="008D7AA8">
        <w:fldChar w:fldCharType="begin"/>
      </w:r>
      <w:r w:rsidR="008D7AA8">
        <w:instrText xml:space="preserve"> REF _Ref149286639 \h </w:instrText>
      </w:r>
      <w:r w:rsidR="008D7AA8">
        <w:fldChar w:fldCharType="separate"/>
      </w:r>
      <w:r w:rsidR="00B71BAA" w:rsidRPr="005F4765">
        <w:t xml:space="preserve">Table </w:t>
      </w:r>
      <w:r w:rsidR="00B71BAA">
        <w:rPr>
          <w:noProof/>
        </w:rPr>
        <w:t>5</w:t>
      </w:r>
      <w:r w:rsidR="008D7AA8">
        <w:fldChar w:fldCharType="end"/>
      </w:r>
      <w:r w:rsidR="005848BE" w:rsidRPr="005848BE">
        <w:t>)</w:t>
      </w:r>
      <w:r w:rsidR="005848BE">
        <w:t>.</w:t>
      </w:r>
      <w:r>
        <w:t xml:space="preserve"> </w:t>
      </w:r>
    </w:p>
    <w:p w14:paraId="214129FC" w14:textId="7CD0EF79" w:rsidR="00A07466" w:rsidRPr="005F4765" w:rsidRDefault="00A07466" w:rsidP="00134FF5">
      <w:pPr>
        <w:pStyle w:val="Caption"/>
      </w:pPr>
      <w:bookmarkStart w:id="28" w:name="_Ref149286639"/>
      <w:bookmarkStart w:id="29" w:name="_Toc174547306"/>
      <w:r w:rsidRPr="005F4765">
        <w:t xml:space="preserve">Table </w:t>
      </w:r>
      <w:r>
        <w:fldChar w:fldCharType="begin"/>
      </w:r>
      <w:r>
        <w:instrText xml:space="preserve"> SEQ Table \* ARABIC </w:instrText>
      </w:r>
      <w:r>
        <w:fldChar w:fldCharType="separate"/>
      </w:r>
      <w:r w:rsidR="005B05CA">
        <w:rPr>
          <w:noProof/>
        </w:rPr>
        <w:t>5</w:t>
      </w:r>
      <w:r>
        <w:rPr>
          <w:noProof/>
        </w:rPr>
        <w:fldChar w:fldCharType="end"/>
      </w:r>
      <w:bookmarkEnd w:id="28"/>
      <w:r w:rsidRPr="005F4765">
        <w:t>: J2SI SII PAD Cohorts</w:t>
      </w:r>
      <w:bookmarkEnd w:id="29"/>
    </w:p>
    <w:tbl>
      <w:tblPr>
        <w:tblStyle w:val="KPMGTable"/>
        <w:tblW w:w="0" w:type="auto"/>
        <w:tblLook w:val="04A0" w:firstRow="1" w:lastRow="0" w:firstColumn="1" w:lastColumn="0" w:noHBand="0" w:noVBand="1"/>
      </w:tblPr>
      <w:tblGrid>
        <w:gridCol w:w="2792"/>
        <w:gridCol w:w="2792"/>
        <w:gridCol w:w="2794"/>
      </w:tblGrid>
      <w:tr w:rsidR="00A07466" w14:paraId="14735BBA" w14:textId="77777777" w:rsidTr="003C6B54">
        <w:trPr>
          <w:cnfStyle w:val="100000000000" w:firstRow="1" w:lastRow="0" w:firstColumn="0" w:lastColumn="0" w:oddVBand="0" w:evenVBand="0" w:oddHBand="0"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792" w:type="dxa"/>
            <w:shd w:val="clear" w:color="auto" w:fill="auto"/>
          </w:tcPr>
          <w:p w14:paraId="7018C673" w14:textId="37F1F45F" w:rsidR="00A07466" w:rsidRPr="00F42058" w:rsidRDefault="00A07466" w:rsidP="00ED646E">
            <w:pPr>
              <w:pStyle w:val="TableHeading"/>
              <w:rPr>
                <w:rFonts w:cs="@Batang"/>
                <w:szCs w:val="20"/>
              </w:rPr>
            </w:pPr>
            <w:r w:rsidRPr="00F42058">
              <w:t>J2SI SII PAD Cohorts</w:t>
            </w:r>
          </w:p>
        </w:tc>
        <w:tc>
          <w:tcPr>
            <w:tcW w:w="2792" w:type="dxa"/>
            <w:shd w:val="clear" w:color="auto" w:fill="auto"/>
          </w:tcPr>
          <w:p w14:paraId="018225F0" w14:textId="40F2C3E0" w:rsidR="00A07466" w:rsidRPr="00F42058" w:rsidRDefault="00A07466" w:rsidP="00ED646E">
            <w:pPr>
              <w:pStyle w:val="TableHeading"/>
              <w:cnfStyle w:val="100000000000" w:firstRow="1" w:lastRow="0" w:firstColumn="0" w:lastColumn="0" w:oddVBand="0" w:evenVBand="0" w:oddHBand="0" w:evenHBand="0" w:firstRowFirstColumn="0" w:firstRowLastColumn="0" w:lastRowFirstColumn="0" w:lastRowLastColumn="0"/>
              <w:rPr>
                <w:rFonts w:cs="@Batang"/>
                <w:szCs w:val="20"/>
              </w:rPr>
            </w:pPr>
            <w:r w:rsidRPr="00F42058">
              <w:t>Commencement</w:t>
            </w:r>
          </w:p>
        </w:tc>
        <w:tc>
          <w:tcPr>
            <w:tcW w:w="2794" w:type="dxa"/>
            <w:shd w:val="clear" w:color="auto" w:fill="auto"/>
          </w:tcPr>
          <w:p w14:paraId="78F61AE9" w14:textId="59C46799" w:rsidR="00A07466" w:rsidRPr="00F42058" w:rsidRDefault="00A07466" w:rsidP="00ED646E">
            <w:pPr>
              <w:pStyle w:val="TableHeading"/>
              <w:cnfStyle w:val="100000000000" w:firstRow="1" w:lastRow="0" w:firstColumn="0" w:lastColumn="0" w:oddVBand="0" w:evenVBand="0" w:oddHBand="0" w:evenHBand="0" w:firstRowFirstColumn="0" w:firstRowLastColumn="0" w:lastRowFirstColumn="0" w:lastRowLastColumn="0"/>
              <w:rPr>
                <w:rFonts w:cs="@Batang"/>
                <w:szCs w:val="20"/>
              </w:rPr>
            </w:pPr>
            <w:r w:rsidRPr="00F42058">
              <w:t>Completion</w:t>
            </w:r>
          </w:p>
        </w:tc>
      </w:tr>
      <w:tr w:rsidR="00A07466" w14:paraId="34FA0B8D" w14:textId="77777777" w:rsidTr="003C6B54">
        <w:trPr>
          <w:trHeight w:val="243"/>
        </w:trPr>
        <w:tc>
          <w:tcPr>
            <w:cnfStyle w:val="001000000000" w:firstRow="0" w:lastRow="0" w:firstColumn="1" w:lastColumn="0" w:oddVBand="0" w:evenVBand="0" w:oddHBand="0" w:evenHBand="0" w:firstRowFirstColumn="0" w:firstRowLastColumn="0" w:lastRowFirstColumn="0" w:lastRowLastColumn="0"/>
            <w:tcW w:w="2792" w:type="dxa"/>
          </w:tcPr>
          <w:p w14:paraId="2892AFFC" w14:textId="6CE90BDA" w:rsidR="00A07466" w:rsidRPr="00F42058" w:rsidRDefault="00A07466" w:rsidP="00A07466">
            <w:pPr>
              <w:rPr>
                <w:rFonts w:cs="@Batang"/>
                <w:sz w:val="18"/>
                <w:szCs w:val="20"/>
              </w:rPr>
            </w:pPr>
            <w:r w:rsidRPr="00F42058">
              <w:rPr>
                <w:rFonts w:cs="@Batang"/>
                <w:sz w:val="18"/>
                <w:szCs w:val="20"/>
              </w:rPr>
              <w:t xml:space="preserve">Cohort </w:t>
            </w:r>
            <w:r w:rsidR="00D72A51">
              <w:rPr>
                <w:rFonts w:cs="@Batang"/>
                <w:sz w:val="18"/>
                <w:szCs w:val="20"/>
              </w:rPr>
              <w:t>3.</w:t>
            </w:r>
            <w:r w:rsidRPr="00F42058">
              <w:rPr>
                <w:rFonts w:cs="@Batang"/>
                <w:sz w:val="18"/>
                <w:szCs w:val="20"/>
              </w:rPr>
              <w:t>1</w:t>
            </w:r>
            <w:r w:rsidR="00272B50">
              <w:rPr>
                <w:rFonts w:ascii="ZWAdobeF" w:hAnsi="ZWAdobeF" w:cs="ZWAdobeF"/>
                <w:color w:val="auto"/>
                <w:sz w:val="2"/>
                <w:szCs w:val="2"/>
              </w:rPr>
              <w:t>7F</w:t>
            </w:r>
            <w:r w:rsidR="00125CA2">
              <w:rPr>
                <w:rFonts w:ascii="ZWAdobeF" w:hAnsi="ZWAdobeF" w:cs="ZWAdobeF"/>
                <w:color w:val="auto"/>
                <w:sz w:val="2"/>
                <w:szCs w:val="2"/>
              </w:rPr>
              <w:t>7F</w:t>
            </w:r>
            <w:r w:rsidR="005B72B7">
              <w:rPr>
                <w:rStyle w:val="FootnoteReference"/>
                <w:rFonts w:cs="@Batang"/>
                <w:sz w:val="18"/>
                <w:szCs w:val="20"/>
              </w:rPr>
              <w:footnoteReference w:id="16"/>
            </w:r>
          </w:p>
        </w:tc>
        <w:tc>
          <w:tcPr>
            <w:tcW w:w="2792" w:type="dxa"/>
            <w:shd w:val="clear" w:color="auto" w:fill="auto"/>
          </w:tcPr>
          <w:p w14:paraId="1E761FFB" w14:textId="44C00C20" w:rsidR="00A07466" w:rsidRPr="00F42058" w:rsidRDefault="00A07466" w:rsidP="00A07466">
            <w:pPr>
              <w:cnfStyle w:val="000000000000" w:firstRow="0" w:lastRow="0" w:firstColumn="0" w:lastColumn="0" w:oddVBand="0" w:evenVBand="0" w:oddHBand="0" w:evenHBand="0" w:firstRowFirstColumn="0" w:firstRowLastColumn="0" w:lastRowFirstColumn="0" w:lastRowLastColumn="0"/>
              <w:rPr>
                <w:rFonts w:cs="@Batang"/>
                <w:sz w:val="18"/>
                <w:szCs w:val="20"/>
              </w:rPr>
            </w:pPr>
            <w:r w:rsidRPr="00F42058">
              <w:rPr>
                <w:rFonts w:cs="@Batang"/>
                <w:sz w:val="18"/>
                <w:szCs w:val="20"/>
              </w:rPr>
              <w:t>1 August 2018</w:t>
            </w:r>
          </w:p>
        </w:tc>
        <w:tc>
          <w:tcPr>
            <w:tcW w:w="2794" w:type="dxa"/>
            <w:shd w:val="clear" w:color="auto" w:fill="auto"/>
          </w:tcPr>
          <w:p w14:paraId="34B593F6" w14:textId="7CD0CDB8" w:rsidR="00A07466" w:rsidRPr="00F42058" w:rsidRDefault="00A07466" w:rsidP="00A07466">
            <w:pPr>
              <w:cnfStyle w:val="000000000000" w:firstRow="0" w:lastRow="0" w:firstColumn="0" w:lastColumn="0" w:oddVBand="0" w:evenVBand="0" w:oddHBand="0" w:evenHBand="0" w:firstRowFirstColumn="0" w:firstRowLastColumn="0" w:lastRowFirstColumn="0" w:lastRowLastColumn="0"/>
              <w:rPr>
                <w:rFonts w:cs="@Batang"/>
                <w:sz w:val="18"/>
                <w:szCs w:val="20"/>
              </w:rPr>
            </w:pPr>
            <w:r w:rsidRPr="00F42058">
              <w:rPr>
                <w:rFonts w:cs="@Batang"/>
                <w:sz w:val="18"/>
                <w:szCs w:val="20"/>
              </w:rPr>
              <w:t>1 August 2021</w:t>
            </w:r>
          </w:p>
        </w:tc>
      </w:tr>
      <w:tr w:rsidR="00A07466" w14:paraId="695CD016" w14:textId="77777777" w:rsidTr="003C6B54">
        <w:trPr>
          <w:trHeight w:val="243"/>
        </w:trPr>
        <w:tc>
          <w:tcPr>
            <w:cnfStyle w:val="001000000000" w:firstRow="0" w:lastRow="0" w:firstColumn="1" w:lastColumn="0" w:oddVBand="0" w:evenVBand="0" w:oddHBand="0" w:evenHBand="0" w:firstRowFirstColumn="0" w:firstRowLastColumn="0" w:lastRowFirstColumn="0" w:lastRowLastColumn="0"/>
            <w:tcW w:w="2792" w:type="dxa"/>
          </w:tcPr>
          <w:p w14:paraId="7799E920" w14:textId="0BD85EF2" w:rsidR="00A07466" w:rsidRPr="00F42058" w:rsidRDefault="00A07466" w:rsidP="00A07466">
            <w:pPr>
              <w:rPr>
                <w:rFonts w:cs="@Batang"/>
                <w:sz w:val="18"/>
                <w:szCs w:val="20"/>
              </w:rPr>
            </w:pPr>
            <w:r w:rsidRPr="00F42058">
              <w:rPr>
                <w:rFonts w:cs="@Batang"/>
                <w:sz w:val="18"/>
                <w:szCs w:val="20"/>
              </w:rPr>
              <w:t xml:space="preserve">Cohort </w:t>
            </w:r>
            <w:r w:rsidR="00D72A51">
              <w:rPr>
                <w:rFonts w:cs="@Batang"/>
                <w:sz w:val="18"/>
                <w:szCs w:val="20"/>
              </w:rPr>
              <w:t>3.</w:t>
            </w:r>
            <w:r w:rsidRPr="00F42058">
              <w:rPr>
                <w:rFonts w:cs="@Batang"/>
                <w:sz w:val="18"/>
                <w:szCs w:val="20"/>
              </w:rPr>
              <w:t>2</w:t>
            </w:r>
          </w:p>
        </w:tc>
        <w:tc>
          <w:tcPr>
            <w:tcW w:w="2792" w:type="dxa"/>
            <w:shd w:val="clear" w:color="auto" w:fill="auto"/>
          </w:tcPr>
          <w:p w14:paraId="669166B6" w14:textId="16519055" w:rsidR="00A07466" w:rsidRPr="00F42058" w:rsidRDefault="00A07466" w:rsidP="00A07466">
            <w:pPr>
              <w:cnfStyle w:val="000000000000" w:firstRow="0" w:lastRow="0" w:firstColumn="0" w:lastColumn="0" w:oddVBand="0" w:evenVBand="0" w:oddHBand="0" w:evenHBand="0" w:firstRowFirstColumn="0" w:firstRowLastColumn="0" w:lastRowFirstColumn="0" w:lastRowLastColumn="0"/>
              <w:rPr>
                <w:rFonts w:cs="@Batang"/>
                <w:sz w:val="18"/>
                <w:szCs w:val="20"/>
              </w:rPr>
            </w:pPr>
            <w:r w:rsidRPr="00F42058">
              <w:rPr>
                <w:rFonts w:cs="@Batang"/>
                <w:sz w:val="18"/>
                <w:szCs w:val="20"/>
              </w:rPr>
              <w:t>1 August 2019</w:t>
            </w:r>
          </w:p>
        </w:tc>
        <w:tc>
          <w:tcPr>
            <w:tcW w:w="2794" w:type="dxa"/>
            <w:shd w:val="clear" w:color="auto" w:fill="auto"/>
          </w:tcPr>
          <w:p w14:paraId="731E3825" w14:textId="6D972025" w:rsidR="00A07466" w:rsidRPr="00F42058" w:rsidRDefault="00A07466" w:rsidP="00A07466">
            <w:pPr>
              <w:cnfStyle w:val="000000000000" w:firstRow="0" w:lastRow="0" w:firstColumn="0" w:lastColumn="0" w:oddVBand="0" w:evenVBand="0" w:oddHBand="0" w:evenHBand="0" w:firstRowFirstColumn="0" w:firstRowLastColumn="0" w:lastRowFirstColumn="0" w:lastRowLastColumn="0"/>
              <w:rPr>
                <w:rFonts w:cs="@Batang"/>
                <w:sz w:val="18"/>
                <w:szCs w:val="20"/>
              </w:rPr>
            </w:pPr>
            <w:r w:rsidRPr="00F42058">
              <w:rPr>
                <w:rFonts w:cs="@Batang"/>
                <w:sz w:val="18"/>
                <w:szCs w:val="20"/>
              </w:rPr>
              <w:t>1 August 2022</w:t>
            </w:r>
          </w:p>
        </w:tc>
      </w:tr>
      <w:tr w:rsidR="00A07466" w14:paraId="087E9882" w14:textId="77777777" w:rsidTr="003C6B54">
        <w:trPr>
          <w:trHeight w:val="243"/>
        </w:trPr>
        <w:tc>
          <w:tcPr>
            <w:cnfStyle w:val="001000000000" w:firstRow="0" w:lastRow="0" w:firstColumn="1" w:lastColumn="0" w:oddVBand="0" w:evenVBand="0" w:oddHBand="0" w:evenHBand="0" w:firstRowFirstColumn="0" w:firstRowLastColumn="0" w:lastRowFirstColumn="0" w:lastRowLastColumn="0"/>
            <w:tcW w:w="2792" w:type="dxa"/>
          </w:tcPr>
          <w:p w14:paraId="28A7C485" w14:textId="6CD19742" w:rsidR="00A07466" w:rsidRPr="00F42058" w:rsidRDefault="00A07466" w:rsidP="00A07466">
            <w:pPr>
              <w:rPr>
                <w:rFonts w:cs="@Batang"/>
                <w:sz w:val="18"/>
                <w:szCs w:val="20"/>
              </w:rPr>
            </w:pPr>
            <w:r w:rsidRPr="00F42058">
              <w:rPr>
                <w:rFonts w:cs="@Batang"/>
                <w:sz w:val="18"/>
                <w:szCs w:val="20"/>
              </w:rPr>
              <w:t xml:space="preserve">Cohort </w:t>
            </w:r>
            <w:r w:rsidR="00D72A51">
              <w:rPr>
                <w:rFonts w:cs="@Batang"/>
                <w:sz w:val="18"/>
                <w:szCs w:val="20"/>
              </w:rPr>
              <w:t>3.</w:t>
            </w:r>
            <w:r w:rsidRPr="00F42058">
              <w:rPr>
                <w:rFonts w:cs="@Batang"/>
                <w:sz w:val="18"/>
                <w:szCs w:val="20"/>
              </w:rPr>
              <w:t>3</w:t>
            </w:r>
          </w:p>
        </w:tc>
        <w:tc>
          <w:tcPr>
            <w:tcW w:w="2792" w:type="dxa"/>
            <w:shd w:val="clear" w:color="auto" w:fill="auto"/>
          </w:tcPr>
          <w:p w14:paraId="472AE4B4" w14:textId="14495CB0" w:rsidR="00A07466" w:rsidRPr="00F42058" w:rsidRDefault="00A07466" w:rsidP="00A07466">
            <w:pPr>
              <w:cnfStyle w:val="000000000000" w:firstRow="0" w:lastRow="0" w:firstColumn="0" w:lastColumn="0" w:oddVBand="0" w:evenVBand="0" w:oddHBand="0" w:evenHBand="0" w:firstRowFirstColumn="0" w:firstRowLastColumn="0" w:lastRowFirstColumn="0" w:lastRowLastColumn="0"/>
              <w:rPr>
                <w:rFonts w:cs="@Batang"/>
                <w:sz w:val="18"/>
                <w:szCs w:val="20"/>
              </w:rPr>
            </w:pPr>
            <w:r w:rsidRPr="00F42058">
              <w:rPr>
                <w:rFonts w:cs="@Batang"/>
                <w:sz w:val="18"/>
                <w:szCs w:val="20"/>
              </w:rPr>
              <w:t>1 August 2020</w:t>
            </w:r>
          </w:p>
        </w:tc>
        <w:tc>
          <w:tcPr>
            <w:tcW w:w="2794" w:type="dxa"/>
            <w:shd w:val="clear" w:color="auto" w:fill="auto"/>
          </w:tcPr>
          <w:p w14:paraId="5394A4AE" w14:textId="6319EAC9" w:rsidR="00A07466" w:rsidRPr="00F42058" w:rsidRDefault="00A07466" w:rsidP="00A07466">
            <w:pPr>
              <w:cnfStyle w:val="000000000000" w:firstRow="0" w:lastRow="0" w:firstColumn="0" w:lastColumn="0" w:oddVBand="0" w:evenVBand="0" w:oddHBand="0" w:evenHBand="0" w:firstRowFirstColumn="0" w:firstRowLastColumn="0" w:lastRowFirstColumn="0" w:lastRowLastColumn="0"/>
              <w:rPr>
                <w:rFonts w:cs="@Batang"/>
                <w:sz w:val="18"/>
                <w:szCs w:val="20"/>
              </w:rPr>
            </w:pPr>
            <w:r w:rsidRPr="00F42058">
              <w:rPr>
                <w:rFonts w:cs="@Batang"/>
                <w:sz w:val="18"/>
                <w:szCs w:val="20"/>
              </w:rPr>
              <w:t>1 August 2023</w:t>
            </w:r>
          </w:p>
        </w:tc>
      </w:tr>
    </w:tbl>
    <w:p w14:paraId="42F75AB6" w14:textId="30C8B40F" w:rsidR="008A4D82" w:rsidRDefault="00094C38" w:rsidP="00325BE2">
      <w:pPr>
        <w:pStyle w:val="BodyText"/>
      </w:pPr>
      <w:r>
        <w:t xml:space="preserve">The </w:t>
      </w:r>
      <w:r w:rsidR="008A4D82">
        <w:t xml:space="preserve">J2SI </w:t>
      </w:r>
      <w:r>
        <w:t>PAD</w:t>
      </w:r>
      <w:r w:rsidR="008A4D82">
        <w:t xml:space="preserve"> was established in response to the Victorian Government’s increasing interest and appetite for Social Impact Bonds (SIBs) as an alternative to traditional funding models for social programs. Financing for the J2SI </w:t>
      </w:r>
      <w:r w:rsidR="007E4FA7">
        <w:t>PAD</w:t>
      </w:r>
      <w:r w:rsidR="008A4D82">
        <w:t xml:space="preserve"> </w:t>
      </w:r>
      <w:r w:rsidR="00BD0098">
        <w:t>came</w:t>
      </w:r>
      <w:r w:rsidR="008A4D82">
        <w:t xml:space="preserve"> from several sources: the Victorian Government, a sole investor and guarantors. The Investor (Catholic Development Fund) </w:t>
      </w:r>
      <w:r w:rsidR="00BD0098">
        <w:t xml:space="preserve">provided </w:t>
      </w:r>
      <w:r w:rsidR="008A4D82">
        <w:t xml:space="preserve">$6 million in debt financing towards the program, </w:t>
      </w:r>
      <w:r w:rsidR="00A43E08">
        <w:t>to be</w:t>
      </w:r>
      <w:r w:rsidR="008A4D82">
        <w:t xml:space="preserve"> repaid with interest using government funding if payable outcomes </w:t>
      </w:r>
      <w:r w:rsidR="005848BE">
        <w:t>were</w:t>
      </w:r>
      <w:r w:rsidR="008A4D82">
        <w:t xml:space="preserve"> met, or repaid using contingent grants from guarantors if payable outcomes </w:t>
      </w:r>
      <w:r w:rsidR="005848BE">
        <w:t>were</w:t>
      </w:r>
      <w:r w:rsidR="008A4D82">
        <w:t xml:space="preserve"> not met. SHM also </w:t>
      </w:r>
      <w:r w:rsidR="00BD0098">
        <w:t>provided</w:t>
      </w:r>
      <w:r w:rsidR="008A4D82">
        <w:t xml:space="preserve"> a first</w:t>
      </w:r>
      <w:r w:rsidR="00D431DA">
        <w:t>-</w:t>
      </w:r>
      <w:r w:rsidR="008A4D82">
        <w:t xml:space="preserve">loss guarantee to underwrite a portion of program delivery risks. </w:t>
      </w:r>
    </w:p>
    <w:p w14:paraId="46036A4C" w14:textId="14855CDD" w:rsidR="008A4D82" w:rsidRPr="00D32AA1" w:rsidRDefault="00A075BA" w:rsidP="007A2CBF">
      <w:pPr>
        <w:pStyle w:val="Heading3"/>
      </w:pPr>
      <w:r>
        <w:t xml:space="preserve">The </w:t>
      </w:r>
      <w:r w:rsidR="008A4D82">
        <w:t>J2SI program</w:t>
      </w:r>
    </w:p>
    <w:p w14:paraId="6077B690" w14:textId="4378A275" w:rsidR="007C3B77" w:rsidRPr="00B2036C" w:rsidRDefault="007C3B77" w:rsidP="00325BE2">
      <w:pPr>
        <w:pStyle w:val="BodyText"/>
      </w:pPr>
      <w:bookmarkStart w:id="30" w:name="_Ref145942973"/>
      <w:r w:rsidRPr="00B2036C">
        <w:t>The J2SI program was developed by SHM and is a housing first approach</w:t>
      </w:r>
      <w:r w:rsidR="00D431DA">
        <w:t>,</w:t>
      </w:r>
      <w:r w:rsidRPr="00B2036C">
        <w:t xml:space="preserve"> coupled with three years of intensive wraparound support for clients.</w:t>
      </w:r>
      <w:r w:rsidR="00272B50">
        <w:rPr>
          <w:rFonts w:ascii="ZWAdobeF" w:hAnsi="ZWAdobeF" w:cs="ZWAdobeF"/>
          <w:sz w:val="2"/>
          <w:szCs w:val="2"/>
        </w:rPr>
        <w:t>8F</w:t>
      </w:r>
      <w:r w:rsidR="00125CA2">
        <w:rPr>
          <w:rFonts w:ascii="ZWAdobeF" w:hAnsi="ZWAdobeF" w:cs="ZWAdobeF"/>
          <w:sz w:val="2"/>
          <w:szCs w:val="2"/>
        </w:rPr>
        <w:t>8F</w:t>
      </w:r>
      <w:r w:rsidR="001A482B" w:rsidRPr="00B2036C">
        <w:rPr>
          <w:rStyle w:val="FootnoteReference"/>
        </w:rPr>
        <w:footnoteReference w:id="17"/>
      </w:r>
      <w:r w:rsidRPr="00B2036C">
        <w:t xml:space="preserve"> With a strengths-based lens, J2SI places people’s needs at the centre of service delivery.</w:t>
      </w:r>
    </w:p>
    <w:p w14:paraId="5EE3540E" w14:textId="54C3F68E" w:rsidR="007C3B77" w:rsidRDefault="007C3B77" w:rsidP="00675174">
      <w:pPr>
        <w:pStyle w:val="BodyText10"/>
      </w:pPr>
      <w:r w:rsidRPr="007C3B77">
        <w:t>There are five elements of the service model:</w:t>
      </w:r>
    </w:p>
    <w:p w14:paraId="23E78E00" w14:textId="77777777" w:rsidR="002963FA" w:rsidRPr="002963FA" w:rsidRDefault="002963FA" w:rsidP="00B756FA">
      <w:pPr>
        <w:pStyle w:val="Bullet1stlevel"/>
        <w:spacing w:before="60"/>
      </w:pPr>
      <w:r w:rsidRPr="002963FA">
        <w:t>Assertive case management and service coordination</w:t>
      </w:r>
    </w:p>
    <w:p w14:paraId="053F4C1A" w14:textId="77777777" w:rsidR="002963FA" w:rsidRPr="002963FA" w:rsidRDefault="002963FA" w:rsidP="00B756FA">
      <w:pPr>
        <w:pStyle w:val="Bullet1stlevel"/>
        <w:spacing w:before="60"/>
      </w:pPr>
      <w:r w:rsidRPr="002963FA">
        <w:t>Housing access and sustaining tenancies</w:t>
      </w:r>
    </w:p>
    <w:p w14:paraId="68573A77" w14:textId="77777777" w:rsidR="002963FA" w:rsidRPr="002963FA" w:rsidRDefault="002963FA" w:rsidP="00B756FA">
      <w:pPr>
        <w:pStyle w:val="Bullet1stlevel"/>
        <w:spacing w:before="60"/>
      </w:pPr>
      <w:r w:rsidRPr="002963FA">
        <w:t>Trauma-informed practice</w:t>
      </w:r>
    </w:p>
    <w:p w14:paraId="756AC9D5" w14:textId="77777777" w:rsidR="002963FA" w:rsidRPr="002963FA" w:rsidRDefault="002963FA" w:rsidP="00B756FA">
      <w:pPr>
        <w:pStyle w:val="Bullet1stlevel"/>
        <w:spacing w:before="60"/>
      </w:pPr>
      <w:r w:rsidRPr="002963FA">
        <w:t>Building skills for inclusion</w:t>
      </w:r>
    </w:p>
    <w:p w14:paraId="1CCDF215" w14:textId="77777777" w:rsidR="002963FA" w:rsidRPr="007C3B77" w:rsidRDefault="002963FA" w:rsidP="00B756FA">
      <w:pPr>
        <w:pStyle w:val="Bullet1stlevel"/>
        <w:spacing w:before="60"/>
      </w:pPr>
      <w:r w:rsidRPr="002963FA">
        <w:t>Fostering independence</w:t>
      </w:r>
    </w:p>
    <w:p w14:paraId="47614689" w14:textId="40AA0D80" w:rsidR="007C3B77" w:rsidRPr="00325BE2" w:rsidRDefault="007C3B77" w:rsidP="00325BE2">
      <w:pPr>
        <w:pStyle w:val="BodyTextkeepwithnext"/>
        <w:rPr>
          <w:b/>
        </w:rPr>
      </w:pPr>
      <w:r w:rsidRPr="00325BE2">
        <w:rPr>
          <w:b/>
        </w:rPr>
        <w:t>Intensive support and case management is provided to support</w:t>
      </w:r>
      <w:r w:rsidR="0014007E" w:rsidRPr="00325BE2">
        <w:rPr>
          <w:b/>
        </w:rPr>
        <w:t xml:space="preserve"> clients</w:t>
      </w:r>
      <w:r w:rsidRPr="00325BE2">
        <w:rPr>
          <w:b/>
        </w:rPr>
        <w:t xml:space="preserve"> to:</w:t>
      </w:r>
    </w:p>
    <w:p w14:paraId="79DBC8DD" w14:textId="27876D2D" w:rsidR="007C3B77" w:rsidRPr="007C3B77" w:rsidRDefault="00A74088" w:rsidP="00B756FA">
      <w:pPr>
        <w:pStyle w:val="Bullet1stlevel"/>
        <w:spacing w:before="60" w:after="60"/>
      </w:pPr>
      <w:r>
        <w:t>Obtain</w:t>
      </w:r>
      <w:r w:rsidR="007C3B77" w:rsidRPr="007C3B77">
        <w:t xml:space="preserve"> and stay in housing</w:t>
      </w:r>
      <w:r w:rsidR="00A07466">
        <w:t>;</w:t>
      </w:r>
    </w:p>
    <w:p w14:paraId="7FB5B0FB" w14:textId="45A80FB1" w:rsidR="007C3B77" w:rsidRPr="007C3B77" w:rsidRDefault="00A07466" w:rsidP="00B756FA">
      <w:pPr>
        <w:pStyle w:val="Bullet1stlevel"/>
        <w:spacing w:before="60" w:after="60"/>
      </w:pPr>
      <w:r>
        <w:t>I</w:t>
      </w:r>
      <w:r w:rsidR="007C3B77" w:rsidRPr="007C3B77">
        <w:t>mprove mental health and wellbeing</w:t>
      </w:r>
      <w:r>
        <w:t>;</w:t>
      </w:r>
    </w:p>
    <w:p w14:paraId="78538032" w14:textId="5B6EE5DF" w:rsidR="007C3B77" w:rsidRPr="007C3B77" w:rsidRDefault="00A07466" w:rsidP="00B756FA">
      <w:pPr>
        <w:pStyle w:val="Bullet1stlevel"/>
        <w:spacing w:before="60" w:after="60"/>
      </w:pPr>
      <w:r>
        <w:lastRenderedPageBreak/>
        <w:t>R</w:t>
      </w:r>
      <w:r w:rsidR="007C3B77" w:rsidRPr="007C3B77">
        <w:t>esolve drug and alcohol issues</w:t>
      </w:r>
      <w:r>
        <w:t>;</w:t>
      </w:r>
    </w:p>
    <w:p w14:paraId="3669F779" w14:textId="48757D6B" w:rsidR="007C3B77" w:rsidRPr="007C3B77" w:rsidRDefault="00A07466" w:rsidP="00B756FA">
      <w:pPr>
        <w:pStyle w:val="Bullet1stlevel"/>
        <w:spacing w:before="60" w:after="60"/>
      </w:pPr>
      <w:r>
        <w:t>B</w:t>
      </w:r>
      <w:r w:rsidR="007C3B77" w:rsidRPr="007C3B77">
        <w:t>uild skills</w:t>
      </w:r>
      <w:r>
        <w:t>;</w:t>
      </w:r>
    </w:p>
    <w:p w14:paraId="1A47B9CC" w14:textId="392A8D60" w:rsidR="007C3B77" w:rsidRPr="007C3B77" w:rsidRDefault="00A07466" w:rsidP="00B756FA">
      <w:pPr>
        <w:pStyle w:val="Bullet1stlevel"/>
        <w:spacing w:before="60" w:after="60"/>
      </w:pPr>
      <w:r>
        <w:t>I</w:t>
      </w:r>
      <w:r w:rsidR="007C3B77" w:rsidRPr="007C3B77">
        <w:t>ncrease connection with the community</w:t>
      </w:r>
      <w:r>
        <w:t>; and</w:t>
      </w:r>
    </w:p>
    <w:p w14:paraId="4CAF7C9C" w14:textId="2DCEB637" w:rsidR="007C3B77" w:rsidRPr="007C3B77" w:rsidRDefault="00A07466" w:rsidP="00B756FA">
      <w:pPr>
        <w:pStyle w:val="Bullet1stlevel"/>
        <w:spacing w:before="60" w:after="60"/>
      </w:pPr>
      <w:r>
        <w:t>C</w:t>
      </w:r>
      <w:r w:rsidR="007C3B77" w:rsidRPr="007C3B77">
        <w:t>ontribute to society through economic and social inclusion activity.</w:t>
      </w:r>
    </w:p>
    <w:p w14:paraId="0C792C6D" w14:textId="2FEF02DD" w:rsidR="007C3511" w:rsidRPr="00B2036C" w:rsidRDefault="007C3511" w:rsidP="00325BE2">
      <w:pPr>
        <w:pStyle w:val="BodyText"/>
      </w:pPr>
      <w:r w:rsidRPr="00B2036C">
        <w:t xml:space="preserve">The </w:t>
      </w:r>
      <w:r w:rsidR="001A482B" w:rsidRPr="00B2036C">
        <w:t>J2</w:t>
      </w:r>
      <w:r w:rsidR="00A07466" w:rsidRPr="00B2036C">
        <w:t>SI</w:t>
      </w:r>
      <w:r w:rsidR="001A482B" w:rsidRPr="00B2036C">
        <w:t xml:space="preserve"> </w:t>
      </w:r>
      <w:r w:rsidR="0014007E" w:rsidRPr="00B2036C">
        <w:t xml:space="preserve">program </w:t>
      </w:r>
      <w:r w:rsidRPr="00B2036C">
        <w:t>has been developed and refined by SHM</w:t>
      </w:r>
      <w:r w:rsidR="00D431DA" w:rsidRPr="00B2036C">
        <w:t xml:space="preserve"> </w:t>
      </w:r>
      <w:r w:rsidRPr="00B2036C">
        <w:t xml:space="preserve">over a period of time. The </w:t>
      </w:r>
      <w:r w:rsidR="0008040C" w:rsidRPr="00B2036C">
        <w:t>J2SI PAD</w:t>
      </w:r>
      <w:r w:rsidRPr="00B2036C">
        <w:t xml:space="preserve"> </w:t>
      </w:r>
      <w:r w:rsidR="00A84F07" w:rsidRPr="00B2036C">
        <w:t xml:space="preserve">was the third iteration of the program, and was </w:t>
      </w:r>
      <w:r w:rsidR="00940A94" w:rsidRPr="00B2036C">
        <w:t>preceded</w:t>
      </w:r>
      <w:r w:rsidR="00A84F07" w:rsidRPr="00B2036C">
        <w:t xml:space="preserve"> by a Pilot</w:t>
      </w:r>
      <w:r w:rsidR="00940A94" w:rsidRPr="00B2036C">
        <w:t xml:space="preserve"> </w:t>
      </w:r>
      <w:r w:rsidR="009C7EFD">
        <w:t xml:space="preserve">RCT </w:t>
      </w:r>
      <w:r w:rsidR="00940A94" w:rsidRPr="00B2036C">
        <w:t xml:space="preserve">(2009 – 2012) and a </w:t>
      </w:r>
      <w:r w:rsidR="009C7EFD">
        <w:t xml:space="preserve">Phase 2 </w:t>
      </w:r>
      <w:r w:rsidR="00940A94" w:rsidRPr="00B2036C">
        <w:t>RCT</w:t>
      </w:r>
      <w:r w:rsidR="009C7EFD">
        <w:t xml:space="preserve"> </w:t>
      </w:r>
      <w:r w:rsidR="00940A94" w:rsidRPr="00B2036C">
        <w:t xml:space="preserve">(2016 – 2019). </w:t>
      </w:r>
      <w:r w:rsidR="00116752" w:rsidRPr="00B2036C">
        <w:t xml:space="preserve">Following success of the J2SI PAD, </w:t>
      </w:r>
      <w:r w:rsidR="00BE0BE0" w:rsidRPr="00B2036C">
        <w:t xml:space="preserve">SHM received further funding </w:t>
      </w:r>
      <w:r w:rsidR="00116752" w:rsidRPr="00B2036C">
        <w:t>as part of</w:t>
      </w:r>
      <w:r w:rsidR="00BE0BE0" w:rsidRPr="00B2036C">
        <w:t xml:space="preserve"> the 2021-22 budget </w:t>
      </w:r>
      <w:r w:rsidR="00116752" w:rsidRPr="00B2036C">
        <w:t xml:space="preserve">to extend the program to an additional </w:t>
      </w:r>
      <w:r w:rsidR="00BE0BE0" w:rsidRPr="00B2036C">
        <w:t xml:space="preserve">120 clients </w:t>
      </w:r>
      <w:r w:rsidR="00116752" w:rsidRPr="00B2036C">
        <w:t>using a payment</w:t>
      </w:r>
      <w:r w:rsidR="006869FC">
        <w:t>-</w:t>
      </w:r>
      <w:r w:rsidR="00116752" w:rsidRPr="00B2036C">
        <w:t>by</w:t>
      </w:r>
      <w:r w:rsidR="006869FC">
        <w:t>-</w:t>
      </w:r>
      <w:r w:rsidR="00116752" w:rsidRPr="00B2036C">
        <w:t xml:space="preserve">results funding </w:t>
      </w:r>
      <w:r w:rsidR="00BA7227" w:rsidRPr="00B2036C">
        <w:t>arrangement (</w:t>
      </w:r>
      <w:r w:rsidR="00282C65">
        <w:t>PbR</w:t>
      </w:r>
      <w:r w:rsidR="00BA7227" w:rsidRPr="00B2036C">
        <w:t>)</w:t>
      </w:r>
      <w:r w:rsidR="000141C1">
        <w:t xml:space="preserve"> with the Victorian Government, funded under the EIIF</w:t>
      </w:r>
      <w:r w:rsidR="00116752" w:rsidRPr="00B2036C">
        <w:t>.</w:t>
      </w:r>
      <w:r w:rsidR="00EC4F09" w:rsidRPr="00B2036C">
        <w:t xml:space="preserve"> </w:t>
      </w:r>
      <w:r w:rsidRPr="00B2036C">
        <w:t xml:space="preserve">The </w:t>
      </w:r>
      <w:r w:rsidR="00BA7227" w:rsidRPr="00B2036C">
        <w:t>four iterations</w:t>
      </w:r>
      <w:r w:rsidRPr="00B2036C">
        <w:t xml:space="preserve"> of J2SI </w:t>
      </w:r>
      <w:r w:rsidR="008F0C4C" w:rsidRPr="00B2036C">
        <w:t xml:space="preserve">program </w:t>
      </w:r>
      <w:r w:rsidRPr="00B2036C">
        <w:t>are outlined below</w:t>
      </w:r>
      <w:r w:rsidR="00A07466" w:rsidRPr="00B2036C">
        <w:t>.</w:t>
      </w:r>
    </w:p>
    <w:p w14:paraId="76DD32BA" w14:textId="59D5A49F" w:rsidR="00C32072" w:rsidRDefault="005B05CA" w:rsidP="005B05CA">
      <w:pPr>
        <w:pStyle w:val="Caption"/>
      </w:pPr>
      <w:bookmarkStart w:id="31" w:name="_Toc174547307"/>
      <w:r>
        <w:t xml:space="preserve">Table </w:t>
      </w:r>
      <w:r>
        <w:fldChar w:fldCharType="begin"/>
      </w:r>
      <w:r>
        <w:instrText xml:space="preserve"> SEQ Table \* ARABIC </w:instrText>
      </w:r>
      <w:r>
        <w:fldChar w:fldCharType="separate"/>
      </w:r>
      <w:r w:rsidR="000A505B">
        <w:rPr>
          <w:noProof/>
        </w:rPr>
        <w:t>6</w:t>
      </w:r>
      <w:r>
        <w:rPr>
          <w:noProof/>
        </w:rPr>
        <w:fldChar w:fldCharType="end"/>
      </w:r>
      <w:r>
        <w:t xml:space="preserve">: </w:t>
      </w:r>
      <w:r w:rsidR="00C32072" w:rsidRPr="00915B98">
        <w:t>J2SI program iterations</w:t>
      </w:r>
      <w:bookmarkEnd w:id="31"/>
    </w:p>
    <w:tbl>
      <w:tblPr>
        <w:tblStyle w:val="KPMGTable"/>
        <w:tblW w:w="0" w:type="auto"/>
        <w:tblLook w:val="0020" w:firstRow="1" w:lastRow="0" w:firstColumn="0" w:lastColumn="0" w:noHBand="0" w:noVBand="0"/>
      </w:tblPr>
      <w:tblGrid>
        <w:gridCol w:w="2410"/>
        <w:gridCol w:w="2410"/>
        <w:gridCol w:w="2833"/>
        <w:gridCol w:w="2551"/>
      </w:tblGrid>
      <w:tr w:rsidR="002963FA" w14:paraId="09B60A90" w14:textId="77777777" w:rsidTr="00AB3040">
        <w:trPr>
          <w:cnfStyle w:val="100000000000" w:firstRow="1" w:lastRow="0" w:firstColumn="0" w:lastColumn="0" w:oddVBand="0" w:evenVBand="0" w:oddHBand="0" w:evenHBand="0" w:firstRowFirstColumn="0" w:firstRowLastColumn="0" w:lastRowFirstColumn="0" w:lastRowLastColumn="0"/>
          <w:trHeight w:val="401"/>
        </w:trPr>
        <w:tc>
          <w:tcPr>
            <w:tcW w:w="2410" w:type="dxa"/>
          </w:tcPr>
          <w:p w14:paraId="60331F2A" w14:textId="236F96F5" w:rsidR="002963FA" w:rsidRDefault="005B05CA" w:rsidP="00D30E30">
            <w:pPr>
              <w:pStyle w:val="TableHeading"/>
            </w:pPr>
            <w:r w:rsidRPr="005B05CA">
              <w:rPr>
                <w:lang w:val="en-GB"/>
              </w:rPr>
              <w:t>2009 - 2012</w:t>
            </w:r>
          </w:p>
        </w:tc>
        <w:tc>
          <w:tcPr>
            <w:tcW w:w="2410" w:type="dxa"/>
          </w:tcPr>
          <w:p w14:paraId="243F8519" w14:textId="503F320A" w:rsidR="002963FA" w:rsidRDefault="005B05CA" w:rsidP="00D30E30">
            <w:pPr>
              <w:pStyle w:val="TableHeading"/>
            </w:pPr>
            <w:r w:rsidRPr="005B05CA">
              <w:rPr>
                <w:lang w:val="en-GB"/>
              </w:rPr>
              <w:t>2016 - 2019</w:t>
            </w:r>
          </w:p>
        </w:tc>
        <w:tc>
          <w:tcPr>
            <w:tcW w:w="2833" w:type="dxa"/>
          </w:tcPr>
          <w:p w14:paraId="33E1C6B5" w14:textId="1C99B847" w:rsidR="002963FA" w:rsidRDefault="005B05CA" w:rsidP="00D30E30">
            <w:pPr>
              <w:pStyle w:val="TableHeading"/>
            </w:pPr>
            <w:r w:rsidRPr="005B05CA">
              <w:rPr>
                <w:lang w:val="en-GB"/>
              </w:rPr>
              <w:t>2018 - 2023</w:t>
            </w:r>
          </w:p>
        </w:tc>
        <w:tc>
          <w:tcPr>
            <w:tcW w:w="2551" w:type="dxa"/>
          </w:tcPr>
          <w:p w14:paraId="7790D130" w14:textId="0AFEE902" w:rsidR="002963FA" w:rsidRDefault="005B05CA" w:rsidP="00D30E30">
            <w:pPr>
              <w:pStyle w:val="TableHeading"/>
            </w:pPr>
            <w:r w:rsidRPr="005B05CA">
              <w:rPr>
                <w:lang w:val="en-GB"/>
              </w:rPr>
              <w:t>2021 - 2026</w:t>
            </w:r>
          </w:p>
        </w:tc>
      </w:tr>
      <w:tr w:rsidR="002963FA" w14:paraId="4C818F46" w14:textId="77777777" w:rsidTr="00AB3040">
        <w:tc>
          <w:tcPr>
            <w:tcW w:w="2410" w:type="dxa"/>
          </w:tcPr>
          <w:p w14:paraId="140D5C04" w14:textId="77777777" w:rsidR="005B05CA" w:rsidRPr="005B05CA" w:rsidRDefault="005B05CA" w:rsidP="005B05CA">
            <w:pPr>
              <w:pStyle w:val="Tablebullet1"/>
              <w:numPr>
                <w:ilvl w:val="0"/>
                <w:numId w:val="0"/>
              </w:numPr>
              <w:ind w:left="340" w:hanging="340"/>
            </w:pPr>
            <w:r w:rsidRPr="005B05CA">
              <w:rPr>
                <w:lang w:val="en-GB"/>
              </w:rPr>
              <w:t xml:space="preserve">J2SI Pilot </w:t>
            </w:r>
          </w:p>
          <w:p w14:paraId="5F8FBC26" w14:textId="77777777" w:rsidR="005B05CA" w:rsidRPr="005B05CA" w:rsidRDefault="005B05CA" w:rsidP="00D30E30">
            <w:pPr>
              <w:pStyle w:val="Tablebullet1"/>
              <w:ind w:left="284" w:hanging="284"/>
            </w:pPr>
            <w:r w:rsidRPr="005B05CA">
              <w:rPr>
                <w:lang w:val="en-GB"/>
              </w:rPr>
              <w:t>One cohort of 40 clients</w:t>
            </w:r>
          </w:p>
          <w:p w14:paraId="2831EE93" w14:textId="77777777" w:rsidR="005B05CA" w:rsidRPr="005B05CA" w:rsidRDefault="005B05CA" w:rsidP="00D30E30">
            <w:pPr>
              <w:pStyle w:val="Tablebullet1"/>
              <w:ind w:left="284" w:hanging="284"/>
            </w:pPr>
            <w:r w:rsidRPr="005B05CA">
              <w:rPr>
                <w:lang w:val="en-GB"/>
              </w:rPr>
              <w:t>Philanthropic and SHM funding</w:t>
            </w:r>
          </w:p>
          <w:p w14:paraId="27BFEDFC" w14:textId="4EB8ED4C" w:rsidR="002963FA" w:rsidRDefault="005B05CA" w:rsidP="00D30E30">
            <w:pPr>
              <w:pStyle w:val="Tablebullet1"/>
              <w:ind w:left="284" w:hanging="284"/>
            </w:pPr>
            <w:r w:rsidRPr="005B05CA">
              <w:t>The J2SI Pilot was delivered to 40 clients in St Kilda, evaluated against a randomised control trial group using conventional services.</w:t>
            </w:r>
          </w:p>
        </w:tc>
        <w:tc>
          <w:tcPr>
            <w:tcW w:w="2410" w:type="dxa"/>
          </w:tcPr>
          <w:p w14:paraId="1967573A" w14:textId="77777777" w:rsidR="005B05CA" w:rsidRPr="005B05CA" w:rsidRDefault="005B05CA" w:rsidP="005B05CA">
            <w:pPr>
              <w:pStyle w:val="Tablebullet1"/>
              <w:numPr>
                <w:ilvl w:val="0"/>
                <w:numId w:val="0"/>
              </w:numPr>
            </w:pPr>
            <w:r w:rsidRPr="005B05CA">
              <w:rPr>
                <w:lang w:val="en-GB"/>
              </w:rPr>
              <w:t>J2SI Phase 2 RCT</w:t>
            </w:r>
          </w:p>
          <w:p w14:paraId="2C8A0EE8" w14:textId="77777777" w:rsidR="005B05CA" w:rsidRPr="005B05CA" w:rsidRDefault="005B05CA" w:rsidP="00D30E30">
            <w:pPr>
              <w:pStyle w:val="Tablebullet1"/>
              <w:ind w:left="284" w:hanging="284"/>
            </w:pPr>
            <w:r w:rsidRPr="005B05CA">
              <w:rPr>
                <w:lang w:val="en-GB"/>
              </w:rPr>
              <w:t>One cohort of 60 clients</w:t>
            </w:r>
          </w:p>
          <w:p w14:paraId="476AB505" w14:textId="77777777" w:rsidR="005B05CA" w:rsidRPr="005B05CA" w:rsidRDefault="005B05CA" w:rsidP="00D30E30">
            <w:pPr>
              <w:pStyle w:val="Tablebullet1"/>
              <w:ind w:left="284" w:hanging="284"/>
            </w:pPr>
            <w:r w:rsidRPr="005B05CA">
              <w:rPr>
                <w:lang w:val="en-GB"/>
              </w:rPr>
              <w:t xml:space="preserve">Philanthropic and SHM funding + DHHS grant </w:t>
            </w:r>
          </w:p>
          <w:p w14:paraId="0919B4D1" w14:textId="7D3130A9" w:rsidR="002963FA" w:rsidRDefault="005B05CA" w:rsidP="00D30E30">
            <w:pPr>
              <w:pStyle w:val="Tablebullet1"/>
              <w:ind w:left="284" w:hanging="284"/>
            </w:pPr>
            <w:r w:rsidRPr="005B05CA">
              <w:t xml:space="preserve">Building on findings from the Pilot, the program was refined and expanded to 60 participants from Melbourne’s </w:t>
            </w:r>
            <w:proofErr w:type="gramStart"/>
            <w:r w:rsidRPr="005B05CA">
              <w:t>inner-north</w:t>
            </w:r>
            <w:proofErr w:type="gramEnd"/>
            <w:r w:rsidRPr="005B05CA">
              <w:t>, through partnerships with VincentCare (Ozanam House) and St Mary’s House of Welcome.</w:t>
            </w:r>
          </w:p>
        </w:tc>
        <w:tc>
          <w:tcPr>
            <w:tcW w:w="2833" w:type="dxa"/>
          </w:tcPr>
          <w:p w14:paraId="5F8758FA" w14:textId="77777777" w:rsidR="005B05CA" w:rsidRPr="005B05CA" w:rsidRDefault="005B05CA" w:rsidP="005B05CA">
            <w:pPr>
              <w:pStyle w:val="Tablebullet1"/>
              <w:numPr>
                <w:ilvl w:val="0"/>
                <w:numId w:val="0"/>
              </w:numPr>
              <w:ind w:left="340" w:hanging="340"/>
            </w:pPr>
            <w:r w:rsidRPr="005B05CA">
              <w:rPr>
                <w:lang w:val="en-GB"/>
              </w:rPr>
              <w:t>J2SI SII PAD</w:t>
            </w:r>
          </w:p>
          <w:p w14:paraId="666D4D87" w14:textId="77777777" w:rsidR="005B05CA" w:rsidRPr="005B05CA" w:rsidRDefault="005B05CA" w:rsidP="00D30E30">
            <w:pPr>
              <w:pStyle w:val="Tablebullet1"/>
              <w:ind w:left="284" w:hanging="284"/>
            </w:pPr>
            <w:r w:rsidRPr="005B05CA">
              <w:rPr>
                <w:lang w:val="en-GB"/>
              </w:rPr>
              <w:t>Three cohorts of 60 clients</w:t>
            </w:r>
          </w:p>
          <w:p w14:paraId="0A4424AA" w14:textId="77777777" w:rsidR="005B05CA" w:rsidRPr="005B05CA" w:rsidRDefault="005B05CA" w:rsidP="00D30E30">
            <w:pPr>
              <w:pStyle w:val="Tablebullet1"/>
              <w:ind w:left="284" w:hanging="284"/>
            </w:pPr>
            <w:r w:rsidRPr="005B05CA">
              <w:rPr>
                <w:lang w:val="en-GB"/>
              </w:rPr>
              <w:t>DHHS/DFFH funding, financed by the Catholic Development Fund and guarantors</w:t>
            </w:r>
          </w:p>
          <w:p w14:paraId="3A3A685A" w14:textId="162B4C3D" w:rsidR="002963FA" w:rsidRDefault="005B05CA" w:rsidP="00D30E30">
            <w:pPr>
              <w:pStyle w:val="Tablebullet1"/>
              <w:ind w:left="284" w:hanging="284"/>
            </w:pPr>
            <w:r w:rsidRPr="005B05CA">
              <w:t>Incorporating learnings from the Pilot and RCT, 180 people are funded by an outcomes-based funding mechanism demonstrating the efficacy of replicating J2SI on a larger scale and paving the way for the replication of the model in other states and territories across Australia.</w:t>
            </w:r>
          </w:p>
        </w:tc>
        <w:tc>
          <w:tcPr>
            <w:tcW w:w="2551" w:type="dxa"/>
          </w:tcPr>
          <w:p w14:paraId="73F1DA7E" w14:textId="77777777" w:rsidR="005B05CA" w:rsidRPr="005B05CA" w:rsidRDefault="005B05CA" w:rsidP="005B05CA">
            <w:pPr>
              <w:pStyle w:val="Tablebullet1"/>
              <w:numPr>
                <w:ilvl w:val="0"/>
                <w:numId w:val="0"/>
              </w:numPr>
              <w:ind w:left="340" w:hanging="340"/>
            </w:pPr>
            <w:r w:rsidRPr="005B05CA">
              <w:rPr>
                <w:lang w:val="en-GB"/>
              </w:rPr>
              <w:t>J2SI PbR</w:t>
            </w:r>
          </w:p>
          <w:p w14:paraId="2057FAE1" w14:textId="77777777" w:rsidR="005B05CA" w:rsidRPr="005B05CA" w:rsidRDefault="005B05CA" w:rsidP="00D30E30">
            <w:pPr>
              <w:pStyle w:val="Tablebullet1"/>
              <w:ind w:left="284" w:hanging="284"/>
            </w:pPr>
            <w:r w:rsidRPr="005B05CA">
              <w:rPr>
                <w:lang w:val="en-GB"/>
              </w:rPr>
              <w:t>Two cohorts of 60 clients</w:t>
            </w:r>
          </w:p>
          <w:p w14:paraId="6A403AD0" w14:textId="77777777" w:rsidR="005B05CA" w:rsidRPr="005B05CA" w:rsidRDefault="005B05CA" w:rsidP="00D30E30">
            <w:pPr>
              <w:pStyle w:val="Tablebullet1"/>
              <w:ind w:left="284" w:hanging="284"/>
            </w:pPr>
            <w:r w:rsidRPr="005B05CA">
              <w:rPr>
                <w:lang w:val="en-GB"/>
              </w:rPr>
              <w:t>Victorian Government funding, under the EIIF</w:t>
            </w:r>
          </w:p>
          <w:p w14:paraId="6DC227E6" w14:textId="5F679CA4" w:rsidR="002963FA" w:rsidRDefault="005B05CA" w:rsidP="00D30E30">
            <w:pPr>
              <w:pStyle w:val="Tablebullet1"/>
              <w:ind w:left="284" w:hanging="284"/>
            </w:pPr>
            <w:r w:rsidRPr="005B05CA">
              <w:t>120 people are funded by a payment by results contract with the Victorian Government. This contract builds on the results being achieved under the PAD and does not require an external investor. Instead, a portion of funding is subject to achieving performance targets.</w:t>
            </w:r>
          </w:p>
        </w:tc>
      </w:tr>
    </w:tbl>
    <w:bookmarkEnd w:id="30"/>
    <w:p w14:paraId="2E3D6B1B" w14:textId="27744C69" w:rsidR="007C3511" w:rsidRPr="00A107DB" w:rsidRDefault="00A07466" w:rsidP="007A2CBF">
      <w:pPr>
        <w:pStyle w:val="Heading3"/>
      </w:pPr>
      <w:r>
        <w:t xml:space="preserve">The </w:t>
      </w:r>
      <w:r w:rsidR="007C3511">
        <w:t xml:space="preserve">J2SI program as a </w:t>
      </w:r>
      <w:r w:rsidR="0079603D">
        <w:t>PAD</w:t>
      </w:r>
    </w:p>
    <w:p w14:paraId="5F7D755D" w14:textId="6168ECD3" w:rsidR="007C3511" w:rsidRDefault="007C3511" w:rsidP="00325BE2">
      <w:pPr>
        <w:pStyle w:val="BodyText"/>
      </w:pPr>
      <w:r w:rsidRPr="00506E5D">
        <w:t>Although</w:t>
      </w:r>
      <w:r>
        <w:t xml:space="preserve"> the J2SI program was </w:t>
      </w:r>
      <w:r w:rsidR="00BD0098">
        <w:t xml:space="preserve">well established </w:t>
      </w:r>
      <w:r w:rsidR="0079603D">
        <w:t xml:space="preserve">prior to its delivery as a PAD, </w:t>
      </w:r>
      <w:r>
        <w:t xml:space="preserve">the </w:t>
      </w:r>
      <w:r w:rsidR="0079603D">
        <w:t>PAD</w:t>
      </w:r>
      <w:r>
        <w:t xml:space="preserve"> delivered innovation </w:t>
      </w:r>
      <w:r w:rsidR="00DA2E60">
        <w:t>in a number of ways.</w:t>
      </w:r>
      <w:r w:rsidR="005E2051">
        <w:t xml:space="preserve"> </w:t>
      </w:r>
      <w:r w:rsidR="007E7D5D">
        <w:t>This</w:t>
      </w:r>
      <w:r w:rsidR="005E2051">
        <w:t xml:space="preserve"> included</w:t>
      </w:r>
      <w:r>
        <w:t xml:space="preserve"> how </w:t>
      </w:r>
      <w:r w:rsidR="00872C4D">
        <w:t>the program</w:t>
      </w:r>
      <w:r>
        <w:t xml:space="preserve"> was financed (and the inclusion of incentives) as well as how it sourced housing (using head leasing instead of relying </w:t>
      </w:r>
      <w:r w:rsidR="00C00C1D">
        <w:t>entirely</w:t>
      </w:r>
      <w:r>
        <w:t xml:space="preserve"> on social housing</w:t>
      </w:r>
      <w:r w:rsidR="00872C4D">
        <w:t>, noting that Housing First</w:t>
      </w:r>
      <w:r w:rsidR="00272B50">
        <w:rPr>
          <w:rFonts w:ascii="ZWAdobeF" w:hAnsi="ZWAdobeF" w:cs="ZWAdobeF"/>
          <w:color w:val="auto"/>
          <w:sz w:val="2"/>
          <w:szCs w:val="2"/>
        </w:rPr>
        <w:t>9F</w:t>
      </w:r>
      <w:r w:rsidR="00125CA2">
        <w:rPr>
          <w:rFonts w:ascii="ZWAdobeF" w:hAnsi="ZWAdobeF" w:cs="ZWAdobeF"/>
          <w:color w:val="auto"/>
          <w:sz w:val="2"/>
          <w:szCs w:val="2"/>
        </w:rPr>
        <w:t>9F</w:t>
      </w:r>
      <w:r w:rsidR="008C48A1">
        <w:rPr>
          <w:rStyle w:val="FootnoteReference"/>
          <w:bCs/>
        </w:rPr>
        <w:footnoteReference w:id="18"/>
      </w:r>
      <w:r w:rsidR="00872C4D">
        <w:t xml:space="preserve"> was a</w:t>
      </w:r>
      <w:r w:rsidR="00386E21">
        <w:t xml:space="preserve">lways </w:t>
      </w:r>
      <w:r w:rsidR="00872C4D">
        <w:t>a core principle of J2SI prior to the PAD</w:t>
      </w:r>
      <w:r>
        <w:t xml:space="preserve">). </w:t>
      </w:r>
      <w:r w:rsidR="00386E21">
        <w:t>The</w:t>
      </w:r>
      <w:r w:rsidR="0034380A">
        <w:t xml:space="preserve"> J2SI</w:t>
      </w:r>
      <w:r w:rsidR="00386E21">
        <w:t xml:space="preserve"> PAD</w:t>
      </w:r>
      <w:r>
        <w:t xml:space="preserve"> </w:t>
      </w:r>
      <w:r w:rsidR="0034380A">
        <w:t xml:space="preserve">was the </w:t>
      </w:r>
      <w:r w:rsidR="006242EA">
        <w:t>first iteration</w:t>
      </w:r>
      <w:r w:rsidR="00A94280">
        <w:t xml:space="preserve"> fully</w:t>
      </w:r>
      <w:r w:rsidR="006242EA">
        <w:t xml:space="preserve"> funded by the Victorian Government, and enabled the </w:t>
      </w:r>
      <w:r w:rsidR="006242EA" w:rsidRPr="0034380A">
        <w:t>program to scale up and service a greater volume of clients (180 clients) compared to the Pilot (40 clients) and the Phase 2 RCT (60 clients</w:t>
      </w:r>
      <w:r w:rsidR="006242EA">
        <w:t>).</w:t>
      </w:r>
      <w:r w:rsidR="00BA265D">
        <w:t xml:space="preserve"> </w:t>
      </w:r>
      <w:r w:rsidR="006242EA">
        <w:fldChar w:fldCharType="begin"/>
      </w:r>
      <w:r w:rsidR="006242EA">
        <w:instrText xml:space="preserve"> REF _Ref149223149 \h </w:instrText>
      </w:r>
      <w:r w:rsidR="00325BE2">
        <w:instrText xml:space="preserve"> \* MERGEFORMAT </w:instrText>
      </w:r>
      <w:r w:rsidR="006242EA">
        <w:fldChar w:fldCharType="separate"/>
      </w:r>
      <w:r w:rsidR="005B05CA" w:rsidRPr="00B001E4">
        <w:t xml:space="preserve">Table </w:t>
      </w:r>
      <w:r w:rsidR="005B05CA">
        <w:rPr>
          <w:noProof/>
        </w:rPr>
        <w:t>7</w:t>
      </w:r>
      <w:r w:rsidR="006242EA">
        <w:fldChar w:fldCharType="end"/>
      </w:r>
      <w:r w:rsidR="006242EA">
        <w:t xml:space="preserve"> </w:t>
      </w:r>
      <w:r w:rsidR="005E1EEF" w:rsidRPr="00B001E4">
        <w:t>outline</w:t>
      </w:r>
      <w:r w:rsidR="00386E21">
        <w:t>s</w:t>
      </w:r>
      <w:r w:rsidR="005E1EEF">
        <w:t xml:space="preserve"> key elements of </w:t>
      </w:r>
      <w:r w:rsidR="00442548">
        <w:t xml:space="preserve">the </w:t>
      </w:r>
      <w:r w:rsidR="005E1EEF">
        <w:t xml:space="preserve">J2SI PAD. </w:t>
      </w:r>
    </w:p>
    <w:p w14:paraId="61CD7308" w14:textId="033D8580" w:rsidR="001F6B37" w:rsidRPr="00B001E4" w:rsidRDefault="001F6B37" w:rsidP="00134FF5">
      <w:pPr>
        <w:pStyle w:val="Caption"/>
      </w:pPr>
      <w:bookmarkStart w:id="32" w:name="_Ref149223149"/>
      <w:bookmarkStart w:id="33" w:name="_Toc174547308"/>
      <w:r w:rsidRPr="00B001E4">
        <w:lastRenderedPageBreak/>
        <w:t xml:space="preserve">Table </w:t>
      </w:r>
      <w:r w:rsidRPr="00B001E4">
        <w:fldChar w:fldCharType="begin"/>
      </w:r>
      <w:r>
        <w:instrText xml:space="preserve"> SEQ Table \* ARABIC </w:instrText>
      </w:r>
      <w:r w:rsidRPr="00B001E4">
        <w:fldChar w:fldCharType="separate"/>
      </w:r>
      <w:r w:rsidR="005B05CA">
        <w:rPr>
          <w:noProof/>
        </w:rPr>
        <w:t>7</w:t>
      </w:r>
      <w:r w:rsidRPr="00B001E4">
        <w:fldChar w:fldCharType="end"/>
      </w:r>
      <w:bookmarkEnd w:id="32"/>
      <w:r w:rsidR="00B001E4" w:rsidRPr="00B001E4">
        <w:t>: Key elements of J2S</w:t>
      </w:r>
      <w:r w:rsidR="002D0784">
        <w:t>I</w:t>
      </w:r>
      <w:r w:rsidR="00B001E4" w:rsidRPr="00B001E4">
        <w:t xml:space="preserve"> as a PAD</w:t>
      </w:r>
      <w:bookmarkEnd w:id="33"/>
    </w:p>
    <w:tbl>
      <w:tblPr>
        <w:tblStyle w:val="KPMGTable"/>
        <w:tblW w:w="0" w:type="auto"/>
        <w:tblLook w:val="04A0" w:firstRow="1" w:lastRow="0" w:firstColumn="1" w:lastColumn="0" w:noHBand="0" w:noVBand="1"/>
      </w:tblPr>
      <w:tblGrid>
        <w:gridCol w:w="1418"/>
        <w:gridCol w:w="4464"/>
        <w:gridCol w:w="4322"/>
      </w:tblGrid>
      <w:tr w:rsidR="005E1EEF" w:rsidRPr="00F42058" w14:paraId="49B63B02" w14:textId="77777777" w:rsidTr="00963D5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6BA2FC3D" w14:textId="1803C84A" w:rsidR="005E1EEF" w:rsidRPr="00442548" w:rsidRDefault="005E1EEF" w:rsidP="009C6773">
            <w:pPr>
              <w:pStyle w:val="TableHeading"/>
              <w:rPr>
                <w:rFonts w:cs="@Batang"/>
                <w:szCs w:val="20"/>
              </w:rPr>
            </w:pPr>
            <w:r w:rsidRPr="00442548">
              <w:rPr>
                <w:rFonts w:cs="@Batang"/>
                <w:szCs w:val="20"/>
              </w:rPr>
              <w:t>Element</w:t>
            </w:r>
          </w:p>
        </w:tc>
        <w:tc>
          <w:tcPr>
            <w:tcW w:w="4464" w:type="dxa"/>
            <w:shd w:val="clear" w:color="auto" w:fill="auto"/>
          </w:tcPr>
          <w:p w14:paraId="66B3A7F8" w14:textId="61ACB74D" w:rsidR="005E1EEF" w:rsidRPr="00442548" w:rsidRDefault="005E1EEF" w:rsidP="009C6773">
            <w:pPr>
              <w:pStyle w:val="TableHeading"/>
              <w:cnfStyle w:val="100000000000" w:firstRow="1" w:lastRow="0" w:firstColumn="0" w:lastColumn="0" w:oddVBand="0" w:evenVBand="0" w:oddHBand="0" w:evenHBand="0" w:firstRowFirstColumn="0" w:firstRowLastColumn="0" w:lastRowFirstColumn="0" w:lastRowLastColumn="0"/>
              <w:rPr>
                <w:rFonts w:cs="@Batang"/>
                <w:szCs w:val="20"/>
              </w:rPr>
            </w:pPr>
            <w:r w:rsidRPr="00442548">
              <w:rPr>
                <w:rFonts w:cs="@Batang"/>
                <w:szCs w:val="20"/>
              </w:rPr>
              <w:t>Description</w:t>
            </w:r>
          </w:p>
        </w:tc>
        <w:tc>
          <w:tcPr>
            <w:tcW w:w="4322" w:type="dxa"/>
            <w:shd w:val="clear" w:color="auto" w:fill="auto"/>
          </w:tcPr>
          <w:p w14:paraId="153FC005" w14:textId="537F5E35" w:rsidR="005E1EEF" w:rsidRPr="00442548" w:rsidRDefault="005E1EEF" w:rsidP="009C6773">
            <w:pPr>
              <w:pStyle w:val="TableHeading"/>
              <w:cnfStyle w:val="100000000000" w:firstRow="1" w:lastRow="0" w:firstColumn="0" w:lastColumn="0" w:oddVBand="0" w:evenVBand="0" w:oddHBand="0" w:evenHBand="0" w:firstRowFirstColumn="0" w:firstRowLastColumn="0" w:lastRowFirstColumn="0" w:lastRowLastColumn="0"/>
              <w:rPr>
                <w:rFonts w:cs="@Batang"/>
                <w:szCs w:val="20"/>
              </w:rPr>
            </w:pPr>
            <w:r w:rsidRPr="00442548">
              <w:rPr>
                <w:rFonts w:cs="@Batang"/>
                <w:szCs w:val="20"/>
              </w:rPr>
              <w:t>Result of element</w:t>
            </w:r>
          </w:p>
        </w:tc>
      </w:tr>
      <w:tr w:rsidR="00F42058" w:rsidRPr="00F42058" w14:paraId="5E4E02EF" w14:textId="77777777" w:rsidTr="001F1825">
        <w:trPr>
          <w:cantSplit/>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F02A898" w14:textId="07B6C6C8" w:rsidR="00F42058" w:rsidRPr="00442548" w:rsidRDefault="00F42058" w:rsidP="009C6773">
            <w:pPr>
              <w:pStyle w:val="Tabletext"/>
              <w:rPr>
                <w:rFonts w:cs="@Batang"/>
                <w:szCs w:val="20"/>
              </w:rPr>
            </w:pPr>
            <w:r w:rsidRPr="00442548">
              <w:rPr>
                <w:rFonts w:cs="@Batang"/>
                <w:szCs w:val="20"/>
              </w:rPr>
              <w:t xml:space="preserve">Eligibility </w:t>
            </w:r>
          </w:p>
        </w:tc>
        <w:tc>
          <w:tcPr>
            <w:tcW w:w="4464" w:type="dxa"/>
            <w:shd w:val="clear" w:color="auto" w:fill="auto"/>
            <w:vAlign w:val="center"/>
          </w:tcPr>
          <w:p w14:paraId="09F4A60D" w14:textId="03B5900A" w:rsidR="00F42058" w:rsidRPr="00442548" w:rsidRDefault="00F42058" w:rsidP="009C6773">
            <w:pPr>
              <w:pStyle w:val="Tablebullet1"/>
              <w:cnfStyle w:val="000000000000" w:firstRow="0" w:lastRow="0" w:firstColumn="0" w:lastColumn="0" w:oddVBand="0" w:evenVBand="0" w:oddHBand="0" w:evenHBand="0" w:firstRowFirstColumn="0" w:firstRowLastColumn="0" w:lastRowFirstColumn="0" w:lastRowLastColumn="0"/>
              <w:rPr>
                <w:szCs w:val="20"/>
              </w:rPr>
            </w:pPr>
            <w:r w:rsidRPr="00442548">
              <w:rPr>
                <w:szCs w:val="20"/>
              </w:rPr>
              <w:t xml:space="preserve">Clients must meet a specific definition of chronic homelessness through self-reporting and referral agency confirmation which includes sleeping rough continuously for a minimum of one year and are identified as being homeless and/or are currently homeless and have experienced three or more </w:t>
            </w:r>
            <w:r w:rsidR="00CC7F82" w:rsidRPr="00442548">
              <w:rPr>
                <w:szCs w:val="20"/>
              </w:rPr>
              <w:t>episodes</w:t>
            </w:r>
            <w:r w:rsidRPr="00442548">
              <w:rPr>
                <w:szCs w:val="20"/>
              </w:rPr>
              <w:t xml:space="preserve"> of homelessness over the past three-year </w:t>
            </w:r>
            <w:r w:rsidR="0050029A" w:rsidRPr="00442548">
              <w:rPr>
                <w:szCs w:val="20"/>
              </w:rPr>
              <w:t>period.</w:t>
            </w:r>
          </w:p>
          <w:p w14:paraId="0992E777" w14:textId="6CE7736A" w:rsidR="00F42058" w:rsidRPr="00442548" w:rsidRDefault="00F42058" w:rsidP="009C6773">
            <w:pPr>
              <w:pStyle w:val="Tablebullet1"/>
              <w:cnfStyle w:val="000000000000" w:firstRow="0" w:lastRow="0" w:firstColumn="0" w:lastColumn="0" w:oddVBand="0" w:evenVBand="0" w:oddHBand="0" w:evenHBand="0" w:firstRowFirstColumn="0" w:firstRowLastColumn="0" w:lastRowFirstColumn="0" w:lastRowLastColumn="0"/>
              <w:rPr>
                <w:szCs w:val="20"/>
              </w:rPr>
            </w:pPr>
            <w:r w:rsidRPr="00442548">
              <w:rPr>
                <w:szCs w:val="20"/>
              </w:rPr>
              <w:t xml:space="preserve">Be receiving (or have received) a short-term case management and support planning response from a homelessness </w:t>
            </w:r>
            <w:r w:rsidR="0050029A" w:rsidRPr="00442548">
              <w:rPr>
                <w:szCs w:val="20"/>
              </w:rPr>
              <w:t>provider.</w:t>
            </w:r>
          </w:p>
          <w:p w14:paraId="63C6702F" w14:textId="25BDA2EB" w:rsidR="00F42058" w:rsidRPr="00442548" w:rsidRDefault="00F42058" w:rsidP="009C6773">
            <w:pPr>
              <w:pStyle w:val="Tablebullet1"/>
              <w:cnfStyle w:val="000000000000" w:firstRow="0" w:lastRow="0" w:firstColumn="0" w:lastColumn="0" w:oddVBand="0" w:evenVBand="0" w:oddHBand="0" w:evenHBand="0" w:firstRowFirstColumn="0" w:firstRowLastColumn="0" w:lastRowFirstColumn="0" w:lastRowLastColumn="0"/>
              <w:rPr>
                <w:szCs w:val="20"/>
              </w:rPr>
            </w:pPr>
            <w:r w:rsidRPr="00442548">
              <w:rPr>
                <w:szCs w:val="20"/>
              </w:rPr>
              <w:t xml:space="preserve">Are aged between 25 and 65 years at the time of commencement of the </w:t>
            </w:r>
            <w:r w:rsidR="0050029A" w:rsidRPr="00442548">
              <w:rPr>
                <w:szCs w:val="20"/>
              </w:rPr>
              <w:t>program.</w:t>
            </w:r>
          </w:p>
          <w:p w14:paraId="540ACC7F" w14:textId="61843D50" w:rsidR="00F42058" w:rsidRPr="00442548" w:rsidRDefault="00F42058" w:rsidP="009C6773">
            <w:pPr>
              <w:pStyle w:val="Tablebullet1"/>
              <w:cnfStyle w:val="000000000000" w:firstRow="0" w:lastRow="0" w:firstColumn="0" w:lastColumn="0" w:oddVBand="0" w:evenVBand="0" w:oddHBand="0" w:evenHBand="0" w:firstRowFirstColumn="0" w:firstRowLastColumn="0" w:lastRowFirstColumn="0" w:lastRowLastColumn="0"/>
              <w:rPr>
                <w:szCs w:val="20"/>
              </w:rPr>
            </w:pPr>
            <w:r w:rsidRPr="00442548">
              <w:rPr>
                <w:szCs w:val="20"/>
              </w:rPr>
              <w:t>Agree and are able to provide informed consent to participate</w:t>
            </w:r>
            <w:r w:rsidR="008D772A">
              <w:rPr>
                <w:szCs w:val="20"/>
              </w:rPr>
              <w:t>.</w:t>
            </w:r>
          </w:p>
        </w:tc>
        <w:tc>
          <w:tcPr>
            <w:tcW w:w="4322" w:type="dxa"/>
            <w:shd w:val="clear" w:color="auto" w:fill="auto"/>
            <w:vAlign w:val="center"/>
          </w:tcPr>
          <w:p w14:paraId="4E2F9620" w14:textId="1C811607" w:rsidR="00F42058" w:rsidRPr="00442548" w:rsidRDefault="00FB571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The </w:t>
            </w:r>
            <w:r w:rsidR="00F42058" w:rsidRPr="00442548">
              <w:rPr>
                <w:rFonts w:cs="@Batang"/>
                <w:szCs w:val="20"/>
              </w:rPr>
              <w:t xml:space="preserve">J2SI </w:t>
            </w:r>
            <w:r w:rsidRPr="00442548">
              <w:rPr>
                <w:rFonts w:cs="@Batang"/>
                <w:szCs w:val="20"/>
              </w:rPr>
              <w:t>PAD</w:t>
            </w:r>
            <w:r w:rsidR="00F42058" w:rsidRPr="00442548">
              <w:rPr>
                <w:rFonts w:cs="@Batang"/>
                <w:szCs w:val="20"/>
              </w:rPr>
              <w:t xml:space="preserve"> expanded the age from 50 </w:t>
            </w:r>
            <w:r w:rsidR="009C6773">
              <w:t xml:space="preserve">years </w:t>
            </w:r>
            <w:r w:rsidR="00F42058" w:rsidRPr="00442548">
              <w:t xml:space="preserve">to 65 </w:t>
            </w:r>
            <w:r w:rsidR="009C6773">
              <w:t>years</w:t>
            </w:r>
            <w:r w:rsidR="00F42058" w:rsidRPr="00442548">
              <w:rPr>
                <w:rFonts w:cs="@Batang"/>
                <w:szCs w:val="20"/>
              </w:rPr>
              <w:t xml:space="preserve"> to enable support to the older demographic of homeless people in Melbourne.</w:t>
            </w:r>
          </w:p>
          <w:p w14:paraId="3D5418F3" w14:textId="129F2C9C"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It also removed the requirement of clients to be permanent residents as this was seen as unnecessary as clients needed to be eligible to receive benefits. </w:t>
            </w:r>
          </w:p>
        </w:tc>
      </w:tr>
      <w:tr w:rsidR="00F42058" w:rsidRPr="00F42058" w14:paraId="3C5BC3C5" w14:textId="77777777" w:rsidTr="005A2BC7">
        <w:trPr>
          <w:trHeight w:val="2209"/>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71D370CD" w14:textId="7F7F0E1F" w:rsidR="00F42058" w:rsidRPr="00442548" w:rsidRDefault="00F42058" w:rsidP="009C6773">
            <w:pPr>
              <w:pStyle w:val="Tabletext"/>
              <w:rPr>
                <w:rFonts w:cs="@Batang"/>
                <w:szCs w:val="20"/>
              </w:rPr>
            </w:pPr>
            <w:r w:rsidRPr="00442548">
              <w:rPr>
                <w:rFonts w:cs="@Batang"/>
                <w:szCs w:val="20"/>
              </w:rPr>
              <w:t>Access to housing</w:t>
            </w:r>
          </w:p>
        </w:tc>
        <w:tc>
          <w:tcPr>
            <w:tcW w:w="4464" w:type="dxa"/>
            <w:shd w:val="clear" w:color="auto" w:fill="auto"/>
            <w:vAlign w:val="center"/>
          </w:tcPr>
          <w:p w14:paraId="484DB6F8" w14:textId="5D5A4B77"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The J2SI </w:t>
            </w:r>
            <w:r w:rsidR="00B001E4" w:rsidRPr="00442548">
              <w:rPr>
                <w:rFonts w:cs="@Batang"/>
                <w:szCs w:val="20"/>
              </w:rPr>
              <w:t>PAD</w:t>
            </w:r>
            <w:r w:rsidRPr="00442548">
              <w:rPr>
                <w:rFonts w:cs="@Batang"/>
                <w:szCs w:val="20"/>
              </w:rPr>
              <w:t xml:space="preserve"> supported rapid access to housing through social housing (public and community) and head leased properties. This moved away from previous phases of J2SI, where the predominant form of housing was public housing (with community housing used in </w:t>
            </w:r>
            <w:r w:rsidR="00B001E4" w:rsidRPr="00442548">
              <w:rPr>
                <w:rFonts w:cs="@Batang"/>
                <w:szCs w:val="20"/>
              </w:rPr>
              <w:t xml:space="preserve">the </w:t>
            </w:r>
            <w:r w:rsidR="009C7EFD">
              <w:rPr>
                <w:rFonts w:cs="@Batang"/>
                <w:szCs w:val="20"/>
              </w:rPr>
              <w:t xml:space="preserve">Phase 2 </w:t>
            </w:r>
            <w:r w:rsidR="00B001E4" w:rsidRPr="00442548">
              <w:rPr>
                <w:rFonts w:cs="@Batang"/>
                <w:szCs w:val="20"/>
              </w:rPr>
              <w:t>RCT</w:t>
            </w:r>
            <w:r w:rsidRPr="00442548">
              <w:rPr>
                <w:rFonts w:cs="@Batang"/>
                <w:szCs w:val="20"/>
              </w:rPr>
              <w:t>). Social housing allocations were made to J2SI in addition to individual client allocations.</w:t>
            </w:r>
          </w:p>
          <w:p w14:paraId="68711DBC" w14:textId="610E80E9" w:rsidR="00F42058" w:rsidRPr="001F1825"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pacing w:val="-2"/>
                <w:szCs w:val="20"/>
              </w:rPr>
            </w:pPr>
            <w:r w:rsidRPr="001F1825">
              <w:rPr>
                <w:rFonts w:cs="@Batang"/>
                <w:spacing w:val="-2"/>
                <w:szCs w:val="20"/>
              </w:rPr>
              <w:t xml:space="preserve">The head leasing properties used in </w:t>
            </w:r>
            <w:r w:rsidR="00B001E4" w:rsidRPr="001F1825">
              <w:rPr>
                <w:rFonts w:cs="@Batang"/>
                <w:spacing w:val="-2"/>
                <w:szCs w:val="20"/>
              </w:rPr>
              <w:t xml:space="preserve">the </w:t>
            </w:r>
            <w:r w:rsidRPr="001F1825">
              <w:rPr>
                <w:rFonts w:cs="@Batang"/>
                <w:spacing w:val="-2"/>
                <w:szCs w:val="20"/>
              </w:rPr>
              <w:t xml:space="preserve">J2SI </w:t>
            </w:r>
            <w:r w:rsidR="00B001E4" w:rsidRPr="001F1825">
              <w:rPr>
                <w:rFonts w:cs="@Batang"/>
                <w:spacing w:val="-2"/>
                <w:szCs w:val="20"/>
              </w:rPr>
              <w:t>PAD</w:t>
            </w:r>
            <w:r w:rsidRPr="001F1825">
              <w:rPr>
                <w:rFonts w:cs="@Batang"/>
                <w:spacing w:val="-2"/>
                <w:szCs w:val="20"/>
              </w:rPr>
              <w:t xml:space="preserve"> were agreed to be identified as </w:t>
            </w:r>
            <w:r w:rsidR="003020F1" w:rsidRPr="001F1825">
              <w:rPr>
                <w:rFonts w:cs="@Batang"/>
                <w:spacing w:val="-2"/>
                <w:szCs w:val="20"/>
              </w:rPr>
              <w:t xml:space="preserve">transitional </w:t>
            </w:r>
            <w:r w:rsidR="00B93FB0" w:rsidRPr="001F1825">
              <w:rPr>
                <w:rFonts w:cs="@Batang"/>
                <w:spacing w:val="-2"/>
                <w:szCs w:val="20"/>
              </w:rPr>
              <w:t>housing</w:t>
            </w:r>
            <w:r w:rsidRPr="001F1825">
              <w:rPr>
                <w:rFonts w:cs="@Batang"/>
                <w:spacing w:val="-2"/>
                <w:szCs w:val="20"/>
              </w:rPr>
              <w:t xml:space="preserve">. J2SI </w:t>
            </w:r>
            <w:r w:rsidR="00B001E4" w:rsidRPr="001F1825">
              <w:rPr>
                <w:rFonts w:cs="@Batang"/>
                <w:spacing w:val="-2"/>
                <w:szCs w:val="20"/>
              </w:rPr>
              <w:t>PAD</w:t>
            </w:r>
            <w:r w:rsidRPr="001F1825">
              <w:rPr>
                <w:rFonts w:cs="@Batang"/>
                <w:spacing w:val="-2"/>
                <w:szCs w:val="20"/>
              </w:rPr>
              <w:t xml:space="preserve"> client</w:t>
            </w:r>
            <w:r w:rsidR="00B001E4" w:rsidRPr="001F1825">
              <w:rPr>
                <w:rFonts w:cs="@Batang"/>
                <w:spacing w:val="-2"/>
                <w:szCs w:val="20"/>
              </w:rPr>
              <w:t xml:space="preserve">s </w:t>
            </w:r>
            <w:r w:rsidRPr="001F1825">
              <w:rPr>
                <w:rFonts w:cs="@Batang"/>
                <w:spacing w:val="-2"/>
                <w:szCs w:val="20"/>
              </w:rPr>
              <w:t xml:space="preserve">also had their </w:t>
            </w:r>
            <w:r w:rsidR="00B001E4" w:rsidRPr="001F1825">
              <w:rPr>
                <w:rFonts w:cs="@Batang"/>
                <w:spacing w:val="-2"/>
                <w:szCs w:val="20"/>
              </w:rPr>
              <w:t>VHR</w:t>
            </w:r>
            <w:r w:rsidRPr="001F1825">
              <w:rPr>
                <w:rFonts w:cs="@Batang"/>
                <w:spacing w:val="-2"/>
                <w:szCs w:val="20"/>
              </w:rPr>
              <w:t xml:space="preserve"> applications back dated to reflect the time they had spent homeless. </w:t>
            </w:r>
          </w:p>
          <w:p w14:paraId="579B4A7A" w14:textId="75985832"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The provision of housing through the private market (i.e. through head leasing) was an aspect of innovation within J2SI </w:t>
            </w:r>
            <w:r w:rsidR="00B001E4" w:rsidRPr="00442548">
              <w:rPr>
                <w:rFonts w:cs="@Batang"/>
                <w:szCs w:val="20"/>
              </w:rPr>
              <w:t>PAD</w:t>
            </w:r>
            <w:r w:rsidRPr="00442548">
              <w:rPr>
                <w:rFonts w:cs="@Batang"/>
                <w:szCs w:val="20"/>
              </w:rPr>
              <w:t xml:space="preserve">. </w:t>
            </w:r>
          </w:p>
        </w:tc>
        <w:tc>
          <w:tcPr>
            <w:tcW w:w="4322" w:type="dxa"/>
            <w:shd w:val="clear" w:color="auto" w:fill="auto"/>
            <w:vAlign w:val="center"/>
          </w:tcPr>
          <w:p w14:paraId="363111EA" w14:textId="0A6D9728"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Public housing was provided by </w:t>
            </w:r>
            <w:r w:rsidR="002E33E9">
              <w:rPr>
                <w:rFonts w:cs="@Batang"/>
                <w:szCs w:val="20"/>
              </w:rPr>
              <w:t>Department of Families, Fairness and Housing (</w:t>
            </w:r>
            <w:r w:rsidRPr="00442548">
              <w:rPr>
                <w:rFonts w:cs="@Batang"/>
                <w:szCs w:val="20"/>
              </w:rPr>
              <w:t>DFFH</w:t>
            </w:r>
            <w:r w:rsidR="002E33E9">
              <w:rPr>
                <w:rFonts w:cs="@Batang"/>
                <w:szCs w:val="20"/>
              </w:rPr>
              <w:t>)</w:t>
            </w:r>
            <w:r w:rsidR="001B451E" w:rsidRPr="00442548">
              <w:rPr>
                <w:rFonts w:cs="@Batang"/>
                <w:szCs w:val="20"/>
              </w:rPr>
              <w:t>/Homes Victoria</w:t>
            </w:r>
            <w:r w:rsidRPr="00442548">
              <w:rPr>
                <w:rFonts w:cs="@Batang"/>
                <w:szCs w:val="20"/>
              </w:rPr>
              <w:t xml:space="preserve"> and community housing provided by community housing providers.</w:t>
            </w:r>
          </w:p>
          <w:p w14:paraId="7B851AA2" w14:textId="67B7D707"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Head leasing was administered through partnerships with Unison and Housing Choices Australia, and allowed clients to be housed more rapidly, applying the housing first principles. The head leased properties were used to support stable housing until clients were offered social housing or </w:t>
            </w:r>
            <w:r w:rsidR="00DB64F3">
              <w:rPr>
                <w:rFonts w:cs="@Batang"/>
                <w:szCs w:val="20"/>
              </w:rPr>
              <w:t>they</w:t>
            </w:r>
            <w:r w:rsidRPr="00442548">
              <w:rPr>
                <w:rFonts w:cs="@Batang"/>
                <w:szCs w:val="20"/>
              </w:rPr>
              <w:t xml:space="preserve"> could move into their own housing arrangement.</w:t>
            </w:r>
          </w:p>
        </w:tc>
      </w:tr>
      <w:tr w:rsidR="00F42058" w:rsidRPr="00F42058" w14:paraId="01DBF34E" w14:textId="77777777" w:rsidTr="00963D5B">
        <w:trPr>
          <w:trHeight w:val="3687"/>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27722D6A" w14:textId="0C174082" w:rsidR="00F42058" w:rsidRPr="00442548" w:rsidRDefault="00F42058" w:rsidP="009C6773">
            <w:pPr>
              <w:pStyle w:val="Tabletext"/>
              <w:rPr>
                <w:rFonts w:cs="@Batang"/>
                <w:szCs w:val="20"/>
              </w:rPr>
            </w:pPr>
            <w:r w:rsidRPr="00442548">
              <w:rPr>
                <w:rFonts w:cs="@Batang"/>
                <w:szCs w:val="20"/>
              </w:rPr>
              <w:t>Funding/</w:t>
            </w:r>
            <w:r w:rsidRPr="00442548">
              <w:rPr>
                <w:rFonts w:cs="@Batang"/>
                <w:szCs w:val="20"/>
              </w:rPr>
              <w:br/>
              <w:t>financing</w:t>
            </w:r>
          </w:p>
        </w:tc>
        <w:tc>
          <w:tcPr>
            <w:tcW w:w="4464" w:type="dxa"/>
            <w:shd w:val="clear" w:color="auto" w:fill="auto"/>
            <w:vAlign w:val="center"/>
          </w:tcPr>
          <w:p w14:paraId="73127FEF" w14:textId="3AA86159" w:rsidR="00F42058" w:rsidRPr="00442548" w:rsidRDefault="00B001E4"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The </w:t>
            </w:r>
            <w:r w:rsidR="00F42058" w:rsidRPr="00442548">
              <w:rPr>
                <w:rFonts w:cs="@Batang"/>
                <w:szCs w:val="20"/>
              </w:rPr>
              <w:t xml:space="preserve">J2SI </w:t>
            </w:r>
            <w:r w:rsidRPr="00442548">
              <w:rPr>
                <w:rFonts w:cs="@Batang"/>
                <w:szCs w:val="20"/>
              </w:rPr>
              <w:t>PAD</w:t>
            </w:r>
            <w:r w:rsidR="00F42058" w:rsidRPr="00442548">
              <w:rPr>
                <w:rFonts w:cs="@Batang"/>
                <w:szCs w:val="20"/>
              </w:rPr>
              <w:t xml:space="preserve"> was funded through DFFH, and financed by the Catholic Development Fund and guarantors.</w:t>
            </w:r>
          </w:p>
          <w:p w14:paraId="624514F8" w14:textId="670725B9"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A </w:t>
            </w:r>
            <w:r w:rsidR="00505025">
              <w:rPr>
                <w:rFonts w:cs="@Batang"/>
                <w:szCs w:val="20"/>
              </w:rPr>
              <w:t xml:space="preserve">contingency fund </w:t>
            </w:r>
            <w:r w:rsidRPr="00442548">
              <w:rPr>
                <w:rFonts w:cs="@Batang"/>
                <w:szCs w:val="20"/>
              </w:rPr>
              <w:t>for head leasing</w:t>
            </w:r>
            <w:r w:rsidR="00AC1E55">
              <w:rPr>
                <w:rFonts w:cs="@Batang"/>
                <w:szCs w:val="20"/>
              </w:rPr>
              <w:t xml:space="preserve"> – the head leasing contingency fund (HLCF) -</w:t>
            </w:r>
            <w:r w:rsidRPr="00442548">
              <w:rPr>
                <w:rFonts w:cs="@Batang"/>
                <w:szCs w:val="20"/>
              </w:rPr>
              <w:t xml:space="preserve"> was included in the development of the SII, for the purposes of cost variations and financial penalties.</w:t>
            </w:r>
          </w:p>
        </w:tc>
        <w:tc>
          <w:tcPr>
            <w:tcW w:w="4322" w:type="dxa"/>
            <w:shd w:val="clear" w:color="auto" w:fill="auto"/>
            <w:vAlign w:val="center"/>
          </w:tcPr>
          <w:p w14:paraId="7A977F0D" w14:textId="77777777" w:rsidR="00F42058" w:rsidRPr="001F1825"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pacing w:val="-2"/>
                <w:szCs w:val="20"/>
              </w:rPr>
            </w:pPr>
            <w:r w:rsidRPr="001F1825">
              <w:rPr>
                <w:rFonts w:cs="@Batang"/>
                <w:spacing w:val="-2"/>
                <w:szCs w:val="20"/>
              </w:rPr>
              <w:t>The contingency fund enabled the program to have some margin of error in the modelling (which was agreed in the joint development phase). The contingency fund was in place in recognition of uncertainty around social housing supply.</w:t>
            </w:r>
          </w:p>
          <w:p w14:paraId="0F4269A7" w14:textId="0BAFF09E"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1F1825">
              <w:rPr>
                <w:rFonts w:cs="@Batang"/>
                <w:spacing w:val="-2"/>
                <w:szCs w:val="20"/>
              </w:rPr>
              <w:t xml:space="preserve">The financial penalties </w:t>
            </w:r>
            <w:r w:rsidR="00D67ADC" w:rsidRPr="001F1825">
              <w:rPr>
                <w:rFonts w:cs="@Batang"/>
                <w:spacing w:val="-2"/>
                <w:szCs w:val="20"/>
              </w:rPr>
              <w:t>were</w:t>
            </w:r>
            <w:r w:rsidRPr="001F1825">
              <w:rPr>
                <w:rFonts w:cs="@Batang"/>
                <w:spacing w:val="-2"/>
                <w:szCs w:val="20"/>
              </w:rPr>
              <w:t xml:space="preserve"> approximately </w:t>
            </w:r>
            <w:r w:rsidR="00CC7F82" w:rsidRPr="001F1825">
              <w:rPr>
                <w:rFonts w:cs="@Batang"/>
                <w:spacing w:val="-2"/>
                <w:szCs w:val="20"/>
              </w:rPr>
              <w:t>equivalent</w:t>
            </w:r>
            <w:r w:rsidRPr="001F1825">
              <w:rPr>
                <w:rFonts w:cs="@Batang"/>
                <w:spacing w:val="-2"/>
                <w:szCs w:val="20"/>
              </w:rPr>
              <w:t xml:space="preserve"> to the amount required to head lease a property for one year. Penalties </w:t>
            </w:r>
            <w:r w:rsidR="00D67ADC" w:rsidRPr="001F1825">
              <w:rPr>
                <w:rFonts w:cs="@Batang"/>
                <w:spacing w:val="-2"/>
                <w:szCs w:val="20"/>
              </w:rPr>
              <w:t>would be</w:t>
            </w:r>
            <w:r w:rsidRPr="001F1825">
              <w:rPr>
                <w:rFonts w:cs="@Batang"/>
                <w:spacing w:val="-2"/>
                <w:szCs w:val="20"/>
              </w:rPr>
              <w:t xml:space="preserve"> delivered when a client is in the position of exiting into homelessness at the end of the lease period, or where clients have not been housed in transitional or social housing within </w:t>
            </w:r>
            <w:r w:rsidR="009C6773" w:rsidRPr="001F1825">
              <w:rPr>
                <w:spacing w:val="-2"/>
              </w:rPr>
              <w:t>six</w:t>
            </w:r>
            <w:r w:rsidRPr="001F1825">
              <w:rPr>
                <w:rFonts w:cs="@Batang"/>
                <w:spacing w:val="-2"/>
                <w:szCs w:val="20"/>
              </w:rPr>
              <w:t xml:space="preserve"> months from their commencement as a</w:t>
            </w:r>
            <w:r w:rsidR="008572D1" w:rsidRPr="001F1825">
              <w:rPr>
                <w:rFonts w:cs="@Batang"/>
                <w:spacing w:val="-2"/>
                <w:szCs w:val="20"/>
              </w:rPr>
              <w:t xml:space="preserve"> client in the</w:t>
            </w:r>
            <w:r w:rsidRPr="001F1825">
              <w:rPr>
                <w:rFonts w:cs="@Batang"/>
                <w:spacing w:val="-2"/>
                <w:szCs w:val="20"/>
              </w:rPr>
              <w:t xml:space="preserve"> J2SI </w:t>
            </w:r>
            <w:r w:rsidR="00045915" w:rsidRPr="001F1825">
              <w:rPr>
                <w:rFonts w:cs="@Batang"/>
                <w:spacing w:val="-2"/>
                <w:szCs w:val="20"/>
              </w:rPr>
              <w:t>PAD</w:t>
            </w:r>
            <w:r w:rsidRPr="001F1825">
              <w:rPr>
                <w:rFonts w:cs="@Batang"/>
                <w:spacing w:val="-2"/>
                <w:szCs w:val="20"/>
              </w:rPr>
              <w:t xml:space="preserve">. If the head leasing contingency fund </w:t>
            </w:r>
            <w:r w:rsidR="007B197A" w:rsidRPr="001F1825">
              <w:rPr>
                <w:rFonts w:cs="@Batang"/>
                <w:spacing w:val="-2"/>
                <w:szCs w:val="20"/>
              </w:rPr>
              <w:t>wa</w:t>
            </w:r>
            <w:r w:rsidRPr="001F1825">
              <w:rPr>
                <w:rFonts w:cs="@Batang"/>
                <w:spacing w:val="-2"/>
                <w:szCs w:val="20"/>
              </w:rPr>
              <w:t xml:space="preserve">s completely drawn down and no funds </w:t>
            </w:r>
            <w:r w:rsidR="007B197A" w:rsidRPr="001F1825">
              <w:rPr>
                <w:rFonts w:cs="@Batang"/>
                <w:spacing w:val="-2"/>
                <w:szCs w:val="20"/>
              </w:rPr>
              <w:t>were</w:t>
            </w:r>
            <w:r w:rsidRPr="001F1825">
              <w:rPr>
                <w:rFonts w:cs="@Batang"/>
                <w:spacing w:val="-2"/>
                <w:szCs w:val="20"/>
              </w:rPr>
              <w:t xml:space="preserve"> available to be paid, the State</w:t>
            </w:r>
            <w:r w:rsidR="00A64DB4" w:rsidRPr="001F1825">
              <w:rPr>
                <w:rFonts w:cs="@Batang"/>
                <w:spacing w:val="-2"/>
                <w:szCs w:val="20"/>
              </w:rPr>
              <w:t xml:space="preserve"> would have been required to</w:t>
            </w:r>
            <w:r w:rsidRPr="001F1825">
              <w:rPr>
                <w:rFonts w:cs="@Batang"/>
                <w:spacing w:val="-2"/>
                <w:szCs w:val="20"/>
              </w:rPr>
              <w:t xml:space="preserve"> continue to pay the financial penalties as they </w:t>
            </w:r>
            <w:r w:rsidR="007B197A" w:rsidRPr="001F1825">
              <w:rPr>
                <w:rFonts w:cs="@Batang"/>
                <w:spacing w:val="-2"/>
                <w:szCs w:val="20"/>
              </w:rPr>
              <w:t>were</w:t>
            </w:r>
            <w:r w:rsidRPr="001F1825">
              <w:rPr>
                <w:rFonts w:cs="@Batang"/>
                <w:spacing w:val="-2"/>
                <w:szCs w:val="20"/>
              </w:rPr>
              <w:t xml:space="preserve"> incurred. </w:t>
            </w:r>
          </w:p>
        </w:tc>
      </w:tr>
      <w:tr w:rsidR="00F42058" w:rsidRPr="00F42058" w14:paraId="05350556" w14:textId="77777777" w:rsidTr="0098520B">
        <w:trPr>
          <w:trHeight w:val="2331"/>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6E119D52" w14:textId="01EC9AAD" w:rsidR="00F42058" w:rsidRPr="00442548" w:rsidRDefault="00F42058" w:rsidP="009C6773">
            <w:pPr>
              <w:pStyle w:val="Tabletext"/>
              <w:rPr>
                <w:rFonts w:cs="@Batang"/>
                <w:szCs w:val="20"/>
              </w:rPr>
            </w:pPr>
            <w:r w:rsidRPr="00442548">
              <w:rPr>
                <w:rFonts w:cs="@Batang"/>
                <w:szCs w:val="20"/>
              </w:rPr>
              <w:t>Governance</w:t>
            </w:r>
          </w:p>
        </w:tc>
        <w:tc>
          <w:tcPr>
            <w:tcW w:w="4464" w:type="dxa"/>
            <w:shd w:val="clear" w:color="auto" w:fill="auto"/>
            <w:vAlign w:val="center"/>
          </w:tcPr>
          <w:p w14:paraId="34CD5684" w14:textId="19565BC6"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The J2SI Operations Manual details the governance structure, authority and responsibilities required to deliver the </w:t>
            </w:r>
            <w:r w:rsidR="00045915" w:rsidRPr="00442548">
              <w:rPr>
                <w:rFonts w:cs="@Batang"/>
                <w:szCs w:val="20"/>
              </w:rPr>
              <w:t>PAD</w:t>
            </w:r>
            <w:r w:rsidRPr="00442548">
              <w:rPr>
                <w:rFonts w:cs="@Batang"/>
                <w:szCs w:val="20"/>
              </w:rPr>
              <w:t xml:space="preserve">. </w:t>
            </w:r>
            <w:r w:rsidR="00A55690" w:rsidRPr="00442548">
              <w:rPr>
                <w:rFonts w:cs="@Batang"/>
                <w:szCs w:val="20"/>
              </w:rPr>
              <w:t xml:space="preserve">The J2SI PAD was governed and managed day-to-day in partnership between the DFFH/Homes Victoria Government Contract Manager (GCM) and SHM, with an advisory role performed by a Joint Working Group (JWG) </w:t>
            </w:r>
            <w:r w:rsidR="00056462" w:rsidRPr="00442548">
              <w:rPr>
                <w:rFonts w:cs="@Batang"/>
                <w:szCs w:val="20"/>
              </w:rPr>
              <w:t>that</w:t>
            </w:r>
            <w:r w:rsidR="00A55690" w:rsidRPr="00442548">
              <w:rPr>
                <w:rFonts w:cs="@Batang"/>
                <w:szCs w:val="20"/>
              </w:rPr>
              <w:t xml:space="preserve"> featured representation from all key stakeholders involved in delivering the PAD (in particular DFFH/Homes Victoria, SHM, and DTF). </w:t>
            </w:r>
          </w:p>
        </w:tc>
        <w:tc>
          <w:tcPr>
            <w:tcW w:w="4322" w:type="dxa"/>
            <w:shd w:val="clear" w:color="auto" w:fill="auto"/>
            <w:vAlign w:val="center"/>
          </w:tcPr>
          <w:p w14:paraId="447CDCF2" w14:textId="03BF623C" w:rsidR="00F42058" w:rsidRPr="00442548" w:rsidRDefault="00BA3971"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The collaborative governance structure and representation on the JWG</w:t>
            </w:r>
            <w:r w:rsidR="00876363" w:rsidRPr="00442548">
              <w:rPr>
                <w:rFonts w:cs="@Batang"/>
                <w:szCs w:val="20"/>
              </w:rPr>
              <w:t xml:space="preserve"> enabled </w:t>
            </w:r>
            <w:r w:rsidR="001A3B55" w:rsidRPr="00442548">
              <w:rPr>
                <w:rFonts w:cs="@Batang"/>
                <w:szCs w:val="20"/>
              </w:rPr>
              <w:t>a structure</w:t>
            </w:r>
            <w:r w:rsidR="00876363" w:rsidRPr="00442548">
              <w:rPr>
                <w:rFonts w:cs="@Batang"/>
                <w:szCs w:val="20"/>
              </w:rPr>
              <w:t xml:space="preserve"> to collectively work through challenges </w:t>
            </w:r>
            <w:r w:rsidR="005F5F4F" w:rsidRPr="00442548">
              <w:rPr>
                <w:rFonts w:cs="@Batang"/>
                <w:szCs w:val="20"/>
              </w:rPr>
              <w:t xml:space="preserve">identified </w:t>
            </w:r>
            <w:r w:rsidR="00876363" w:rsidRPr="00442548">
              <w:rPr>
                <w:rFonts w:cs="@Batang"/>
                <w:szCs w:val="20"/>
              </w:rPr>
              <w:t xml:space="preserve">over the </w:t>
            </w:r>
            <w:r w:rsidR="005F5F4F" w:rsidRPr="00442548">
              <w:rPr>
                <w:rFonts w:cs="@Batang"/>
                <w:szCs w:val="20"/>
              </w:rPr>
              <w:t xml:space="preserve">course of the program, and ensure solutions were </w:t>
            </w:r>
            <w:r w:rsidR="00840C65" w:rsidRPr="00442548">
              <w:rPr>
                <w:rFonts w:cs="@Batang"/>
                <w:szCs w:val="20"/>
              </w:rPr>
              <w:t>found.</w:t>
            </w:r>
          </w:p>
        </w:tc>
      </w:tr>
      <w:tr w:rsidR="00F42058" w:rsidRPr="00F42058" w14:paraId="611C497E" w14:textId="77777777" w:rsidTr="0098520B">
        <w:trPr>
          <w:trHeight w:val="2535"/>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5E1A6A6A" w14:textId="1F4AE1E5" w:rsidR="00F42058" w:rsidRPr="00442548" w:rsidRDefault="00F42058" w:rsidP="009C6773">
            <w:pPr>
              <w:pStyle w:val="Tabletext"/>
              <w:rPr>
                <w:rFonts w:cs="@Batang"/>
                <w:szCs w:val="20"/>
              </w:rPr>
            </w:pPr>
            <w:r w:rsidRPr="00442548">
              <w:rPr>
                <w:rFonts w:cs="@Batang"/>
                <w:szCs w:val="20"/>
              </w:rPr>
              <w:lastRenderedPageBreak/>
              <w:t>Payable outcomes</w:t>
            </w:r>
          </w:p>
        </w:tc>
        <w:tc>
          <w:tcPr>
            <w:tcW w:w="4464" w:type="dxa"/>
            <w:shd w:val="clear" w:color="auto" w:fill="auto"/>
            <w:vAlign w:val="center"/>
          </w:tcPr>
          <w:p w14:paraId="16C8E02A" w14:textId="2A5BE60F" w:rsidR="00F42058" w:rsidRPr="00442548" w:rsidRDefault="00F42058"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 xml:space="preserve">Two payable outcome measures (percentage of clients in stable housing and reduction in number of hospital bed days) were incorporated into the </w:t>
            </w:r>
            <w:r w:rsidR="00A64DB4" w:rsidRPr="00442548">
              <w:rPr>
                <w:rFonts w:cs="@Batang"/>
                <w:szCs w:val="20"/>
              </w:rPr>
              <w:t>PAD</w:t>
            </w:r>
            <w:r w:rsidRPr="00442548">
              <w:rPr>
                <w:rFonts w:cs="@Batang"/>
                <w:szCs w:val="20"/>
              </w:rPr>
              <w:t xml:space="preserve"> to monitor program performance. Performance against these outcomes was used to </w:t>
            </w:r>
            <w:r w:rsidR="00045915" w:rsidRPr="00442548">
              <w:rPr>
                <w:rFonts w:cs="@Batang"/>
                <w:szCs w:val="20"/>
              </w:rPr>
              <w:t>determine</w:t>
            </w:r>
            <w:r w:rsidRPr="00442548">
              <w:rPr>
                <w:rFonts w:cs="@Batang"/>
                <w:szCs w:val="20"/>
              </w:rPr>
              <w:t xml:space="preserve"> the performance payments to SHM. </w:t>
            </w:r>
            <w:r w:rsidR="007002D9" w:rsidRPr="00442548">
              <w:rPr>
                <w:rFonts w:cs="@Batang"/>
                <w:szCs w:val="20"/>
              </w:rPr>
              <w:t>Linked government administrative data was used to calculate payable outcomes, and was validated by additional data captured by SHM service delivery staff.</w:t>
            </w:r>
          </w:p>
          <w:p w14:paraId="36714ADC" w14:textId="3BE58171" w:rsidR="00F42058" w:rsidRPr="00442548" w:rsidRDefault="00A64DB4"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D</w:t>
            </w:r>
            <w:r w:rsidR="00F42058" w:rsidRPr="00442548">
              <w:rPr>
                <w:rFonts w:cs="@Batang"/>
                <w:szCs w:val="20"/>
              </w:rPr>
              <w:t>efinitions of each payable outcome were agreed during the joint development phase.</w:t>
            </w:r>
          </w:p>
        </w:tc>
        <w:tc>
          <w:tcPr>
            <w:tcW w:w="4322" w:type="dxa"/>
            <w:shd w:val="clear" w:color="auto" w:fill="auto"/>
            <w:vAlign w:val="center"/>
          </w:tcPr>
          <w:p w14:paraId="3351B868" w14:textId="4CBD35F9" w:rsidR="00F42058" w:rsidRPr="00442548" w:rsidRDefault="009A590F" w:rsidP="009C6773">
            <w:pPr>
              <w:pStyle w:val="Tabletext"/>
              <w:cnfStyle w:val="000000000000" w:firstRow="0" w:lastRow="0" w:firstColumn="0" w:lastColumn="0" w:oddVBand="0" w:evenVBand="0" w:oddHBand="0" w:evenHBand="0" w:firstRowFirstColumn="0" w:firstRowLastColumn="0" w:lastRowFirstColumn="0" w:lastRowLastColumn="0"/>
              <w:rPr>
                <w:rFonts w:cs="@Batang"/>
                <w:szCs w:val="20"/>
              </w:rPr>
            </w:pPr>
            <w:r w:rsidRPr="00442548">
              <w:rPr>
                <w:rFonts w:cs="@Batang"/>
                <w:szCs w:val="20"/>
              </w:rPr>
              <w:t>A</w:t>
            </w:r>
            <w:r w:rsidR="00F42058" w:rsidRPr="00442548">
              <w:rPr>
                <w:rFonts w:cs="@Batang"/>
                <w:szCs w:val="20"/>
              </w:rPr>
              <w:t xml:space="preserve"> more rigorous approach </w:t>
            </w:r>
            <w:r w:rsidR="00BC776F" w:rsidRPr="00442548">
              <w:rPr>
                <w:rFonts w:cs="@Batang"/>
                <w:szCs w:val="20"/>
              </w:rPr>
              <w:t>required</w:t>
            </w:r>
            <w:r w:rsidR="004425BF" w:rsidRPr="00442548">
              <w:rPr>
                <w:rFonts w:cs="@Batang"/>
                <w:szCs w:val="20"/>
              </w:rPr>
              <w:t xml:space="preserve"> around</w:t>
            </w:r>
            <w:r w:rsidR="00F42058" w:rsidRPr="00442548">
              <w:rPr>
                <w:rFonts w:cs="@Batang"/>
                <w:szCs w:val="20"/>
              </w:rPr>
              <w:t xml:space="preserve"> data collection</w:t>
            </w:r>
            <w:r w:rsidR="009A2B59" w:rsidRPr="00442548">
              <w:rPr>
                <w:rFonts w:cs="@Batang"/>
                <w:szCs w:val="20"/>
              </w:rPr>
              <w:t>, data quality,</w:t>
            </w:r>
            <w:r w:rsidR="00F42058" w:rsidRPr="00442548">
              <w:rPr>
                <w:rFonts w:cs="@Batang"/>
                <w:szCs w:val="20"/>
              </w:rPr>
              <w:t xml:space="preserve"> and analysis than for non</w:t>
            </w:r>
            <w:r w:rsidR="009C6773">
              <w:noBreakHyphen/>
            </w:r>
            <w:r w:rsidR="0098520B" w:rsidRPr="00442548">
              <w:rPr>
                <w:rFonts w:cs="@Batang"/>
                <w:szCs w:val="20"/>
              </w:rPr>
              <w:t>SII</w:t>
            </w:r>
            <w:r w:rsidR="00F42058" w:rsidRPr="00442548">
              <w:rPr>
                <w:rFonts w:cs="@Batang"/>
                <w:szCs w:val="20"/>
              </w:rPr>
              <w:t xml:space="preserve"> funded programs</w:t>
            </w:r>
            <w:r w:rsidR="009A2B59" w:rsidRPr="00442548">
              <w:rPr>
                <w:rFonts w:cs="@Batang"/>
                <w:szCs w:val="20"/>
              </w:rPr>
              <w:t xml:space="preserve">. This was </w:t>
            </w:r>
            <w:r w:rsidRPr="00442548">
              <w:rPr>
                <w:rFonts w:cs="@Batang"/>
                <w:szCs w:val="20"/>
              </w:rPr>
              <w:t>due to the fact that data</w:t>
            </w:r>
            <w:r w:rsidR="0077269A" w:rsidRPr="00442548">
              <w:rPr>
                <w:rFonts w:cs="@Batang"/>
                <w:szCs w:val="20"/>
              </w:rPr>
              <w:t xml:space="preserve"> (from multiple sources, </w:t>
            </w:r>
            <w:r w:rsidR="001D2B05">
              <w:rPr>
                <w:rFonts w:cs="@Batang"/>
                <w:szCs w:val="20"/>
              </w:rPr>
              <w:t>predo</w:t>
            </w:r>
            <w:r w:rsidR="00B26BC9">
              <w:rPr>
                <w:rFonts w:cs="@Batang"/>
                <w:szCs w:val="20"/>
              </w:rPr>
              <w:t>minantly</w:t>
            </w:r>
            <w:r w:rsidR="001D2B05" w:rsidRPr="00442548">
              <w:rPr>
                <w:rFonts w:cs="@Batang"/>
                <w:szCs w:val="20"/>
              </w:rPr>
              <w:t xml:space="preserve"> </w:t>
            </w:r>
            <w:r w:rsidR="0077269A" w:rsidRPr="00442548">
              <w:rPr>
                <w:rFonts w:cs="@Batang"/>
                <w:szCs w:val="20"/>
              </w:rPr>
              <w:t>linked data</w:t>
            </w:r>
            <w:r w:rsidR="00B26BC9">
              <w:rPr>
                <w:rFonts w:cs="@Batang"/>
                <w:szCs w:val="20"/>
              </w:rPr>
              <w:t xml:space="preserve"> and supplemented by case notes for the purposes of </w:t>
            </w:r>
            <w:r w:rsidR="001D2D08">
              <w:rPr>
                <w:rFonts w:cs="@Batang"/>
                <w:szCs w:val="20"/>
              </w:rPr>
              <w:t xml:space="preserve">identifying </w:t>
            </w:r>
            <w:r w:rsidR="00DB64F3">
              <w:rPr>
                <w:rFonts w:cs="@Batang"/>
                <w:szCs w:val="20"/>
              </w:rPr>
              <w:t>whether</w:t>
            </w:r>
            <w:r w:rsidR="001D2D08">
              <w:rPr>
                <w:rFonts w:cs="@Batang"/>
                <w:szCs w:val="20"/>
              </w:rPr>
              <w:t xml:space="preserve"> the use of crisis accommodation was for family violence reasons</w:t>
            </w:r>
            <w:r w:rsidR="0077269A" w:rsidRPr="00442548">
              <w:rPr>
                <w:rFonts w:cs="@Batang"/>
                <w:szCs w:val="20"/>
              </w:rPr>
              <w:t>)</w:t>
            </w:r>
            <w:r w:rsidRPr="00442548">
              <w:rPr>
                <w:rFonts w:cs="@Batang"/>
                <w:szCs w:val="20"/>
              </w:rPr>
              <w:t xml:space="preserve"> was used to determine </w:t>
            </w:r>
            <w:r w:rsidR="0077269A" w:rsidRPr="00442548">
              <w:rPr>
                <w:rFonts w:cs="@Batang"/>
                <w:szCs w:val="20"/>
              </w:rPr>
              <w:t xml:space="preserve">the </w:t>
            </w:r>
            <w:r w:rsidRPr="00442548">
              <w:rPr>
                <w:rFonts w:cs="@Batang"/>
                <w:szCs w:val="20"/>
              </w:rPr>
              <w:t>outcomes</w:t>
            </w:r>
            <w:r w:rsidR="0077269A" w:rsidRPr="00442548">
              <w:rPr>
                <w:rFonts w:cs="@Batang"/>
                <w:szCs w:val="20"/>
              </w:rPr>
              <w:t xml:space="preserve"> </w:t>
            </w:r>
            <w:r w:rsidRPr="00442548">
              <w:rPr>
                <w:rFonts w:cs="@Batang"/>
                <w:szCs w:val="20"/>
              </w:rPr>
              <w:t>which in turn were used to deliver payments</w:t>
            </w:r>
            <w:r w:rsidR="00F42058" w:rsidRPr="00442548">
              <w:rPr>
                <w:rFonts w:cs="@Batang"/>
                <w:szCs w:val="20"/>
              </w:rPr>
              <w:t xml:space="preserve">. </w:t>
            </w:r>
          </w:p>
        </w:tc>
      </w:tr>
    </w:tbl>
    <w:p w14:paraId="6AC5C0E1" w14:textId="265C152E" w:rsidR="00DE615E" w:rsidRPr="00DE615E" w:rsidRDefault="00DE615E" w:rsidP="007A2CBF">
      <w:pPr>
        <w:pStyle w:val="Heading3"/>
      </w:pPr>
      <w:r>
        <w:t xml:space="preserve">The J2SI </w:t>
      </w:r>
      <w:r w:rsidR="00A32DF3">
        <w:t>PAD</w:t>
      </w:r>
      <w:r>
        <w:t xml:space="preserve"> evaluation</w:t>
      </w:r>
    </w:p>
    <w:p w14:paraId="40232CFE" w14:textId="3A3051FA" w:rsidR="007C3511" w:rsidRPr="00325BE2" w:rsidRDefault="007C3511" w:rsidP="00325BE2">
      <w:pPr>
        <w:pStyle w:val="BodyText"/>
      </w:pPr>
      <w:r w:rsidRPr="00325BE2">
        <w:t xml:space="preserve">KPMG </w:t>
      </w:r>
      <w:r w:rsidR="00CB5252" w:rsidRPr="00325BE2">
        <w:t>was</w:t>
      </w:r>
      <w:r w:rsidRPr="00325BE2">
        <w:t xml:space="preserve"> engaged to undertake a three-stage evaluation of</w:t>
      </w:r>
      <w:r w:rsidR="00563CB3" w:rsidRPr="00325BE2">
        <w:t xml:space="preserve"> the</w:t>
      </w:r>
      <w:r w:rsidRPr="00325BE2">
        <w:t xml:space="preserve"> J2SI </w:t>
      </w:r>
      <w:r w:rsidR="0079603D" w:rsidRPr="00325BE2">
        <w:t>PAD</w:t>
      </w:r>
      <w:r w:rsidRPr="00325BE2">
        <w:t>:</w:t>
      </w:r>
    </w:p>
    <w:p w14:paraId="2081D362" w14:textId="64D4370B" w:rsidR="007C3511" w:rsidRPr="00A52593" w:rsidRDefault="007C3511" w:rsidP="00632D10">
      <w:pPr>
        <w:pStyle w:val="Bullet1stlevel"/>
      </w:pPr>
      <w:r w:rsidRPr="00A52593">
        <w:t xml:space="preserve">Stage 1: Formative </w:t>
      </w:r>
      <w:r w:rsidR="00C97B78" w:rsidRPr="00A52593">
        <w:t>evaluation. F</w:t>
      </w:r>
      <w:r w:rsidRPr="00A52593">
        <w:t xml:space="preserve">ocused on the implementation and establishment of </w:t>
      </w:r>
      <w:r w:rsidR="003D653A" w:rsidRPr="00A52593">
        <w:t xml:space="preserve">the </w:t>
      </w:r>
      <w:r w:rsidRPr="00A52593">
        <w:t xml:space="preserve">J2SI </w:t>
      </w:r>
      <w:r w:rsidR="0079603D" w:rsidRPr="00A52593">
        <w:t>PAD</w:t>
      </w:r>
      <w:r w:rsidRPr="00A52593">
        <w:t xml:space="preserve"> in the first 12</w:t>
      </w:r>
      <w:r w:rsidR="009C6773">
        <w:t> </w:t>
      </w:r>
      <w:r w:rsidRPr="00A52593">
        <w:t>months of its operation (completed September 2020)</w:t>
      </w:r>
      <w:r w:rsidR="0079603D" w:rsidRPr="00A52593">
        <w:t>;</w:t>
      </w:r>
    </w:p>
    <w:p w14:paraId="2F97188A" w14:textId="058C9BED" w:rsidR="007C3511" w:rsidRPr="00A52593" w:rsidRDefault="007C3511" w:rsidP="00632D10">
      <w:pPr>
        <w:pStyle w:val="Bullet1stlevel"/>
      </w:pPr>
      <w:r w:rsidRPr="00A52593">
        <w:t xml:space="preserve">Stage 2: </w:t>
      </w:r>
      <w:r w:rsidR="00C97B78" w:rsidRPr="00A52593">
        <w:t>Interim evaluation. F</w:t>
      </w:r>
      <w:r w:rsidRPr="00A52593">
        <w:t>ocuse</w:t>
      </w:r>
      <w:r w:rsidR="0079603D" w:rsidRPr="00A52593">
        <w:t>d</w:t>
      </w:r>
      <w:r w:rsidRPr="00A52593">
        <w:t xml:space="preserve"> on the preliminary outcomes of J2SI as a </w:t>
      </w:r>
      <w:r w:rsidR="0079603D" w:rsidRPr="00A52593">
        <w:t>PAD</w:t>
      </w:r>
      <w:r w:rsidRPr="00A52593">
        <w:t xml:space="preserve"> on key stakeholder groups (clients, government and SHM)</w:t>
      </w:r>
      <w:r w:rsidR="00C97B78" w:rsidRPr="00A52593">
        <w:t xml:space="preserve"> (completed December 2021)</w:t>
      </w:r>
      <w:r w:rsidR="0079603D" w:rsidRPr="00A52593">
        <w:t xml:space="preserve">; </w:t>
      </w:r>
      <w:r w:rsidR="009C6773">
        <w:t>and</w:t>
      </w:r>
    </w:p>
    <w:p w14:paraId="529539FA" w14:textId="3229D418" w:rsidR="007C3511" w:rsidRDefault="007C3511" w:rsidP="00632D10">
      <w:pPr>
        <w:pStyle w:val="Bullet1stlevel"/>
      </w:pPr>
      <w:r w:rsidRPr="00A52593">
        <w:t xml:space="preserve">Stage 3: </w:t>
      </w:r>
      <w:r w:rsidR="00C97B78" w:rsidRPr="00A52593">
        <w:t>Final evaluation</w:t>
      </w:r>
      <w:r w:rsidR="00806013">
        <w:t xml:space="preserve"> (this report)</w:t>
      </w:r>
      <w:r w:rsidR="00C97B78" w:rsidRPr="00A52593">
        <w:t xml:space="preserve">. </w:t>
      </w:r>
      <w:r w:rsidR="00806013">
        <w:t>Focuses</w:t>
      </w:r>
      <w:r w:rsidR="00C97B78" w:rsidRPr="00A52593">
        <w:t xml:space="preserve"> on the </w:t>
      </w:r>
      <w:r w:rsidR="00CB4B6B" w:rsidRPr="00A52593">
        <w:t>final outcomes and economic impact</w:t>
      </w:r>
      <w:r w:rsidRPr="00A52593">
        <w:t xml:space="preserve"> of J2SI as a </w:t>
      </w:r>
      <w:r w:rsidR="0079603D" w:rsidRPr="00A52593">
        <w:t>PA</w:t>
      </w:r>
      <w:r w:rsidR="0059010E" w:rsidRPr="00A52593">
        <w:t>D</w:t>
      </w:r>
      <w:r w:rsidRPr="00A52593">
        <w:t>.</w:t>
      </w:r>
      <w:r w:rsidR="00B121B7" w:rsidRPr="00A52593">
        <w:t xml:space="preserve"> </w:t>
      </w:r>
      <w:r w:rsidR="00A52593" w:rsidRPr="00A52593">
        <w:t xml:space="preserve">With this in mind, the final evaluation has </w:t>
      </w:r>
      <w:r w:rsidR="00C73C10">
        <w:t>included</w:t>
      </w:r>
      <w:r w:rsidR="00A52593" w:rsidRPr="00A52593">
        <w:t xml:space="preserve">: </w:t>
      </w:r>
    </w:p>
    <w:p w14:paraId="5C19F01E" w14:textId="0A0D811A" w:rsidR="00A52593" w:rsidRDefault="00A52593" w:rsidP="00325BE2">
      <w:pPr>
        <w:pStyle w:val="BodyText"/>
      </w:pPr>
      <w:r>
        <w:t>Outcomes evaluation</w:t>
      </w:r>
      <w:r w:rsidR="00C73C10">
        <w:t xml:space="preserve"> focusing</w:t>
      </w:r>
      <w:r>
        <w:t xml:space="preserve"> on the impact of the </w:t>
      </w:r>
      <w:r w:rsidR="002C2729">
        <w:t>SII</w:t>
      </w:r>
      <w:r>
        <w:t xml:space="preserve"> funding mechanism on the J2SI program, with consideration of J2SI clients, SHM and government</w:t>
      </w:r>
      <w:r w:rsidR="007049EF">
        <w:t xml:space="preserve">; and </w:t>
      </w:r>
    </w:p>
    <w:p w14:paraId="6A1DA00A" w14:textId="2300BCE6" w:rsidR="00A52593" w:rsidRDefault="00C73C10" w:rsidP="00325BE2">
      <w:pPr>
        <w:pStyle w:val="BodyText"/>
      </w:pPr>
      <w:r>
        <w:t>Cost-benefit analysis (CBA)</w:t>
      </w:r>
      <w:r w:rsidR="00A52593">
        <w:t xml:space="preserve"> </w:t>
      </w:r>
      <w:r>
        <w:t>that</w:t>
      </w:r>
      <w:r w:rsidR="00A52593">
        <w:t xml:space="preserve"> </w:t>
      </w:r>
      <w:r w:rsidR="00876075">
        <w:t xml:space="preserve">builds on the </w:t>
      </w:r>
      <w:r w:rsidR="005A4E0B">
        <w:t xml:space="preserve">findings from the </w:t>
      </w:r>
      <w:r w:rsidR="00501997">
        <w:t>outcomes</w:t>
      </w:r>
      <w:r w:rsidR="005A4E0B">
        <w:t xml:space="preserve"> evaluation</w:t>
      </w:r>
      <w:r w:rsidR="00444075">
        <w:t xml:space="preserve">, </w:t>
      </w:r>
      <w:r w:rsidR="00BA0E8B">
        <w:t>by assessing</w:t>
      </w:r>
      <w:r w:rsidR="00A52593">
        <w:t xml:space="preserve"> </w:t>
      </w:r>
      <w:r w:rsidR="00962A4F">
        <w:t xml:space="preserve">the extent to which </w:t>
      </w:r>
      <w:r w:rsidR="00782156" w:rsidRPr="00782156">
        <w:t>J2SI service delivery as a</w:t>
      </w:r>
      <w:r w:rsidR="00962A4F">
        <w:t xml:space="preserve"> PAD represents</w:t>
      </w:r>
      <w:r w:rsidR="009B414C">
        <w:t xml:space="preserve"> </w:t>
      </w:r>
      <w:r w:rsidR="00962A4F">
        <w:t>‘</w:t>
      </w:r>
      <w:r w:rsidR="009B414C">
        <w:t>value for money</w:t>
      </w:r>
      <w:r w:rsidR="00962A4F">
        <w:t>’</w:t>
      </w:r>
      <w:r w:rsidR="007049EF">
        <w:t>.</w:t>
      </w:r>
    </w:p>
    <w:p w14:paraId="564A9DAC" w14:textId="42FFF8A4" w:rsidR="00545AC8" w:rsidRDefault="006C6614" w:rsidP="00325BE2">
      <w:pPr>
        <w:pStyle w:val="BodyText"/>
        <w:sectPr w:rsidR="00545AC8" w:rsidSect="005B0986">
          <w:headerReference w:type="even" r:id="rId34"/>
          <w:headerReference w:type="default" r:id="rId35"/>
          <w:footerReference w:type="even" r:id="rId36"/>
          <w:footerReference w:type="default" r:id="rId37"/>
          <w:headerReference w:type="first" r:id="rId38"/>
          <w:footerReference w:type="first" r:id="rId39"/>
          <w:pgSz w:w="11906" w:h="16838"/>
          <w:pgMar w:top="851" w:right="851" w:bottom="851" w:left="851" w:header="567" w:footer="283" w:gutter="0"/>
          <w:cols w:space="708"/>
          <w:docGrid w:linePitch="360"/>
        </w:sectPr>
      </w:pPr>
      <w:r>
        <w:t>F</w:t>
      </w:r>
      <w:r w:rsidR="008B2AFF">
        <w:t xml:space="preserve">indings from </w:t>
      </w:r>
      <w:r w:rsidR="00122A8D">
        <w:t xml:space="preserve">evaluation </w:t>
      </w:r>
      <w:r w:rsidR="0059010E">
        <w:t>S</w:t>
      </w:r>
      <w:r w:rsidR="00122A8D">
        <w:t xml:space="preserve">tages 1 and 2 </w:t>
      </w:r>
      <w:r w:rsidR="0059010E">
        <w:t>are</w:t>
      </w:r>
      <w:r w:rsidR="00122A8D">
        <w:t xml:space="preserve"> provided </w:t>
      </w:r>
      <w:r w:rsidR="00DE615E">
        <w:t>below</w:t>
      </w:r>
      <w:r w:rsidR="007049EF">
        <w:t xml:space="preserve">, with further </w:t>
      </w:r>
      <w:r w:rsidR="00563CB3">
        <w:t xml:space="preserve">details on the approach to the final evaluation </w:t>
      </w:r>
      <w:r w:rsidR="00030EB5">
        <w:t xml:space="preserve">provided </w:t>
      </w:r>
      <w:r w:rsidR="0061097E">
        <w:t xml:space="preserve">in </w:t>
      </w:r>
      <w:hyperlink w:anchor="_Evaluation_overview" w:history="1">
        <w:r w:rsidR="00545AC8" w:rsidRPr="00981772">
          <w:rPr>
            <w:rStyle w:val="Hyperlink"/>
            <w:u w:val="none"/>
          </w:rPr>
          <w:t xml:space="preserve">Chapter </w:t>
        </w:r>
        <w:r w:rsidR="0016563C" w:rsidRPr="00981772">
          <w:rPr>
            <w:rStyle w:val="Hyperlink"/>
            <w:u w:val="none"/>
          </w:rPr>
          <w:t>4</w:t>
        </w:r>
      </w:hyperlink>
      <w:r w:rsidR="00545AC8" w:rsidRPr="00981772">
        <w:t>.</w:t>
      </w:r>
    </w:p>
    <w:p w14:paraId="1839ECE2" w14:textId="44A99765" w:rsidR="00885710" w:rsidRPr="00122A8D" w:rsidRDefault="00603894" w:rsidP="002C0CEE">
      <w:pPr>
        <w:pStyle w:val="Heading2"/>
      </w:pPr>
      <w:bookmarkStart w:id="34" w:name="_Ref150516349"/>
      <w:bookmarkStart w:id="35" w:name="_Toc178064003"/>
      <w:r w:rsidRPr="00122A8D">
        <w:lastRenderedPageBreak/>
        <w:t>Summary of Stage</w:t>
      </w:r>
      <w:r w:rsidR="009C6773">
        <w:t>s</w:t>
      </w:r>
      <w:r w:rsidRPr="00122A8D">
        <w:t xml:space="preserve"> 1 and 2 Evaluation Findings</w:t>
      </w:r>
      <w:bookmarkEnd w:id="34"/>
      <w:bookmarkEnd w:id="35"/>
    </w:p>
    <w:p w14:paraId="3EA99EBB" w14:textId="77777777" w:rsidR="00632D10" w:rsidRPr="00D92EFF" w:rsidRDefault="00632D10" w:rsidP="007A2CBF">
      <w:pPr>
        <w:pStyle w:val="Heading3"/>
      </w:pPr>
      <w:r w:rsidRPr="00D92EFF">
        <w:t>Stage 1 Formative Evaluation</w:t>
      </w:r>
    </w:p>
    <w:p w14:paraId="34E0A166" w14:textId="77777777" w:rsidR="00632D10" w:rsidRPr="00D92EFF" w:rsidRDefault="00632D10" w:rsidP="00325BE2">
      <w:pPr>
        <w:pStyle w:val="BodyText"/>
      </w:pPr>
      <w:r w:rsidRPr="00D92EFF">
        <w:t xml:space="preserve">The formative evaluation questions focused on program fidelity, efficiency and effectiveness, and future opportunities, and were investigated and answered through the use of a range of data collection methods. The methods included: a desktop review, interviews with stakeholders, analysis of time and resource cost data as well as a review of international insights. Data from different sources was triangulated to enable a balanced analysis of information, and </w:t>
      </w:r>
      <w:r>
        <w:t>to</w:t>
      </w:r>
      <w:r w:rsidRPr="00D92EFF">
        <w:t xml:space="preserve"> support a holistic response to key evaluation questions. </w:t>
      </w:r>
    </w:p>
    <w:p w14:paraId="289CA657" w14:textId="77777777" w:rsidR="00632D10" w:rsidRPr="00D92EFF" w:rsidRDefault="00632D10" w:rsidP="00325BE2">
      <w:pPr>
        <w:pStyle w:val="BodyTextkeepwithnext"/>
      </w:pPr>
      <w:r w:rsidRPr="00D92EFF">
        <w:t xml:space="preserve">Key findings included: </w:t>
      </w:r>
    </w:p>
    <w:p w14:paraId="1CA61ABE" w14:textId="77777777" w:rsidR="00632D10" w:rsidRPr="00632D10" w:rsidRDefault="00632D10" w:rsidP="00632D10">
      <w:pPr>
        <w:pStyle w:val="Bullet1stlevel"/>
      </w:pPr>
      <w:r w:rsidRPr="00632D10">
        <w:t xml:space="preserve">Program design. The evaluation found that, although fundamental elements of the J2SI program remained the same as previous iterations of the program, the governance, formal collaboration structures, and the funding model underpinning the program were significant changes when the program became a SII; </w:t>
      </w:r>
    </w:p>
    <w:p w14:paraId="2B5CBB46" w14:textId="77777777" w:rsidR="00632D10" w:rsidRPr="00632D10" w:rsidRDefault="00632D10" w:rsidP="00632D10">
      <w:pPr>
        <w:pStyle w:val="Bullet1stlevel"/>
      </w:pPr>
      <w:r w:rsidRPr="00632D10">
        <w:t xml:space="preserve">Implementation. Government stakeholders agreed that J2SI was successfully scaled up, and that it was helpful to implement an existing evidence-based service. It was also found that, as the program had been implemented twice as an RCT, work had already gone into measuring and defining program outcomes, providing SHM with confidence to deliver the outcomes required; </w:t>
      </w:r>
    </w:p>
    <w:p w14:paraId="1F893483" w14:textId="77777777" w:rsidR="00632D10" w:rsidRPr="00632D10" w:rsidRDefault="00632D10" w:rsidP="00632D10">
      <w:pPr>
        <w:pStyle w:val="Bullet1stlevel"/>
      </w:pPr>
      <w:r w:rsidRPr="00632D10">
        <w:t>There was no evidence of net widening when the program was scaled, and the evaluation reported that the caseworker was central to the program, with agency practices refined to support staff recruitment and retention. This included expanding audiences and channels for engaging potential recruits, and initiatives to try to prevent burn out;</w:t>
      </w:r>
    </w:p>
    <w:p w14:paraId="6DB05563" w14:textId="77777777" w:rsidR="00632D10" w:rsidRPr="00632D10" w:rsidRDefault="00632D10" w:rsidP="00632D10">
      <w:pPr>
        <w:pStyle w:val="Bullet1stlevel"/>
      </w:pPr>
      <w:r w:rsidRPr="00632D10">
        <w:t xml:space="preserve">Two key challenges in implementation related to housing supply and measurement. Specifically, the lack of housing supply, and the data requirements not being backed up with detail on how and who within DHHS would source the data, along with data-linkage being more complex than initially envisaged; </w:t>
      </w:r>
    </w:p>
    <w:p w14:paraId="20C8A1F7" w14:textId="77777777" w:rsidR="00632D10" w:rsidRPr="00632D10" w:rsidRDefault="00632D10" w:rsidP="00632D10">
      <w:pPr>
        <w:pStyle w:val="Bullet1stlevel"/>
      </w:pPr>
      <w:r w:rsidRPr="00632D10">
        <w:t>Effectiveness and efficiency. Regarding implementation effectiveness, the program was found to have detailed planning in place, strong organisational support and capability, and strong data monitoring and review processes. Regarding implementation efficiency, stakeholders reported that the transaction required a high level of investment in time and preliminary costings and were aligned with this finding; and</w:t>
      </w:r>
    </w:p>
    <w:p w14:paraId="4BFA42E4" w14:textId="77777777" w:rsidR="00632D10" w:rsidRPr="00632D10" w:rsidRDefault="00632D10" w:rsidP="00632D10">
      <w:pPr>
        <w:pStyle w:val="Bullet1stlevel"/>
      </w:pPr>
      <w:r w:rsidRPr="00632D10">
        <w:t>Other jurisdictions. The reviewed found that SIIs can be successfully designed and implemented, but also showed that, in some instances, there have been significant challenges. Early implementation of J2SI as a SII was considered to be relatively successful from an implementation perspective.</w:t>
      </w:r>
    </w:p>
    <w:p w14:paraId="631D562B" w14:textId="393222FB" w:rsidR="00D92EFF" w:rsidRDefault="00632D10" w:rsidP="00632D10">
      <w:pPr>
        <w:pStyle w:val="Bullet1stlevel"/>
      </w:pPr>
      <w:r w:rsidRPr="00632D10">
        <w:t>Stage 2 Interim Evaluation</w:t>
      </w:r>
    </w:p>
    <w:p w14:paraId="40088CF1" w14:textId="77777777" w:rsidR="00632D10" w:rsidRPr="00D92EFF" w:rsidRDefault="00632D10" w:rsidP="00325BE2">
      <w:pPr>
        <w:pStyle w:val="BodyText"/>
      </w:pPr>
      <w:r w:rsidRPr="00D92EFF">
        <w:t xml:space="preserve">The preliminary evaluation questions focused on the preliminary outcomes of the J2SI PAD in light of its structure as a SII funding mechanism for </w:t>
      </w:r>
      <w:r>
        <w:t>g</w:t>
      </w:r>
      <w:r w:rsidRPr="00D92EFF">
        <w:t>overnment, clients and SHM. Data sources included client outcomes data measured by payable outcomes and other client data collected by TICSPOT</w:t>
      </w:r>
      <w:r>
        <w:t>,</w:t>
      </w:r>
      <w:r w:rsidRPr="00D92EFF">
        <w:t xml:space="preserve"> stakeholder interviews, and a review of program documentation. </w:t>
      </w:r>
    </w:p>
    <w:p w14:paraId="2313DE7B" w14:textId="77777777" w:rsidR="00632D10" w:rsidRPr="00D92EFF" w:rsidRDefault="00632D10" w:rsidP="00632D10">
      <w:pPr>
        <w:pStyle w:val="Bullet2ndlevel"/>
      </w:pPr>
      <w:r w:rsidRPr="00D92EFF">
        <w:t xml:space="preserve">Key findings included: </w:t>
      </w:r>
    </w:p>
    <w:p w14:paraId="4C4AE1DC" w14:textId="77777777" w:rsidR="00632D10" w:rsidRPr="00632D10" w:rsidRDefault="00632D10" w:rsidP="00632D10">
      <w:pPr>
        <w:pStyle w:val="Bullet1stlevel"/>
        <w:numPr>
          <w:ilvl w:val="0"/>
          <w:numId w:val="37"/>
        </w:numPr>
      </w:pPr>
      <w:r w:rsidRPr="00632D10">
        <w:t>The program was implemented and operated with high model fidelity;</w:t>
      </w:r>
    </w:p>
    <w:p w14:paraId="6FC79234" w14:textId="77777777" w:rsidR="00632D10" w:rsidRPr="00632D10" w:rsidRDefault="00632D10" w:rsidP="00632D10">
      <w:pPr>
        <w:pStyle w:val="Bullet1stlevel"/>
        <w:numPr>
          <w:ilvl w:val="0"/>
          <w:numId w:val="37"/>
        </w:numPr>
      </w:pPr>
      <w:r w:rsidRPr="00632D10">
        <w:t>There was an improvement in client outcomes. The head leasing embedded in the PAD was seen as a key enabler of this;</w:t>
      </w:r>
    </w:p>
    <w:p w14:paraId="5640DA90" w14:textId="77777777" w:rsidR="00632D10" w:rsidRPr="00632D10" w:rsidRDefault="00632D10" w:rsidP="00632D10">
      <w:pPr>
        <w:pStyle w:val="Bullet1stlevel"/>
        <w:numPr>
          <w:ilvl w:val="0"/>
          <w:numId w:val="37"/>
        </w:numPr>
      </w:pPr>
      <w:r w:rsidRPr="00632D10">
        <w:t>The Implementation Agreement strengthened overarching government and SHM accountability and rigour;</w:t>
      </w:r>
    </w:p>
    <w:p w14:paraId="110DA1F4" w14:textId="77777777" w:rsidR="00632D10" w:rsidRPr="00632D10" w:rsidRDefault="00632D10" w:rsidP="00632D10">
      <w:pPr>
        <w:pStyle w:val="Bullet1stlevel"/>
        <w:numPr>
          <w:ilvl w:val="0"/>
          <w:numId w:val="37"/>
        </w:numPr>
      </w:pPr>
      <w:r w:rsidRPr="00632D10">
        <w:t>There was increased program collaboration and co-development between government and SHM;</w:t>
      </w:r>
    </w:p>
    <w:p w14:paraId="530AC6BC" w14:textId="77777777" w:rsidR="00632D10" w:rsidRPr="00632D10" w:rsidRDefault="00632D10" w:rsidP="00632D10">
      <w:pPr>
        <w:pStyle w:val="Bullet1stlevel"/>
        <w:numPr>
          <w:ilvl w:val="0"/>
          <w:numId w:val="37"/>
        </w:numPr>
      </w:pPr>
      <w:r w:rsidRPr="00632D10">
        <w:t>The program complexity resulted in a heavier than anticipated workload for those involved in the program;</w:t>
      </w:r>
    </w:p>
    <w:p w14:paraId="5F7703DF" w14:textId="77777777" w:rsidR="00632D10" w:rsidRPr="00632D10" w:rsidRDefault="00632D10" w:rsidP="00632D10">
      <w:pPr>
        <w:pStyle w:val="Bullet1stlevel"/>
        <w:numPr>
          <w:ilvl w:val="0"/>
          <w:numId w:val="37"/>
        </w:numPr>
      </w:pPr>
      <w:r w:rsidRPr="00632D10">
        <w:t>The innovation embedded into the design of the J2SI PAD enabled learnings to be embedded across other government initiatives;</w:t>
      </w:r>
    </w:p>
    <w:p w14:paraId="73DC593A" w14:textId="77777777" w:rsidR="00632D10" w:rsidRPr="00632D10" w:rsidRDefault="00632D10" w:rsidP="00632D10">
      <w:pPr>
        <w:pStyle w:val="Bullet1stlevel"/>
        <w:numPr>
          <w:ilvl w:val="0"/>
          <w:numId w:val="37"/>
        </w:numPr>
      </w:pPr>
      <w:r w:rsidRPr="00632D10">
        <w:t>The complexity and implementation challenges were seen as a challenge to broader implementation. However, the learnings from the J2SI PAD have been used to develop other outcomes-based funding mechanisms; and</w:t>
      </w:r>
    </w:p>
    <w:p w14:paraId="6757F064" w14:textId="77777777" w:rsidR="00632D10" w:rsidRPr="00632D10" w:rsidRDefault="00632D10" w:rsidP="00632D10">
      <w:pPr>
        <w:pStyle w:val="Bullet1stlevel"/>
        <w:numPr>
          <w:ilvl w:val="0"/>
          <w:numId w:val="37"/>
        </w:numPr>
      </w:pPr>
      <w:r w:rsidRPr="00632D10">
        <w:lastRenderedPageBreak/>
        <w:t>The J2SI PAD may have unintended consequences for the allocation of social housing for people outside of the program.</w:t>
      </w:r>
    </w:p>
    <w:p w14:paraId="7C9E4040" w14:textId="58F616DE" w:rsidR="00D6373D" w:rsidRDefault="00D6373D" w:rsidP="00832492">
      <w:pPr>
        <w:pStyle w:val="Heading2"/>
      </w:pPr>
      <w:bookmarkStart w:id="36" w:name="_Toc178064004"/>
      <w:r w:rsidRPr="00D6373D">
        <w:t>Structure of this report</w:t>
      </w:r>
      <w:bookmarkEnd w:id="36"/>
      <w:r w:rsidRPr="00D6373D">
        <w:t xml:space="preserve"> </w:t>
      </w:r>
    </w:p>
    <w:p w14:paraId="6B44C7A9" w14:textId="712C912B" w:rsidR="0025554E" w:rsidRPr="00335ADB" w:rsidRDefault="00CB4B6B" w:rsidP="00CB4B6B">
      <w:r w:rsidRPr="00335ADB">
        <w:t>This final evaluation report</w:t>
      </w:r>
      <w:r w:rsidR="00E90B0A" w:rsidRPr="00335ADB">
        <w:t xml:space="preserve"> is structure</w:t>
      </w:r>
      <w:r w:rsidR="00582D80" w:rsidRPr="00335ADB">
        <w:t>d</w:t>
      </w:r>
      <w:r w:rsidR="00E90B0A" w:rsidRPr="00335ADB">
        <w:t xml:space="preserve"> as follows: </w:t>
      </w:r>
    </w:p>
    <w:p w14:paraId="1AB8FA87" w14:textId="22CFCD3A" w:rsidR="00E90B0A" w:rsidRPr="00335ADB" w:rsidRDefault="0061017C" w:rsidP="00632D10">
      <w:pPr>
        <w:pStyle w:val="Bullet1stlevel"/>
      </w:pPr>
      <w:hyperlink w:anchor="_Introduction" w:history="1">
        <w:r w:rsidR="00E90B0A" w:rsidRPr="00335ADB">
          <w:rPr>
            <w:rStyle w:val="Hyperlink"/>
            <w:b/>
            <w:bCs/>
          </w:rPr>
          <w:t>Introduction (this chapter)</w:t>
        </w:r>
      </w:hyperlink>
      <w:r w:rsidR="00B121B7" w:rsidRPr="00335ADB">
        <w:t xml:space="preserve"> </w:t>
      </w:r>
      <w:r w:rsidR="00DA1DE5" w:rsidRPr="00335ADB">
        <w:t xml:space="preserve">provides </w:t>
      </w:r>
      <w:r w:rsidR="00052D24" w:rsidRPr="00335ADB">
        <w:t>an overview of the</w:t>
      </w:r>
      <w:r w:rsidR="00543FB8" w:rsidRPr="00335ADB">
        <w:t xml:space="preserve"> evaluation background, including </w:t>
      </w:r>
      <w:r w:rsidR="00D700CE" w:rsidRPr="00335ADB">
        <w:t>context as it relate</w:t>
      </w:r>
      <w:r w:rsidR="005848D6" w:rsidRPr="00335ADB">
        <w:t>s</w:t>
      </w:r>
      <w:r w:rsidR="00D700CE" w:rsidRPr="00335ADB">
        <w:t xml:space="preserve"> to </w:t>
      </w:r>
      <w:r w:rsidR="00543FB8" w:rsidRPr="00335ADB">
        <w:t>J2SI as a program and as a PAD</w:t>
      </w:r>
      <w:r w:rsidR="00D700CE" w:rsidRPr="00335ADB">
        <w:t>, in addition to summarising the findings from the formative and interim evaluations.</w:t>
      </w:r>
    </w:p>
    <w:p w14:paraId="47C4986E" w14:textId="53793BED" w:rsidR="00BF63EC" w:rsidRPr="00335ADB" w:rsidRDefault="0061017C" w:rsidP="00632D10">
      <w:pPr>
        <w:pStyle w:val="Bullet1stlevel"/>
      </w:pPr>
      <w:hyperlink w:anchor="_Evaluation_overview" w:history="1">
        <w:r w:rsidR="00F44814" w:rsidRPr="00335ADB">
          <w:rPr>
            <w:rStyle w:val="Hyperlink"/>
            <w:b/>
            <w:bCs/>
          </w:rPr>
          <w:t>Evaluation overview</w:t>
        </w:r>
      </w:hyperlink>
      <w:r w:rsidR="00BF63EC" w:rsidRPr="00335ADB">
        <w:t xml:space="preserve"> details </w:t>
      </w:r>
      <w:r w:rsidR="00C90ECA" w:rsidRPr="00335ADB">
        <w:t>the</w:t>
      </w:r>
      <w:r w:rsidR="00BF63EC" w:rsidRPr="00335ADB">
        <w:t xml:space="preserve"> final evaluation </w:t>
      </w:r>
      <w:r w:rsidR="00C41F82" w:rsidRPr="00335ADB">
        <w:t xml:space="preserve">questions, </w:t>
      </w:r>
      <w:r w:rsidR="00BF63EC" w:rsidRPr="00335ADB">
        <w:t>approach, methods, strengths and limitations.</w:t>
      </w:r>
    </w:p>
    <w:p w14:paraId="0E8BA9FF" w14:textId="37B0F77C" w:rsidR="0012667A" w:rsidRPr="00335ADB" w:rsidRDefault="0061017C" w:rsidP="00632D10">
      <w:pPr>
        <w:pStyle w:val="Bullet1stlevel"/>
      </w:pPr>
      <w:hyperlink w:anchor="_Outcomes_evaluation" w:history="1">
        <w:r w:rsidR="00BF63EC" w:rsidRPr="00335ADB">
          <w:rPr>
            <w:rStyle w:val="Hyperlink"/>
            <w:b/>
            <w:bCs/>
          </w:rPr>
          <w:t>Outcomes evaluation</w:t>
        </w:r>
      </w:hyperlink>
      <w:r w:rsidR="00BF63EC" w:rsidRPr="00335ADB">
        <w:t xml:space="preserve"> presents the </w:t>
      </w:r>
      <w:r w:rsidR="00F44814" w:rsidRPr="00335ADB">
        <w:t xml:space="preserve">findings from the </w:t>
      </w:r>
      <w:r w:rsidR="00501997" w:rsidRPr="00335ADB">
        <w:t>outcomes</w:t>
      </w:r>
      <w:r w:rsidR="00F44814" w:rsidRPr="00335ADB">
        <w:t xml:space="preserve"> evaluation stream,</w:t>
      </w:r>
      <w:r w:rsidR="00F0671E" w:rsidRPr="00335ADB">
        <w:t xml:space="preserve"> </w:t>
      </w:r>
      <w:r w:rsidR="00F44814" w:rsidRPr="00335ADB">
        <w:t>which focuses on the impact of the PAD funding mechanism on the J2SI program, with consideration of J2SI clients, SHM and government.</w:t>
      </w:r>
    </w:p>
    <w:p w14:paraId="2152E513" w14:textId="46215ED5" w:rsidR="0025554E" w:rsidRPr="00335ADB" w:rsidRDefault="0061017C" w:rsidP="00632D10">
      <w:pPr>
        <w:pStyle w:val="Bullet1stlevel"/>
        <w:rPr>
          <w:b/>
          <w:bCs/>
        </w:rPr>
      </w:pPr>
      <w:hyperlink w:anchor="_Cost_benefit_analysis" w:history="1">
        <w:r w:rsidR="00545AC8" w:rsidRPr="00E54863">
          <w:rPr>
            <w:rStyle w:val="Hyperlink"/>
            <w:b/>
            <w:bCs/>
          </w:rPr>
          <w:t>CBA</w:t>
        </w:r>
      </w:hyperlink>
      <w:r w:rsidR="00F44814" w:rsidRPr="00335ADB">
        <w:t xml:space="preserve"> presents the findings from </w:t>
      </w:r>
      <w:r w:rsidR="00545AC8" w:rsidRPr="00335ADB">
        <w:t xml:space="preserve">the </w:t>
      </w:r>
      <w:r w:rsidR="00F44814" w:rsidRPr="00335ADB">
        <w:t>J2SI PAD</w:t>
      </w:r>
      <w:r w:rsidR="00545AC8" w:rsidRPr="00335ADB">
        <w:t xml:space="preserve"> CBA</w:t>
      </w:r>
      <w:r w:rsidR="00F44814" w:rsidRPr="00335ADB">
        <w:t xml:space="preserve">, comparing costs and benefits achieved by J2SI PAD clients </w:t>
      </w:r>
      <w:r w:rsidR="007B44A6" w:rsidRPr="00335ADB">
        <w:t>relative</w:t>
      </w:r>
      <w:r w:rsidR="00F44814" w:rsidRPr="00335ADB">
        <w:t xml:space="preserve"> to </w:t>
      </w:r>
      <w:r w:rsidR="007B44A6" w:rsidRPr="00335ADB">
        <w:t>what could have been expected under ‘service as usual’</w:t>
      </w:r>
      <w:r w:rsidR="00F44814" w:rsidRPr="00335ADB">
        <w:t xml:space="preserve">. </w:t>
      </w:r>
    </w:p>
    <w:p w14:paraId="35996D99" w14:textId="42CA2233" w:rsidR="00351B0E" w:rsidRPr="00335ADB" w:rsidRDefault="007E7381" w:rsidP="00632D10">
      <w:pPr>
        <w:pStyle w:val="Bullet1stlevel"/>
      </w:pPr>
      <w:r w:rsidRPr="00335ADB">
        <w:t>Appendices</w:t>
      </w:r>
      <w:r w:rsidR="00821FC2" w:rsidRPr="00335ADB">
        <w:t xml:space="preserve"> include</w:t>
      </w:r>
      <w:r w:rsidR="00CA53FC" w:rsidRPr="00335ADB">
        <w:t xml:space="preserve">: </w:t>
      </w:r>
    </w:p>
    <w:p w14:paraId="379E0F39" w14:textId="7218ED11" w:rsidR="00AA3C2A" w:rsidRPr="00335ADB" w:rsidRDefault="00FA12FD" w:rsidP="005F5FBC">
      <w:pPr>
        <w:pStyle w:val="Bullet2ndlevel"/>
        <w:numPr>
          <w:ilvl w:val="0"/>
          <w:numId w:val="38"/>
        </w:numPr>
        <w:tabs>
          <w:tab w:val="clear" w:pos="340"/>
          <w:tab w:val="num" w:pos="851"/>
        </w:tabs>
        <w:ind w:left="709"/>
      </w:pPr>
      <w:r>
        <w:fldChar w:fldCharType="begin"/>
      </w:r>
      <w:r>
        <w:instrText xml:space="preserve"> REF _Ref150257301 \r \h </w:instrText>
      </w:r>
      <w:r>
        <w:fldChar w:fldCharType="separate"/>
      </w:r>
      <w:r w:rsidR="005B05CA">
        <w:t>Appendix A</w:t>
      </w:r>
      <w:r>
        <w:fldChar w:fldCharType="end"/>
      </w:r>
      <w:r w:rsidR="00AA3C2A" w:rsidRPr="00335ADB">
        <w:t>. Provides a summary of evaluation findings against the outcomes identified in the guiding program logic</w:t>
      </w:r>
      <w:r w:rsidR="008D7AA8" w:rsidRPr="00335ADB">
        <w:t>.</w:t>
      </w:r>
      <w:r w:rsidR="00AA3C2A" w:rsidRPr="00335ADB">
        <w:t xml:space="preserve"> </w:t>
      </w:r>
    </w:p>
    <w:p w14:paraId="4FAF3BB4" w14:textId="0DE64E0F" w:rsidR="0024518E" w:rsidRDefault="00FA12FD" w:rsidP="005F5FBC">
      <w:pPr>
        <w:pStyle w:val="Bullet2ndlevel"/>
        <w:numPr>
          <w:ilvl w:val="0"/>
          <w:numId w:val="38"/>
        </w:numPr>
        <w:tabs>
          <w:tab w:val="clear" w:pos="340"/>
          <w:tab w:val="num" w:pos="851"/>
        </w:tabs>
        <w:ind w:left="709"/>
      </w:pPr>
      <w:r>
        <w:fldChar w:fldCharType="begin"/>
      </w:r>
      <w:r>
        <w:instrText xml:space="preserve"> REF _Ref150450884 \r \h </w:instrText>
      </w:r>
      <w:r>
        <w:fldChar w:fldCharType="separate"/>
      </w:r>
      <w:r w:rsidR="005B05CA">
        <w:t>Appendix B</w:t>
      </w:r>
      <w:r>
        <w:fldChar w:fldCharType="end"/>
      </w:r>
      <w:r w:rsidR="00AA3C2A" w:rsidRPr="00AA3C2A">
        <w:t xml:space="preserve">. </w:t>
      </w:r>
      <w:r w:rsidR="00812BDC">
        <w:t>Summarises key outcomes for government and SHM.</w:t>
      </w:r>
      <w:r w:rsidR="00AA3C2A" w:rsidRPr="00AA3C2A">
        <w:t xml:space="preserve">  </w:t>
      </w:r>
    </w:p>
    <w:p w14:paraId="591B03C6" w14:textId="077204F0" w:rsidR="00350C3F" w:rsidRDefault="00350C3F" w:rsidP="00350C3F">
      <w:pPr>
        <w:pStyle w:val="BodyText"/>
      </w:pPr>
      <w:r>
        <w:br w:type="page"/>
      </w:r>
    </w:p>
    <w:p w14:paraId="7C6CB08C" w14:textId="47D7DFF9" w:rsidR="00350C3F" w:rsidRDefault="00D6373D" w:rsidP="00350C3F">
      <w:pPr>
        <w:pStyle w:val="Heading1"/>
      </w:pPr>
      <w:bookmarkStart w:id="37" w:name="_Evaluation_overview"/>
      <w:bookmarkStart w:id="38" w:name="_Ref150414240"/>
      <w:bookmarkStart w:id="39" w:name="_Toc178064005"/>
      <w:bookmarkEnd w:id="37"/>
      <w:r>
        <w:lastRenderedPageBreak/>
        <w:t>Evaluation overview</w:t>
      </w:r>
      <w:bookmarkEnd w:id="38"/>
      <w:bookmarkEnd w:id="39"/>
    </w:p>
    <w:p w14:paraId="3211DF53" w14:textId="00EDD119" w:rsidR="00A64DB4" w:rsidRDefault="00454373" w:rsidP="00632D10">
      <w:pPr>
        <w:pStyle w:val="Bullet1stlevel"/>
        <w:numPr>
          <w:ilvl w:val="0"/>
          <w:numId w:val="0"/>
        </w:numPr>
      </w:pPr>
      <w:r w:rsidRPr="00454373">
        <w:t xml:space="preserve">This section </w:t>
      </w:r>
      <w:r w:rsidR="00A64DB4">
        <w:t>provides an overview of the evaluation approach</w:t>
      </w:r>
      <w:r w:rsidRPr="00454373">
        <w:t xml:space="preserve">, </w:t>
      </w:r>
      <w:r w:rsidR="00B859AD">
        <w:t>and documents the</w:t>
      </w:r>
      <w:r w:rsidR="00C41F82">
        <w:t xml:space="preserve"> </w:t>
      </w:r>
      <w:r w:rsidR="00A64DB4">
        <w:t>evaluation</w:t>
      </w:r>
      <w:r w:rsidR="00582D80">
        <w:t>’</w:t>
      </w:r>
      <w:r w:rsidR="00B859AD">
        <w:t>s guiding</w:t>
      </w:r>
      <w:r w:rsidR="00A64DB4">
        <w:t xml:space="preserve"> </w:t>
      </w:r>
      <w:r w:rsidR="00B859AD">
        <w:t>principles</w:t>
      </w:r>
      <w:r w:rsidR="00A64DB4">
        <w:t xml:space="preserve">, </w:t>
      </w:r>
      <w:r w:rsidR="00B26B74">
        <w:t xml:space="preserve">key evaluation </w:t>
      </w:r>
      <w:r w:rsidR="00B859AD">
        <w:t>questions</w:t>
      </w:r>
      <w:r w:rsidR="00A42F0C">
        <w:t xml:space="preserve">, data sources and </w:t>
      </w:r>
      <w:r w:rsidR="00B859AD">
        <w:t xml:space="preserve">methods, </w:t>
      </w:r>
      <w:r w:rsidR="00A42F0C">
        <w:t>along with</w:t>
      </w:r>
      <w:r w:rsidR="00B859AD">
        <w:t xml:space="preserve"> stating the strengths and limitations</w:t>
      </w:r>
      <w:r w:rsidR="008D7AA8">
        <w:t xml:space="preserve"> of the evaluation</w:t>
      </w:r>
      <w:r w:rsidR="00B859AD">
        <w:t>.</w:t>
      </w:r>
    </w:p>
    <w:p w14:paraId="5BDE3EDC" w14:textId="15A8EC0E" w:rsidR="00A64DB4" w:rsidRDefault="002E42BA" w:rsidP="00621EBD">
      <w:pPr>
        <w:pStyle w:val="Heading2"/>
      </w:pPr>
      <w:bookmarkStart w:id="40" w:name="_Toc178064006"/>
      <w:r>
        <w:t>Conceptual a</w:t>
      </w:r>
      <w:r w:rsidR="00A64DB4">
        <w:t>pproach</w:t>
      </w:r>
      <w:r w:rsidR="003516C1">
        <w:t xml:space="preserve"> and principles</w:t>
      </w:r>
      <w:bookmarkEnd w:id="40"/>
    </w:p>
    <w:p w14:paraId="2AB60F62" w14:textId="457606F0" w:rsidR="00632D10" w:rsidRDefault="00CE5744" w:rsidP="00CE5744">
      <w:pPr>
        <w:sectPr w:rsidR="00632D10" w:rsidSect="005B0986">
          <w:pgSz w:w="11906" w:h="16838"/>
          <w:pgMar w:top="851" w:right="851" w:bottom="851" w:left="851" w:header="567" w:footer="283" w:gutter="0"/>
          <w:cols w:space="708"/>
          <w:docGrid w:linePitch="360"/>
        </w:sectPr>
      </w:pPr>
      <w:r w:rsidRPr="00CE5744">
        <w:t xml:space="preserve">The conceptual approach to the evaluation is </w:t>
      </w:r>
      <w:r w:rsidR="003719A2">
        <w:t>provided below</w:t>
      </w:r>
      <w:r w:rsidR="00582D80">
        <w:t xml:space="preserve"> (</w:t>
      </w:r>
      <w:r w:rsidR="005C4D6E">
        <w:fldChar w:fldCharType="begin"/>
      </w:r>
      <w:r w:rsidR="005C4D6E">
        <w:instrText xml:space="preserve"> REF _Ref149552042 \h </w:instrText>
      </w:r>
      <w:r w:rsidR="005C4D6E">
        <w:fldChar w:fldCharType="separate"/>
      </w:r>
      <w:r w:rsidR="00ED0DF7" w:rsidRPr="007A6C92">
        <w:t xml:space="preserve">Figure </w:t>
      </w:r>
      <w:r w:rsidR="00ED0DF7">
        <w:rPr>
          <w:noProof/>
        </w:rPr>
        <w:t>3</w:t>
      </w:r>
      <w:r w:rsidR="005C4D6E">
        <w:fldChar w:fldCharType="end"/>
      </w:r>
      <w:r w:rsidR="00582D80">
        <w:t>)</w:t>
      </w:r>
      <w:r w:rsidRPr="00CE5744">
        <w:t xml:space="preserve">. The conceptual approach </w:t>
      </w:r>
      <w:r w:rsidR="008945D2">
        <w:t>centres around</w:t>
      </w:r>
      <w:r w:rsidRPr="00CE5744">
        <w:t xml:space="preserve"> a mixed</w:t>
      </w:r>
      <w:r w:rsidR="008D7AA8">
        <w:t>-</w:t>
      </w:r>
      <w:r w:rsidRPr="00CE5744">
        <w:t>method evaluation, which seeks to use multiple data sources and analysis methods to answer key evaluation questions.</w:t>
      </w:r>
      <w:r w:rsidR="002A4892">
        <w:t xml:space="preserve"> </w:t>
      </w:r>
    </w:p>
    <w:p w14:paraId="3DA7E939" w14:textId="000B3D4D" w:rsidR="009F2152" w:rsidRPr="007A6C92" w:rsidRDefault="003719A2" w:rsidP="00134FF5">
      <w:pPr>
        <w:pStyle w:val="Caption"/>
      </w:pPr>
      <w:bookmarkStart w:id="41" w:name="_Ref149552042"/>
      <w:bookmarkStart w:id="42" w:name="_Toc174547288"/>
      <w:r w:rsidRPr="007A6C92">
        <w:lastRenderedPageBreak/>
        <w:t xml:space="preserve">Figure </w:t>
      </w:r>
      <w:r>
        <w:fldChar w:fldCharType="begin"/>
      </w:r>
      <w:r>
        <w:instrText xml:space="preserve"> SEQ Figure \* ARABIC </w:instrText>
      </w:r>
      <w:r>
        <w:fldChar w:fldCharType="separate"/>
      </w:r>
      <w:r w:rsidR="000A505B">
        <w:rPr>
          <w:noProof/>
        </w:rPr>
        <w:t>3</w:t>
      </w:r>
      <w:r>
        <w:rPr>
          <w:noProof/>
        </w:rPr>
        <w:fldChar w:fldCharType="end"/>
      </w:r>
      <w:bookmarkEnd w:id="41"/>
      <w:r w:rsidR="007974AC" w:rsidRPr="007A6C92">
        <w:t>: Conceptual approach to the evaluation</w:t>
      </w:r>
      <w:bookmarkEnd w:id="42"/>
    </w:p>
    <w:p w14:paraId="6660E545" w14:textId="77777777" w:rsidR="00632D10" w:rsidRDefault="00C5102B" w:rsidP="00DD55A6">
      <w:pPr>
        <w:pStyle w:val="BodyText"/>
        <w:ind w:left="-142"/>
        <w:rPr>
          <w:b/>
          <w:bCs/>
        </w:rPr>
        <w:sectPr w:rsidR="00632D10" w:rsidSect="00632D10">
          <w:pgSz w:w="16838" w:h="11906" w:orient="landscape"/>
          <w:pgMar w:top="851" w:right="851" w:bottom="851" w:left="851" w:header="567" w:footer="283" w:gutter="0"/>
          <w:cols w:space="708"/>
          <w:docGrid w:linePitch="360"/>
        </w:sectPr>
      </w:pPr>
      <w:r>
        <w:rPr>
          <w:b/>
          <w:bCs/>
          <w:noProof/>
        </w:rPr>
        <w:drawing>
          <wp:inline distT="0" distB="0" distL="0" distR="0" wp14:anchorId="4B6DD8B0" wp14:editId="1E87D135">
            <wp:extent cx="9456022" cy="5118265"/>
            <wp:effectExtent l="0" t="0" r="0" b="6350"/>
            <wp:docPr id="98" name="Picture 98" descr="The figure depicts the objective of the evaluation as building the evidence base for the SII funding mechanism and tracking longer-term program outcomes in breaking the cycle of homelessness. It depicts the policy goals, indicators, types of analysis, data collection methods, and key stakeholders that inform th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figure depicts the objective of the evaluation as building the evidence base for the SII funding mechanism and tracking longer-term program outcomes in breaking the cycle of homelessness. It depicts the policy goals, indicators, types of analysis, data collection methods, and key stakeholders that inform the evaluation."/>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79"/>
                    <a:stretch/>
                  </pic:blipFill>
                  <pic:spPr bwMode="auto">
                    <a:xfrm>
                      <a:off x="0" y="0"/>
                      <a:ext cx="9573634" cy="5181925"/>
                    </a:xfrm>
                    <a:prstGeom prst="rect">
                      <a:avLst/>
                    </a:prstGeom>
                    <a:noFill/>
                    <a:ln>
                      <a:noFill/>
                    </a:ln>
                    <a:extLst>
                      <a:ext uri="{53640926-AAD7-44D8-BBD7-CCE9431645EC}">
                        <a14:shadowObscured xmlns:a14="http://schemas.microsoft.com/office/drawing/2010/main"/>
                      </a:ext>
                    </a:extLst>
                  </pic:spPr>
                </pic:pic>
              </a:graphicData>
            </a:graphic>
          </wp:inline>
        </w:drawing>
      </w:r>
    </w:p>
    <w:p w14:paraId="1691FEBD" w14:textId="77777777" w:rsidR="003516C1" w:rsidRPr="00AC7B03" w:rsidRDefault="003516C1" w:rsidP="00325BE2">
      <w:pPr>
        <w:pStyle w:val="BodyTextkeepwithnext"/>
      </w:pPr>
      <w:r>
        <w:lastRenderedPageBreak/>
        <w:t xml:space="preserve">A set of five key evaluation principles were used to guide the evaluation: </w:t>
      </w:r>
    </w:p>
    <w:p w14:paraId="79E65B91" w14:textId="77777777" w:rsidR="003516C1" w:rsidRPr="00632D10" w:rsidRDefault="003516C1" w:rsidP="00632D10">
      <w:pPr>
        <w:pStyle w:val="Bullet1stlevel"/>
      </w:pPr>
      <w:r w:rsidRPr="001B19BF">
        <w:t xml:space="preserve">The </w:t>
      </w:r>
      <w:r w:rsidRPr="00632D10">
        <w:t>evaluation method is rigorous and credible;</w:t>
      </w:r>
    </w:p>
    <w:p w14:paraId="1553D1C0" w14:textId="77777777" w:rsidR="003516C1" w:rsidRPr="00632D10" w:rsidRDefault="003516C1" w:rsidP="00632D10">
      <w:pPr>
        <w:pStyle w:val="Bullet1stlevel"/>
      </w:pPr>
      <w:r w:rsidRPr="00632D10">
        <w:t>The analysis is strategic and practical for key stakeholders;</w:t>
      </w:r>
    </w:p>
    <w:p w14:paraId="4BA260D5" w14:textId="77777777" w:rsidR="003516C1" w:rsidRPr="00632D10" w:rsidRDefault="003516C1" w:rsidP="00632D10">
      <w:pPr>
        <w:pStyle w:val="Bullet1stlevel"/>
      </w:pPr>
      <w:r w:rsidRPr="00632D10">
        <w:t>Evaluation questions are simple and clear;</w:t>
      </w:r>
    </w:p>
    <w:p w14:paraId="2F699A0E" w14:textId="77777777" w:rsidR="003516C1" w:rsidRPr="00632D10" w:rsidRDefault="003516C1" w:rsidP="00632D10">
      <w:pPr>
        <w:pStyle w:val="Bullet1stlevel"/>
      </w:pPr>
      <w:r w:rsidRPr="00632D10">
        <w:t>Unnecessary duplication with previous reviews and evaluations is avoided by building upon existing data and knowledge; and</w:t>
      </w:r>
    </w:p>
    <w:p w14:paraId="74FC8548" w14:textId="09DE7FBE" w:rsidR="003516C1" w:rsidRPr="003516C1" w:rsidRDefault="003516C1" w:rsidP="00632D10">
      <w:pPr>
        <w:pStyle w:val="Bullet1stlevel"/>
      </w:pPr>
      <w:r w:rsidRPr="00632D10">
        <w:t>Scope is clearly defined, and limitations (including</w:t>
      </w:r>
      <w:r w:rsidRPr="001B19BF">
        <w:t xml:space="preserve"> gaps in data) are acknowledged from the outset.</w:t>
      </w:r>
    </w:p>
    <w:p w14:paraId="023BC235" w14:textId="099D6E17" w:rsidR="003516C1" w:rsidRDefault="003516C1" w:rsidP="007A2CBF">
      <w:pPr>
        <w:pStyle w:val="Heading3"/>
      </w:pPr>
      <w:r>
        <w:t>Program logic</w:t>
      </w:r>
    </w:p>
    <w:p w14:paraId="49962C84" w14:textId="21B00641" w:rsidR="003516C1" w:rsidRPr="00325BE2" w:rsidRDefault="003516C1" w:rsidP="00325BE2">
      <w:pPr>
        <w:pStyle w:val="BodyText"/>
      </w:pPr>
      <w:r w:rsidRPr="00325BE2">
        <w:t xml:space="preserve">A program logic for the J2SI PAD was developed as part of the Evaluation Framework and is shown in </w:t>
      </w:r>
      <w:r w:rsidR="005C4D6E" w:rsidRPr="00325BE2">
        <w:fldChar w:fldCharType="begin"/>
      </w:r>
      <w:r w:rsidR="005C4D6E" w:rsidRPr="00325BE2">
        <w:instrText xml:space="preserve"> REF _Ref150234561 \h </w:instrText>
      </w:r>
      <w:r w:rsidR="00325BE2">
        <w:instrText xml:space="preserve"> \* MERGEFORMAT </w:instrText>
      </w:r>
      <w:r w:rsidR="005C4D6E" w:rsidRPr="00325BE2">
        <w:fldChar w:fldCharType="separate"/>
      </w:r>
      <w:r w:rsidR="00ED0DF7" w:rsidRPr="00325BE2">
        <w:t>Figure 4</w:t>
      </w:r>
      <w:r w:rsidR="005C4D6E" w:rsidRPr="00325BE2">
        <w:fldChar w:fldCharType="end"/>
      </w:r>
      <w:r w:rsidRPr="00325BE2">
        <w:t xml:space="preserve">. The program logic helped to frame the three </w:t>
      </w:r>
      <w:r w:rsidR="006C6614" w:rsidRPr="00325BE2">
        <w:t>stages</w:t>
      </w:r>
      <w:r w:rsidRPr="00325BE2">
        <w:t xml:space="preserve"> of the evaluation, including the evaluation</w:t>
      </w:r>
      <w:r w:rsidR="00B914EF" w:rsidRPr="00325BE2">
        <w:t>’</w:t>
      </w:r>
      <w:r w:rsidRPr="00325BE2">
        <w:t xml:space="preserve">s initial design and the approach to data collection (including qualitative data gained through stakeholder consultation). A summary of </w:t>
      </w:r>
      <w:r w:rsidR="006C6614" w:rsidRPr="00325BE2">
        <w:t xml:space="preserve">final </w:t>
      </w:r>
      <w:r w:rsidRPr="00325BE2">
        <w:t xml:space="preserve">evaluation findings against the outcomes identified in the program logic can be found in </w:t>
      </w:r>
      <w:r w:rsidR="00F60C64" w:rsidRPr="00325BE2">
        <w:fldChar w:fldCharType="begin" w:fldLock="1"/>
      </w:r>
      <w:r w:rsidR="00F60C64" w:rsidRPr="00325BE2">
        <w:instrText xml:space="preserve"> REF _Ref150257301 \w \h </w:instrText>
      </w:r>
      <w:r w:rsidR="00325BE2">
        <w:instrText xml:space="preserve"> \* MERGEFORMAT </w:instrText>
      </w:r>
      <w:r w:rsidR="00F60C64" w:rsidRPr="00325BE2">
        <w:fldChar w:fldCharType="separate"/>
      </w:r>
      <w:r w:rsidR="00F60C64" w:rsidRPr="00325BE2">
        <w:t>Appendix A</w:t>
      </w:r>
      <w:r w:rsidR="00F60C64" w:rsidRPr="00325BE2">
        <w:fldChar w:fldCharType="end"/>
      </w:r>
      <w:r w:rsidRPr="00325BE2">
        <w:t>.</w:t>
      </w:r>
    </w:p>
    <w:p w14:paraId="2136A5D0" w14:textId="6DA68205" w:rsidR="003516C1" w:rsidRPr="00915B98" w:rsidRDefault="003516C1" w:rsidP="00134FF5">
      <w:pPr>
        <w:pStyle w:val="Caption"/>
      </w:pPr>
      <w:bookmarkStart w:id="43" w:name="_Ref150234561"/>
      <w:bookmarkStart w:id="44" w:name="_Toc174547289"/>
      <w:r w:rsidRPr="00915B98">
        <w:t xml:space="preserve">Figure </w:t>
      </w:r>
      <w:r>
        <w:fldChar w:fldCharType="begin"/>
      </w:r>
      <w:r>
        <w:instrText xml:space="preserve"> SEQ Figure \* ARABIC </w:instrText>
      </w:r>
      <w:r>
        <w:fldChar w:fldCharType="separate"/>
      </w:r>
      <w:r w:rsidR="000A505B">
        <w:rPr>
          <w:noProof/>
        </w:rPr>
        <w:t>4</w:t>
      </w:r>
      <w:r>
        <w:rPr>
          <w:noProof/>
        </w:rPr>
        <w:fldChar w:fldCharType="end"/>
      </w:r>
      <w:bookmarkEnd w:id="43"/>
      <w:r w:rsidRPr="00915B98">
        <w:t>: J2SI PAD program logic</w:t>
      </w:r>
      <w:bookmarkEnd w:id="44"/>
    </w:p>
    <w:p w14:paraId="4883EF95" w14:textId="77777777" w:rsidR="003516C1" w:rsidRDefault="003516C1" w:rsidP="003516C1">
      <w:pPr>
        <w:pStyle w:val="BodyText"/>
      </w:pPr>
      <w:r>
        <w:rPr>
          <w:noProof/>
        </w:rPr>
        <w:drawing>
          <wp:inline distT="0" distB="0" distL="0" distR="0" wp14:anchorId="088B0ADD" wp14:editId="3DB01255">
            <wp:extent cx="6622710" cy="3991554"/>
            <wp:effectExtent l="0" t="0" r="6985" b="9525"/>
            <wp:docPr id="116" name="Picture 116" descr="The figure depicts the J2SI PAD program logic. Service inputs include three housing types and four governance structures. The program outcomes are the two payment outcomes. The 11 policy outcomes relate to DHHS priority areas in 2016, or government principles for SIBs in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he figure depicts the J2SI PAD program logic. Service inputs include three housing types and four governance structures. The program outcomes are the two payment outcomes. The 11 policy outcomes relate to DHHS priority areas in 2016, or government principles for SIBs in 2016. "/>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57611" cy="4012589"/>
                    </a:xfrm>
                    <a:prstGeom prst="rect">
                      <a:avLst/>
                    </a:prstGeom>
                    <a:noFill/>
                  </pic:spPr>
                </pic:pic>
              </a:graphicData>
            </a:graphic>
          </wp:inline>
        </w:drawing>
      </w:r>
    </w:p>
    <w:p w14:paraId="61ABBF6F" w14:textId="77777777" w:rsidR="00AB3040" w:rsidRDefault="00AB3040" w:rsidP="007E1193">
      <w:pPr>
        <w:pStyle w:val="Heading3"/>
      </w:pPr>
      <w:r>
        <w:br w:type="page"/>
      </w:r>
    </w:p>
    <w:p w14:paraId="5B42D001" w14:textId="1B1A794A" w:rsidR="00844627" w:rsidRDefault="00844627" w:rsidP="007A2CBF">
      <w:pPr>
        <w:pStyle w:val="Heading3"/>
      </w:pPr>
      <w:r w:rsidRPr="00F8551D">
        <w:lastRenderedPageBreak/>
        <w:t>Evaluation quest</w:t>
      </w:r>
      <w:r w:rsidRPr="00DC73EF">
        <w:rPr>
          <w:bCs/>
        </w:rPr>
        <w:t>ions</w:t>
      </w:r>
      <w:r w:rsidR="00DC73EF">
        <w:rPr>
          <w:bCs/>
        </w:rPr>
        <w:t xml:space="preserve"> </w:t>
      </w:r>
    </w:p>
    <w:p w14:paraId="56860FEE" w14:textId="14DBDDF8" w:rsidR="00A20A19" w:rsidRPr="00325BE2" w:rsidRDefault="00B61D2A" w:rsidP="00325BE2">
      <w:pPr>
        <w:pStyle w:val="BodyText"/>
      </w:pPr>
      <w:r w:rsidRPr="00325BE2">
        <w:t xml:space="preserve">Across the three stages of the evaluation, questions </w:t>
      </w:r>
      <w:r w:rsidR="00E90334" w:rsidRPr="00325BE2">
        <w:t xml:space="preserve">have </w:t>
      </w:r>
      <w:r w:rsidRPr="00325BE2">
        <w:t xml:space="preserve">guided the collection of data. </w:t>
      </w:r>
      <w:r w:rsidR="001F4C0E" w:rsidRPr="00325BE2">
        <w:fldChar w:fldCharType="begin"/>
      </w:r>
      <w:r w:rsidR="001F4C0E" w:rsidRPr="00325BE2">
        <w:instrText xml:space="preserve"> REF _Ref149290979 \h </w:instrText>
      </w:r>
      <w:r w:rsidR="00325BE2">
        <w:instrText xml:space="preserve"> \* MERGEFORMAT </w:instrText>
      </w:r>
      <w:r w:rsidR="001F4C0E" w:rsidRPr="00325BE2">
        <w:fldChar w:fldCharType="separate"/>
      </w:r>
      <w:r w:rsidR="005B05CA" w:rsidRPr="00325BE2">
        <w:t>Table 8</w:t>
      </w:r>
      <w:r w:rsidR="001F4C0E" w:rsidRPr="00325BE2">
        <w:fldChar w:fldCharType="end"/>
      </w:r>
      <w:r w:rsidR="001F4C0E" w:rsidRPr="00325BE2">
        <w:t xml:space="preserve"> </w:t>
      </w:r>
      <w:r w:rsidRPr="00325BE2">
        <w:t xml:space="preserve">outlines the </w:t>
      </w:r>
      <w:r w:rsidR="006204F1" w:rsidRPr="00325BE2">
        <w:t>guiding questions for the</w:t>
      </w:r>
      <w:r w:rsidR="006C6614" w:rsidRPr="00325BE2">
        <w:t xml:space="preserve"> final</w:t>
      </w:r>
      <w:r w:rsidR="006204F1" w:rsidRPr="00325BE2">
        <w:t xml:space="preserve"> </w:t>
      </w:r>
      <w:proofErr w:type="gramStart"/>
      <w:r w:rsidR="00501997" w:rsidRPr="00325BE2">
        <w:t>outcomes</w:t>
      </w:r>
      <w:proofErr w:type="gramEnd"/>
      <w:r w:rsidR="006204F1" w:rsidRPr="00325BE2">
        <w:t xml:space="preserve"> </w:t>
      </w:r>
      <w:r w:rsidR="006C6614" w:rsidRPr="00325BE2">
        <w:t xml:space="preserve">evaluation and </w:t>
      </w:r>
      <w:r w:rsidR="00005CA5" w:rsidRPr="00325BE2">
        <w:t>CBA</w:t>
      </w:r>
      <w:r w:rsidR="006204F1" w:rsidRPr="00325BE2">
        <w:t xml:space="preserve">. </w:t>
      </w:r>
    </w:p>
    <w:p w14:paraId="5442FC4C" w14:textId="3BA4CD76" w:rsidR="006204F1" w:rsidRPr="003516C1" w:rsidRDefault="006204F1" w:rsidP="00134FF5">
      <w:pPr>
        <w:pStyle w:val="Caption"/>
      </w:pPr>
      <w:bookmarkStart w:id="45" w:name="_Ref149290979"/>
      <w:bookmarkStart w:id="46" w:name="_Toc174547309"/>
      <w:r w:rsidRPr="003516C1">
        <w:t xml:space="preserve">Table </w:t>
      </w:r>
      <w:r w:rsidRPr="003516C1">
        <w:fldChar w:fldCharType="begin"/>
      </w:r>
      <w:r w:rsidRPr="00A07466">
        <w:instrText xml:space="preserve"> SEQ Table \* ARABIC </w:instrText>
      </w:r>
      <w:r w:rsidRPr="003516C1">
        <w:fldChar w:fldCharType="separate"/>
      </w:r>
      <w:r w:rsidR="005B05CA">
        <w:rPr>
          <w:noProof/>
        </w:rPr>
        <w:t>8</w:t>
      </w:r>
      <w:r w:rsidRPr="003516C1">
        <w:fldChar w:fldCharType="end"/>
      </w:r>
      <w:bookmarkEnd w:id="45"/>
      <w:r w:rsidRPr="003516C1">
        <w:t>: Final evaluation questions and sub-</w:t>
      </w:r>
      <w:r w:rsidR="00046AD8" w:rsidRPr="003516C1">
        <w:t>questions</w:t>
      </w:r>
      <w:bookmarkEnd w:id="46"/>
    </w:p>
    <w:tbl>
      <w:tblPr>
        <w:tblStyle w:val="KPMGTable"/>
        <w:tblW w:w="0" w:type="auto"/>
        <w:tblLook w:val="04A0" w:firstRow="1" w:lastRow="0" w:firstColumn="1" w:lastColumn="0" w:noHBand="0" w:noVBand="1"/>
      </w:tblPr>
      <w:tblGrid>
        <w:gridCol w:w="1560"/>
        <w:gridCol w:w="4110"/>
        <w:gridCol w:w="4395"/>
      </w:tblGrid>
      <w:tr w:rsidR="00BE645F" w14:paraId="30FCBB9F" w14:textId="3AB8C768" w:rsidTr="003516C1">
        <w:trPr>
          <w:cnfStyle w:val="100000000000" w:firstRow="1" w:lastRow="0" w:firstColumn="0" w:lastColumn="0" w:oddVBand="0" w:evenVBand="0" w:oddHBand="0"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8D5DE6E" w14:textId="7A4096E7" w:rsidR="00BE645F" w:rsidRPr="00821701" w:rsidRDefault="000758F0" w:rsidP="00B35359">
            <w:pPr>
              <w:pStyle w:val="TableHeading"/>
            </w:pPr>
            <w:r w:rsidRPr="00821701">
              <w:t xml:space="preserve">Evaluation </w:t>
            </w:r>
            <w:r w:rsidR="00005CA5" w:rsidRPr="00821701">
              <w:t>component</w:t>
            </w:r>
          </w:p>
        </w:tc>
        <w:tc>
          <w:tcPr>
            <w:tcW w:w="4110" w:type="dxa"/>
            <w:shd w:val="clear" w:color="auto" w:fill="auto"/>
          </w:tcPr>
          <w:p w14:paraId="2FC2EE3D" w14:textId="13BAD3F5" w:rsidR="00BE645F" w:rsidRPr="00821701" w:rsidRDefault="00BE645F" w:rsidP="00B35359">
            <w:pPr>
              <w:pStyle w:val="TableHeading"/>
              <w:cnfStyle w:val="100000000000" w:firstRow="1" w:lastRow="0" w:firstColumn="0" w:lastColumn="0" w:oddVBand="0" w:evenVBand="0" w:oddHBand="0" w:evenHBand="0" w:firstRowFirstColumn="0" w:firstRowLastColumn="0" w:lastRowFirstColumn="0" w:lastRowLastColumn="0"/>
            </w:pPr>
            <w:r w:rsidRPr="00821701">
              <w:t>Evaluation question</w:t>
            </w:r>
          </w:p>
        </w:tc>
        <w:tc>
          <w:tcPr>
            <w:tcW w:w="4395" w:type="dxa"/>
            <w:shd w:val="clear" w:color="auto" w:fill="auto"/>
          </w:tcPr>
          <w:p w14:paraId="5DC6A497" w14:textId="4109434D" w:rsidR="00BE645F" w:rsidRPr="00821701" w:rsidRDefault="00BE645F" w:rsidP="00B35359">
            <w:pPr>
              <w:pStyle w:val="TableHeading"/>
              <w:cnfStyle w:val="100000000000" w:firstRow="1" w:lastRow="0" w:firstColumn="0" w:lastColumn="0" w:oddVBand="0" w:evenVBand="0" w:oddHBand="0" w:evenHBand="0" w:firstRowFirstColumn="0" w:firstRowLastColumn="0" w:lastRowFirstColumn="0" w:lastRowLastColumn="0"/>
            </w:pPr>
            <w:r w:rsidRPr="00821701">
              <w:t>Evaluation sub-questions</w:t>
            </w:r>
          </w:p>
        </w:tc>
      </w:tr>
      <w:tr w:rsidR="00BE645F" w14:paraId="6A495362" w14:textId="6843FD17" w:rsidTr="000D27B9">
        <w:trPr>
          <w:trHeight w:val="1294"/>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AB699E7" w14:textId="1509774B" w:rsidR="00BE645F" w:rsidRPr="00821701" w:rsidRDefault="00BE645F" w:rsidP="00B35359">
            <w:pPr>
              <w:pStyle w:val="TabletextBOLD"/>
            </w:pPr>
            <w:r w:rsidRPr="00821701">
              <w:t xml:space="preserve">Outcomes evaluation </w:t>
            </w:r>
          </w:p>
        </w:tc>
        <w:tc>
          <w:tcPr>
            <w:tcW w:w="4110" w:type="dxa"/>
            <w:shd w:val="clear" w:color="auto" w:fill="auto"/>
            <w:vAlign w:val="center"/>
          </w:tcPr>
          <w:p w14:paraId="50CDF3E0" w14:textId="0E0D7CDB" w:rsidR="00BE645F" w:rsidRPr="00C43234" w:rsidRDefault="00BE645F" w:rsidP="00B35359">
            <w:pPr>
              <w:pStyle w:val="Tablebullet1"/>
              <w:cnfStyle w:val="000000000000" w:firstRow="0" w:lastRow="0" w:firstColumn="0" w:lastColumn="0" w:oddVBand="0" w:evenVBand="0" w:oddHBand="0" w:evenHBand="0" w:firstRowFirstColumn="0" w:firstRowLastColumn="0" w:lastRowFirstColumn="0" w:lastRowLastColumn="0"/>
            </w:pPr>
            <w:r w:rsidRPr="00C43234">
              <w:t xml:space="preserve">What were the outcomes of </w:t>
            </w:r>
            <w:r w:rsidR="00FA053C">
              <w:t xml:space="preserve">the </w:t>
            </w:r>
            <w:r w:rsidRPr="00C43234">
              <w:t xml:space="preserve">J2SI </w:t>
            </w:r>
            <w:r w:rsidR="00046AD8" w:rsidRPr="00C43234">
              <w:t>PAD</w:t>
            </w:r>
            <w:r w:rsidRPr="00C43234">
              <w:t xml:space="preserve"> in light of its structure as a</w:t>
            </w:r>
            <w:r w:rsidR="00E6133E" w:rsidRPr="00C43234">
              <w:t xml:space="preserve">n SII </w:t>
            </w:r>
            <w:r w:rsidRPr="00C43234">
              <w:t>funding mechanism?</w:t>
            </w:r>
          </w:p>
          <w:p w14:paraId="7A3B1645" w14:textId="270FA657" w:rsidR="00BE645F" w:rsidRPr="00C43234" w:rsidRDefault="00BE645F" w:rsidP="00B35359">
            <w:pPr>
              <w:pStyle w:val="Tablebullet1"/>
              <w:cnfStyle w:val="000000000000" w:firstRow="0" w:lastRow="0" w:firstColumn="0" w:lastColumn="0" w:oddVBand="0" w:evenVBand="0" w:oddHBand="0" w:evenHBand="0" w:firstRowFirstColumn="0" w:firstRowLastColumn="0" w:lastRowFirstColumn="0" w:lastRowLastColumn="0"/>
            </w:pPr>
            <w:r w:rsidRPr="00C43234">
              <w:t>What factors impacted on the outcomes?</w:t>
            </w:r>
          </w:p>
        </w:tc>
        <w:tc>
          <w:tcPr>
            <w:tcW w:w="4395" w:type="dxa"/>
          </w:tcPr>
          <w:p w14:paraId="19791371" w14:textId="29FA5958" w:rsidR="00BE645F" w:rsidRPr="00C43234" w:rsidRDefault="00BE645F" w:rsidP="00B35359">
            <w:pPr>
              <w:pStyle w:val="Tablebullet1"/>
              <w:cnfStyle w:val="000000000000" w:firstRow="0" w:lastRow="0" w:firstColumn="0" w:lastColumn="0" w:oddVBand="0" w:evenVBand="0" w:oddHBand="0" w:evenHBand="0" w:firstRowFirstColumn="0" w:firstRowLastColumn="0" w:lastRowFirstColumn="0" w:lastRowLastColumn="0"/>
            </w:pPr>
            <w:r w:rsidRPr="00C43234">
              <w:t>Were the outcomes the same as when the program was implemented differently</w:t>
            </w:r>
            <w:r w:rsidR="004801B8" w:rsidRPr="00C43234">
              <w:t>?</w:t>
            </w:r>
          </w:p>
          <w:p w14:paraId="13514D06" w14:textId="1F3AB339" w:rsidR="00BE645F" w:rsidRPr="00C43234" w:rsidRDefault="00BE645F" w:rsidP="00B35359">
            <w:pPr>
              <w:pStyle w:val="Tablebullet1"/>
              <w:cnfStyle w:val="000000000000" w:firstRow="0" w:lastRow="0" w:firstColumn="0" w:lastColumn="0" w:oddVBand="0" w:evenVBand="0" w:oddHBand="0" w:evenHBand="0" w:firstRowFirstColumn="0" w:firstRowLastColumn="0" w:lastRowFirstColumn="0" w:lastRowLastColumn="0"/>
            </w:pPr>
            <w:r w:rsidRPr="000D27B9">
              <w:t xml:space="preserve">Can the outcomes be attributed to the program as a </w:t>
            </w:r>
            <w:r w:rsidR="00046AD8" w:rsidRPr="000D27B9">
              <w:t>PAD</w:t>
            </w:r>
            <w:r w:rsidR="004801B8" w:rsidRPr="000D27B9">
              <w:t>?</w:t>
            </w:r>
          </w:p>
        </w:tc>
      </w:tr>
      <w:tr w:rsidR="00BE645F" w14:paraId="64AB122D" w14:textId="7153F60E" w:rsidTr="000D27B9">
        <w:trPr>
          <w:trHeight w:val="141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A10B504" w14:textId="3F7ACA39" w:rsidR="00BE645F" w:rsidRPr="00821701" w:rsidRDefault="001758DE" w:rsidP="00B35359">
            <w:pPr>
              <w:pStyle w:val="TabletextBOLD"/>
            </w:pPr>
            <w:r w:rsidRPr="00821701">
              <w:t>C</w:t>
            </w:r>
            <w:r w:rsidR="00A010F5">
              <w:t>ost benefit analysis</w:t>
            </w:r>
          </w:p>
        </w:tc>
        <w:tc>
          <w:tcPr>
            <w:tcW w:w="4110" w:type="dxa"/>
            <w:shd w:val="clear" w:color="auto" w:fill="auto"/>
          </w:tcPr>
          <w:p w14:paraId="0DFD08D6" w14:textId="5B23D393" w:rsidR="00BE645F" w:rsidRPr="00C43234" w:rsidRDefault="00BE645F" w:rsidP="00B35359">
            <w:pPr>
              <w:pStyle w:val="Tablebullet1"/>
              <w:cnfStyle w:val="000000000000" w:firstRow="0" w:lastRow="0" w:firstColumn="0" w:lastColumn="0" w:oddVBand="0" w:evenVBand="0" w:oddHBand="0" w:evenHBand="0" w:firstRowFirstColumn="0" w:firstRowLastColumn="0" w:lastRowFirstColumn="0" w:lastRowLastColumn="0"/>
            </w:pPr>
            <w:r w:rsidRPr="00C43234">
              <w:t xml:space="preserve">What was the economic and social impact of the J2SI </w:t>
            </w:r>
            <w:r w:rsidR="00046AD8" w:rsidRPr="00C43234">
              <w:t>PAD</w:t>
            </w:r>
            <w:r w:rsidRPr="00C43234">
              <w:t>?</w:t>
            </w:r>
          </w:p>
        </w:tc>
        <w:tc>
          <w:tcPr>
            <w:tcW w:w="4395" w:type="dxa"/>
          </w:tcPr>
          <w:p w14:paraId="40CF1A1A" w14:textId="5B591A13" w:rsidR="004801B8" w:rsidRPr="00C43234" w:rsidRDefault="0068577E" w:rsidP="00B35359">
            <w:pPr>
              <w:pStyle w:val="Tablebullet1"/>
              <w:cnfStyle w:val="000000000000" w:firstRow="0" w:lastRow="0" w:firstColumn="0" w:lastColumn="0" w:oddVBand="0" w:evenVBand="0" w:oddHBand="0" w:evenHBand="0" w:firstRowFirstColumn="0" w:firstRowLastColumn="0" w:lastRowFirstColumn="0" w:lastRowLastColumn="0"/>
            </w:pPr>
            <w:r w:rsidRPr="00C43234">
              <w:t>What was the cost of implementing J2SI SII</w:t>
            </w:r>
            <w:r w:rsidR="00261DD3">
              <w:t>?</w:t>
            </w:r>
          </w:p>
          <w:p w14:paraId="3D1361DC" w14:textId="7F84C8F3" w:rsidR="00BE645F" w:rsidRPr="00C43234" w:rsidRDefault="00BE645F" w:rsidP="00B35359">
            <w:pPr>
              <w:pStyle w:val="Tablebullet1"/>
              <w:cnfStyle w:val="000000000000" w:firstRow="0" w:lastRow="0" w:firstColumn="0" w:lastColumn="0" w:oddVBand="0" w:evenVBand="0" w:oddHBand="0" w:evenHBand="0" w:firstRowFirstColumn="0" w:firstRowLastColumn="0" w:lastRowFirstColumn="0" w:lastRowLastColumn="0"/>
            </w:pPr>
            <w:r w:rsidRPr="00C43234">
              <w:t xml:space="preserve">What are the direct and indirect economic and social benefits of implementing </w:t>
            </w:r>
            <w:r w:rsidR="00FA053C">
              <w:t xml:space="preserve">the </w:t>
            </w:r>
            <w:r w:rsidRPr="00C43234">
              <w:t xml:space="preserve">J2SI </w:t>
            </w:r>
            <w:r w:rsidR="004801B8" w:rsidRPr="00C43234">
              <w:t>PAD?</w:t>
            </w:r>
          </w:p>
        </w:tc>
      </w:tr>
    </w:tbl>
    <w:p w14:paraId="2B0AAB0B" w14:textId="0A3B21E4" w:rsidR="007174F4" w:rsidRPr="007174F4" w:rsidRDefault="007174F4" w:rsidP="007A2CBF">
      <w:pPr>
        <w:pStyle w:val="Heading3"/>
      </w:pPr>
      <w:r>
        <w:t>Overarching methodological approaches</w:t>
      </w:r>
    </w:p>
    <w:p w14:paraId="5C054CB7" w14:textId="713A0588" w:rsidR="00AA0276" w:rsidRPr="00880EEB" w:rsidRDefault="00AA0276" w:rsidP="00325BE2">
      <w:pPr>
        <w:pStyle w:val="BodyText"/>
      </w:pPr>
      <w:r w:rsidRPr="00880EEB">
        <w:t xml:space="preserve">The outcomes evaluation sought to answer the evaluation questions primarily through consultation with stakeholders, client outcomes data </w:t>
      </w:r>
      <w:r w:rsidR="00F04D9A">
        <w:t>–</w:t>
      </w:r>
      <w:r w:rsidR="00D42029">
        <w:t xml:space="preserve"> </w:t>
      </w:r>
      <w:r w:rsidR="00F04D9A">
        <w:t xml:space="preserve">via sources including </w:t>
      </w:r>
      <w:r w:rsidRPr="00880EEB">
        <w:t>payable outcome</w:t>
      </w:r>
      <w:r w:rsidR="00F04D9A">
        <w:t xml:space="preserve"> results</w:t>
      </w:r>
      <w:r w:rsidRPr="00880EEB">
        <w:t xml:space="preserve">, </w:t>
      </w:r>
      <w:r w:rsidR="00D42029">
        <w:t>TICSPOT</w:t>
      </w:r>
      <w:r w:rsidR="00AC2247">
        <w:rPr>
          <w:rStyle w:val="FootnoteReference"/>
        </w:rPr>
        <w:footnoteReference w:id="19"/>
      </w:r>
      <w:r w:rsidR="00D42029">
        <w:t xml:space="preserve"> and the Victorian Social Investment Integrated Data Resource (VSIIDR) </w:t>
      </w:r>
      <w:r w:rsidR="00B914EF">
        <w:t>–</w:t>
      </w:r>
      <w:r w:rsidR="00D42029">
        <w:t xml:space="preserve"> </w:t>
      </w:r>
      <w:r w:rsidRPr="00880EEB">
        <w:t xml:space="preserve">along with program </w:t>
      </w:r>
      <w:r w:rsidR="00D42029">
        <w:t xml:space="preserve">documentation. </w:t>
      </w:r>
      <w:r w:rsidRPr="00880EEB">
        <w:t xml:space="preserve">Where appropriate, qualitative and quantitative data sources </w:t>
      </w:r>
      <w:r>
        <w:t>have been</w:t>
      </w:r>
      <w:r w:rsidRPr="00880EEB">
        <w:t xml:space="preserve"> triangulated</w:t>
      </w:r>
      <w:r w:rsidR="006B7EC4" w:rsidRPr="006B7EC4">
        <w:t xml:space="preserve"> to provide further insight into findings</w:t>
      </w:r>
      <w:r w:rsidRPr="00880EEB">
        <w:t xml:space="preserve">. </w:t>
      </w:r>
    </w:p>
    <w:p w14:paraId="601E5717" w14:textId="527DAE30" w:rsidR="006F3234" w:rsidRDefault="00AA0276" w:rsidP="00325BE2">
      <w:pPr>
        <w:pStyle w:val="BodyText"/>
      </w:pPr>
      <w:r w:rsidRPr="00880EEB">
        <w:t>The CBA</w:t>
      </w:r>
      <w:r>
        <w:t xml:space="preserve"> has</w:t>
      </w:r>
      <w:r w:rsidR="00ED026D">
        <w:t xml:space="preserve"> built on the findings of the </w:t>
      </w:r>
      <w:r w:rsidR="00501997">
        <w:t>outcomes</w:t>
      </w:r>
      <w:r w:rsidR="00ED026D">
        <w:t xml:space="preserve"> evaluation by</w:t>
      </w:r>
      <w:r>
        <w:t xml:space="preserve"> assess</w:t>
      </w:r>
      <w:r w:rsidR="00ED026D">
        <w:t>ing</w:t>
      </w:r>
      <w:r>
        <w:t xml:space="preserve"> the extent to which the J2SI PAD represents </w:t>
      </w:r>
      <w:r w:rsidRPr="00880EEB">
        <w:t>‘value for money’. The CBA incorporates established methods to support the estimation of incremental costs and benefits</w:t>
      </w:r>
      <w:r>
        <w:t>, relative to what might have occurred in the absence of the program under ‘service as usual’</w:t>
      </w:r>
      <w:r w:rsidRPr="00880EEB">
        <w:t xml:space="preserve">. </w:t>
      </w:r>
      <w:r>
        <w:t xml:space="preserve">For the purposes of this CBA, included benefits were identified with consideration of the findings from the </w:t>
      </w:r>
      <w:r w:rsidR="00501997">
        <w:t>outcomes</w:t>
      </w:r>
      <w:r>
        <w:t xml:space="preserve"> evaluation (i.e. what is the economic benefit associated with program outcomes), were agreed in collaboration the </w:t>
      </w:r>
      <w:r w:rsidR="00471E36">
        <w:t>E</w:t>
      </w:r>
      <w:r>
        <w:t xml:space="preserve">WG and draw heavily from statistical modelling of VSIIDR data. </w:t>
      </w:r>
    </w:p>
    <w:p w14:paraId="525CDEB9" w14:textId="05E1AC66" w:rsidR="00AA0276" w:rsidRDefault="00AA0276" w:rsidP="00325BE2">
      <w:pPr>
        <w:pStyle w:val="BodyText"/>
      </w:pPr>
      <w:r>
        <w:t xml:space="preserve">A conceptual approach to the </w:t>
      </w:r>
      <w:r w:rsidR="00D1476E">
        <w:t>evaluation is provided</w:t>
      </w:r>
      <w:r>
        <w:t xml:space="preserve"> in</w:t>
      </w:r>
      <w:r w:rsidR="00261DD3">
        <w:t xml:space="preserve"> </w:t>
      </w:r>
      <w:r w:rsidR="005C4D6E">
        <w:fldChar w:fldCharType="begin"/>
      </w:r>
      <w:r w:rsidR="005C4D6E">
        <w:instrText xml:space="preserve"> REF _Ref150419017 \h </w:instrText>
      </w:r>
      <w:r w:rsidR="00325BE2">
        <w:instrText xml:space="preserve"> \* MERGEFORMAT </w:instrText>
      </w:r>
      <w:r w:rsidR="005C4D6E">
        <w:fldChar w:fldCharType="separate"/>
      </w:r>
      <w:r w:rsidR="00ED0DF7" w:rsidRPr="00EE7E76">
        <w:t xml:space="preserve">Figure </w:t>
      </w:r>
      <w:r w:rsidR="00ED0DF7">
        <w:rPr>
          <w:noProof/>
        </w:rPr>
        <w:t>5</w:t>
      </w:r>
      <w:r w:rsidR="005C4D6E">
        <w:fldChar w:fldCharType="end"/>
      </w:r>
      <w:r>
        <w:t xml:space="preserve">. Further detail on the </w:t>
      </w:r>
      <w:r w:rsidR="00D1476E">
        <w:t xml:space="preserve">evaluation inputs is </w:t>
      </w:r>
      <w:r w:rsidR="00261DD3">
        <w:t>provided</w:t>
      </w:r>
      <w:r w:rsidR="00D1476E">
        <w:t xml:space="preserve"> in the section that follows.</w:t>
      </w:r>
    </w:p>
    <w:p w14:paraId="4614AD78" w14:textId="7BD5B1A5" w:rsidR="00AA0276" w:rsidRDefault="00AA0276" w:rsidP="00134FF5">
      <w:pPr>
        <w:pStyle w:val="Caption"/>
      </w:pPr>
      <w:bookmarkStart w:id="47" w:name="_Ref150419017"/>
      <w:bookmarkStart w:id="48" w:name="_Toc174547290"/>
      <w:r w:rsidRPr="00EE7E76">
        <w:lastRenderedPageBreak/>
        <w:t xml:space="preserve">Figure </w:t>
      </w:r>
      <w:r>
        <w:fldChar w:fldCharType="begin"/>
      </w:r>
      <w:r>
        <w:instrText xml:space="preserve"> SEQ Figure \* ARABIC </w:instrText>
      </w:r>
      <w:r>
        <w:fldChar w:fldCharType="separate"/>
      </w:r>
      <w:r w:rsidR="000A505B">
        <w:rPr>
          <w:noProof/>
        </w:rPr>
        <w:t>5</w:t>
      </w:r>
      <w:r>
        <w:rPr>
          <w:noProof/>
        </w:rPr>
        <w:fldChar w:fldCharType="end"/>
      </w:r>
      <w:bookmarkEnd w:id="47"/>
      <w:r w:rsidRPr="00EE7E76">
        <w:t xml:space="preserve">: Conceptual </w:t>
      </w:r>
      <w:r w:rsidR="00D1476E">
        <w:t>evaluation</w:t>
      </w:r>
      <w:r w:rsidRPr="00EE7E76">
        <w:t xml:space="preserve"> approach</w:t>
      </w:r>
      <w:bookmarkEnd w:id="48"/>
    </w:p>
    <w:p w14:paraId="500D0CEA" w14:textId="1411B5C0" w:rsidR="00ED0DF7" w:rsidRPr="00ED0DF7" w:rsidRDefault="00ED0DF7" w:rsidP="00ED0DF7">
      <w:r w:rsidRPr="005B05CA">
        <w:rPr>
          <w:noProof/>
        </w:rPr>
        <w:drawing>
          <wp:inline distT="0" distB="0" distL="0" distR="0" wp14:anchorId="06763F40" wp14:editId="78F52FB1">
            <wp:extent cx="6479540" cy="3504565"/>
            <wp:effectExtent l="0" t="0" r="0" b="635"/>
            <wp:docPr id="5" name="Picture 5" descr="The figure depicts the two evaluation components, the outcomes evaluation and the cost benefit analysis, and how these will be informed by evaluation questions, inputs, an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e figure depicts the two evaluation components, the outcomes evaluation and the cost benefit analysis, and how these will be informed by evaluation questions, inputs, and analysi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9540" cy="3504565"/>
                    </a:xfrm>
                    <a:prstGeom prst="rect">
                      <a:avLst/>
                    </a:prstGeom>
                    <a:noFill/>
                    <a:ln>
                      <a:noFill/>
                    </a:ln>
                  </pic:spPr>
                </pic:pic>
              </a:graphicData>
            </a:graphic>
          </wp:inline>
        </w:drawing>
      </w:r>
    </w:p>
    <w:p w14:paraId="5CE04CAD" w14:textId="78670A6F" w:rsidR="00837C07" w:rsidRDefault="007A6E26" w:rsidP="00AB3040">
      <w:pPr>
        <w:pStyle w:val="Heading2"/>
        <w:spacing w:before="360"/>
      </w:pPr>
      <w:bookmarkStart w:id="49" w:name="_Toc178064007"/>
      <w:r>
        <w:t>Evaluation</w:t>
      </w:r>
      <w:r w:rsidR="00837C07">
        <w:t xml:space="preserve"> inputs</w:t>
      </w:r>
      <w:bookmarkEnd w:id="49"/>
      <w:r w:rsidR="00837C07">
        <w:t xml:space="preserve"> </w:t>
      </w:r>
    </w:p>
    <w:p w14:paraId="2284EC42" w14:textId="5A9B4A09" w:rsidR="00AE4024" w:rsidRDefault="00904F5E" w:rsidP="00325BE2">
      <w:pPr>
        <w:pStyle w:val="BodyText"/>
      </w:pPr>
      <w:r>
        <w:t xml:space="preserve">Both </w:t>
      </w:r>
      <w:r w:rsidR="00C00BA0">
        <w:t xml:space="preserve">the outcomes evaluation and CBA </w:t>
      </w:r>
      <w:r>
        <w:t xml:space="preserve">have been fed by </w:t>
      </w:r>
      <w:r w:rsidR="00431F73">
        <w:t>a range of</w:t>
      </w:r>
      <w:r>
        <w:t xml:space="preserve"> </w:t>
      </w:r>
      <w:r w:rsidR="00431F73">
        <w:t xml:space="preserve">quantitative </w:t>
      </w:r>
      <w:r w:rsidR="009D1B8B">
        <w:t xml:space="preserve">and qualitative </w:t>
      </w:r>
      <w:r w:rsidR="00431F73">
        <w:t>inputs</w:t>
      </w:r>
      <w:r w:rsidR="00DE6A03">
        <w:t>, as highlighted in</w:t>
      </w:r>
      <w:r w:rsidR="00C00BA0">
        <w:t xml:space="preserve"> </w:t>
      </w:r>
      <w:r w:rsidR="005C4D6E">
        <w:fldChar w:fldCharType="begin"/>
      </w:r>
      <w:r w:rsidR="005C4D6E">
        <w:instrText xml:space="preserve"> REF _Ref150419017 \h </w:instrText>
      </w:r>
      <w:r w:rsidR="00325BE2">
        <w:instrText xml:space="preserve"> \* MERGEFORMAT </w:instrText>
      </w:r>
      <w:r w:rsidR="005C4D6E">
        <w:fldChar w:fldCharType="separate"/>
      </w:r>
      <w:r w:rsidR="00ED0DF7" w:rsidRPr="00EE7E76">
        <w:t xml:space="preserve">Figure </w:t>
      </w:r>
      <w:r w:rsidR="00ED0DF7">
        <w:rPr>
          <w:noProof/>
        </w:rPr>
        <w:t>5</w:t>
      </w:r>
      <w:r w:rsidR="005C4D6E">
        <w:fldChar w:fldCharType="end"/>
      </w:r>
      <w:r w:rsidR="007A6E26">
        <w:t xml:space="preserve"> above. These inputs are discussed below. </w:t>
      </w:r>
      <w:r w:rsidR="00C00BA0">
        <w:fldChar w:fldCharType="begin" w:fldLock="1"/>
      </w:r>
      <w:r w:rsidR="00C00BA0">
        <w:instrText xml:space="preserve"> REF _Ref150406877 \h </w:instrText>
      </w:r>
      <w:r w:rsidR="00325BE2">
        <w:instrText xml:space="preserve"> \* MERGEFORMAT </w:instrText>
      </w:r>
      <w:r w:rsidR="0061017C">
        <w:fldChar w:fldCharType="separate"/>
      </w:r>
      <w:r w:rsidR="00C00BA0">
        <w:fldChar w:fldCharType="end"/>
      </w:r>
      <w:r w:rsidR="00C00BA0">
        <w:t xml:space="preserve"> </w:t>
      </w:r>
    </w:p>
    <w:p w14:paraId="541D7C0F" w14:textId="738C7E62" w:rsidR="008812DC" w:rsidRDefault="008812DC" w:rsidP="007A2CBF">
      <w:pPr>
        <w:pStyle w:val="Heading3"/>
      </w:pPr>
      <w:bookmarkStart w:id="50" w:name="_Ref150437038"/>
      <w:r>
        <w:t>Quantitative data sources</w:t>
      </w:r>
      <w:bookmarkEnd w:id="50"/>
    </w:p>
    <w:p w14:paraId="54DDB76E" w14:textId="5F2E281D" w:rsidR="00730777" w:rsidRDefault="00730777" w:rsidP="00150C23">
      <w:pPr>
        <w:pStyle w:val="Bullet1stlevel"/>
        <w:numPr>
          <w:ilvl w:val="0"/>
          <w:numId w:val="0"/>
        </w:numPr>
        <w:spacing w:before="60"/>
      </w:pPr>
      <w:r w:rsidRPr="00730777">
        <w:t xml:space="preserve">Key </w:t>
      </w:r>
      <w:r>
        <w:t>quantitative</w:t>
      </w:r>
      <w:r w:rsidRPr="00730777">
        <w:t xml:space="preserve"> </w:t>
      </w:r>
      <w:r w:rsidR="007A5858">
        <w:t xml:space="preserve">sources </w:t>
      </w:r>
      <w:r w:rsidR="00384DF3">
        <w:t>include</w:t>
      </w:r>
      <w:r w:rsidRPr="00730777">
        <w:t>:</w:t>
      </w:r>
    </w:p>
    <w:p w14:paraId="21C572AA" w14:textId="3045A69A" w:rsidR="00384DF3" w:rsidRPr="00B914EF" w:rsidRDefault="00DD4655" w:rsidP="00F42EDE">
      <w:pPr>
        <w:pStyle w:val="Heading4"/>
      </w:pPr>
      <w:r w:rsidRPr="00B914EF">
        <w:t xml:space="preserve">Payable </w:t>
      </w:r>
      <w:r w:rsidR="00384DF3" w:rsidRPr="00B914EF">
        <w:t xml:space="preserve">outcome results </w:t>
      </w:r>
    </w:p>
    <w:p w14:paraId="0E3E0527" w14:textId="45E805CF" w:rsidR="00DD4655" w:rsidRDefault="00DD4655" w:rsidP="00325BE2">
      <w:pPr>
        <w:pStyle w:val="BodyText"/>
      </w:pPr>
      <w:r>
        <w:t>Payable outcome</w:t>
      </w:r>
      <w:r w:rsidR="00820792">
        <w:t xml:space="preserve"> results refer</w:t>
      </w:r>
      <w:r>
        <w:t xml:space="preserve"> to the two outcomes measured as part of the J2SI PAD for the purposes of </w:t>
      </w:r>
      <w:r w:rsidR="00FA2718">
        <w:t xml:space="preserve">the </w:t>
      </w:r>
      <w:r w:rsidR="00501997">
        <w:t>outcomes</w:t>
      </w:r>
      <w:r>
        <w:t xml:space="preserve"> payment</w:t>
      </w:r>
      <w:r w:rsidR="00410AA8">
        <w:t xml:space="preserve">. The two payable outcome measures </w:t>
      </w:r>
      <w:r w:rsidR="00C21427">
        <w:t>are</w:t>
      </w:r>
      <w:r>
        <w:t xml:space="preserve">: </w:t>
      </w:r>
    </w:p>
    <w:p w14:paraId="7C5862EC" w14:textId="1F281AF2" w:rsidR="00DD4655" w:rsidRDefault="00753D5C" w:rsidP="00632D10">
      <w:pPr>
        <w:pStyle w:val="Bullet1stlevel"/>
      </w:pPr>
      <w:r w:rsidRPr="00753D5C">
        <w:rPr>
          <w:b/>
          <w:bCs/>
        </w:rPr>
        <w:t>S</w:t>
      </w:r>
      <w:r w:rsidR="00DD4655" w:rsidRPr="00753D5C">
        <w:rPr>
          <w:b/>
          <w:bCs/>
        </w:rPr>
        <w:t>table</w:t>
      </w:r>
      <w:r w:rsidR="00DD4655" w:rsidRPr="00753D5C">
        <w:rPr>
          <w:b/>
        </w:rPr>
        <w:t xml:space="preserve"> housing</w:t>
      </w:r>
      <w:r>
        <w:rPr>
          <w:b/>
          <w:bCs/>
        </w:rPr>
        <w:t>:</w:t>
      </w:r>
      <w:r w:rsidR="00DD4655">
        <w:t xml:space="preserve"> the</w:t>
      </w:r>
      <w:r w:rsidR="00DD4655" w:rsidRPr="00C95C09">
        <w:t xml:space="preserve"> percentage of </w:t>
      </w:r>
      <w:r w:rsidR="00DD4655">
        <w:t xml:space="preserve">J2SI PAD clients </w:t>
      </w:r>
      <w:r w:rsidR="00DD4655" w:rsidRPr="00C95C09">
        <w:t xml:space="preserve">in </w:t>
      </w:r>
      <w:r w:rsidR="00DD4655">
        <w:t>s</w:t>
      </w:r>
      <w:r w:rsidR="00DD4655" w:rsidRPr="00C95C09">
        <w:t xml:space="preserve">table </w:t>
      </w:r>
      <w:r w:rsidR="00DD4655">
        <w:t>h</w:t>
      </w:r>
      <w:r w:rsidR="00DD4655" w:rsidRPr="00C95C09">
        <w:t>ousing</w:t>
      </w:r>
      <w:r w:rsidR="000C155F">
        <w:t xml:space="preserve"> (head leased property or social housing)</w:t>
      </w:r>
      <w:r w:rsidR="00DD4655" w:rsidRPr="00C95C09">
        <w:t xml:space="preserve"> at </w:t>
      </w:r>
      <w:r w:rsidR="00DD4655">
        <w:t>the</w:t>
      </w:r>
      <w:r w:rsidR="00DD4655" w:rsidRPr="00C95C09">
        <w:t xml:space="preserve"> </w:t>
      </w:r>
      <w:r w:rsidR="00DD4655">
        <w:t>measurement date</w:t>
      </w:r>
      <w:r w:rsidR="00241B83">
        <w:t xml:space="preserve">, </w:t>
      </w:r>
      <w:r w:rsidR="00241B83" w:rsidRPr="00241B83">
        <w:t>who have not used crisis accommodation except for family violence reason</w:t>
      </w:r>
      <w:r w:rsidR="00B605B4">
        <w:t>s</w:t>
      </w:r>
      <w:r w:rsidR="00241B83">
        <w:t xml:space="preserve">, </w:t>
      </w:r>
      <w:r w:rsidR="00DD4655">
        <w:t>compared to a control group</w:t>
      </w:r>
      <w:r w:rsidR="002B5172">
        <w:rPr>
          <w:rStyle w:val="FootnoteReference"/>
        </w:rPr>
        <w:footnoteReference w:id="20"/>
      </w:r>
      <w:r w:rsidR="00DD4655">
        <w:t>; and</w:t>
      </w:r>
    </w:p>
    <w:p w14:paraId="2580BE56" w14:textId="4C58A4A0" w:rsidR="00DD4655" w:rsidRDefault="00753D5C" w:rsidP="00632D10">
      <w:pPr>
        <w:pStyle w:val="Bullet1stlevel"/>
      </w:pPr>
      <w:r w:rsidRPr="00753D5C">
        <w:rPr>
          <w:b/>
          <w:bCs/>
        </w:rPr>
        <w:t>H</w:t>
      </w:r>
      <w:r w:rsidR="00DD4655" w:rsidRPr="00753D5C">
        <w:rPr>
          <w:b/>
          <w:bCs/>
        </w:rPr>
        <w:t>ospital</w:t>
      </w:r>
      <w:r w:rsidR="00DD4655" w:rsidRPr="00753D5C">
        <w:rPr>
          <w:b/>
        </w:rPr>
        <w:t xml:space="preserve"> bed days</w:t>
      </w:r>
      <w:r w:rsidR="003C4EEF">
        <w:rPr>
          <w:b/>
          <w:bCs/>
        </w:rPr>
        <w:t>:</w:t>
      </w:r>
      <w:r w:rsidR="00DD4655">
        <w:rPr>
          <w:b/>
        </w:rPr>
        <w:t xml:space="preserve"> </w:t>
      </w:r>
      <w:r w:rsidR="00DD4655">
        <w:t xml:space="preserve">the improvement in the average number of </w:t>
      </w:r>
      <w:r w:rsidR="00DD4655" w:rsidRPr="00A2148E">
        <w:t xml:space="preserve">hospital bed days in the 12 months prior to </w:t>
      </w:r>
      <w:r w:rsidR="00DD4655">
        <w:t>the</w:t>
      </w:r>
      <w:r w:rsidR="00DD4655" w:rsidRPr="00A2148E">
        <w:t xml:space="preserve"> measurement date compared to the baseline average number of hospital bed days</w:t>
      </w:r>
      <w:r w:rsidR="006A1DCC">
        <w:t xml:space="preserve"> in the year before entering the program</w:t>
      </w:r>
      <w:r w:rsidR="00DD4655">
        <w:t xml:space="preserve">, of J2SI PAD clients compared to </w:t>
      </w:r>
      <w:r w:rsidR="002162CC">
        <w:t xml:space="preserve">a </w:t>
      </w:r>
      <w:r w:rsidR="00DD4655">
        <w:t xml:space="preserve">control group. </w:t>
      </w:r>
    </w:p>
    <w:p w14:paraId="1A194055" w14:textId="2E26E736" w:rsidR="00806A36" w:rsidRDefault="007E0CC1" w:rsidP="00B914EF">
      <w:pPr>
        <w:pStyle w:val="BodyTextkeepwithnext"/>
      </w:pPr>
      <w:r>
        <w:t>A</w:t>
      </w:r>
      <w:r w:rsidR="003B1B20">
        <w:t>t</w:t>
      </w:r>
      <w:r>
        <w:t xml:space="preserve"> the time of final evaluation reporting</w:t>
      </w:r>
      <w:r w:rsidR="00B859AD">
        <w:t xml:space="preserve"> (</w:t>
      </w:r>
      <w:r w:rsidR="00AE2CFE">
        <w:t>October – November 2023)</w:t>
      </w:r>
      <w:r>
        <w:t xml:space="preserve">, </w:t>
      </w:r>
      <w:r w:rsidR="009F4487">
        <w:t>results were available for</w:t>
      </w:r>
      <w:r w:rsidR="00806A36">
        <w:t xml:space="preserve">: </w:t>
      </w:r>
    </w:p>
    <w:p w14:paraId="088BE78C" w14:textId="1BCB7EB1" w:rsidR="00FC60F0" w:rsidRPr="00AC1622" w:rsidRDefault="00806A36" w:rsidP="00632D10">
      <w:pPr>
        <w:pStyle w:val="Bullet1stlevel"/>
      </w:pPr>
      <w:r w:rsidRPr="00AC1622">
        <w:t>Cohort</w:t>
      </w:r>
      <w:r w:rsidR="00B914EF" w:rsidRPr="00AC1622">
        <w:t>s</w:t>
      </w:r>
      <w:r w:rsidRPr="00AC1622">
        <w:t xml:space="preserve"> 1 and 2: 24 months, </w:t>
      </w:r>
      <w:r w:rsidR="00FC60F0" w:rsidRPr="00AC1622">
        <w:t>36 months and 48 months</w:t>
      </w:r>
      <w:r w:rsidR="00AE2CFE" w:rsidRPr="00AC1622">
        <w:t>; and</w:t>
      </w:r>
    </w:p>
    <w:p w14:paraId="7279A2FA" w14:textId="202FAC18" w:rsidR="00FC60F0" w:rsidRPr="00AC1622" w:rsidRDefault="00FC60F0" w:rsidP="00632D10">
      <w:pPr>
        <w:pStyle w:val="Bullet1stlevel"/>
      </w:pPr>
      <w:r w:rsidRPr="00AC1622">
        <w:t xml:space="preserve">Cohort 3: 24 months and 36 months (with 48 month measurement </w:t>
      </w:r>
      <w:r w:rsidR="0087202E">
        <w:t>to be performed in 2024</w:t>
      </w:r>
      <w:r w:rsidR="00C262A8" w:rsidRPr="00AC1622">
        <w:t>)</w:t>
      </w:r>
      <w:r w:rsidR="00AE2CFE" w:rsidRPr="00AC1622">
        <w:t>.</w:t>
      </w:r>
    </w:p>
    <w:p w14:paraId="7A59FD98" w14:textId="5FE9D335" w:rsidR="00736E29" w:rsidRPr="00325BE2" w:rsidRDefault="00F74A8A" w:rsidP="00325BE2">
      <w:pPr>
        <w:pStyle w:val="BodyText"/>
      </w:pPr>
      <w:r w:rsidRPr="00325BE2">
        <w:t>To calculate the two</w:t>
      </w:r>
      <w:r w:rsidR="00D342BE" w:rsidRPr="00325BE2">
        <w:t xml:space="preserve"> payable outcomes</w:t>
      </w:r>
      <w:r w:rsidR="00B914EF" w:rsidRPr="00325BE2">
        <w:t>,</w:t>
      </w:r>
      <w:r w:rsidR="00D342BE" w:rsidRPr="00325BE2">
        <w:t xml:space="preserve"> </w:t>
      </w:r>
      <w:r w:rsidRPr="00325BE2">
        <w:t xml:space="preserve">the Centre for Victorian Data Linkage (CVDL) </w:t>
      </w:r>
      <w:r w:rsidR="00162202" w:rsidRPr="00325BE2">
        <w:t xml:space="preserve">linked </w:t>
      </w:r>
      <w:r w:rsidR="00C86A3E" w:rsidRPr="00325BE2">
        <w:t xml:space="preserve">relevant </w:t>
      </w:r>
      <w:r w:rsidR="00DE4874" w:rsidRPr="00325BE2">
        <w:t xml:space="preserve">unit </w:t>
      </w:r>
      <w:r w:rsidR="00C86A3E" w:rsidRPr="00325BE2">
        <w:t xml:space="preserve">records </w:t>
      </w:r>
      <w:r w:rsidR="00C0436D" w:rsidRPr="00325BE2">
        <w:t>f</w:t>
      </w:r>
      <w:r w:rsidR="00DE4874" w:rsidRPr="00325BE2">
        <w:t>or</w:t>
      </w:r>
      <w:r w:rsidR="00C86A3E" w:rsidRPr="00325BE2">
        <w:t xml:space="preserve"> </w:t>
      </w:r>
      <w:r w:rsidR="00A26CD4" w:rsidRPr="00325BE2">
        <w:t xml:space="preserve">J2SI PAD </w:t>
      </w:r>
      <w:r w:rsidR="00CB1DE4" w:rsidRPr="00325BE2">
        <w:t xml:space="preserve">and control group </w:t>
      </w:r>
      <w:r w:rsidR="00A26CD4" w:rsidRPr="00325BE2">
        <w:t xml:space="preserve">clients </w:t>
      </w:r>
      <w:r w:rsidR="00CB1DE4" w:rsidRPr="00325BE2">
        <w:t>within</w:t>
      </w:r>
      <w:r w:rsidR="00A26CD4" w:rsidRPr="00325BE2">
        <w:t xml:space="preserve"> </w:t>
      </w:r>
      <w:r w:rsidR="00783687" w:rsidRPr="00325BE2">
        <w:t>VSIIDR</w:t>
      </w:r>
      <w:r w:rsidR="00D5389A" w:rsidRPr="00325BE2">
        <w:t xml:space="preserve">, </w:t>
      </w:r>
      <w:r w:rsidR="005871E3" w:rsidRPr="00325BE2">
        <w:t>which comprises a range of administrative datasets covering health and housing, education, and crime and safety</w:t>
      </w:r>
      <w:r w:rsidR="00D5389A" w:rsidRPr="00325BE2">
        <w:t>, for the period January 201</w:t>
      </w:r>
      <w:r w:rsidR="00701A73" w:rsidRPr="00325BE2">
        <w:t>5</w:t>
      </w:r>
      <w:r w:rsidR="00D5389A" w:rsidRPr="00325BE2">
        <w:t xml:space="preserve"> to October 2019</w:t>
      </w:r>
      <w:r w:rsidR="005871E3" w:rsidRPr="00325BE2">
        <w:t xml:space="preserve">. </w:t>
      </w:r>
    </w:p>
    <w:p w14:paraId="4C4DCF8C" w14:textId="44E2161F" w:rsidR="00733013" w:rsidRPr="00150C23" w:rsidRDefault="0010071A" w:rsidP="00325BE2">
      <w:pPr>
        <w:pStyle w:val="BodyText"/>
        <w:rPr>
          <w:spacing w:val="2"/>
        </w:rPr>
      </w:pPr>
      <w:r w:rsidRPr="00150C23">
        <w:rPr>
          <w:spacing w:val="2"/>
        </w:rPr>
        <w:t>T</w:t>
      </w:r>
      <w:r w:rsidR="0077400B" w:rsidRPr="00150C23">
        <w:rPr>
          <w:spacing w:val="2"/>
        </w:rPr>
        <w:t xml:space="preserve">he control group </w:t>
      </w:r>
      <w:r w:rsidR="00CB1DE4" w:rsidRPr="00150C23">
        <w:rPr>
          <w:spacing w:val="2"/>
        </w:rPr>
        <w:t>client</w:t>
      </w:r>
      <w:r w:rsidR="00C0436D" w:rsidRPr="00150C23">
        <w:rPr>
          <w:spacing w:val="2"/>
        </w:rPr>
        <w:t>s</w:t>
      </w:r>
      <w:r w:rsidR="00CB1DE4" w:rsidRPr="00150C23">
        <w:rPr>
          <w:spacing w:val="2"/>
        </w:rPr>
        <w:t xml:space="preserve"> </w:t>
      </w:r>
      <w:r w:rsidR="00DE4874" w:rsidRPr="00150C23">
        <w:rPr>
          <w:spacing w:val="2"/>
        </w:rPr>
        <w:t>represent</w:t>
      </w:r>
      <w:r w:rsidR="004128AD" w:rsidRPr="00150C23">
        <w:rPr>
          <w:spacing w:val="2"/>
        </w:rPr>
        <w:t xml:space="preserve"> a historical control established for the purposes of the J2SI </w:t>
      </w:r>
      <w:r w:rsidR="009C7EFD" w:rsidRPr="00150C23">
        <w:rPr>
          <w:spacing w:val="2"/>
        </w:rPr>
        <w:t xml:space="preserve">Phase 2 </w:t>
      </w:r>
      <w:r w:rsidR="004128AD" w:rsidRPr="00150C23">
        <w:rPr>
          <w:spacing w:val="2"/>
        </w:rPr>
        <w:t>RCT</w:t>
      </w:r>
      <w:r w:rsidR="00B200C5" w:rsidRPr="00150C23">
        <w:rPr>
          <w:spacing w:val="2"/>
        </w:rPr>
        <w:t xml:space="preserve">. </w:t>
      </w:r>
      <w:r w:rsidR="00192FDE" w:rsidRPr="00150C23">
        <w:rPr>
          <w:spacing w:val="2"/>
        </w:rPr>
        <w:t>After being assessed for eligibility</w:t>
      </w:r>
      <w:r w:rsidR="00B914EF" w:rsidRPr="00150C23">
        <w:rPr>
          <w:spacing w:val="2"/>
        </w:rPr>
        <w:t>,</w:t>
      </w:r>
      <w:r w:rsidR="00192FDE" w:rsidRPr="00150C23">
        <w:rPr>
          <w:spacing w:val="2"/>
        </w:rPr>
        <w:t xml:space="preserve"> </w:t>
      </w:r>
      <w:r w:rsidR="00C0436D" w:rsidRPr="00150C23">
        <w:rPr>
          <w:spacing w:val="2"/>
        </w:rPr>
        <w:t>providing</w:t>
      </w:r>
      <w:r w:rsidR="00192FDE" w:rsidRPr="00150C23">
        <w:rPr>
          <w:spacing w:val="2"/>
        </w:rPr>
        <w:t xml:space="preserve"> written, informed consent and following the completion of </w:t>
      </w:r>
      <w:r w:rsidR="00DE4874" w:rsidRPr="00150C23">
        <w:rPr>
          <w:spacing w:val="2"/>
        </w:rPr>
        <w:t>a</w:t>
      </w:r>
      <w:r w:rsidR="00192FDE" w:rsidRPr="00150C23">
        <w:rPr>
          <w:spacing w:val="2"/>
        </w:rPr>
        <w:t xml:space="preserve"> </w:t>
      </w:r>
      <w:r w:rsidR="00CB1DE4" w:rsidRPr="00150C23">
        <w:rPr>
          <w:spacing w:val="2"/>
        </w:rPr>
        <w:t>b</w:t>
      </w:r>
      <w:r w:rsidR="00192FDE" w:rsidRPr="00150C23">
        <w:rPr>
          <w:spacing w:val="2"/>
        </w:rPr>
        <w:t>aseline survey, p</w:t>
      </w:r>
      <w:r w:rsidR="005A682C" w:rsidRPr="00150C23">
        <w:rPr>
          <w:spacing w:val="2"/>
        </w:rPr>
        <w:t xml:space="preserve">articipants in the J2SI </w:t>
      </w:r>
      <w:r w:rsidR="009C7EFD" w:rsidRPr="00150C23">
        <w:rPr>
          <w:spacing w:val="2"/>
        </w:rPr>
        <w:t xml:space="preserve">Phase 2 </w:t>
      </w:r>
      <w:r w:rsidR="00192FDE" w:rsidRPr="00150C23">
        <w:rPr>
          <w:spacing w:val="2"/>
        </w:rPr>
        <w:t>RCT</w:t>
      </w:r>
      <w:r w:rsidR="005A682C" w:rsidRPr="00150C23">
        <w:rPr>
          <w:spacing w:val="2"/>
        </w:rPr>
        <w:t xml:space="preserve"> </w:t>
      </w:r>
      <w:r w:rsidR="00192FDE" w:rsidRPr="00150C23">
        <w:rPr>
          <w:spacing w:val="2"/>
        </w:rPr>
        <w:t xml:space="preserve">were </w:t>
      </w:r>
      <w:r w:rsidR="005A682C" w:rsidRPr="00150C23">
        <w:rPr>
          <w:spacing w:val="2"/>
        </w:rPr>
        <w:t xml:space="preserve">randomised to the J2SI program or to existing service as </w:t>
      </w:r>
      <w:r w:rsidR="005A682C" w:rsidRPr="00150C23">
        <w:rPr>
          <w:spacing w:val="2"/>
        </w:rPr>
        <w:lastRenderedPageBreak/>
        <w:t xml:space="preserve">usual. Randomisation outcomes were determined through a shuffled envelope system in line with the recommendation of </w:t>
      </w:r>
      <w:r w:rsidR="00192FDE" w:rsidRPr="00150C23">
        <w:rPr>
          <w:spacing w:val="2"/>
        </w:rPr>
        <w:t xml:space="preserve">SHM. </w:t>
      </w:r>
    </w:p>
    <w:p w14:paraId="09E6A493" w14:textId="672DB062" w:rsidR="00042E25" w:rsidRPr="00150C23" w:rsidRDefault="00042E25" w:rsidP="00325BE2">
      <w:pPr>
        <w:pStyle w:val="BodyText"/>
        <w:rPr>
          <w:spacing w:val="-2"/>
        </w:rPr>
      </w:pPr>
      <w:r w:rsidRPr="00150C23">
        <w:rPr>
          <w:spacing w:val="-2"/>
        </w:rPr>
        <w:t>T</w:t>
      </w:r>
      <w:r w:rsidR="0016479D" w:rsidRPr="00150C23">
        <w:rPr>
          <w:spacing w:val="-2"/>
        </w:rPr>
        <w:t xml:space="preserve">he decision </w:t>
      </w:r>
      <w:r w:rsidR="00624CD2" w:rsidRPr="00150C23">
        <w:rPr>
          <w:spacing w:val="-2"/>
        </w:rPr>
        <w:t xml:space="preserve">to use the historical control group </w:t>
      </w:r>
      <w:r w:rsidR="00733013" w:rsidRPr="00150C23">
        <w:rPr>
          <w:spacing w:val="-2"/>
        </w:rPr>
        <w:t xml:space="preserve">for the J2SI PAD </w:t>
      </w:r>
      <w:r w:rsidR="0016479D" w:rsidRPr="00150C23">
        <w:rPr>
          <w:spacing w:val="-2"/>
        </w:rPr>
        <w:t xml:space="preserve">was driven by the ethical implications of preventing chronically homeless people from accessing J2SI for a second time if they were again randomised into the control group as part of the </w:t>
      </w:r>
      <w:r w:rsidR="00C0436D" w:rsidRPr="00150C23">
        <w:rPr>
          <w:spacing w:val="-2"/>
        </w:rPr>
        <w:t>PAD</w:t>
      </w:r>
      <w:r w:rsidR="0016479D" w:rsidRPr="00150C23">
        <w:rPr>
          <w:spacing w:val="-2"/>
        </w:rPr>
        <w:t xml:space="preserve">. </w:t>
      </w:r>
      <w:r w:rsidR="00CB1DE4" w:rsidRPr="00150C23">
        <w:rPr>
          <w:spacing w:val="-2"/>
        </w:rPr>
        <w:t xml:space="preserve">In order to </w:t>
      </w:r>
      <w:r w:rsidR="00AD5199" w:rsidRPr="00150C23">
        <w:rPr>
          <w:spacing w:val="-2"/>
        </w:rPr>
        <w:t xml:space="preserve">be able to use the historical control </w:t>
      </w:r>
      <w:r w:rsidR="00E34B3A" w:rsidRPr="00150C23">
        <w:rPr>
          <w:spacing w:val="-2"/>
        </w:rPr>
        <w:t>for the J2SI PADs payable outcomes, t</w:t>
      </w:r>
      <w:r w:rsidR="000C7F52" w:rsidRPr="00150C23">
        <w:rPr>
          <w:spacing w:val="-2"/>
        </w:rPr>
        <w:t>he University of Western Australia (UWA) Centre for Social Impact (CSI)</w:t>
      </w:r>
      <w:r w:rsidR="001E3E53" w:rsidRPr="00150C23">
        <w:rPr>
          <w:spacing w:val="-2"/>
        </w:rPr>
        <w:t xml:space="preserve">, </w:t>
      </w:r>
      <w:r w:rsidR="00641F66" w:rsidRPr="00150C23">
        <w:rPr>
          <w:spacing w:val="-2"/>
        </w:rPr>
        <w:t xml:space="preserve">responsible for the </w:t>
      </w:r>
      <w:r w:rsidR="009C7EFD" w:rsidRPr="00150C23">
        <w:rPr>
          <w:spacing w:val="-2"/>
        </w:rPr>
        <w:t xml:space="preserve">Phase 2 </w:t>
      </w:r>
      <w:r w:rsidR="00641F66" w:rsidRPr="00150C23">
        <w:rPr>
          <w:spacing w:val="-2"/>
        </w:rPr>
        <w:t xml:space="preserve">RCT, </w:t>
      </w:r>
      <w:r w:rsidR="001C073D" w:rsidRPr="00150C23">
        <w:rPr>
          <w:spacing w:val="-2"/>
        </w:rPr>
        <w:t>was paid</w:t>
      </w:r>
      <w:r w:rsidR="009E22E4" w:rsidRPr="00150C23">
        <w:rPr>
          <w:spacing w:val="-2"/>
        </w:rPr>
        <w:t xml:space="preserve"> to </w:t>
      </w:r>
      <w:r w:rsidR="001C073D" w:rsidRPr="00150C23">
        <w:rPr>
          <w:spacing w:val="-2"/>
        </w:rPr>
        <w:t>perform calculations under</w:t>
      </w:r>
      <w:r w:rsidR="005871E3" w:rsidRPr="00150C23">
        <w:rPr>
          <w:spacing w:val="-2"/>
        </w:rPr>
        <w:t xml:space="preserve"> the </w:t>
      </w:r>
      <w:r w:rsidR="001C073D" w:rsidRPr="00150C23">
        <w:rPr>
          <w:spacing w:val="-2"/>
        </w:rPr>
        <w:t>SII outcome payment definitions as an extension to the Phase 2 RCT</w:t>
      </w:r>
      <w:r w:rsidRPr="00150C23">
        <w:rPr>
          <w:spacing w:val="-2"/>
        </w:rPr>
        <w:t>.</w:t>
      </w:r>
      <w:r w:rsidR="00747A55" w:rsidRPr="00150C23">
        <w:rPr>
          <w:spacing w:val="-2"/>
        </w:rPr>
        <w:t xml:space="preserve"> </w:t>
      </w:r>
    </w:p>
    <w:p w14:paraId="41824711" w14:textId="50476F12" w:rsidR="00FA1F95" w:rsidRPr="00B914EF" w:rsidRDefault="00FA1F95" w:rsidP="00B914EF">
      <w:pPr>
        <w:pStyle w:val="Heading4"/>
      </w:pPr>
      <w:r w:rsidRPr="00B914EF">
        <w:t>SHM’s Trauma Informed Client Support and Planning Outcomes Tool (TICSPOT)</w:t>
      </w:r>
    </w:p>
    <w:p w14:paraId="577866D3" w14:textId="12F633CA" w:rsidR="00657460" w:rsidRDefault="00B767AE" w:rsidP="00632D10">
      <w:pPr>
        <w:pStyle w:val="Bullet1stlevel"/>
        <w:numPr>
          <w:ilvl w:val="0"/>
          <w:numId w:val="0"/>
        </w:numPr>
      </w:pPr>
      <w:r>
        <w:t xml:space="preserve">The </w:t>
      </w:r>
      <w:r w:rsidR="00DD4655">
        <w:t xml:space="preserve">TICSPOT survey data </w:t>
      </w:r>
      <w:r>
        <w:t>contains</w:t>
      </w:r>
      <w:r w:rsidR="00DD4655">
        <w:t xml:space="preserve"> J2SI PAD client </w:t>
      </w:r>
      <w:r w:rsidR="00747A55">
        <w:t xml:space="preserve">and case-worker </w:t>
      </w:r>
      <w:r w:rsidR="00DD4655">
        <w:t>self-reported outcomes</w:t>
      </w:r>
      <w:r>
        <w:t>,</w:t>
      </w:r>
      <w:r w:rsidR="00DD4655">
        <w:t xml:space="preserve"> relating to clients</w:t>
      </w:r>
      <w:r w:rsidR="00276DDE">
        <w:t>’</w:t>
      </w:r>
      <w:r w:rsidR="00DD4655">
        <w:t xml:space="preserve"> </w:t>
      </w:r>
      <w:r w:rsidR="0074793F">
        <w:t xml:space="preserve">stable </w:t>
      </w:r>
      <w:r w:rsidR="00DD4655">
        <w:t>housing, health and wellbeing, independence, social inclusion and economic participation</w:t>
      </w:r>
      <w:r>
        <w:t xml:space="preserve">, </w:t>
      </w:r>
      <w:r w:rsidR="00915A17">
        <w:t>collected at six</w:t>
      </w:r>
      <w:r w:rsidR="00EC5768">
        <w:noBreakHyphen/>
      </w:r>
      <w:r w:rsidR="00915A17">
        <w:t xml:space="preserve">monthly intervals </w:t>
      </w:r>
      <w:r w:rsidR="00DF790A">
        <w:t>from</w:t>
      </w:r>
      <w:r w:rsidR="00915A17" w:rsidRPr="00915A17">
        <w:t xml:space="preserve"> program commencement (initial survey) </w:t>
      </w:r>
      <w:r w:rsidR="00DF790A">
        <w:t>through to</w:t>
      </w:r>
      <w:r w:rsidR="00915A17" w:rsidRPr="00915A17">
        <w:t xml:space="preserve"> exit (exit survey)</w:t>
      </w:r>
      <w:r w:rsidR="004A14F3">
        <w:t xml:space="preserve"> and used as part of case management</w:t>
      </w:r>
      <w:r w:rsidR="00915A17" w:rsidRPr="00915A17">
        <w:t xml:space="preserve">. </w:t>
      </w:r>
    </w:p>
    <w:p w14:paraId="54A01593" w14:textId="0A2D87BB" w:rsidR="009E4F79" w:rsidRDefault="00915A17" w:rsidP="00632D10">
      <w:pPr>
        <w:pStyle w:val="Bullet1stlevel"/>
        <w:numPr>
          <w:ilvl w:val="0"/>
          <w:numId w:val="0"/>
        </w:numPr>
      </w:pPr>
      <w:r w:rsidRPr="00915A17">
        <w:t>While the TICSPOT survey results are not used directly to generate payable outcomes for the PAD</w:t>
      </w:r>
      <w:r w:rsidR="00847974">
        <w:t>,</w:t>
      </w:r>
      <w:r w:rsidRPr="00915A17">
        <w:t xml:space="preserve"> they </w:t>
      </w:r>
      <w:r>
        <w:t xml:space="preserve">provide </w:t>
      </w:r>
      <w:r w:rsidR="00641F66">
        <w:t>further insights into</w:t>
      </w:r>
      <w:r w:rsidRPr="00915A17">
        <w:t xml:space="preserve"> </w:t>
      </w:r>
      <w:r>
        <w:t>program outcomes for clients</w:t>
      </w:r>
      <w:r w:rsidRPr="00915A17">
        <w:t xml:space="preserve">. Most </w:t>
      </w:r>
      <w:r w:rsidR="005543CB">
        <w:t>survey</w:t>
      </w:r>
      <w:r w:rsidRPr="00915A17">
        <w:t xml:space="preserve"> questions provide respondents with five possible response options, with a score automatically generated depending on the response. Generated scores are between 1 and 5, with a score of 1 indicating a ‘low/negative’ response to a question, and a score of 5 indicating a ‘high/positive’ response to a question</w:t>
      </w:r>
      <w:r w:rsidR="00B767AE">
        <w:t xml:space="preserve">. </w:t>
      </w:r>
      <w:r w:rsidR="00066395">
        <w:t xml:space="preserve">It is noted that completion of the TICSPOT survey was </w:t>
      </w:r>
      <w:r w:rsidR="0000272E">
        <w:t>not</w:t>
      </w:r>
      <w:r w:rsidR="00495CB6">
        <w:t xml:space="preserve"> mandatory throughout the J2SI PAD.</w:t>
      </w:r>
      <w:r w:rsidR="009E4F79">
        <w:t xml:space="preserve"> </w:t>
      </w:r>
    </w:p>
    <w:p w14:paraId="562ED37D" w14:textId="40A7D059" w:rsidR="004069B1" w:rsidRPr="00803617" w:rsidRDefault="004069B1" w:rsidP="00B914EF">
      <w:pPr>
        <w:pStyle w:val="Heading4"/>
      </w:pPr>
      <w:r w:rsidRPr="00803617">
        <w:t xml:space="preserve">The Victorian Social Investment Integrated Data Resource </w:t>
      </w:r>
      <w:r w:rsidR="00B9246E" w:rsidRPr="00803617">
        <w:t>(VSIIDR)</w:t>
      </w:r>
    </w:p>
    <w:p w14:paraId="699E6643" w14:textId="3935E64C" w:rsidR="009E4F79" w:rsidRDefault="0048370D" w:rsidP="00325BE2">
      <w:pPr>
        <w:pStyle w:val="BodyText"/>
      </w:pPr>
      <w:r>
        <w:t xml:space="preserve">For the purposes of </w:t>
      </w:r>
      <w:r w:rsidRPr="004F4ED6">
        <w:rPr>
          <w:color w:val="auto"/>
        </w:rPr>
        <w:t xml:space="preserve">the </w:t>
      </w:r>
      <w:r w:rsidR="00432EB6" w:rsidRPr="004F4ED6">
        <w:rPr>
          <w:color w:val="auto"/>
        </w:rPr>
        <w:t xml:space="preserve">CBA, KPMG </w:t>
      </w:r>
      <w:r w:rsidR="00B85B6D">
        <w:t>was</w:t>
      </w:r>
      <w:r w:rsidR="00432EB6">
        <w:t xml:space="preserve"> provided access to </w:t>
      </w:r>
      <w:r w:rsidR="007956F2" w:rsidRPr="007956F2">
        <w:t>VSIIDR</w:t>
      </w:r>
      <w:r w:rsidR="006312FF">
        <w:t xml:space="preserve"> to gain insight into how the J2SI PAD program impacted clients</w:t>
      </w:r>
      <w:r w:rsidR="000936C4">
        <w:t>’</w:t>
      </w:r>
      <w:r w:rsidR="006312FF">
        <w:t xml:space="preserve"> use </w:t>
      </w:r>
      <w:r w:rsidR="00413205">
        <w:t xml:space="preserve">of </w:t>
      </w:r>
      <w:r w:rsidR="00413205" w:rsidRPr="00413205">
        <w:t>government services</w:t>
      </w:r>
      <w:r w:rsidR="00497C5C">
        <w:t xml:space="preserve"> </w:t>
      </w:r>
      <w:r w:rsidR="00857A00">
        <w:t>– one of the program’s key benefits</w:t>
      </w:r>
      <w:r w:rsidR="00270256">
        <w:t xml:space="preserve">. </w:t>
      </w:r>
      <w:r w:rsidR="00857A00">
        <w:t xml:space="preserve">Since </w:t>
      </w:r>
      <w:r w:rsidR="004E6BB0">
        <w:t xml:space="preserve">VSIIDR contains a wide range of datasets, some of which </w:t>
      </w:r>
      <w:r w:rsidR="008D1D07">
        <w:t>were deemed</w:t>
      </w:r>
      <w:r w:rsidR="008A3081">
        <w:t xml:space="preserve"> </w:t>
      </w:r>
      <w:r w:rsidR="008D1D07">
        <w:t xml:space="preserve">irrelevant </w:t>
      </w:r>
      <w:r w:rsidR="008A3081">
        <w:t xml:space="preserve">for the purposes of </w:t>
      </w:r>
      <w:r w:rsidR="008D1D07">
        <w:t>this</w:t>
      </w:r>
      <w:r w:rsidR="008A3081">
        <w:t xml:space="preserve"> evaluation (e.</w:t>
      </w:r>
      <w:r w:rsidR="008D1D07">
        <w:t>g. data sets relating to school based programs such as NAPLAN)</w:t>
      </w:r>
      <w:r w:rsidR="00857A00">
        <w:t xml:space="preserve">, </w:t>
      </w:r>
      <w:r w:rsidR="009969B0">
        <w:t xml:space="preserve">KPMG, along with the </w:t>
      </w:r>
      <w:r w:rsidR="000C1017">
        <w:t>EWG</w:t>
      </w:r>
      <w:r w:rsidR="009969B0">
        <w:t xml:space="preserve">, </w:t>
      </w:r>
      <w:r w:rsidR="000C1017">
        <w:t>agree</w:t>
      </w:r>
      <w:r w:rsidR="00BE4E7C">
        <w:t>d</w:t>
      </w:r>
      <w:r w:rsidR="000C1017">
        <w:t xml:space="preserve"> a set of service</w:t>
      </w:r>
      <w:r w:rsidR="00E17EAE">
        <w:t xml:space="preserve">s, and service variables, </w:t>
      </w:r>
      <w:r w:rsidR="000C1017">
        <w:t>for inclusion</w:t>
      </w:r>
      <w:r w:rsidR="00857A00">
        <w:t xml:space="preserve"> in the data</w:t>
      </w:r>
      <w:r w:rsidR="000C1017">
        <w:t xml:space="preserve">, which covered health, mental health and </w:t>
      </w:r>
      <w:r w:rsidR="00F25CCB">
        <w:t>alcohol and other drug (</w:t>
      </w:r>
      <w:r w:rsidR="000C1017">
        <w:t>AOD</w:t>
      </w:r>
      <w:r w:rsidR="00F25CCB">
        <w:t>)</w:t>
      </w:r>
      <w:r w:rsidR="000C1017">
        <w:t>, housing services, family violence services and corrections.</w:t>
      </w:r>
      <w:r w:rsidR="006107D3">
        <w:t xml:space="preserve"> </w:t>
      </w:r>
      <w:r w:rsidR="00857A00">
        <w:t xml:space="preserve">Data was accessed for J2SI PAD clients, along with a </w:t>
      </w:r>
      <w:r w:rsidR="00497C5C">
        <w:t>non</w:t>
      </w:r>
      <w:r w:rsidR="00973627">
        <w:t>-intervention group</w:t>
      </w:r>
      <w:r w:rsidR="00857A00">
        <w:t xml:space="preserve"> </w:t>
      </w:r>
      <w:r w:rsidR="000D0CFE">
        <w:t xml:space="preserve">representing ‘service as usual’. </w:t>
      </w:r>
    </w:p>
    <w:p w14:paraId="36C002DC" w14:textId="69E79633" w:rsidR="000326C3" w:rsidRPr="000326C3" w:rsidRDefault="000326C3" w:rsidP="00FC0A2A">
      <w:pPr>
        <w:pStyle w:val="Heading5"/>
      </w:pPr>
      <w:r>
        <w:t xml:space="preserve">Developing a non-intervention group </w:t>
      </w:r>
      <w:r w:rsidR="008058E6">
        <w:t>to support analysis</w:t>
      </w:r>
      <w:r>
        <w:t xml:space="preserve"> </w:t>
      </w:r>
    </w:p>
    <w:p w14:paraId="765A92CF" w14:textId="1AA1BFC2" w:rsidR="000978A2" w:rsidRDefault="007A6FED" w:rsidP="00325BE2">
      <w:pPr>
        <w:pStyle w:val="BodyText"/>
      </w:pPr>
      <w:r>
        <w:t xml:space="preserve">The </w:t>
      </w:r>
      <w:r w:rsidR="00973627">
        <w:t>non-intervention group</w:t>
      </w:r>
      <w:r>
        <w:t xml:space="preserve"> was </w:t>
      </w:r>
      <w:r w:rsidR="000D0CFE">
        <w:t>identified within the data</w:t>
      </w:r>
      <w:r>
        <w:t xml:space="preserve"> using a set of filters designed by DTF aligned to the J2SI PAD</w:t>
      </w:r>
      <w:r w:rsidR="000C7602">
        <w:t>’</w:t>
      </w:r>
      <w:r>
        <w:t xml:space="preserve">s </w:t>
      </w:r>
      <w:r w:rsidR="00215566">
        <w:t>program eligibility criteria</w:t>
      </w:r>
      <w:r w:rsidR="000D0CFE">
        <w:t>, and enabled the incremental change in clients</w:t>
      </w:r>
      <w:r w:rsidR="00362FBD">
        <w:t>’</w:t>
      </w:r>
      <w:r w:rsidR="000D0CFE">
        <w:t xml:space="preserve"> service use</w:t>
      </w:r>
      <w:r w:rsidR="00973627">
        <w:t xml:space="preserve"> (the effect)</w:t>
      </w:r>
      <w:r w:rsidR="000D0CFE">
        <w:t xml:space="preserve"> to be </w:t>
      </w:r>
      <w:r w:rsidR="00506124">
        <w:t xml:space="preserve">calculated – consistent with the </w:t>
      </w:r>
      <w:r w:rsidR="00C42C8B">
        <w:t xml:space="preserve">approach to </w:t>
      </w:r>
      <w:r w:rsidR="00B605B4">
        <w:t xml:space="preserve">the </w:t>
      </w:r>
      <w:r w:rsidR="00C42C8B">
        <w:t xml:space="preserve">CBA which measures incremental costs and benefits. </w:t>
      </w:r>
    </w:p>
    <w:p w14:paraId="10A02A4E" w14:textId="32DA0D84" w:rsidR="000F3219" w:rsidRPr="00325BE2" w:rsidRDefault="000F3219" w:rsidP="00325BE2">
      <w:pPr>
        <w:pStyle w:val="BodyText"/>
      </w:pPr>
      <w:r w:rsidRPr="00325BE2">
        <w:t xml:space="preserve">The linked service use data has also been referred to in the </w:t>
      </w:r>
      <w:r w:rsidR="00501997" w:rsidRPr="00325BE2">
        <w:t>outcomes</w:t>
      </w:r>
      <w:r w:rsidRPr="00325BE2">
        <w:t xml:space="preserve"> evaluation chapter, to provide insight into how J2SI PAD clients</w:t>
      </w:r>
      <w:r w:rsidR="00F42EDC" w:rsidRPr="00325BE2">
        <w:t>’</w:t>
      </w:r>
      <w:r w:rsidRPr="00325BE2">
        <w:t xml:space="preserve"> service use changed over the duration of the service delivery period. The </w:t>
      </w:r>
      <w:r w:rsidR="00D41ADB" w:rsidRPr="00325BE2">
        <w:t xml:space="preserve">data presented in this section </w:t>
      </w:r>
      <w:r w:rsidR="009D126A" w:rsidRPr="00325BE2">
        <w:t xml:space="preserve">is </w:t>
      </w:r>
      <w:r w:rsidR="00F10134" w:rsidRPr="00325BE2">
        <w:t>based on</w:t>
      </w:r>
      <w:r w:rsidR="009D126A" w:rsidRPr="00325BE2">
        <w:t xml:space="preserve"> observ</w:t>
      </w:r>
      <w:r w:rsidR="00F10134" w:rsidRPr="00325BE2">
        <w:t>ed outcomes</w:t>
      </w:r>
      <w:r w:rsidR="00866487" w:rsidRPr="00325BE2">
        <w:t xml:space="preserve">, </w:t>
      </w:r>
      <w:r w:rsidR="00060810" w:rsidRPr="00325BE2">
        <w:t xml:space="preserve">and differs from the </w:t>
      </w:r>
      <w:r w:rsidR="00F62F7E" w:rsidRPr="00325BE2">
        <w:t>data presented in the CBA which underwent statistical modelling to estimate the program effect</w:t>
      </w:r>
      <w:r w:rsidR="004069B1" w:rsidRPr="00325BE2">
        <w:t>.</w:t>
      </w:r>
      <w:r w:rsidR="00272B50" w:rsidRPr="00325BE2">
        <w:t>10F</w:t>
      </w:r>
      <w:r w:rsidR="00125CA2" w:rsidRPr="00325BE2">
        <w:t>10F</w:t>
      </w:r>
    </w:p>
    <w:p w14:paraId="1E1251BF" w14:textId="55456038" w:rsidR="00196389" w:rsidRDefault="00E344EE" w:rsidP="000D13FE">
      <w:pPr>
        <w:pStyle w:val="Heading5"/>
      </w:pPr>
      <w:r>
        <w:t>Service</w:t>
      </w:r>
      <w:r w:rsidR="00A93032">
        <w:t xml:space="preserve"> </w:t>
      </w:r>
      <w:r w:rsidR="00E52CCC">
        <w:t>u</w:t>
      </w:r>
      <w:r w:rsidR="00A93032">
        <w:t xml:space="preserve">nit </w:t>
      </w:r>
      <w:r w:rsidR="00E52CCC">
        <w:t>c</w:t>
      </w:r>
      <w:r w:rsidR="00A93032">
        <w:t>osts</w:t>
      </w:r>
    </w:p>
    <w:p w14:paraId="225455DC" w14:textId="235CAC84" w:rsidR="00261A99" w:rsidRDefault="00A93032" w:rsidP="00325BE2">
      <w:pPr>
        <w:pStyle w:val="BodyText"/>
      </w:pPr>
      <w:r>
        <w:t xml:space="preserve">To monetise the </w:t>
      </w:r>
      <w:r w:rsidR="005044D3">
        <w:t>J2SI PAD program effects</w:t>
      </w:r>
      <w:r w:rsidR="002A7A75">
        <w:t xml:space="preserve"> for the purposes of the CBA,</w:t>
      </w:r>
      <w:r w:rsidR="005044D3">
        <w:t xml:space="preserve"> </w:t>
      </w:r>
      <w:r w:rsidR="00E344EE">
        <w:t>s</w:t>
      </w:r>
      <w:r w:rsidR="00E344EE" w:rsidRPr="00E344EE">
        <w:t xml:space="preserve">ervice </w:t>
      </w:r>
      <w:r w:rsidR="00261A99">
        <w:t xml:space="preserve">unit costs </w:t>
      </w:r>
      <w:r w:rsidR="00E344EE" w:rsidRPr="00E344EE">
        <w:t>provided</w:t>
      </w:r>
      <w:r w:rsidR="00261A99" w:rsidRPr="00261A99">
        <w:t xml:space="preserve"> by DTF </w:t>
      </w:r>
      <w:r w:rsidR="00261A99">
        <w:t xml:space="preserve">have </w:t>
      </w:r>
      <w:r w:rsidR="00F12E7D">
        <w:t>been</w:t>
      </w:r>
      <w:r w:rsidR="00261A99">
        <w:t xml:space="preserve"> used.</w:t>
      </w:r>
      <w:r w:rsidR="0082171B" w:rsidRPr="0082171B">
        <w:t xml:space="preserve"> Unit costs are an input into the avoided cost benefits estimates and represent the expected cost to the Victorian government of providing an additional unit of service. While these costs are defined and applied on a per-unit basis, they are an average of both the fixed and variable costs of service provision and will not reflect the realised avoided cost of service provision arising from reduced service demand at the individual person level. The unit cost can change from year to year depending on when they are calculated and the data available (with an expectation these will change and be updated in the future</w:t>
      </w:r>
      <w:r w:rsidR="002C0523">
        <w:t>)</w:t>
      </w:r>
      <w:r w:rsidR="00261A99">
        <w:t>.</w:t>
      </w:r>
    </w:p>
    <w:p w14:paraId="48DA02F1" w14:textId="039A555C" w:rsidR="00A93032" w:rsidRDefault="00032D20" w:rsidP="00325BE2">
      <w:pPr>
        <w:pStyle w:val="BodyText"/>
      </w:pPr>
      <w:r>
        <w:t xml:space="preserve">Introduced </w:t>
      </w:r>
      <w:r w:rsidR="005E22BB">
        <w:t>i</w:t>
      </w:r>
      <w:r w:rsidR="00950906">
        <w:t>n</w:t>
      </w:r>
      <w:r>
        <w:t xml:space="preserve"> 2021-22, the EIIF </w:t>
      </w:r>
      <w:r w:rsidR="000D5968">
        <w:t xml:space="preserve">is part </w:t>
      </w:r>
      <w:r w:rsidR="00515084">
        <w:t>of the Victorian State Budget process</w:t>
      </w:r>
      <w:r w:rsidR="005E22BB">
        <w:t>, and was established in recognition of</w:t>
      </w:r>
      <w:r w:rsidR="00AF1D83">
        <w:t xml:space="preserve"> the</w:t>
      </w:r>
      <w:r w:rsidR="007E7A6D">
        <w:t xml:space="preserve"> importance of investing in early intervention initiatives </w:t>
      </w:r>
      <w:r w:rsidR="00891ECF">
        <w:t xml:space="preserve">to reduce government spending </w:t>
      </w:r>
      <w:r w:rsidR="00443C4C">
        <w:t>and pressure on acute services.</w:t>
      </w:r>
      <w:r w:rsidR="009415B3">
        <w:t xml:space="preserve"> </w:t>
      </w:r>
      <w:r w:rsidR="00731308">
        <w:t xml:space="preserve">The EIIF </w:t>
      </w:r>
      <w:r w:rsidR="00CD5C2B">
        <w:t xml:space="preserve">provides a funding pathway for early intervention initiatives that demonstrate expected </w:t>
      </w:r>
      <w:r w:rsidR="00950906">
        <w:t>avoided costs for</w:t>
      </w:r>
      <w:r w:rsidR="00CD5C2B">
        <w:t xml:space="preserve"> </w:t>
      </w:r>
      <w:r w:rsidR="00950906">
        <w:t xml:space="preserve">Victorian </w:t>
      </w:r>
      <w:r w:rsidR="00F42EDC">
        <w:t>G</w:t>
      </w:r>
      <w:r w:rsidR="00950906">
        <w:t xml:space="preserve">overnment services </w:t>
      </w:r>
      <w:r w:rsidR="00DB69AF">
        <w:t>in the</w:t>
      </w:r>
      <w:r w:rsidR="00950906">
        <w:t xml:space="preserve"> 10 years following </w:t>
      </w:r>
      <w:r w:rsidR="00CD5C2B">
        <w:t xml:space="preserve">the provision of funding. </w:t>
      </w:r>
      <w:r w:rsidR="004C46E1">
        <w:t xml:space="preserve">To do this, the </w:t>
      </w:r>
      <w:r w:rsidR="003F4DE7">
        <w:t>EIIF</w:t>
      </w:r>
      <w:r w:rsidR="004C46E1">
        <w:t xml:space="preserve"> draws heavily on VSIIDR data, along with </w:t>
      </w:r>
      <w:r w:rsidR="00B263E9">
        <w:t xml:space="preserve">the </w:t>
      </w:r>
      <w:r w:rsidR="004C46E1">
        <w:t>standardised and current set of service unit costs</w:t>
      </w:r>
      <w:r w:rsidR="00B263E9">
        <w:t xml:space="preserve"> described above</w:t>
      </w:r>
      <w:r w:rsidR="004C46E1">
        <w:t xml:space="preserve">. </w:t>
      </w:r>
      <w:r w:rsidR="0011772C">
        <w:t xml:space="preserve">Further information on the </w:t>
      </w:r>
      <w:r w:rsidR="003F4DE7">
        <w:t>EIIF</w:t>
      </w:r>
      <w:r w:rsidR="0011772C">
        <w:t xml:space="preserve"> is provided on </w:t>
      </w:r>
      <w:r w:rsidR="00F42EDC">
        <w:t>p</w:t>
      </w:r>
      <w:r w:rsidR="0011772C">
        <w:t xml:space="preserve">age </w:t>
      </w:r>
      <w:r w:rsidR="00743617">
        <w:fldChar w:fldCharType="begin"/>
      </w:r>
      <w:r w:rsidR="00743617">
        <w:instrText xml:space="preserve"> PAGEREF _Ref150409098 \h </w:instrText>
      </w:r>
      <w:r w:rsidR="00743617">
        <w:fldChar w:fldCharType="separate"/>
      </w:r>
      <w:r w:rsidR="005B05CA">
        <w:rPr>
          <w:noProof/>
        </w:rPr>
        <w:t>30</w:t>
      </w:r>
      <w:r w:rsidR="00743617">
        <w:fldChar w:fldCharType="end"/>
      </w:r>
      <w:r w:rsidR="0011772C">
        <w:t xml:space="preserve">. </w:t>
      </w:r>
    </w:p>
    <w:p w14:paraId="357A853D" w14:textId="67BB75BB" w:rsidR="0001296A" w:rsidRDefault="00350F01" w:rsidP="000D13FE">
      <w:pPr>
        <w:pStyle w:val="Heading5"/>
      </w:pPr>
      <w:r>
        <w:t>Literature review</w:t>
      </w:r>
    </w:p>
    <w:p w14:paraId="5CAAFDC3" w14:textId="085754EF" w:rsidR="0001296A" w:rsidRDefault="00894B2E" w:rsidP="00325BE2">
      <w:pPr>
        <w:pStyle w:val="BodyText"/>
      </w:pPr>
      <w:r w:rsidRPr="00254F50">
        <w:t xml:space="preserve">A review of </w:t>
      </w:r>
      <w:r w:rsidR="0003270D" w:rsidRPr="00254F50">
        <w:t xml:space="preserve">existing literature was undertaken to substantiate </w:t>
      </w:r>
      <w:r w:rsidR="00350F01" w:rsidRPr="00254F50">
        <w:t>identified</w:t>
      </w:r>
      <w:r w:rsidR="0003270D" w:rsidRPr="00254F50">
        <w:t xml:space="preserve"> benefits and </w:t>
      </w:r>
      <w:r w:rsidR="00AB2734" w:rsidRPr="00254F50">
        <w:t>to identify assumptions required in the CBA.</w:t>
      </w:r>
    </w:p>
    <w:p w14:paraId="63167F00" w14:textId="3976399B" w:rsidR="00F563C4" w:rsidRPr="007A2CBF" w:rsidRDefault="00F563C4" w:rsidP="007A2CBF">
      <w:pPr>
        <w:pStyle w:val="Heading3"/>
      </w:pPr>
      <w:r w:rsidRPr="007A2CBF">
        <w:lastRenderedPageBreak/>
        <w:t>Qualitative data sources</w:t>
      </w:r>
    </w:p>
    <w:p w14:paraId="70AD3D7B" w14:textId="330F37BE" w:rsidR="008D3275" w:rsidRDefault="008D3275" w:rsidP="00325BE2">
      <w:pPr>
        <w:pStyle w:val="BodyTextkeepwithnext"/>
      </w:pPr>
      <w:r w:rsidRPr="008D3275">
        <w:t xml:space="preserve">Key </w:t>
      </w:r>
      <w:r w:rsidR="002A7A75">
        <w:t>qualitative</w:t>
      </w:r>
      <w:r w:rsidRPr="008D3275">
        <w:t xml:space="preserve"> </w:t>
      </w:r>
      <w:r w:rsidR="002A7A75">
        <w:t>data sources include</w:t>
      </w:r>
      <w:r w:rsidRPr="008D3275">
        <w:t>:</w:t>
      </w:r>
      <w:r>
        <w:t xml:space="preserve"> </w:t>
      </w:r>
    </w:p>
    <w:p w14:paraId="3C74ECA2" w14:textId="3EC55024" w:rsidR="000854BF" w:rsidRPr="008D3275" w:rsidRDefault="008D3275" w:rsidP="00B914EF">
      <w:pPr>
        <w:pStyle w:val="Heading4"/>
      </w:pPr>
      <w:r w:rsidRPr="008D3275">
        <w:t>Program</w:t>
      </w:r>
      <w:r w:rsidR="000854BF" w:rsidRPr="008D3275">
        <w:t xml:space="preserve"> documentation</w:t>
      </w:r>
    </w:p>
    <w:p w14:paraId="48972625" w14:textId="0F8B5EB6" w:rsidR="001772DE" w:rsidRDefault="000D16C7" w:rsidP="00F42EDC">
      <w:pPr>
        <w:pStyle w:val="BodyTextkeepwithnext"/>
      </w:pPr>
      <w:r>
        <w:t xml:space="preserve">Reviewed program documentation </w:t>
      </w:r>
      <w:r w:rsidR="00CB7888">
        <w:t>includes</w:t>
      </w:r>
      <w:r w:rsidR="001772DE">
        <w:t xml:space="preserve">: </w:t>
      </w:r>
    </w:p>
    <w:p w14:paraId="6CA6D2B9" w14:textId="0B684DC8" w:rsidR="000854BF" w:rsidRDefault="001772DE" w:rsidP="00632D10">
      <w:pPr>
        <w:pStyle w:val="Bullet1stlevel"/>
      </w:pPr>
      <w:r>
        <w:t>P</w:t>
      </w:r>
      <w:r w:rsidR="000854BF">
        <w:t>revious J2SI</w:t>
      </w:r>
      <w:r>
        <w:t xml:space="preserve"> Evaluation reports – including previous PAD Evaluations (Stages 1 and 2)</w:t>
      </w:r>
      <w:r w:rsidR="005405C9">
        <w:t xml:space="preserve"> and</w:t>
      </w:r>
      <w:r>
        <w:t xml:space="preserve"> </w:t>
      </w:r>
      <w:r w:rsidR="00417514">
        <w:t>final J2SI Pilot</w:t>
      </w:r>
      <w:r w:rsidR="00EA7EFB" w:rsidRPr="004E3A44">
        <w:rPr>
          <w:rStyle w:val="FootnoteReference"/>
        </w:rPr>
        <w:footnoteReference w:id="21"/>
      </w:r>
      <w:r w:rsidR="00417514">
        <w:t xml:space="preserve"> and </w:t>
      </w:r>
      <w:r w:rsidR="009C7EFD">
        <w:t xml:space="preserve">Phase 2 </w:t>
      </w:r>
      <w:r w:rsidR="00417514">
        <w:t>RCT</w:t>
      </w:r>
      <w:r w:rsidR="00EA7EFB" w:rsidRPr="004E3A44">
        <w:rPr>
          <w:rStyle w:val="FootnoteReference"/>
        </w:rPr>
        <w:footnoteReference w:id="22"/>
      </w:r>
      <w:r w:rsidR="00417514">
        <w:t xml:space="preserve"> reports</w:t>
      </w:r>
      <w:r w:rsidR="00E03A28">
        <w:t xml:space="preserve">; </w:t>
      </w:r>
    </w:p>
    <w:p w14:paraId="10E7584E" w14:textId="21E5EE36" w:rsidR="0066543F" w:rsidRDefault="005405C9" w:rsidP="00632D10">
      <w:pPr>
        <w:pStyle w:val="Bullet1stlevel"/>
      </w:pPr>
      <w:r>
        <w:t>Meeting minutes from the JWG</w:t>
      </w:r>
      <w:r w:rsidR="00434FD5">
        <w:t xml:space="preserve">; and </w:t>
      </w:r>
    </w:p>
    <w:p w14:paraId="1D99DCA7" w14:textId="421F144F" w:rsidR="00612158" w:rsidRDefault="00612158" w:rsidP="00632D10">
      <w:pPr>
        <w:pStyle w:val="Bullet1stlevel"/>
      </w:pPr>
      <w:r>
        <w:t>Other documentation</w:t>
      </w:r>
      <w:r w:rsidR="00283298">
        <w:t xml:space="preserve"> such as documentation</w:t>
      </w:r>
      <w:r>
        <w:t xml:space="preserve"> pertaining to J2SI </w:t>
      </w:r>
      <w:r w:rsidR="00E03A28">
        <w:t xml:space="preserve">PAD program costs and </w:t>
      </w:r>
      <w:r w:rsidR="00951129">
        <w:t>the PbR.</w:t>
      </w:r>
    </w:p>
    <w:p w14:paraId="5A3AF23D" w14:textId="1014D3FC" w:rsidR="008D3275" w:rsidRPr="008D3275" w:rsidRDefault="008D3275" w:rsidP="00B914EF">
      <w:pPr>
        <w:pStyle w:val="Heading4"/>
        <w:rPr>
          <w:i/>
        </w:rPr>
      </w:pPr>
      <w:r w:rsidRPr="008D3275">
        <w:t>Stakeholder interviews</w:t>
      </w:r>
    </w:p>
    <w:p w14:paraId="7132042A" w14:textId="6DDEB391" w:rsidR="00A20A19" w:rsidRDefault="000854BF" w:rsidP="00325BE2">
      <w:pPr>
        <w:pStyle w:val="BodyText"/>
      </w:pPr>
      <w:r>
        <w:t xml:space="preserve">Below is a summary of the stakeholder interviews conducted for this evaluation. In total, </w:t>
      </w:r>
      <w:r w:rsidR="009E7AD6">
        <w:t>23</w:t>
      </w:r>
      <w:r>
        <w:t xml:space="preserve"> key stakeholders were interviewed across </w:t>
      </w:r>
      <w:r w:rsidR="00F42EDC">
        <w:t>nine</w:t>
      </w:r>
      <w:r w:rsidR="009E7AD6">
        <w:t xml:space="preserve"> interviews</w:t>
      </w:r>
      <w:r>
        <w:t xml:space="preserve">. </w:t>
      </w:r>
    </w:p>
    <w:p w14:paraId="5613C2A3" w14:textId="1B092C02" w:rsidR="009E7AD6" w:rsidRPr="00C32C63" w:rsidRDefault="009E7AD6" w:rsidP="00134FF5">
      <w:pPr>
        <w:pStyle w:val="Caption"/>
      </w:pPr>
      <w:bookmarkStart w:id="51" w:name="_Toc174547310"/>
      <w:r w:rsidRPr="00C32C63">
        <w:t xml:space="preserve">Table </w:t>
      </w:r>
      <w:r>
        <w:fldChar w:fldCharType="begin"/>
      </w:r>
      <w:r>
        <w:instrText xml:space="preserve"> SEQ Table \* ARABIC </w:instrText>
      </w:r>
      <w:r>
        <w:fldChar w:fldCharType="separate"/>
      </w:r>
      <w:r w:rsidR="005B05CA">
        <w:rPr>
          <w:noProof/>
        </w:rPr>
        <w:t>9</w:t>
      </w:r>
      <w:r>
        <w:rPr>
          <w:noProof/>
        </w:rPr>
        <w:fldChar w:fldCharType="end"/>
      </w:r>
      <w:r w:rsidRPr="00C32C63">
        <w:t xml:space="preserve">: </w:t>
      </w:r>
      <w:r w:rsidR="002E0502" w:rsidRPr="00C32C63">
        <w:t>Count</w:t>
      </w:r>
      <w:r w:rsidR="00EA413F" w:rsidRPr="00C32C63">
        <w:t xml:space="preserve"> of stakeholder interviews</w:t>
      </w:r>
      <w:bookmarkEnd w:id="51"/>
    </w:p>
    <w:tbl>
      <w:tblPr>
        <w:tblStyle w:val="KPMGTable"/>
        <w:tblW w:w="0" w:type="auto"/>
        <w:tblLook w:val="04A0" w:firstRow="1" w:lastRow="0" w:firstColumn="1" w:lastColumn="0" w:noHBand="0" w:noVBand="1"/>
      </w:tblPr>
      <w:tblGrid>
        <w:gridCol w:w="2552"/>
        <w:gridCol w:w="2268"/>
        <w:gridCol w:w="1843"/>
      </w:tblGrid>
      <w:tr w:rsidR="00F6218E" w14:paraId="2D18107D" w14:textId="77777777" w:rsidTr="00150C23">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552" w:type="dxa"/>
            <w:shd w:val="clear" w:color="auto" w:fill="auto"/>
          </w:tcPr>
          <w:p w14:paraId="4F1EC6D3" w14:textId="2DC25A37" w:rsidR="009E7AD6" w:rsidRPr="00BE645F" w:rsidRDefault="009E7AD6" w:rsidP="00F42EDC">
            <w:pPr>
              <w:pStyle w:val="TableHeading"/>
            </w:pPr>
            <w:r>
              <w:t>Stakeholder</w:t>
            </w:r>
          </w:p>
        </w:tc>
        <w:tc>
          <w:tcPr>
            <w:tcW w:w="2268" w:type="dxa"/>
            <w:shd w:val="clear" w:color="auto" w:fill="auto"/>
          </w:tcPr>
          <w:p w14:paraId="6ABE5DCC" w14:textId="5D817553" w:rsidR="009E7AD6" w:rsidRPr="00BE645F" w:rsidRDefault="009E7AD6" w:rsidP="00F42EDC">
            <w:pPr>
              <w:pStyle w:val="TableHeading"/>
              <w:cnfStyle w:val="100000000000" w:firstRow="1" w:lastRow="0" w:firstColumn="0" w:lastColumn="0" w:oddVBand="0" w:evenVBand="0" w:oddHBand="0" w:evenHBand="0" w:firstRowFirstColumn="0" w:firstRowLastColumn="0" w:lastRowFirstColumn="0" w:lastRowLastColumn="0"/>
            </w:pPr>
            <w:r>
              <w:t>Interview focus</w:t>
            </w:r>
          </w:p>
        </w:tc>
        <w:tc>
          <w:tcPr>
            <w:tcW w:w="1843" w:type="dxa"/>
            <w:shd w:val="clear" w:color="auto" w:fill="auto"/>
          </w:tcPr>
          <w:p w14:paraId="24215073" w14:textId="57CA9726" w:rsidR="009E7AD6" w:rsidRPr="00BE645F" w:rsidRDefault="009E7AD6" w:rsidP="00150C23">
            <w:pPr>
              <w:pStyle w:val="TableHeading"/>
              <w:jc w:val="center"/>
              <w:cnfStyle w:val="100000000000" w:firstRow="1" w:lastRow="0" w:firstColumn="0" w:lastColumn="0" w:oddVBand="0" w:evenVBand="0" w:oddHBand="0" w:evenHBand="0" w:firstRowFirstColumn="0" w:firstRowLastColumn="0" w:lastRowFirstColumn="0" w:lastRowLastColumn="0"/>
            </w:pPr>
            <w:r>
              <w:t>Number of people</w:t>
            </w:r>
          </w:p>
        </w:tc>
      </w:tr>
      <w:tr w:rsidR="00F6218E" w14:paraId="0FF9691F" w14:textId="77777777" w:rsidTr="00150C23">
        <w:trPr>
          <w:trHeight w:val="293"/>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0F3D548B" w14:textId="1965ACD1" w:rsidR="00F6218E" w:rsidRPr="00BE645F" w:rsidRDefault="00F6218E">
            <w:pPr>
              <w:spacing w:before="0" w:after="0"/>
              <w:rPr>
                <w:rFonts w:cs="@Batang"/>
                <w:sz w:val="18"/>
                <w:szCs w:val="18"/>
              </w:rPr>
            </w:pPr>
            <w:r>
              <w:rPr>
                <w:rFonts w:cs="@Batang"/>
                <w:sz w:val="18"/>
                <w:szCs w:val="18"/>
              </w:rPr>
              <w:t>SHM</w:t>
            </w:r>
          </w:p>
        </w:tc>
        <w:tc>
          <w:tcPr>
            <w:tcW w:w="2268" w:type="dxa"/>
            <w:shd w:val="clear" w:color="auto" w:fill="auto"/>
            <w:vAlign w:val="center"/>
          </w:tcPr>
          <w:p w14:paraId="5C330E81" w14:textId="1E2DEB07" w:rsidR="00F6218E" w:rsidRPr="009E7AD6" w:rsidRDefault="00F6218E" w:rsidP="009E7AD6">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Executive</w:t>
            </w:r>
          </w:p>
        </w:tc>
        <w:tc>
          <w:tcPr>
            <w:tcW w:w="1843" w:type="dxa"/>
            <w:vAlign w:val="center"/>
          </w:tcPr>
          <w:p w14:paraId="47151CA9" w14:textId="5177A124" w:rsidR="00F6218E" w:rsidRPr="009E7AD6" w:rsidRDefault="00F6218E" w:rsidP="00B35359">
            <w:pPr>
              <w:pStyle w:val="TabletextCENTRED"/>
              <w:cnfStyle w:val="000000000000" w:firstRow="0" w:lastRow="0" w:firstColumn="0" w:lastColumn="0" w:oddVBand="0" w:evenVBand="0" w:oddHBand="0" w:evenHBand="0" w:firstRowFirstColumn="0" w:firstRowLastColumn="0" w:lastRowFirstColumn="0" w:lastRowLastColumn="0"/>
              <w:rPr>
                <w:szCs w:val="18"/>
              </w:rPr>
            </w:pPr>
            <w:r>
              <w:t>4</w:t>
            </w:r>
          </w:p>
        </w:tc>
      </w:tr>
      <w:tr w:rsidR="00F6218E" w14:paraId="0A79739C"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6E42890D" w14:textId="29F154AC" w:rsidR="00F6218E" w:rsidRPr="00BE645F" w:rsidRDefault="00F01861">
            <w:pPr>
              <w:spacing w:before="0" w:after="0"/>
              <w:rPr>
                <w:rFonts w:cs="@Batang"/>
                <w:sz w:val="18"/>
                <w:szCs w:val="18"/>
              </w:rPr>
            </w:pPr>
            <w:r>
              <w:rPr>
                <w:rFonts w:cs="@Batang"/>
                <w:sz w:val="18"/>
                <w:szCs w:val="18"/>
              </w:rPr>
              <w:t>SHM</w:t>
            </w:r>
          </w:p>
        </w:tc>
        <w:tc>
          <w:tcPr>
            <w:tcW w:w="2268" w:type="dxa"/>
            <w:shd w:val="clear" w:color="auto" w:fill="auto"/>
            <w:vAlign w:val="center"/>
          </w:tcPr>
          <w:p w14:paraId="099099CF" w14:textId="0435C587" w:rsidR="00F6218E" w:rsidRPr="009E7AD6" w:rsidRDefault="00F6218E" w:rsidP="009E7AD6">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Service delivery</w:t>
            </w:r>
          </w:p>
        </w:tc>
        <w:tc>
          <w:tcPr>
            <w:tcW w:w="1843" w:type="dxa"/>
            <w:vAlign w:val="center"/>
          </w:tcPr>
          <w:p w14:paraId="608286C7" w14:textId="2FD9CC19" w:rsidR="00F6218E" w:rsidRPr="009E7AD6" w:rsidRDefault="00F6218E" w:rsidP="00B35359">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2</w:t>
            </w:r>
          </w:p>
        </w:tc>
      </w:tr>
      <w:tr w:rsidR="00F6218E" w14:paraId="74D018D5"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0FA148E1" w14:textId="4C3556E4" w:rsidR="00F6218E" w:rsidRPr="00BE645F" w:rsidRDefault="00F01861">
            <w:pPr>
              <w:spacing w:before="0" w:after="0"/>
              <w:rPr>
                <w:rFonts w:cs="@Batang"/>
                <w:sz w:val="18"/>
                <w:szCs w:val="18"/>
              </w:rPr>
            </w:pPr>
            <w:r>
              <w:rPr>
                <w:rFonts w:cs="@Batang"/>
                <w:sz w:val="18"/>
                <w:szCs w:val="18"/>
              </w:rPr>
              <w:t>SHM</w:t>
            </w:r>
          </w:p>
        </w:tc>
        <w:tc>
          <w:tcPr>
            <w:tcW w:w="2268" w:type="dxa"/>
            <w:shd w:val="clear" w:color="auto" w:fill="auto"/>
            <w:vAlign w:val="center"/>
          </w:tcPr>
          <w:p w14:paraId="39758E92" w14:textId="33811A18" w:rsidR="00F6218E" w:rsidRPr="009E7AD6" w:rsidRDefault="00F6218E" w:rsidP="009E7AD6">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Service delivery</w:t>
            </w:r>
          </w:p>
        </w:tc>
        <w:tc>
          <w:tcPr>
            <w:tcW w:w="1843" w:type="dxa"/>
            <w:vAlign w:val="center"/>
          </w:tcPr>
          <w:p w14:paraId="6DEB3EAB" w14:textId="5CE3F278" w:rsidR="00F6218E" w:rsidRPr="009E7AD6" w:rsidRDefault="00F6218E" w:rsidP="00B35359">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2</w:t>
            </w:r>
          </w:p>
        </w:tc>
      </w:tr>
      <w:tr w:rsidR="00F6218E" w14:paraId="226D337D"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420D2901" w14:textId="6DE77BDE" w:rsidR="00F6218E" w:rsidRPr="00BE645F" w:rsidRDefault="00F6218E">
            <w:pPr>
              <w:spacing w:before="0" w:after="0"/>
              <w:rPr>
                <w:rFonts w:cs="@Batang"/>
                <w:sz w:val="18"/>
                <w:szCs w:val="18"/>
              </w:rPr>
            </w:pPr>
            <w:r>
              <w:rPr>
                <w:rFonts w:cs="@Batang"/>
                <w:sz w:val="18"/>
                <w:szCs w:val="18"/>
              </w:rPr>
              <w:t>DTF</w:t>
            </w:r>
          </w:p>
        </w:tc>
        <w:tc>
          <w:tcPr>
            <w:tcW w:w="2268" w:type="dxa"/>
            <w:shd w:val="clear" w:color="auto" w:fill="auto"/>
            <w:vAlign w:val="center"/>
          </w:tcPr>
          <w:p w14:paraId="0DEAEA27" w14:textId="73AADC1C" w:rsidR="00F6218E" w:rsidRPr="009E7AD6" w:rsidRDefault="00F6218E" w:rsidP="009E7AD6">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Executive</w:t>
            </w:r>
          </w:p>
        </w:tc>
        <w:tc>
          <w:tcPr>
            <w:tcW w:w="1843" w:type="dxa"/>
            <w:vAlign w:val="center"/>
          </w:tcPr>
          <w:p w14:paraId="08258508" w14:textId="3B2A3299" w:rsidR="00F6218E" w:rsidRPr="009E7AD6" w:rsidRDefault="00F6218E" w:rsidP="00B35359">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1</w:t>
            </w:r>
          </w:p>
        </w:tc>
      </w:tr>
      <w:tr w:rsidR="00F6218E" w14:paraId="04CDD673"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215B3485" w14:textId="0616BE9B" w:rsidR="00F6218E" w:rsidRPr="00BE645F" w:rsidRDefault="00F01861">
            <w:pPr>
              <w:spacing w:before="0" w:after="0"/>
              <w:rPr>
                <w:rFonts w:cs="@Batang"/>
                <w:sz w:val="18"/>
                <w:szCs w:val="18"/>
              </w:rPr>
            </w:pPr>
            <w:r>
              <w:rPr>
                <w:rFonts w:cs="@Batang"/>
                <w:sz w:val="18"/>
                <w:szCs w:val="18"/>
              </w:rPr>
              <w:t>DTF</w:t>
            </w:r>
          </w:p>
        </w:tc>
        <w:tc>
          <w:tcPr>
            <w:tcW w:w="2268" w:type="dxa"/>
            <w:shd w:val="clear" w:color="auto" w:fill="auto"/>
            <w:vAlign w:val="center"/>
          </w:tcPr>
          <w:p w14:paraId="42FA9B99" w14:textId="474E43C8" w:rsidR="00F6218E" w:rsidRPr="009E7AD6" w:rsidRDefault="00F6218E" w:rsidP="009E7AD6">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Governance</w:t>
            </w:r>
          </w:p>
        </w:tc>
        <w:tc>
          <w:tcPr>
            <w:tcW w:w="1843" w:type="dxa"/>
            <w:vAlign w:val="center"/>
          </w:tcPr>
          <w:p w14:paraId="233008C9" w14:textId="5F5E2E7C" w:rsidR="00F6218E" w:rsidRPr="009E7AD6" w:rsidRDefault="00F6218E" w:rsidP="00B35359">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6</w:t>
            </w:r>
          </w:p>
        </w:tc>
      </w:tr>
      <w:tr w:rsidR="00F6218E" w14:paraId="2FB77F03"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720C7604" w14:textId="730F387B" w:rsidR="00F6218E" w:rsidRPr="00BE645F" w:rsidRDefault="00F6218E">
            <w:pPr>
              <w:spacing w:before="0" w:after="0"/>
              <w:rPr>
                <w:rFonts w:cs="@Batang"/>
                <w:sz w:val="18"/>
                <w:szCs w:val="18"/>
              </w:rPr>
            </w:pPr>
            <w:r>
              <w:rPr>
                <w:rFonts w:cs="@Batang"/>
                <w:sz w:val="18"/>
                <w:szCs w:val="18"/>
              </w:rPr>
              <w:t>Homes Victoria/DFFH</w:t>
            </w:r>
          </w:p>
        </w:tc>
        <w:tc>
          <w:tcPr>
            <w:tcW w:w="2268" w:type="dxa"/>
            <w:shd w:val="clear" w:color="auto" w:fill="auto"/>
            <w:vAlign w:val="center"/>
          </w:tcPr>
          <w:p w14:paraId="63185CAE" w14:textId="5BC2902F" w:rsidR="00F6218E" w:rsidRPr="009E7AD6" w:rsidRDefault="00F6218E" w:rsidP="009E7AD6">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Governance</w:t>
            </w:r>
          </w:p>
        </w:tc>
        <w:tc>
          <w:tcPr>
            <w:tcW w:w="1843" w:type="dxa"/>
            <w:vAlign w:val="center"/>
          </w:tcPr>
          <w:p w14:paraId="38A86856" w14:textId="17C4437F" w:rsidR="00F6218E" w:rsidRPr="009E7AD6" w:rsidRDefault="00F6218E" w:rsidP="00B35359">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2</w:t>
            </w:r>
          </w:p>
        </w:tc>
      </w:tr>
      <w:tr w:rsidR="00F01861" w14:paraId="0D9CBC3B"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77EF42F3" w14:textId="0C40F423" w:rsidR="00F01861" w:rsidRPr="00BE645F" w:rsidRDefault="00F01861" w:rsidP="00F01861">
            <w:pPr>
              <w:spacing w:before="0" w:after="0"/>
              <w:rPr>
                <w:rFonts w:cs="@Batang"/>
                <w:sz w:val="18"/>
                <w:szCs w:val="18"/>
              </w:rPr>
            </w:pPr>
            <w:r>
              <w:rPr>
                <w:rFonts w:cs="@Batang"/>
                <w:sz w:val="18"/>
                <w:szCs w:val="18"/>
              </w:rPr>
              <w:t>Homes Victoria/DFFH</w:t>
            </w:r>
          </w:p>
        </w:tc>
        <w:tc>
          <w:tcPr>
            <w:tcW w:w="2268" w:type="dxa"/>
            <w:shd w:val="clear" w:color="auto" w:fill="auto"/>
            <w:vAlign w:val="center"/>
          </w:tcPr>
          <w:p w14:paraId="30E86A07" w14:textId="3312454C" w:rsidR="00F01861" w:rsidRPr="009E7AD6" w:rsidRDefault="00F01861" w:rsidP="00F01861">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Housing</w:t>
            </w:r>
          </w:p>
        </w:tc>
        <w:tc>
          <w:tcPr>
            <w:tcW w:w="1843" w:type="dxa"/>
            <w:vAlign w:val="center"/>
          </w:tcPr>
          <w:p w14:paraId="5F384ADC" w14:textId="7DFE16F9" w:rsidR="00F01861" w:rsidRPr="009E7AD6" w:rsidRDefault="00F01861" w:rsidP="00F01861">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2</w:t>
            </w:r>
          </w:p>
        </w:tc>
      </w:tr>
      <w:tr w:rsidR="00F01861" w14:paraId="11AF6DB7"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58759698" w14:textId="66006A5F" w:rsidR="00F01861" w:rsidRPr="00BE645F" w:rsidRDefault="00F01861" w:rsidP="00F01861">
            <w:pPr>
              <w:spacing w:before="0" w:after="0"/>
              <w:rPr>
                <w:rFonts w:cs="@Batang"/>
                <w:sz w:val="18"/>
                <w:szCs w:val="18"/>
              </w:rPr>
            </w:pPr>
            <w:r>
              <w:rPr>
                <w:rFonts w:cs="@Batang"/>
                <w:sz w:val="18"/>
                <w:szCs w:val="18"/>
              </w:rPr>
              <w:t>Homes Victoria/DFFH</w:t>
            </w:r>
          </w:p>
        </w:tc>
        <w:tc>
          <w:tcPr>
            <w:tcW w:w="2268" w:type="dxa"/>
            <w:shd w:val="clear" w:color="auto" w:fill="auto"/>
            <w:vAlign w:val="center"/>
          </w:tcPr>
          <w:p w14:paraId="321F1CF6" w14:textId="70DC68F1" w:rsidR="00F01861" w:rsidRPr="009E7AD6" w:rsidRDefault="00F01861" w:rsidP="00F01861">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Housing</w:t>
            </w:r>
          </w:p>
        </w:tc>
        <w:tc>
          <w:tcPr>
            <w:tcW w:w="1843" w:type="dxa"/>
            <w:vAlign w:val="center"/>
          </w:tcPr>
          <w:p w14:paraId="6EA6D7BD" w14:textId="08DC1429" w:rsidR="00F01861" w:rsidRPr="009E7AD6" w:rsidRDefault="00F01861" w:rsidP="00F01861">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1</w:t>
            </w:r>
          </w:p>
        </w:tc>
      </w:tr>
      <w:tr w:rsidR="00F01861" w14:paraId="28B3A9B7"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7DEB8C96" w14:textId="41C70226" w:rsidR="00F01861" w:rsidRPr="00BE645F" w:rsidRDefault="00F01861" w:rsidP="00F01861">
            <w:pPr>
              <w:spacing w:before="0" w:after="0"/>
              <w:rPr>
                <w:rFonts w:cs="@Batang"/>
                <w:sz w:val="18"/>
                <w:szCs w:val="18"/>
              </w:rPr>
            </w:pPr>
            <w:r>
              <w:rPr>
                <w:rFonts w:cs="@Batang"/>
                <w:sz w:val="18"/>
                <w:szCs w:val="18"/>
              </w:rPr>
              <w:t>Homes Victoria/DFFH</w:t>
            </w:r>
          </w:p>
        </w:tc>
        <w:tc>
          <w:tcPr>
            <w:tcW w:w="2268" w:type="dxa"/>
            <w:shd w:val="clear" w:color="auto" w:fill="auto"/>
            <w:vAlign w:val="center"/>
          </w:tcPr>
          <w:p w14:paraId="507D4828" w14:textId="20E4A605" w:rsidR="00F01861" w:rsidRPr="009E7AD6" w:rsidRDefault="00F01861" w:rsidP="00F01861">
            <w:pPr>
              <w:spacing w:before="0" w:after="0"/>
              <w:cnfStyle w:val="000000000000" w:firstRow="0" w:lastRow="0" w:firstColumn="0" w:lastColumn="0" w:oddVBand="0" w:evenVBand="0" w:oddHBand="0" w:evenHBand="0" w:firstRowFirstColumn="0" w:firstRowLastColumn="0" w:lastRowFirstColumn="0" w:lastRowLastColumn="0"/>
              <w:rPr>
                <w:rFonts w:cs="@Batang"/>
                <w:sz w:val="18"/>
                <w:szCs w:val="18"/>
              </w:rPr>
            </w:pPr>
            <w:r>
              <w:rPr>
                <w:rFonts w:cs="@Batang"/>
                <w:sz w:val="18"/>
                <w:szCs w:val="18"/>
              </w:rPr>
              <w:t>Data analysis</w:t>
            </w:r>
          </w:p>
        </w:tc>
        <w:tc>
          <w:tcPr>
            <w:tcW w:w="1843" w:type="dxa"/>
            <w:vAlign w:val="center"/>
          </w:tcPr>
          <w:p w14:paraId="7146157F" w14:textId="15EB8F10" w:rsidR="00F01861" w:rsidRPr="009E7AD6" w:rsidRDefault="00F01861" w:rsidP="00F01861">
            <w:pPr>
              <w:pStyle w:val="TabletextCENTRED"/>
              <w:cnfStyle w:val="000000000000" w:firstRow="0" w:lastRow="0" w:firstColumn="0" w:lastColumn="0" w:oddVBand="0" w:evenVBand="0" w:oddHBand="0" w:evenHBand="0" w:firstRowFirstColumn="0" w:firstRowLastColumn="0" w:lastRowFirstColumn="0" w:lastRowLastColumn="0"/>
              <w:rPr>
                <w:rFonts w:cs="@Batang"/>
                <w:szCs w:val="18"/>
              </w:rPr>
            </w:pPr>
            <w:r>
              <w:rPr>
                <w:rFonts w:cs="@Batang"/>
              </w:rPr>
              <w:t>3</w:t>
            </w:r>
          </w:p>
        </w:tc>
      </w:tr>
      <w:tr w:rsidR="00F01861" w14:paraId="33BD4B29" w14:textId="77777777" w:rsidTr="00150C23">
        <w:trPr>
          <w:trHeight w:val="388"/>
        </w:trPr>
        <w:tc>
          <w:tcPr>
            <w:cnfStyle w:val="001000000000" w:firstRow="0" w:lastRow="0" w:firstColumn="1" w:lastColumn="0" w:oddVBand="0" w:evenVBand="0" w:oddHBand="0" w:evenHBand="0" w:firstRowFirstColumn="0" w:firstRowLastColumn="0" w:lastRowFirstColumn="0" w:lastRowLastColumn="0"/>
            <w:tcW w:w="2552" w:type="dxa"/>
            <w:vAlign w:val="center"/>
          </w:tcPr>
          <w:p w14:paraId="43A7C492" w14:textId="5B452E14" w:rsidR="00F01861" w:rsidRPr="00F6218E" w:rsidRDefault="00F01861" w:rsidP="00F01861">
            <w:pPr>
              <w:spacing w:before="0" w:after="0"/>
              <w:rPr>
                <w:rFonts w:cs="@Batang"/>
                <w:b/>
                <w:sz w:val="18"/>
                <w:szCs w:val="18"/>
              </w:rPr>
            </w:pPr>
            <w:r w:rsidRPr="00F6218E">
              <w:rPr>
                <w:rFonts w:cs="@Batang"/>
                <w:b/>
                <w:sz w:val="18"/>
                <w:szCs w:val="18"/>
              </w:rPr>
              <w:t>Total</w:t>
            </w:r>
          </w:p>
        </w:tc>
        <w:tc>
          <w:tcPr>
            <w:tcW w:w="2268" w:type="dxa"/>
            <w:shd w:val="clear" w:color="auto" w:fill="auto"/>
            <w:vAlign w:val="center"/>
          </w:tcPr>
          <w:p w14:paraId="162CED15" w14:textId="7D757551" w:rsidR="00F01861" w:rsidRPr="00F6218E" w:rsidRDefault="00F01861" w:rsidP="00F01861">
            <w:pPr>
              <w:spacing w:before="0" w:after="0"/>
              <w:cnfStyle w:val="000000000000" w:firstRow="0" w:lastRow="0" w:firstColumn="0" w:lastColumn="0" w:oddVBand="0" w:evenVBand="0" w:oddHBand="0" w:evenHBand="0" w:firstRowFirstColumn="0" w:firstRowLastColumn="0" w:lastRowFirstColumn="0" w:lastRowLastColumn="0"/>
              <w:rPr>
                <w:rFonts w:cs="@Batang"/>
                <w:b/>
                <w:sz w:val="18"/>
                <w:szCs w:val="18"/>
              </w:rPr>
            </w:pPr>
            <w:r w:rsidRPr="00F6218E">
              <w:rPr>
                <w:rFonts w:cs="@Batang"/>
                <w:b/>
                <w:sz w:val="18"/>
                <w:szCs w:val="18"/>
              </w:rPr>
              <w:t>9 Interviews</w:t>
            </w:r>
          </w:p>
        </w:tc>
        <w:tc>
          <w:tcPr>
            <w:tcW w:w="1843" w:type="dxa"/>
            <w:vAlign w:val="center"/>
          </w:tcPr>
          <w:p w14:paraId="54900283" w14:textId="2CDC2E5E" w:rsidR="00F01861" w:rsidRPr="00F6218E" w:rsidRDefault="00F01861" w:rsidP="00F01861">
            <w:pPr>
              <w:pStyle w:val="TabletextCENTRED"/>
              <w:cnfStyle w:val="000000000000" w:firstRow="0" w:lastRow="0" w:firstColumn="0" w:lastColumn="0" w:oddVBand="0" w:evenVBand="0" w:oddHBand="0" w:evenHBand="0" w:firstRowFirstColumn="0" w:firstRowLastColumn="0" w:lastRowFirstColumn="0" w:lastRowLastColumn="0"/>
              <w:rPr>
                <w:rFonts w:cs="@Batang"/>
                <w:b/>
                <w:szCs w:val="18"/>
              </w:rPr>
            </w:pPr>
            <w:r w:rsidRPr="00F6218E">
              <w:rPr>
                <w:rFonts w:cs="@Batang"/>
                <w:b/>
              </w:rPr>
              <w:t>23</w:t>
            </w:r>
          </w:p>
        </w:tc>
      </w:tr>
    </w:tbl>
    <w:p w14:paraId="3EE0B39B" w14:textId="61DDF5F4" w:rsidR="000271D2" w:rsidRDefault="000271D2" w:rsidP="00B33F99">
      <w:pPr>
        <w:pStyle w:val="Heading2"/>
      </w:pPr>
      <w:bookmarkStart w:id="52" w:name="_Toc178064008"/>
      <w:r>
        <w:t>Strengths and limitations</w:t>
      </w:r>
      <w:bookmarkEnd w:id="52"/>
    </w:p>
    <w:p w14:paraId="5262FAE0" w14:textId="37E18442" w:rsidR="00ED3AFF" w:rsidRPr="00C135F1" w:rsidRDefault="00246820" w:rsidP="007E1193">
      <w:pPr>
        <w:pStyle w:val="Heading3"/>
      </w:pPr>
      <w:r w:rsidRPr="00C135F1">
        <w:t xml:space="preserve">Strengths </w:t>
      </w:r>
    </w:p>
    <w:p w14:paraId="7C1E85CC" w14:textId="3A91796E" w:rsidR="002C3BB3" w:rsidRDefault="00800C66" w:rsidP="00A60734">
      <w:pPr>
        <w:pStyle w:val="BodyTextkeepwithnext"/>
      </w:pPr>
      <w:r>
        <w:t>There were a number of strengths in this evaluation</w:t>
      </w:r>
      <w:r w:rsidR="002C3BB3">
        <w:t>, including:</w:t>
      </w:r>
    </w:p>
    <w:p w14:paraId="39FFEEED" w14:textId="4CCF385E" w:rsidR="002C3BB3" w:rsidRDefault="002C3BB3" w:rsidP="00F42EDE">
      <w:pPr>
        <w:pStyle w:val="Bullet1stlevel"/>
        <w:keepLines/>
      </w:pPr>
      <w:r w:rsidRPr="008957F1">
        <w:rPr>
          <w:b/>
          <w:bCs/>
        </w:rPr>
        <w:t>Evaluation findings were derived from both qualitative and quantitative data sources</w:t>
      </w:r>
      <w:r>
        <w:rPr>
          <w:b/>
          <w:bCs/>
        </w:rPr>
        <w:t xml:space="preserve">: </w:t>
      </w:r>
      <w:r>
        <w:t>Gathering and analysing both forms of data allowed for the triangulation of qualitative insights (from interviews and program documentation) with quantitative analysis (from payable outcomes</w:t>
      </w:r>
      <w:r w:rsidR="00175EF3">
        <w:t xml:space="preserve">, </w:t>
      </w:r>
      <w:r>
        <w:t xml:space="preserve">TICSPOT </w:t>
      </w:r>
      <w:r w:rsidR="00175EF3">
        <w:t xml:space="preserve">and </w:t>
      </w:r>
      <w:r w:rsidR="00403F2D">
        <w:t>VSIIDR</w:t>
      </w:r>
      <w:r>
        <w:t xml:space="preserve">), </w:t>
      </w:r>
      <w:r w:rsidR="0043768E">
        <w:t xml:space="preserve">to </w:t>
      </w:r>
      <w:r w:rsidR="0043768E" w:rsidRPr="0043768E">
        <w:t>provide further insight into findings</w:t>
      </w:r>
      <w:r w:rsidR="00AA17E4">
        <w:t>.</w:t>
      </w:r>
    </w:p>
    <w:p w14:paraId="2A7DD1D7" w14:textId="1E24EBFB" w:rsidR="002C3BB3" w:rsidRDefault="002C3BB3" w:rsidP="000E75B0">
      <w:pPr>
        <w:pStyle w:val="Bullet1stlevel"/>
        <w:keepLines/>
      </w:pPr>
      <w:r w:rsidRPr="005F3794">
        <w:rPr>
          <w:b/>
          <w:bCs/>
        </w:rPr>
        <w:t>A diverse range of stakeholders were interviewed</w:t>
      </w:r>
      <w:r>
        <w:rPr>
          <w:b/>
          <w:bCs/>
        </w:rPr>
        <w:t xml:space="preserve">: </w:t>
      </w:r>
      <w:r>
        <w:t xml:space="preserve">As part of the data collection phase, this evaluation interviewed stakeholders from across the departments and organisations </w:t>
      </w:r>
      <w:r w:rsidR="002761D4">
        <w:t>that</w:t>
      </w:r>
      <w:r>
        <w:t xml:space="preserve"> had a role in delivering the J2SI </w:t>
      </w:r>
      <w:r w:rsidR="001D22AE">
        <w:t>PAD</w:t>
      </w:r>
      <w:r>
        <w:t xml:space="preserve">. This included service delivery staff, SHM </w:t>
      </w:r>
      <w:r w:rsidR="00DF1988">
        <w:t>E</w:t>
      </w:r>
      <w:r>
        <w:t>xecutive</w:t>
      </w:r>
      <w:r w:rsidR="00DF1988">
        <w:t>s</w:t>
      </w:r>
      <w:r>
        <w:t>, individuals involved in analysing outcomes data for the program</w:t>
      </w:r>
      <w:r w:rsidR="00886D13">
        <w:t>,</w:t>
      </w:r>
      <w:r>
        <w:t xml:space="preserve"> and government stakeholders. This </w:t>
      </w:r>
      <w:r w:rsidR="00175EF3">
        <w:t>group</w:t>
      </w:r>
      <w:r>
        <w:t xml:space="preserve"> of stakeholders allowed the evaluation to consider a wide range of observations, representative of diverse experiences in delivering the program</w:t>
      </w:r>
      <w:r w:rsidR="00A201B2">
        <w:t>.</w:t>
      </w:r>
    </w:p>
    <w:p w14:paraId="37E7F37B" w14:textId="2D591ADF" w:rsidR="002C3BB3" w:rsidRDefault="002C3BB3" w:rsidP="00632D10">
      <w:pPr>
        <w:pStyle w:val="Bullet1stlevel"/>
      </w:pPr>
      <w:r>
        <w:rPr>
          <w:b/>
          <w:bCs/>
        </w:rPr>
        <w:t>The use of TICSPOT data provide</w:t>
      </w:r>
      <w:r w:rsidR="000006D3">
        <w:rPr>
          <w:b/>
          <w:bCs/>
        </w:rPr>
        <w:t>s</w:t>
      </w:r>
      <w:r>
        <w:rPr>
          <w:b/>
          <w:bCs/>
        </w:rPr>
        <w:t xml:space="preserve"> client and caseworker voice: </w:t>
      </w:r>
      <w:r>
        <w:t xml:space="preserve">This evaluation was strengthened </w:t>
      </w:r>
      <w:r w:rsidR="00811DD9">
        <w:t>by</w:t>
      </w:r>
      <w:r>
        <w:t xml:space="preserve"> analysis of the TICSPOT survey</w:t>
      </w:r>
      <w:r w:rsidR="00A201B2">
        <w:t xml:space="preserve"> data</w:t>
      </w:r>
      <w:r>
        <w:t xml:space="preserve">, which </w:t>
      </w:r>
      <w:r w:rsidR="00A201B2">
        <w:t>includes</w:t>
      </w:r>
      <w:r>
        <w:t xml:space="preserve"> both client and caseworker </w:t>
      </w:r>
      <w:r w:rsidR="00A201B2">
        <w:t>responses</w:t>
      </w:r>
      <w:r>
        <w:t xml:space="preserve"> against five client </w:t>
      </w:r>
      <w:r>
        <w:lastRenderedPageBreak/>
        <w:t>outcome measures. This allowed the evaluation to consider client outcomes from different angles, some of which were affected to different extents by confounding factors</w:t>
      </w:r>
      <w:r w:rsidR="00886D13">
        <w:t>,</w:t>
      </w:r>
      <w:r>
        <w:t xml:space="preserve"> including COVID-19</w:t>
      </w:r>
      <w:r w:rsidR="00A201B2">
        <w:t>.</w:t>
      </w:r>
      <w:r w:rsidR="009E4F79">
        <w:t xml:space="preserve"> </w:t>
      </w:r>
    </w:p>
    <w:p w14:paraId="3ED1BD46" w14:textId="539AC885" w:rsidR="00F1310C" w:rsidRPr="00B02397" w:rsidRDefault="00B02397" w:rsidP="00632D10">
      <w:pPr>
        <w:pStyle w:val="Bullet1stlevel"/>
        <w:rPr>
          <w:b/>
          <w:bCs/>
        </w:rPr>
      </w:pPr>
      <w:r w:rsidRPr="00B02397">
        <w:rPr>
          <w:b/>
          <w:bCs/>
        </w:rPr>
        <w:t>Access to VSIIDR data</w:t>
      </w:r>
      <w:r>
        <w:t xml:space="preserve">: </w:t>
      </w:r>
      <w:r w:rsidR="00A21080">
        <w:t xml:space="preserve">In many cases, CBAs are reliant on a set of assumptions regarding </w:t>
      </w:r>
      <w:r w:rsidR="00A80FE9">
        <w:t>a program</w:t>
      </w:r>
      <w:r w:rsidR="00A60734">
        <w:t>’</w:t>
      </w:r>
      <w:r w:rsidR="00A80FE9">
        <w:t xml:space="preserve">s impact on broader service use, along with being unable to </w:t>
      </w:r>
      <w:r w:rsidR="00A21080">
        <w:t xml:space="preserve">control for confounding variables. The </w:t>
      </w:r>
      <w:r w:rsidR="009460D0">
        <w:t>CBA</w:t>
      </w:r>
      <w:r w:rsidR="00240732">
        <w:t>’</w:t>
      </w:r>
      <w:r w:rsidR="009460D0">
        <w:t xml:space="preserve">s </w:t>
      </w:r>
      <w:r w:rsidR="00A21080">
        <w:t>use of VSIIDR</w:t>
      </w:r>
      <w:r w:rsidR="009460D0">
        <w:t xml:space="preserve"> to calculate benefit</w:t>
      </w:r>
      <w:r w:rsidR="00A21080">
        <w:t xml:space="preserve">, and the statistical methods it enabled, helped to </w:t>
      </w:r>
      <w:r w:rsidR="0068349D">
        <w:t>mitigate</w:t>
      </w:r>
      <w:r w:rsidR="00A21080">
        <w:t xml:space="preserve"> </w:t>
      </w:r>
      <w:r w:rsidR="0068349D">
        <w:t>these common limitations</w:t>
      </w:r>
      <w:r w:rsidR="00B35CAA">
        <w:t xml:space="preserve">, </w:t>
      </w:r>
      <w:r w:rsidR="00A80FE9">
        <w:t>and added</w:t>
      </w:r>
      <w:r w:rsidR="00A21080">
        <w:t xml:space="preserve"> an additional </w:t>
      </w:r>
      <w:r w:rsidR="00811DD9">
        <w:t>layer</w:t>
      </w:r>
      <w:r w:rsidR="00A21080">
        <w:t xml:space="preserve"> of validity and rigour to the results</w:t>
      </w:r>
      <w:r w:rsidR="00A05ED3">
        <w:t xml:space="preserve">. </w:t>
      </w:r>
      <w:r w:rsidR="00110C5B">
        <w:t xml:space="preserve">The statistical analysis of the linked dataset </w:t>
      </w:r>
      <w:r w:rsidR="00BD4985">
        <w:t xml:space="preserve">addresses a number of confounding issues common in </w:t>
      </w:r>
      <w:r w:rsidR="00A23DB4">
        <w:t>comparisons of observed outcomes, and</w:t>
      </w:r>
      <w:r w:rsidR="00BD4985">
        <w:t xml:space="preserve"> </w:t>
      </w:r>
      <w:r w:rsidR="00CC3BD5">
        <w:t xml:space="preserve">provides </w:t>
      </w:r>
      <w:r w:rsidR="002F6109">
        <w:t xml:space="preserve">direct </w:t>
      </w:r>
      <w:r w:rsidR="00CC3BD5">
        <w:t xml:space="preserve">evidence </w:t>
      </w:r>
      <w:r w:rsidR="007B6ACE">
        <w:t>of the effects that</w:t>
      </w:r>
      <w:r w:rsidR="009E4F79">
        <w:t xml:space="preserve"> the</w:t>
      </w:r>
      <w:r w:rsidR="007B6ACE">
        <w:t xml:space="preserve"> J2SI</w:t>
      </w:r>
      <w:r w:rsidR="009E4F79">
        <w:t xml:space="preserve"> PAD</w:t>
      </w:r>
      <w:r w:rsidR="00CC3BD5">
        <w:t xml:space="preserve"> </w:t>
      </w:r>
      <w:r w:rsidR="007B6ACE">
        <w:t xml:space="preserve">had across </w:t>
      </w:r>
      <w:r w:rsidR="001E677E">
        <w:t xml:space="preserve">a range of </w:t>
      </w:r>
      <w:r w:rsidR="0038282F">
        <w:t xml:space="preserve">service </w:t>
      </w:r>
      <w:r w:rsidR="001E677E">
        <w:t>utilisation outcomes</w:t>
      </w:r>
      <w:r w:rsidR="0009723F">
        <w:t>.</w:t>
      </w:r>
    </w:p>
    <w:p w14:paraId="05426B37" w14:textId="198E7E2A" w:rsidR="00500604" w:rsidRPr="00C135F1" w:rsidRDefault="00500604" w:rsidP="007E1193">
      <w:pPr>
        <w:pStyle w:val="Heading3"/>
      </w:pPr>
      <w:r w:rsidRPr="00C135F1">
        <w:t>Limitations</w:t>
      </w:r>
    </w:p>
    <w:p w14:paraId="3A9157A9" w14:textId="77777777" w:rsidR="00B3584B" w:rsidRDefault="00B3584B" w:rsidP="00A60734">
      <w:pPr>
        <w:pStyle w:val="BodyTextkeepwithnext"/>
      </w:pPr>
      <w:r>
        <w:t>A number of limitations around the evaluation were identified, including:</w:t>
      </w:r>
    </w:p>
    <w:p w14:paraId="5379F0C2" w14:textId="4C4D8B68" w:rsidR="004541EF" w:rsidRDefault="00E63309" w:rsidP="00632D10">
      <w:pPr>
        <w:pStyle w:val="Bullet1stlevel"/>
      </w:pPr>
      <w:r w:rsidRPr="008B47F2">
        <w:rPr>
          <w:b/>
          <w:bCs/>
        </w:rPr>
        <w:t xml:space="preserve">Isolating the impact of the </w:t>
      </w:r>
      <w:r w:rsidR="009460D0">
        <w:rPr>
          <w:b/>
          <w:bCs/>
        </w:rPr>
        <w:t>SII</w:t>
      </w:r>
      <w:r w:rsidR="003613FB" w:rsidRPr="008B47F2">
        <w:rPr>
          <w:b/>
          <w:bCs/>
        </w:rPr>
        <w:t xml:space="preserve"> funding</w:t>
      </w:r>
      <w:r w:rsidRPr="008B47F2">
        <w:rPr>
          <w:b/>
          <w:bCs/>
        </w:rPr>
        <w:t xml:space="preserve"> mechanism. </w:t>
      </w:r>
      <w:r w:rsidRPr="008B47F2">
        <w:t xml:space="preserve">The focus of the </w:t>
      </w:r>
      <w:r w:rsidR="00501997">
        <w:t>outcomes</w:t>
      </w:r>
      <w:r w:rsidR="005D1BC5" w:rsidRPr="008B47F2">
        <w:t xml:space="preserve"> evaluation stream was on the impact of the </w:t>
      </w:r>
      <w:r w:rsidR="009460D0">
        <w:t>SII</w:t>
      </w:r>
      <w:r w:rsidR="005D1BC5" w:rsidRPr="008B47F2">
        <w:t xml:space="preserve"> funding mechanism on delivery o</w:t>
      </w:r>
      <w:r w:rsidR="0009127A" w:rsidRPr="008B47F2">
        <w:t>f</w:t>
      </w:r>
      <w:r w:rsidR="005D1BC5" w:rsidRPr="008B47F2">
        <w:t xml:space="preserve"> the</w:t>
      </w:r>
      <w:r w:rsidR="005D1BC5">
        <w:t xml:space="preserve"> J2SI program</w:t>
      </w:r>
      <w:r w:rsidR="002D3431">
        <w:t xml:space="preserve"> and outcomes</w:t>
      </w:r>
      <w:r w:rsidR="005D1BC5">
        <w:t xml:space="preserve"> for clients, SHM and </w:t>
      </w:r>
      <w:r w:rsidR="00A60734">
        <w:t>g</w:t>
      </w:r>
      <w:r w:rsidR="005D1BC5">
        <w:t xml:space="preserve">overnment. </w:t>
      </w:r>
      <w:r w:rsidR="004541EF">
        <w:t xml:space="preserve">There were limitations in the ability of this evaluation to definitively ascribe changes in program outcomes to aspects of the </w:t>
      </w:r>
      <w:r w:rsidR="009460D0">
        <w:t>mechanism</w:t>
      </w:r>
      <w:r w:rsidR="004541EF">
        <w:t xml:space="preserve">, due to: </w:t>
      </w:r>
    </w:p>
    <w:p w14:paraId="081636D8" w14:textId="3C667872" w:rsidR="004541EF" w:rsidRDefault="004541EF" w:rsidP="00150C23">
      <w:pPr>
        <w:pStyle w:val="Bullet2ndlevel"/>
      </w:pPr>
      <w:r>
        <w:t>Stakeholders interviewed did not consistently have experience o</w:t>
      </w:r>
      <w:r w:rsidR="00BE68CF">
        <w:t>r</w:t>
      </w:r>
      <w:r>
        <w:t xml:space="preserve"> knowledge of the J2SI program prior to it becoming a PAD, there were </w:t>
      </w:r>
      <w:r w:rsidR="006C01FA">
        <w:t>therefore</w:t>
      </w:r>
      <w:r>
        <w:t xml:space="preserve"> limited opportunities for direct comparison between the </w:t>
      </w:r>
      <w:r w:rsidR="009C7EFD">
        <w:t xml:space="preserve">Phase 2 </w:t>
      </w:r>
      <w:r>
        <w:t>RCT and J2SI PAD</w:t>
      </w:r>
      <w:r w:rsidR="008B47F2">
        <w:t>; and</w:t>
      </w:r>
    </w:p>
    <w:p w14:paraId="5742B351" w14:textId="77777777" w:rsidR="004541EF" w:rsidRDefault="004541EF" w:rsidP="00325BE2">
      <w:pPr>
        <w:pStyle w:val="BodyText"/>
      </w:pPr>
      <w:r>
        <w:t>There were potential confounding variables separate to the PAD, which likely influenced outcomes during J2SI PAD but were not present in previous phases (notably the COVID-19 pandemic).</w:t>
      </w:r>
    </w:p>
    <w:p w14:paraId="3C6D663A" w14:textId="42279138" w:rsidR="000A3591" w:rsidRDefault="00B3584B" w:rsidP="00632D10">
      <w:pPr>
        <w:pStyle w:val="Bullet1stlevel"/>
      </w:pPr>
      <w:r w:rsidRPr="000C2EBE">
        <w:rPr>
          <w:b/>
          <w:bCs/>
        </w:rPr>
        <w:t>The evaluation did not consult clients directly as part of the interview process</w:t>
      </w:r>
      <w:r>
        <w:rPr>
          <w:b/>
          <w:bCs/>
        </w:rPr>
        <w:t>:</w:t>
      </w:r>
      <w:r>
        <w:t xml:space="preserve"> Not engaging with clients meant that the evaluation was unable to gather or analyse J2SI client responses around their perceived outcomes, experiences with the program, and barriers and enablers from their perspective, apart from their completion of the TICSPOT surveys. Client interview data</w:t>
      </w:r>
      <w:r w:rsidR="0020171D">
        <w:t>, which was out of scope for this evaluation,</w:t>
      </w:r>
      <w:r>
        <w:t xml:space="preserve"> </w:t>
      </w:r>
      <w:r w:rsidR="00784FD5">
        <w:t xml:space="preserve">may have added additional insight into </w:t>
      </w:r>
      <w:r w:rsidR="00EB6544">
        <w:t>client outcomes, complimenting the data collected via the TICSPOT survey</w:t>
      </w:r>
      <w:r w:rsidR="00C80CBF">
        <w:t>.</w:t>
      </w:r>
    </w:p>
    <w:p w14:paraId="2A9D7DB7" w14:textId="586F72FD" w:rsidR="00B3584B" w:rsidRDefault="00B3584B" w:rsidP="00632D10">
      <w:pPr>
        <w:pStyle w:val="Bullet1stlevel"/>
      </w:pPr>
      <w:r w:rsidRPr="00426B20">
        <w:t xml:space="preserve">The use of a control group </w:t>
      </w:r>
      <w:r w:rsidR="00732443">
        <w:t>to calculate payable outcomes</w:t>
      </w:r>
      <w:r w:rsidRPr="00426B20">
        <w:t xml:space="preserve"> that has not had the experience of COVID-19 and policy changes that resulted: </w:t>
      </w:r>
      <w:r w:rsidR="002D15DD">
        <w:rPr>
          <w:bCs/>
        </w:rPr>
        <w:t xml:space="preserve">As </w:t>
      </w:r>
      <w:r w:rsidR="00550EBA">
        <w:rPr>
          <w:bCs/>
        </w:rPr>
        <w:t xml:space="preserve">previously </w:t>
      </w:r>
      <w:r w:rsidR="002D15DD">
        <w:rPr>
          <w:bCs/>
        </w:rPr>
        <w:t>stated</w:t>
      </w:r>
      <w:r w:rsidR="00550EBA">
        <w:rPr>
          <w:bCs/>
        </w:rPr>
        <w:t xml:space="preserve">, </w:t>
      </w:r>
      <w:r w:rsidR="002D15DD">
        <w:rPr>
          <w:bCs/>
        </w:rPr>
        <w:t>t</w:t>
      </w:r>
      <w:r w:rsidRPr="00A77479">
        <w:t xml:space="preserve">he decision was made </w:t>
      </w:r>
      <w:r>
        <w:t xml:space="preserve">during the J2SI </w:t>
      </w:r>
      <w:r w:rsidR="007266BC">
        <w:t>PAD</w:t>
      </w:r>
      <w:r>
        <w:t xml:space="preserve"> design stage </w:t>
      </w:r>
      <w:r w:rsidRPr="00A77479">
        <w:t xml:space="preserve">to use the same control group </w:t>
      </w:r>
      <w:r>
        <w:t xml:space="preserve">outcomes data that had been collected during the </w:t>
      </w:r>
      <w:r w:rsidR="009C7EFD">
        <w:t xml:space="preserve">Phase 2 </w:t>
      </w:r>
      <w:r w:rsidR="007266BC">
        <w:t>RCT</w:t>
      </w:r>
      <w:r>
        <w:t xml:space="preserve"> evaluation of J2SI</w:t>
      </w:r>
      <w:r w:rsidR="002D15DD">
        <w:t xml:space="preserve"> due to ethical considerations.</w:t>
      </w:r>
      <w:r w:rsidR="00272B50">
        <w:rPr>
          <w:rFonts w:ascii="ZWAdobeF" w:hAnsi="ZWAdobeF" w:cs="ZWAdobeF"/>
          <w:color w:val="auto"/>
          <w:sz w:val="2"/>
          <w:szCs w:val="2"/>
        </w:rPr>
        <w:t>11F</w:t>
      </w:r>
      <w:r w:rsidR="00125CA2">
        <w:rPr>
          <w:rFonts w:ascii="ZWAdobeF" w:hAnsi="ZWAdobeF" w:cs="ZWAdobeF"/>
          <w:color w:val="auto"/>
          <w:sz w:val="2"/>
          <w:szCs w:val="2"/>
        </w:rPr>
        <w:t>11F</w:t>
      </w:r>
      <w:r>
        <w:rPr>
          <w:rStyle w:val="FootnoteReference"/>
        </w:rPr>
        <w:footnoteReference w:id="23"/>
      </w:r>
      <w:r w:rsidR="002D15DD">
        <w:t xml:space="preserve"> This</w:t>
      </w:r>
      <w:r>
        <w:t xml:space="preserve"> decision was made without the knowledge of COVID-19 and the disruption it would cause, particularly the implication on the policy and program environment of homelessness services. As such,</w:t>
      </w:r>
      <w:r w:rsidR="008B2DB7">
        <w:t xml:space="preserve"> the comparability of</w:t>
      </w:r>
      <w:r w:rsidR="009C7EFD">
        <w:t xml:space="preserve"> </w:t>
      </w:r>
      <w:r w:rsidR="00505927">
        <w:t>the</w:t>
      </w:r>
      <w:r w:rsidR="009C7EFD">
        <w:t xml:space="preserve"> Phase 2</w:t>
      </w:r>
      <w:r w:rsidR="008B2DB7">
        <w:t xml:space="preserve"> RCT control group and the intervention group of J2SI PAD clients may </w:t>
      </w:r>
      <w:r w:rsidR="00D41459">
        <w:t xml:space="preserve">have been </w:t>
      </w:r>
      <w:r w:rsidR="008B2DB7">
        <w:t>impacted, and this impact should be considered</w:t>
      </w:r>
      <w:r w:rsidR="007266BC">
        <w:t>. I</w:t>
      </w:r>
      <w:r>
        <w:t xml:space="preserve">t is recognised that establishing a new control group </w:t>
      </w:r>
      <w:r w:rsidR="007266BC">
        <w:t>was not</w:t>
      </w:r>
      <w:r>
        <w:t xml:space="preserve"> feasible, given the practicality of doing so, in addition to the broader ethical and policy implications, </w:t>
      </w:r>
      <w:r w:rsidRPr="008F51D9">
        <w:t xml:space="preserve">including the significant support being provided to almost 2,000 people through </w:t>
      </w:r>
      <w:r>
        <w:t xml:space="preserve">the Homelessness to a Home (H2H) program. </w:t>
      </w:r>
    </w:p>
    <w:p w14:paraId="617AC1BE" w14:textId="77777777" w:rsidR="00535134" w:rsidRPr="00150C23" w:rsidRDefault="00535134" w:rsidP="00150C23">
      <w:pPr>
        <w:pStyle w:val="BodyText"/>
      </w:pPr>
      <w:r>
        <w:br w:type="page"/>
      </w:r>
    </w:p>
    <w:p w14:paraId="04BA4895" w14:textId="07B5A396" w:rsidR="000271D2" w:rsidRDefault="00BD4322" w:rsidP="000271D2">
      <w:pPr>
        <w:pStyle w:val="Heading1"/>
      </w:pPr>
      <w:bookmarkStart w:id="53" w:name="_Outcomes_evaluation"/>
      <w:bookmarkStart w:id="54" w:name="_Toc178064009"/>
      <w:bookmarkEnd w:id="53"/>
      <w:r>
        <w:lastRenderedPageBreak/>
        <w:t>Outcomes evaluation</w:t>
      </w:r>
      <w:bookmarkEnd w:id="54"/>
      <w:r w:rsidR="00EE15EC">
        <w:t xml:space="preserve"> </w:t>
      </w:r>
    </w:p>
    <w:tbl>
      <w:tblPr>
        <w:tblStyle w:val="TableGrid"/>
        <w:tblW w:w="0" w:type="auto"/>
        <w:tblLook w:val="04A0" w:firstRow="1" w:lastRow="0" w:firstColumn="1" w:lastColumn="0" w:noHBand="0" w:noVBand="1"/>
      </w:tblPr>
      <w:tblGrid>
        <w:gridCol w:w="10204"/>
      </w:tblGrid>
      <w:tr w:rsidR="00117897" w14:paraId="089F8547" w14:textId="77777777" w:rsidTr="00632D10">
        <w:trPr>
          <w:trHeight w:val="1900"/>
        </w:trPr>
        <w:tc>
          <w:tcPr>
            <w:tcW w:w="10204" w:type="dxa"/>
            <w:tcBorders>
              <w:top w:val="nil"/>
              <w:bottom w:val="nil"/>
            </w:tcBorders>
            <w:shd w:val="clear" w:color="auto" w:fill="F3EBF9"/>
          </w:tcPr>
          <w:p w14:paraId="5052AA8E" w14:textId="3E2CE387" w:rsidR="00117897" w:rsidRPr="00D65E76" w:rsidRDefault="00117897" w:rsidP="00117897">
            <w:pPr>
              <w:ind w:left="0" w:right="0"/>
              <w:jc w:val="left"/>
              <w:rPr>
                <w:b/>
                <w:i w:val="0"/>
                <w:color w:val="auto"/>
              </w:rPr>
            </w:pPr>
            <w:r w:rsidRPr="00D65E76">
              <w:rPr>
                <w:b/>
                <w:i w:val="0"/>
                <w:color w:val="auto"/>
              </w:rPr>
              <w:t>Key evaluation questions guiding the outcomes evaluation:</w:t>
            </w:r>
          </w:p>
          <w:p w14:paraId="2342097B" w14:textId="5CF65FC2" w:rsidR="00117897" w:rsidRPr="00D65E76" w:rsidRDefault="00117897" w:rsidP="007A2CBF">
            <w:pPr>
              <w:pStyle w:val="Bullet1stlevel"/>
              <w:numPr>
                <w:ilvl w:val="0"/>
                <w:numId w:val="12"/>
              </w:numPr>
              <w:jc w:val="left"/>
            </w:pPr>
            <w:r w:rsidRPr="00D65E76">
              <w:t xml:space="preserve">What were the outcomes of the J2SI PAD in light of its </w:t>
            </w:r>
            <w:r w:rsidR="00C91F51">
              <w:rPr>
                <w:iCs/>
              </w:rPr>
              <w:t xml:space="preserve">structure as a SII </w:t>
            </w:r>
            <w:r w:rsidRPr="00D65E76">
              <w:t>funding mechanism?</w:t>
            </w:r>
          </w:p>
          <w:p w14:paraId="377280DC" w14:textId="77777777" w:rsidR="00117897" w:rsidRPr="00F81F2E" w:rsidRDefault="00117897" w:rsidP="007A2CBF">
            <w:pPr>
              <w:pStyle w:val="Bullet2ndlevel"/>
              <w:numPr>
                <w:ilvl w:val="0"/>
                <w:numId w:val="13"/>
              </w:numPr>
              <w:ind w:right="0"/>
              <w:jc w:val="left"/>
              <w:rPr>
                <w:color w:val="auto"/>
              </w:rPr>
            </w:pPr>
            <w:r w:rsidRPr="00F81F2E">
              <w:rPr>
                <w:color w:val="auto"/>
              </w:rPr>
              <w:t>Were the outcomes the same as when the program was implemented differently?</w:t>
            </w:r>
          </w:p>
          <w:p w14:paraId="3EC65535" w14:textId="77777777" w:rsidR="00117897" w:rsidRDefault="00117897" w:rsidP="007A2CBF">
            <w:pPr>
              <w:pStyle w:val="Bullet2ndlevel"/>
              <w:numPr>
                <w:ilvl w:val="0"/>
                <w:numId w:val="13"/>
              </w:numPr>
              <w:ind w:right="0"/>
              <w:jc w:val="left"/>
              <w:rPr>
                <w:color w:val="auto"/>
              </w:rPr>
            </w:pPr>
            <w:r w:rsidRPr="00F81F2E">
              <w:rPr>
                <w:color w:val="auto"/>
              </w:rPr>
              <w:t>Can the outcomes be attributed to the program as a PAD?</w:t>
            </w:r>
          </w:p>
          <w:p w14:paraId="58CE97B9" w14:textId="04F08ECC" w:rsidR="00117897" w:rsidRPr="00117897" w:rsidRDefault="00117897" w:rsidP="007A2CBF">
            <w:pPr>
              <w:pStyle w:val="Bullet1stlevel"/>
              <w:numPr>
                <w:ilvl w:val="0"/>
                <w:numId w:val="12"/>
              </w:numPr>
              <w:jc w:val="left"/>
            </w:pPr>
            <w:r w:rsidRPr="00D65E76">
              <w:t>What other factors influenced the outcomes?</w:t>
            </w:r>
          </w:p>
        </w:tc>
      </w:tr>
    </w:tbl>
    <w:p w14:paraId="318B0EAF" w14:textId="77777777" w:rsidR="008F0B9F" w:rsidRDefault="008F0B9F" w:rsidP="00325BE2">
      <w:pPr>
        <w:pStyle w:val="BodyText"/>
      </w:pPr>
      <w:r w:rsidRPr="00EC3D16">
        <w:t xml:space="preserve">The outcomes evaluation stream focused on the </w:t>
      </w:r>
      <w:r>
        <w:t xml:space="preserve">delivery of the J2SI PAD, focusing on </w:t>
      </w:r>
      <w:r w:rsidRPr="00EC3D16">
        <w:t xml:space="preserve">the impact of the </w:t>
      </w:r>
      <w:r>
        <w:t>SII</w:t>
      </w:r>
      <w:r w:rsidRPr="00EC3D16">
        <w:t xml:space="preserve"> funding mechanism on </w:t>
      </w:r>
      <w:r>
        <w:t>outcomes</w:t>
      </w:r>
      <w:r w:rsidRPr="00EC3D16">
        <w:t xml:space="preserve"> with consideration of J2SI clients, SHM</w:t>
      </w:r>
      <w:r>
        <w:t xml:space="preserve"> and government agencies (DTF, DFFH and Homes Victoria). </w:t>
      </w:r>
    </w:p>
    <w:p w14:paraId="54288534" w14:textId="2FEF6C22" w:rsidR="008F0B9F" w:rsidRDefault="008F0B9F" w:rsidP="00325BE2">
      <w:pPr>
        <w:pStyle w:val="BodyText"/>
      </w:pPr>
      <w:r w:rsidRPr="001547C5">
        <w:t xml:space="preserve">This section presents the findings from the </w:t>
      </w:r>
      <w:r w:rsidR="00501997">
        <w:t>outcomes</w:t>
      </w:r>
      <w:r w:rsidRPr="001547C5">
        <w:t xml:space="preserve"> evaluation, </w:t>
      </w:r>
      <w:r>
        <w:t>structured to reflect</w:t>
      </w:r>
      <w:r w:rsidRPr="001547C5">
        <w:t xml:space="preserve"> the evaluation and sub</w:t>
      </w:r>
      <w:r w:rsidR="00505927">
        <w:noBreakHyphen/>
      </w:r>
      <w:r w:rsidRPr="001547C5">
        <w:t>evaluation questions.</w:t>
      </w:r>
    </w:p>
    <w:p w14:paraId="6B536BEB" w14:textId="1F91D735" w:rsidR="00C07AE5" w:rsidRDefault="00C07AE5" w:rsidP="001711A5">
      <w:pPr>
        <w:pStyle w:val="Heading2"/>
      </w:pPr>
      <w:bookmarkStart w:id="55" w:name="_Toc178064010"/>
      <w:r w:rsidRPr="001547C5">
        <w:t>What were the outcomes</w:t>
      </w:r>
      <w:r w:rsidRPr="001D06E2">
        <w:t xml:space="preserve"> of</w:t>
      </w:r>
      <w:r w:rsidR="00EC3D16">
        <w:t xml:space="preserve"> the</w:t>
      </w:r>
      <w:r w:rsidRPr="001D06E2">
        <w:t xml:space="preserve"> J2SI </w:t>
      </w:r>
      <w:r w:rsidR="00913623">
        <w:t>PAD</w:t>
      </w:r>
      <w:r w:rsidRPr="001D06E2">
        <w:t xml:space="preserve"> in light of its</w:t>
      </w:r>
      <w:r w:rsidR="006D22BD">
        <w:t xml:space="preserve"> structure as </w:t>
      </w:r>
      <w:r w:rsidR="006D22BD" w:rsidRPr="000C7157">
        <w:t>a SII</w:t>
      </w:r>
      <w:r w:rsidRPr="000C7157">
        <w:t xml:space="preserve"> funding</w:t>
      </w:r>
      <w:r w:rsidRPr="001D06E2">
        <w:t xml:space="preserve"> mechanism?</w:t>
      </w:r>
      <w:bookmarkEnd w:id="55"/>
      <w:r w:rsidRPr="001D06E2">
        <w:t xml:space="preserve"> </w:t>
      </w:r>
    </w:p>
    <w:p w14:paraId="5A98652D" w14:textId="6D3359C5" w:rsidR="00F42702" w:rsidRDefault="007258F2" w:rsidP="00325BE2">
      <w:pPr>
        <w:pStyle w:val="BodyText"/>
      </w:pPr>
      <w:r>
        <w:t>Consultation</w:t>
      </w:r>
      <w:r w:rsidR="00567942">
        <w:t xml:space="preserve"> with key stakeholders, and </w:t>
      </w:r>
      <w:r>
        <w:t>the analysis of client outcome</w:t>
      </w:r>
      <w:r w:rsidR="00505927">
        <w:t>s</w:t>
      </w:r>
      <w:r>
        <w:t xml:space="preserve"> data, has found the following overarching </w:t>
      </w:r>
      <w:r w:rsidR="002B10ED">
        <w:t xml:space="preserve">outcomes of the J2SI PAD in light of its </w:t>
      </w:r>
      <w:r w:rsidR="00D26C32">
        <w:t xml:space="preserve">SII </w:t>
      </w:r>
      <w:r w:rsidR="002B10ED">
        <w:t xml:space="preserve">funding mechanism: </w:t>
      </w:r>
      <w:r>
        <w:t xml:space="preserve"> </w:t>
      </w:r>
      <w:r w:rsidR="002D74A9">
        <w:t xml:space="preserve"> </w:t>
      </w:r>
      <w:r>
        <w:t xml:space="preserve"> </w:t>
      </w:r>
    </w:p>
    <w:p w14:paraId="59426798" w14:textId="22E24347" w:rsidR="007258F2" w:rsidRPr="00CF5455" w:rsidRDefault="007258F2" w:rsidP="002A7355">
      <w:pPr>
        <w:pStyle w:val="ListParagraph"/>
        <w:numPr>
          <w:ilvl w:val="0"/>
          <w:numId w:val="16"/>
        </w:numPr>
        <w:contextualSpacing w:val="0"/>
        <w:rPr>
          <w:b/>
          <w:i/>
        </w:rPr>
      </w:pPr>
      <w:bookmarkStart w:id="56" w:name="_Ref150515996"/>
      <w:r w:rsidRPr="00CF5455">
        <w:rPr>
          <w:b/>
          <w:i/>
        </w:rPr>
        <w:t>The PAD supported</w:t>
      </w:r>
      <w:r w:rsidR="008F1B5A" w:rsidRPr="00CF5455">
        <w:rPr>
          <w:b/>
          <w:i/>
        </w:rPr>
        <w:t xml:space="preserve"> the achievement of J2SI</w:t>
      </w:r>
      <w:r w:rsidRPr="00CF5455">
        <w:rPr>
          <w:b/>
          <w:i/>
        </w:rPr>
        <w:t xml:space="preserve"> </w:t>
      </w:r>
      <w:r w:rsidR="008F1B5A" w:rsidRPr="00CF5455">
        <w:rPr>
          <w:b/>
          <w:i/>
        </w:rPr>
        <w:t>client outcomes</w:t>
      </w:r>
      <w:bookmarkEnd w:id="56"/>
    </w:p>
    <w:p w14:paraId="3251C9A5" w14:textId="0A433DA3" w:rsidR="00AB20A2" w:rsidRPr="00CF5455" w:rsidRDefault="00AB20A2" w:rsidP="002A7355">
      <w:pPr>
        <w:pStyle w:val="ListParagraph"/>
        <w:numPr>
          <w:ilvl w:val="0"/>
          <w:numId w:val="16"/>
        </w:numPr>
        <w:contextualSpacing w:val="0"/>
        <w:rPr>
          <w:b/>
          <w:i/>
        </w:rPr>
      </w:pPr>
      <w:r w:rsidRPr="00CF5455">
        <w:rPr>
          <w:b/>
          <w:i/>
        </w:rPr>
        <w:t xml:space="preserve">The PAD </w:t>
      </w:r>
      <w:r w:rsidR="00835821" w:rsidRPr="00CF5455">
        <w:rPr>
          <w:b/>
          <w:i/>
        </w:rPr>
        <w:t xml:space="preserve">supported </w:t>
      </w:r>
      <w:r w:rsidR="0059482F">
        <w:rPr>
          <w:b/>
          <w:i/>
        </w:rPr>
        <w:t>g</w:t>
      </w:r>
      <w:r w:rsidR="008F1B5A" w:rsidRPr="00CF5455">
        <w:rPr>
          <w:b/>
          <w:i/>
        </w:rPr>
        <w:t>overnment</w:t>
      </w:r>
      <w:r w:rsidR="00835821" w:rsidRPr="00CF5455">
        <w:rPr>
          <w:b/>
          <w:i/>
        </w:rPr>
        <w:t xml:space="preserve"> outcomes, </w:t>
      </w:r>
      <w:r w:rsidR="008F1B5A" w:rsidRPr="00CF5455">
        <w:rPr>
          <w:b/>
          <w:i/>
        </w:rPr>
        <w:t xml:space="preserve">informing subsequent </w:t>
      </w:r>
      <w:r w:rsidRPr="00CF5455">
        <w:rPr>
          <w:b/>
          <w:i/>
        </w:rPr>
        <w:t>programs and policy</w:t>
      </w:r>
    </w:p>
    <w:p w14:paraId="6C2F97E7" w14:textId="5AFD0591" w:rsidR="007258F2" w:rsidRPr="00CF5455" w:rsidRDefault="007258F2" w:rsidP="002A7355">
      <w:pPr>
        <w:pStyle w:val="ListParagraph"/>
        <w:numPr>
          <w:ilvl w:val="0"/>
          <w:numId w:val="16"/>
        </w:numPr>
        <w:contextualSpacing w:val="0"/>
        <w:rPr>
          <w:b/>
          <w:i/>
        </w:rPr>
      </w:pPr>
      <w:r w:rsidRPr="00CF5455">
        <w:rPr>
          <w:b/>
          <w:i/>
        </w:rPr>
        <w:t xml:space="preserve">The PAD drove </w:t>
      </w:r>
      <w:r w:rsidR="002D74A9" w:rsidRPr="00CF5455">
        <w:rPr>
          <w:b/>
          <w:i/>
        </w:rPr>
        <w:t>greater</w:t>
      </w:r>
      <w:r w:rsidR="008F1B5A" w:rsidRPr="00CF5455">
        <w:rPr>
          <w:b/>
          <w:i/>
        </w:rPr>
        <w:t xml:space="preserve"> J2SI</w:t>
      </w:r>
      <w:r w:rsidR="002D74A9" w:rsidRPr="00CF5455">
        <w:rPr>
          <w:b/>
          <w:i/>
        </w:rPr>
        <w:t xml:space="preserve"> </w:t>
      </w:r>
      <w:r w:rsidRPr="00CF5455">
        <w:rPr>
          <w:b/>
          <w:i/>
        </w:rPr>
        <w:t>program accountability and rigour</w:t>
      </w:r>
    </w:p>
    <w:p w14:paraId="41992FD6" w14:textId="43850A05" w:rsidR="007258F2" w:rsidRPr="00CF5455" w:rsidRDefault="007258F2" w:rsidP="002A7355">
      <w:pPr>
        <w:pStyle w:val="ListParagraph"/>
        <w:numPr>
          <w:ilvl w:val="0"/>
          <w:numId w:val="16"/>
        </w:numPr>
        <w:contextualSpacing w:val="0"/>
        <w:rPr>
          <w:b/>
          <w:i/>
        </w:rPr>
      </w:pPr>
      <w:r w:rsidRPr="00CF5455">
        <w:rPr>
          <w:b/>
          <w:i/>
        </w:rPr>
        <w:t>The PAD resulted in new ways of working and capability uplift</w:t>
      </w:r>
      <w:r w:rsidR="008F1B5A" w:rsidRPr="00CF5455">
        <w:rPr>
          <w:b/>
          <w:i/>
        </w:rPr>
        <w:t xml:space="preserve"> </w:t>
      </w:r>
      <w:r w:rsidR="008C72A3" w:rsidRPr="00CF5455">
        <w:rPr>
          <w:b/>
          <w:i/>
        </w:rPr>
        <w:t xml:space="preserve">for </w:t>
      </w:r>
      <w:r w:rsidR="001966B4" w:rsidRPr="00CF5455">
        <w:rPr>
          <w:b/>
          <w:i/>
        </w:rPr>
        <w:t>SHM and</w:t>
      </w:r>
      <w:r w:rsidR="004B5CC8" w:rsidRPr="00CF5455">
        <w:rPr>
          <w:b/>
          <w:i/>
        </w:rPr>
        <w:t xml:space="preserve"> government stakeholders</w:t>
      </w:r>
      <w:r w:rsidR="0059482F">
        <w:rPr>
          <w:b/>
          <w:i/>
        </w:rPr>
        <w:t>.</w:t>
      </w:r>
      <w:r w:rsidR="004B5CC8" w:rsidRPr="00CF5455">
        <w:rPr>
          <w:b/>
          <w:i/>
        </w:rPr>
        <w:t xml:space="preserve"> </w:t>
      </w:r>
    </w:p>
    <w:p w14:paraId="745FEE11" w14:textId="02FAE917" w:rsidR="00C93E63" w:rsidRPr="00325BE2" w:rsidRDefault="001660C2" w:rsidP="00325BE2">
      <w:pPr>
        <w:pStyle w:val="BodyText"/>
      </w:pPr>
      <w:r w:rsidRPr="00325BE2">
        <w:t xml:space="preserve">In </w:t>
      </w:r>
      <w:r w:rsidR="00B752B0" w:rsidRPr="00325BE2">
        <w:t>many</w:t>
      </w:r>
      <w:r w:rsidRPr="00325BE2">
        <w:t xml:space="preserve"> cases, these outcomes were not seen</w:t>
      </w:r>
      <w:r w:rsidR="00B752B0" w:rsidRPr="00325BE2">
        <w:t>, to the same extent,</w:t>
      </w:r>
      <w:r w:rsidRPr="00325BE2">
        <w:t xml:space="preserve"> in the</w:t>
      </w:r>
      <w:r w:rsidR="00B752B0" w:rsidRPr="00325BE2">
        <w:t xml:space="preserve"> iterations of the J2SI program that preced</w:t>
      </w:r>
      <w:r w:rsidR="007016CC" w:rsidRPr="00325BE2">
        <w:t>ed</w:t>
      </w:r>
      <w:r w:rsidR="00B752B0" w:rsidRPr="00325BE2">
        <w:t xml:space="preserve"> the PAD (</w:t>
      </w:r>
      <w:r w:rsidRPr="00325BE2">
        <w:t xml:space="preserve">Pilot or </w:t>
      </w:r>
      <w:r w:rsidR="009C7EFD" w:rsidRPr="00325BE2">
        <w:t xml:space="preserve">Phase 2 </w:t>
      </w:r>
      <w:r w:rsidRPr="00325BE2">
        <w:t>RCT)</w:t>
      </w:r>
      <w:r w:rsidR="0059482F" w:rsidRPr="00325BE2">
        <w:t>;</w:t>
      </w:r>
      <w:r w:rsidR="00B95602" w:rsidRPr="00325BE2">
        <w:t xml:space="preserve"> however</w:t>
      </w:r>
      <w:r w:rsidR="00505927" w:rsidRPr="00325BE2">
        <w:t>,</w:t>
      </w:r>
      <w:r w:rsidR="00B95602" w:rsidRPr="00325BE2">
        <w:t xml:space="preserve"> they are visible in the most recent iteration of the program, the </w:t>
      </w:r>
      <w:r w:rsidR="00282C65" w:rsidRPr="00325BE2">
        <w:t>PbR</w:t>
      </w:r>
      <w:r w:rsidR="00B95602" w:rsidRPr="00325BE2">
        <w:t xml:space="preserve">, as the </w:t>
      </w:r>
      <w:r w:rsidR="00282C65" w:rsidRPr="00325BE2">
        <w:t>PbR</w:t>
      </w:r>
      <w:r w:rsidR="00B95602" w:rsidRPr="00325BE2">
        <w:t xml:space="preserve"> has </w:t>
      </w:r>
      <w:r w:rsidR="00BE69A3" w:rsidRPr="00325BE2">
        <w:t xml:space="preserve">been able to build </w:t>
      </w:r>
      <w:r w:rsidR="002B10ED" w:rsidRPr="00325BE2">
        <w:t>on the learning</w:t>
      </w:r>
      <w:r w:rsidR="0067058D" w:rsidRPr="00325BE2">
        <w:t>s</w:t>
      </w:r>
      <w:r w:rsidR="002B10ED" w:rsidRPr="00325BE2">
        <w:t xml:space="preserve"> of the J2SI PAD and </w:t>
      </w:r>
      <w:r w:rsidR="00BE69A3" w:rsidRPr="00325BE2">
        <w:t>retain many of the</w:t>
      </w:r>
      <w:r w:rsidR="002B10ED" w:rsidRPr="00325BE2">
        <w:t xml:space="preserve"> value adding </w:t>
      </w:r>
      <w:r w:rsidR="004B5CC8" w:rsidRPr="00325BE2">
        <w:t>elements</w:t>
      </w:r>
      <w:r w:rsidR="002B10ED" w:rsidRPr="00325BE2">
        <w:t xml:space="preserve">. </w:t>
      </w:r>
      <w:r w:rsidR="00B306E2" w:rsidRPr="00325BE2">
        <w:t>Each finding is explored in more detail below.</w:t>
      </w:r>
    </w:p>
    <w:p w14:paraId="42560DF5" w14:textId="6863D7AF" w:rsidR="00653082" w:rsidRPr="00CB354B" w:rsidRDefault="00405397" w:rsidP="007A2CBF">
      <w:pPr>
        <w:pStyle w:val="Heading3"/>
      </w:pPr>
      <w:bookmarkStart w:id="57" w:name="_Ref150182062"/>
      <w:bookmarkStart w:id="58" w:name="_Ref150416655"/>
      <w:r>
        <w:t>The</w:t>
      </w:r>
      <w:r w:rsidR="00C07AE5" w:rsidRPr="00CB354B">
        <w:t xml:space="preserve"> </w:t>
      </w:r>
      <w:r w:rsidR="00801C68" w:rsidRPr="00CB354B">
        <w:t>PAD</w:t>
      </w:r>
      <w:r w:rsidR="00C07AE5" w:rsidRPr="00CB354B">
        <w:t xml:space="preserve"> supported the achievement of client</w:t>
      </w:r>
      <w:r w:rsidR="00794D61" w:rsidRPr="00CB354B">
        <w:t xml:space="preserve"> </w:t>
      </w:r>
      <w:r w:rsidR="00C07AE5" w:rsidRPr="00CB354B">
        <w:t>outcomes</w:t>
      </w:r>
      <w:bookmarkEnd w:id="57"/>
      <w:bookmarkEnd w:id="58"/>
    </w:p>
    <w:tbl>
      <w:tblPr>
        <w:tblStyle w:val="KPMGTable"/>
        <w:tblW w:w="10111" w:type="dxa"/>
        <w:tblLook w:val="06A0" w:firstRow="1" w:lastRow="0" w:firstColumn="1" w:lastColumn="0" w:noHBand="1" w:noVBand="1"/>
      </w:tblPr>
      <w:tblGrid>
        <w:gridCol w:w="3261"/>
        <w:gridCol w:w="6850"/>
      </w:tblGrid>
      <w:tr w:rsidR="00430888" w:rsidRPr="006E2084" w14:paraId="7539D54B" w14:textId="77777777" w:rsidTr="00632D10">
        <w:trPr>
          <w:cnfStyle w:val="100000000000" w:firstRow="1" w:lastRow="0" w:firstColumn="0" w:lastColumn="0" w:oddVBand="0" w:evenVBand="0" w:oddHBand="0" w:evenHBand="0" w:firstRowFirstColumn="0" w:firstRowLastColumn="0" w:lastRowFirstColumn="0" w:lastRowLastColumn="0"/>
          <w:trHeight w:val="1561"/>
        </w:trPr>
        <w:tc>
          <w:tcPr>
            <w:cnfStyle w:val="001000000000" w:firstRow="0" w:lastRow="0" w:firstColumn="1" w:lastColumn="0" w:oddVBand="0" w:evenVBand="0" w:oddHBand="0" w:evenHBand="0" w:firstRowFirstColumn="0" w:firstRowLastColumn="0" w:lastRowFirstColumn="0" w:lastRowLastColumn="0"/>
            <w:tcW w:w="3261" w:type="dxa"/>
            <w:shd w:val="clear" w:color="auto" w:fill="F2F2F2" w:themeFill="background1" w:themeFillShade="F2"/>
            <w:vAlign w:val="center"/>
            <w:hideMark/>
          </w:tcPr>
          <w:p w14:paraId="437D9FBD" w14:textId="75E287B5" w:rsidR="00430888" w:rsidRPr="0009501D" w:rsidRDefault="00430888" w:rsidP="00F2085E">
            <w:pPr>
              <w:pStyle w:val="TableTextBLUE"/>
            </w:pPr>
            <w:r w:rsidRPr="0009501D">
              <w:t xml:space="preserve">What were the outcomes of </w:t>
            </w:r>
            <w:r w:rsidR="00FA053C">
              <w:t xml:space="preserve">the </w:t>
            </w:r>
            <w:r w:rsidRPr="0009501D">
              <w:t xml:space="preserve">J2SI </w:t>
            </w:r>
            <w:r w:rsidR="00493D37" w:rsidRPr="0009501D">
              <w:t>PAD</w:t>
            </w:r>
            <w:r w:rsidRPr="0009501D">
              <w:t xml:space="preserve"> in light of its structure as a SII funding mechanism? </w:t>
            </w:r>
          </w:p>
        </w:tc>
        <w:tc>
          <w:tcPr>
            <w:tcW w:w="6850" w:type="dxa"/>
            <w:shd w:val="clear" w:color="auto" w:fill="auto"/>
            <w:vAlign w:val="center"/>
          </w:tcPr>
          <w:p w14:paraId="798BC1B1" w14:textId="77777777" w:rsidR="00782A8B" w:rsidRPr="0009501D" w:rsidRDefault="00782A8B" w:rsidP="00F2085E">
            <w:pPr>
              <w:pStyle w:val="TableTextBLUE"/>
              <w:cnfStyle w:val="100000000000" w:firstRow="1" w:lastRow="0" w:firstColumn="0" w:lastColumn="0" w:oddVBand="0" w:evenVBand="0" w:oddHBand="0" w:evenHBand="0" w:firstRowFirstColumn="0" w:firstRowLastColumn="0" w:lastRowFirstColumn="0" w:lastRowLastColumn="0"/>
            </w:pPr>
            <w:r w:rsidRPr="0009501D">
              <w:t>The PAD supported the achievement of J2SI client outcomes, through:</w:t>
            </w:r>
          </w:p>
          <w:p w14:paraId="019291F9" w14:textId="77777777" w:rsidR="00782A8B" w:rsidRPr="00F2085E" w:rsidRDefault="00782A8B" w:rsidP="00F2085E">
            <w:pPr>
              <w:pStyle w:val="Tablebullet1BLUE"/>
              <w:cnfStyle w:val="100000000000" w:firstRow="1" w:lastRow="0" w:firstColumn="0" w:lastColumn="0" w:oddVBand="0" w:evenVBand="0" w:oddHBand="0" w:evenHBand="0" w:firstRowFirstColumn="0" w:firstRowLastColumn="0" w:lastRowFirstColumn="0" w:lastRowLastColumn="0"/>
            </w:pPr>
            <w:r w:rsidRPr="00F2085E">
              <w:t>Head leasing</w:t>
            </w:r>
          </w:p>
          <w:p w14:paraId="6EF6BBDF" w14:textId="77777777" w:rsidR="00782A8B" w:rsidRPr="00F2085E" w:rsidRDefault="00782A8B" w:rsidP="00F2085E">
            <w:pPr>
              <w:pStyle w:val="Tablebullet1BLUE"/>
              <w:cnfStyle w:val="100000000000" w:firstRow="1" w:lastRow="0" w:firstColumn="0" w:lastColumn="0" w:oddVBand="0" w:evenVBand="0" w:oddHBand="0" w:evenHBand="0" w:firstRowFirstColumn="0" w:firstRowLastColumn="0" w:lastRowFirstColumn="0" w:lastRowLastColumn="0"/>
            </w:pPr>
            <w:r w:rsidRPr="00F2085E">
              <w:t>Financial penalties and priority access</w:t>
            </w:r>
          </w:p>
          <w:p w14:paraId="45778717" w14:textId="77777777" w:rsidR="00782A8B" w:rsidRPr="00F2085E" w:rsidRDefault="00782A8B" w:rsidP="00F2085E">
            <w:pPr>
              <w:pStyle w:val="Tablebullet1BLUE"/>
              <w:cnfStyle w:val="100000000000" w:firstRow="1" w:lastRow="0" w:firstColumn="0" w:lastColumn="0" w:oddVBand="0" w:evenVBand="0" w:oddHBand="0" w:evenHBand="0" w:firstRowFirstColumn="0" w:firstRowLastColumn="0" w:lastRowFirstColumn="0" w:lastRowLastColumn="0"/>
            </w:pPr>
            <w:r w:rsidRPr="00F2085E">
              <w:t>Cross-agency collaboration</w:t>
            </w:r>
          </w:p>
          <w:p w14:paraId="456600CF" w14:textId="1BADC4F0" w:rsidR="00430888" w:rsidRPr="004B73DC" w:rsidRDefault="00782A8B" w:rsidP="00F2085E">
            <w:pPr>
              <w:pStyle w:val="Tablebullet1BLUE"/>
              <w:cnfStyle w:val="100000000000" w:firstRow="1" w:lastRow="0" w:firstColumn="0" w:lastColumn="0" w:oddVBand="0" w:evenVBand="0" w:oddHBand="0" w:evenHBand="0" w:firstRowFirstColumn="0" w:firstRowLastColumn="0" w:lastRowFirstColumn="0" w:lastRowLastColumn="0"/>
            </w:pPr>
            <w:r w:rsidRPr="00F2085E">
              <w:t>Payable outcomes</w:t>
            </w:r>
            <w:r w:rsidR="006966AF" w:rsidRPr="00F2085E">
              <w:t>.</w:t>
            </w:r>
          </w:p>
        </w:tc>
      </w:tr>
      <w:tr w:rsidR="00430888" w:rsidRPr="006E2084" w14:paraId="15E30DE5" w14:textId="77777777" w:rsidTr="00632D10">
        <w:trPr>
          <w:trHeight w:val="1407"/>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34A347F1" w14:textId="77777777" w:rsidR="00430888" w:rsidRPr="0009501D" w:rsidRDefault="00430888" w:rsidP="00455692">
            <w:pPr>
              <w:pStyle w:val="Tabletext"/>
              <w:rPr>
                <w:szCs w:val="18"/>
              </w:rPr>
            </w:pPr>
            <w:r w:rsidRPr="0009501D">
              <w:rPr>
                <w:szCs w:val="18"/>
              </w:rPr>
              <w:t>Were the outcomes the same as when the program was implemented differently?</w:t>
            </w:r>
          </w:p>
        </w:tc>
        <w:tc>
          <w:tcPr>
            <w:tcW w:w="6850" w:type="dxa"/>
            <w:vAlign w:val="center"/>
          </w:tcPr>
          <w:p w14:paraId="7C81FF30" w14:textId="1AEE44ED" w:rsidR="000C7157" w:rsidRPr="0009501D" w:rsidRDefault="000C7157" w:rsidP="00455692">
            <w:pPr>
              <w:pStyle w:val="Tabletext"/>
              <w:cnfStyle w:val="000000000000" w:firstRow="0" w:lastRow="0" w:firstColumn="0" w:lastColumn="0" w:oddVBand="0" w:evenVBand="0" w:oddHBand="0" w:evenHBand="0" w:firstRowFirstColumn="0" w:firstRowLastColumn="0" w:lastRowFirstColumn="0" w:lastRowLastColumn="0"/>
              <w:rPr>
                <w:szCs w:val="18"/>
              </w:rPr>
            </w:pPr>
            <w:r w:rsidRPr="0009501D">
              <w:rPr>
                <w:szCs w:val="18"/>
              </w:rPr>
              <w:t>The J2SI PAD</w:t>
            </w:r>
            <w:r w:rsidR="008140BF">
              <w:rPr>
                <w:szCs w:val="18"/>
              </w:rPr>
              <w:t>,</w:t>
            </w:r>
            <w:r w:rsidRPr="0009501D">
              <w:rPr>
                <w:szCs w:val="18"/>
              </w:rPr>
              <w:t xml:space="preserve"> overall</w:t>
            </w:r>
            <w:r w:rsidR="008140BF">
              <w:rPr>
                <w:szCs w:val="18"/>
              </w:rPr>
              <w:t>,</w:t>
            </w:r>
            <w:r w:rsidRPr="0009501D">
              <w:rPr>
                <w:szCs w:val="18"/>
              </w:rPr>
              <w:t xml:space="preserve"> improved client outcomes to a greater extent than the Pilot and </w:t>
            </w:r>
            <w:r w:rsidR="009C7EFD" w:rsidRPr="0009501D">
              <w:rPr>
                <w:szCs w:val="18"/>
              </w:rPr>
              <w:t xml:space="preserve">Phase 2 </w:t>
            </w:r>
            <w:r w:rsidRPr="0009501D">
              <w:rPr>
                <w:szCs w:val="18"/>
              </w:rPr>
              <w:t xml:space="preserve">RCT iterations. </w:t>
            </w:r>
            <w:r w:rsidR="00282C65" w:rsidRPr="0009501D">
              <w:rPr>
                <w:szCs w:val="18"/>
              </w:rPr>
              <w:t>PbR</w:t>
            </w:r>
            <w:r w:rsidRPr="0009501D">
              <w:rPr>
                <w:szCs w:val="18"/>
              </w:rPr>
              <w:t xml:space="preserve"> client outcomes have not yet been </w:t>
            </w:r>
            <w:r w:rsidR="00646E2C" w:rsidRPr="0009501D">
              <w:rPr>
                <w:szCs w:val="18"/>
              </w:rPr>
              <w:t>evaluated due to the early stage of the program</w:t>
            </w:r>
            <w:r w:rsidRPr="0009501D">
              <w:rPr>
                <w:szCs w:val="18"/>
              </w:rPr>
              <w:t xml:space="preserve">. </w:t>
            </w:r>
          </w:p>
          <w:p w14:paraId="770BAC6F" w14:textId="233DC26E" w:rsidR="00430888" w:rsidRPr="0009501D" w:rsidRDefault="000C7157" w:rsidP="00455692">
            <w:pPr>
              <w:pStyle w:val="Tabletext"/>
              <w:cnfStyle w:val="000000000000" w:firstRow="0" w:lastRow="0" w:firstColumn="0" w:lastColumn="0" w:oddVBand="0" w:evenVBand="0" w:oddHBand="0" w:evenHBand="0" w:firstRowFirstColumn="0" w:firstRowLastColumn="0" w:lastRowFirstColumn="0" w:lastRowLastColumn="0"/>
              <w:rPr>
                <w:szCs w:val="18"/>
              </w:rPr>
            </w:pPr>
            <w:r w:rsidRPr="0009501D">
              <w:rPr>
                <w:szCs w:val="18"/>
              </w:rPr>
              <w:t xml:space="preserve">The features of the J2SI PAD considered to have supported the outcomes (head leasing, financial penalties, cross-agency collaboration and payable outcomes) were introduced by the PAD and have gone on to be included in the </w:t>
            </w:r>
            <w:r w:rsidR="00282C65" w:rsidRPr="0009501D">
              <w:rPr>
                <w:szCs w:val="18"/>
              </w:rPr>
              <w:t>PbR</w:t>
            </w:r>
            <w:r w:rsidRPr="0009501D">
              <w:rPr>
                <w:szCs w:val="18"/>
              </w:rPr>
              <w:t>.</w:t>
            </w:r>
          </w:p>
        </w:tc>
      </w:tr>
      <w:tr w:rsidR="00430888" w:rsidRPr="006E2084" w14:paraId="603A1846" w14:textId="77777777" w:rsidTr="00632D10">
        <w:trPr>
          <w:trHeight w:val="1343"/>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7B5D3C03" w14:textId="77777777" w:rsidR="00430888" w:rsidRPr="0009501D" w:rsidRDefault="00430888" w:rsidP="00455692">
            <w:pPr>
              <w:pStyle w:val="Tabletext"/>
              <w:rPr>
                <w:szCs w:val="18"/>
              </w:rPr>
            </w:pPr>
            <w:r w:rsidRPr="0009501D">
              <w:rPr>
                <w:szCs w:val="18"/>
              </w:rPr>
              <w:t xml:space="preserve">Can the outcomes be attributed to the program as a SII? </w:t>
            </w:r>
          </w:p>
        </w:tc>
        <w:tc>
          <w:tcPr>
            <w:tcW w:w="6850" w:type="dxa"/>
            <w:vAlign w:val="center"/>
          </w:tcPr>
          <w:p w14:paraId="42D4291D" w14:textId="6ECCBF5D" w:rsidR="00430888" w:rsidRPr="0009501D" w:rsidRDefault="000C7157" w:rsidP="00455692">
            <w:pPr>
              <w:pStyle w:val="Tabletext"/>
              <w:cnfStyle w:val="000000000000" w:firstRow="0" w:lastRow="0" w:firstColumn="0" w:lastColumn="0" w:oddVBand="0" w:evenVBand="0" w:oddHBand="0" w:evenHBand="0" w:firstRowFirstColumn="0" w:firstRowLastColumn="0" w:lastRowFirstColumn="0" w:lastRowLastColumn="0"/>
              <w:rPr>
                <w:szCs w:val="18"/>
              </w:rPr>
            </w:pPr>
            <w:r w:rsidRPr="0009501D">
              <w:rPr>
                <w:szCs w:val="18"/>
              </w:rPr>
              <w:t xml:space="preserve">Improved client outcomes cannot solely be attributed to the PAD and its funding mechanism, and are largely considered to flow from the program itself. However, the features of the J2SI PAD that were considered to have supported the outcomes (head leasing, financial penalties, cross-agency collaboration and payable outcomes) can be attributed </w:t>
            </w:r>
            <w:r w:rsidR="00735F97">
              <w:rPr>
                <w:szCs w:val="18"/>
              </w:rPr>
              <w:t xml:space="preserve">to, </w:t>
            </w:r>
            <w:r w:rsidRPr="0009501D">
              <w:rPr>
                <w:szCs w:val="18"/>
              </w:rPr>
              <w:t>and have been included in</w:t>
            </w:r>
            <w:r w:rsidR="00735F97">
              <w:rPr>
                <w:szCs w:val="18"/>
              </w:rPr>
              <w:t>,</w:t>
            </w:r>
            <w:r w:rsidRPr="0009501D">
              <w:rPr>
                <w:szCs w:val="18"/>
              </w:rPr>
              <w:t xml:space="preserve"> the </w:t>
            </w:r>
            <w:r w:rsidR="00282C65" w:rsidRPr="0009501D">
              <w:rPr>
                <w:szCs w:val="18"/>
              </w:rPr>
              <w:t>PbR</w:t>
            </w:r>
            <w:r w:rsidRPr="0009501D">
              <w:rPr>
                <w:szCs w:val="18"/>
              </w:rPr>
              <w:t>.</w:t>
            </w:r>
          </w:p>
        </w:tc>
      </w:tr>
      <w:tr w:rsidR="00430888" w:rsidRPr="006E2084" w14:paraId="7AB31C7F" w14:textId="77777777" w:rsidTr="00632D10">
        <w:trPr>
          <w:trHeight w:val="838"/>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429FBDF0" w14:textId="60B673EB" w:rsidR="00430888" w:rsidRPr="0009501D" w:rsidRDefault="00430888" w:rsidP="00455692">
            <w:pPr>
              <w:pStyle w:val="Tabletext"/>
              <w:rPr>
                <w:i/>
                <w:szCs w:val="18"/>
              </w:rPr>
            </w:pPr>
            <w:r w:rsidRPr="0009501D">
              <w:rPr>
                <w:i/>
                <w:szCs w:val="18"/>
              </w:rPr>
              <w:t xml:space="preserve">Has there been a change in findings from </w:t>
            </w:r>
            <w:r w:rsidR="00121856" w:rsidRPr="0009501D">
              <w:rPr>
                <w:i/>
                <w:szCs w:val="18"/>
              </w:rPr>
              <w:t>the</w:t>
            </w:r>
            <w:r w:rsidRPr="0009501D">
              <w:rPr>
                <w:i/>
                <w:szCs w:val="18"/>
              </w:rPr>
              <w:t xml:space="preserve"> interim evaluation?</w:t>
            </w:r>
          </w:p>
        </w:tc>
        <w:tc>
          <w:tcPr>
            <w:tcW w:w="6850" w:type="dxa"/>
            <w:vAlign w:val="center"/>
          </w:tcPr>
          <w:p w14:paraId="054672EA" w14:textId="77777777" w:rsidR="00430888" w:rsidRPr="0009501D" w:rsidRDefault="00430888" w:rsidP="00455692">
            <w:pPr>
              <w:pStyle w:val="Tabletext"/>
              <w:cnfStyle w:val="000000000000" w:firstRow="0" w:lastRow="0" w:firstColumn="0" w:lastColumn="0" w:oddVBand="0" w:evenVBand="0" w:oddHBand="0" w:evenHBand="0" w:firstRowFirstColumn="0" w:firstRowLastColumn="0" w:lastRowFirstColumn="0" w:lastRowLastColumn="0"/>
              <w:rPr>
                <w:i/>
                <w:szCs w:val="18"/>
              </w:rPr>
            </w:pPr>
            <w:r w:rsidRPr="0009501D">
              <w:rPr>
                <w:i/>
                <w:szCs w:val="18"/>
              </w:rPr>
              <w:t xml:space="preserve">Key drivers of improved outcomes are consistent with findings in the interim evaluation. </w:t>
            </w:r>
          </w:p>
        </w:tc>
      </w:tr>
    </w:tbl>
    <w:p w14:paraId="5D1B9BAC" w14:textId="2207274A" w:rsidR="00526E45" w:rsidRPr="00325BE2" w:rsidRDefault="00992B7A" w:rsidP="00325BE2">
      <w:pPr>
        <w:pStyle w:val="BodyText"/>
      </w:pPr>
      <w:r w:rsidRPr="00325BE2">
        <w:t xml:space="preserve">The PAD </w:t>
      </w:r>
      <w:r w:rsidR="000C7157" w:rsidRPr="00325BE2">
        <w:t>supported</w:t>
      </w:r>
      <w:r w:rsidR="00835851" w:rsidRPr="00325BE2">
        <w:t xml:space="preserve"> an improvement in J2SI PAD client outcomes in areas of</w:t>
      </w:r>
      <w:r w:rsidR="00843C97" w:rsidRPr="00325BE2">
        <w:t xml:space="preserve"> stable housing, health and wellbeing, independence, economic participation</w:t>
      </w:r>
      <w:r w:rsidR="004B6D3A" w:rsidRPr="00325BE2">
        <w:t xml:space="preserve"> and social inclusion</w:t>
      </w:r>
      <w:r w:rsidR="00B97A31" w:rsidRPr="00325BE2">
        <w:t>. T</w:t>
      </w:r>
      <w:r w:rsidR="004B6D3A" w:rsidRPr="00325BE2">
        <w:t xml:space="preserve">here is evidence to suggest </w:t>
      </w:r>
      <w:r w:rsidR="00735F97" w:rsidRPr="00325BE2">
        <w:t xml:space="preserve">that </w:t>
      </w:r>
      <w:r w:rsidR="004B6D3A" w:rsidRPr="00325BE2">
        <w:t xml:space="preserve">achievement of these </w:t>
      </w:r>
      <w:r w:rsidR="004B6D3A" w:rsidRPr="00325BE2">
        <w:lastRenderedPageBreak/>
        <w:t xml:space="preserve">outcomes </w:t>
      </w:r>
      <w:r w:rsidR="0099750D" w:rsidRPr="00325BE2">
        <w:t xml:space="preserve">was greater </w:t>
      </w:r>
      <w:r w:rsidR="004B6D3A" w:rsidRPr="00325BE2">
        <w:t>compared to</w:t>
      </w:r>
      <w:r w:rsidR="0099750D" w:rsidRPr="00325BE2">
        <w:t xml:space="preserve"> previous </w:t>
      </w:r>
      <w:r w:rsidR="004B6D3A" w:rsidRPr="00325BE2">
        <w:t>iterations of the program</w:t>
      </w:r>
      <w:r w:rsidR="00287C1A" w:rsidRPr="00325BE2">
        <w:t xml:space="preserve"> (when comparing payable outcome</w:t>
      </w:r>
      <w:r w:rsidR="00735F97" w:rsidRPr="00325BE2">
        <w:t>s</w:t>
      </w:r>
      <w:r w:rsidR="000C7157" w:rsidRPr="00325BE2">
        <w:t xml:space="preserve"> between the PAD and </w:t>
      </w:r>
      <w:r w:rsidR="009C7EFD" w:rsidRPr="00325BE2">
        <w:t xml:space="preserve">Phase 2 </w:t>
      </w:r>
      <w:r w:rsidR="000C7157" w:rsidRPr="00325BE2">
        <w:t>RCT</w:t>
      </w:r>
      <w:r w:rsidR="00287C1A" w:rsidRPr="00325BE2">
        <w:t>)</w:t>
      </w:r>
      <w:r w:rsidR="0099750D" w:rsidRPr="00325BE2">
        <w:t>.</w:t>
      </w:r>
      <w:r w:rsidR="00272B50" w:rsidRPr="00325BE2">
        <w:t>12F</w:t>
      </w:r>
      <w:r w:rsidR="00125CA2" w:rsidRPr="00325BE2">
        <w:t>12F</w:t>
      </w:r>
    </w:p>
    <w:p w14:paraId="2CCC7A51" w14:textId="746D8C12" w:rsidR="00A47B8C" w:rsidRPr="00325BE2" w:rsidRDefault="00F66392" w:rsidP="00325BE2">
      <w:pPr>
        <w:pStyle w:val="BodyText"/>
      </w:pPr>
      <w:r w:rsidRPr="00325BE2">
        <w:t xml:space="preserve">Improvement in </w:t>
      </w:r>
      <w:r w:rsidR="00FC40A6" w:rsidRPr="00325BE2">
        <w:t>J2SI PAD client</w:t>
      </w:r>
      <w:r w:rsidRPr="00325BE2">
        <w:t xml:space="preserve"> outcomes </w:t>
      </w:r>
      <w:r w:rsidR="006733F4" w:rsidRPr="00325BE2">
        <w:t>from baseline</w:t>
      </w:r>
      <w:r w:rsidRPr="00325BE2">
        <w:t xml:space="preserve"> </w:t>
      </w:r>
      <w:r w:rsidR="007A7FFC" w:rsidRPr="00325BE2">
        <w:t>is</w:t>
      </w:r>
      <w:r w:rsidR="00801C68" w:rsidRPr="00325BE2">
        <w:t xml:space="preserve"> demonstrated when considering</w:t>
      </w:r>
      <w:r w:rsidR="00FC296F" w:rsidRPr="00325BE2">
        <w:t xml:space="preserve"> </w:t>
      </w:r>
      <w:r w:rsidR="004F3F89" w:rsidRPr="00325BE2">
        <w:t xml:space="preserve">the measurement of the two payable outcomes, </w:t>
      </w:r>
      <w:r w:rsidR="001F7294" w:rsidRPr="00325BE2">
        <w:t>client self-reported outcomes</w:t>
      </w:r>
      <w:r w:rsidR="00D11FD3" w:rsidRPr="00325BE2">
        <w:t xml:space="preserve"> via </w:t>
      </w:r>
      <w:r w:rsidR="00ED1DE6" w:rsidRPr="00325BE2">
        <w:t xml:space="preserve">the </w:t>
      </w:r>
      <w:r w:rsidR="0008214B" w:rsidRPr="00325BE2">
        <w:t>TICSPOT survey</w:t>
      </w:r>
      <w:r w:rsidR="001F7294" w:rsidRPr="00325BE2">
        <w:t xml:space="preserve">, and the </w:t>
      </w:r>
      <w:r w:rsidR="00493D37" w:rsidRPr="00325BE2">
        <w:t xml:space="preserve">observational </w:t>
      </w:r>
      <w:r w:rsidR="001F7294" w:rsidRPr="00325BE2">
        <w:t xml:space="preserve">analysis of </w:t>
      </w:r>
      <w:r w:rsidR="00493D37" w:rsidRPr="00325BE2">
        <w:t>VSIIDR data</w:t>
      </w:r>
      <w:r w:rsidR="001F7294" w:rsidRPr="00325BE2">
        <w:t>.</w:t>
      </w:r>
      <w:r w:rsidR="004F3F89" w:rsidRPr="00325BE2">
        <w:t xml:space="preserve"> </w:t>
      </w:r>
      <w:r w:rsidR="00A47B8C" w:rsidRPr="00325BE2">
        <w:t xml:space="preserve">Each of these data sources provides a different view of client outcomes that, when </w:t>
      </w:r>
      <w:r w:rsidR="00A11986" w:rsidRPr="00325BE2">
        <w:t>considered together</w:t>
      </w:r>
      <w:r w:rsidR="00A47B8C" w:rsidRPr="00325BE2">
        <w:t xml:space="preserve">, </w:t>
      </w:r>
      <w:r w:rsidR="00735F97" w:rsidRPr="00325BE2">
        <w:t>provides</w:t>
      </w:r>
      <w:r w:rsidR="00A47B8C" w:rsidRPr="00325BE2">
        <w:t xml:space="preserve"> deeper insight. </w:t>
      </w:r>
      <w:r w:rsidR="005608FE" w:rsidRPr="00325BE2">
        <w:t xml:space="preserve">Direct comparisons between these different data sources should consider the different contexts </w:t>
      </w:r>
      <w:r w:rsidR="00E01757" w:rsidRPr="00325BE2">
        <w:t>in</w:t>
      </w:r>
      <w:r w:rsidR="009E5F3E" w:rsidRPr="00325BE2">
        <w:t xml:space="preserve"> which the data was collected</w:t>
      </w:r>
      <w:r w:rsidR="00E01757" w:rsidRPr="00325BE2">
        <w:t xml:space="preserve"> and the purpose it serves</w:t>
      </w:r>
      <w:r w:rsidR="00B77C78" w:rsidRPr="00325BE2">
        <w:t xml:space="preserve"> (</w:t>
      </w:r>
      <w:r w:rsidR="00121856" w:rsidRPr="00325BE2">
        <w:t>p</w:t>
      </w:r>
      <w:r w:rsidR="00B77C78" w:rsidRPr="00325BE2">
        <w:t xml:space="preserve">age </w:t>
      </w:r>
      <w:r>
        <w:fldChar w:fldCharType="begin"/>
      </w:r>
      <w:r>
        <w:instrText xml:space="preserve"> PAGEREF _Ref150437038 </w:instrText>
      </w:r>
      <w:r>
        <w:fldChar w:fldCharType="separate"/>
      </w:r>
      <w:r w:rsidR="005B05CA" w:rsidRPr="00325BE2">
        <w:t>12</w:t>
      </w:r>
      <w:r>
        <w:fldChar w:fldCharType="end"/>
      </w:r>
      <w:r w:rsidR="00B77C78" w:rsidRPr="00325BE2">
        <w:t xml:space="preserve">). </w:t>
      </w:r>
    </w:p>
    <w:p w14:paraId="777AC23E" w14:textId="40521121" w:rsidR="00801C68" w:rsidRPr="00325BE2" w:rsidRDefault="0070605A" w:rsidP="00325BE2">
      <w:pPr>
        <w:pStyle w:val="BodyText"/>
      </w:pPr>
      <w:r w:rsidRPr="00325BE2">
        <w:t>A summary of improved</w:t>
      </w:r>
      <w:r w:rsidR="001F7294" w:rsidRPr="00325BE2">
        <w:t xml:space="preserve"> client</w:t>
      </w:r>
      <w:r w:rsidRPr="00325BE2">
        <w:t xml:space="preserve"> outcomes is provided below. </w:t>
      </w:r>
      <w:r w:rsidR="00E032B0" w:rsidRPr="00325BE2">
        <w:t xml:space="preserve">This section </w:t>
      </w:r>
      <w:r w:rsidR="0017174B" w:rsidRPr="00325BE2">
        <w:t xml:space="preserve">then </w:t>
      </w:r>
      <w:r w:rsidR="00E032B0" w:rsidRPr="00325BE2">
        <w:t xml:space="preserve">goes on to discuss </w:t>
      </w:r>
      <w:r w:rsidR="0017174B" w:rsidRPr="00325BE2">
        <w:t xml:space="preserve">how the </w:t>
      </w:r>
      <w:r w:rsidR="000C7157" w:rsidRPr="00325BE2">
        <w:t>SII</w:t>
      </w:r>
      <w:r w:rsidR="0017174B" w:rsidRPr="00325BE2">
        <w:t xml:space="preserve"> mechanism supported the achievement of client outcomes.</w:t>
      </w:r>
      <w:r w:rsidR="00E032B0" w:rsidRPr="00325BE2">
        <w:t xml:space="preserve"> </w:t>
      </w: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AB7357" w14:paraId="298F0E67" w14:textId="77777777" w:rsidTr="00AB7357">
        <w:trPr>
          <w:trHeight w:val="429"/>
        </w:trPr>
        <w:tc>
          <w:tcPr>
            <w:tcW w:w="9923" w:type="dxa"/>
          </w:tcPr>
          <w:p w14:paraId="5283E904" w14:textId="0919A4F9" w:rsidR="00AB7357" w:rsidRPr="00AB7357" w:rsidRDefault="00986492" w:rsidP="00AB7357">
            <w:pPr>
              <w:pStyle w:val="BodyText"/>
              <w:spacing w:before="0" w:after="0"/>
              <w:ind w:left="-113"/>
              <w:jc w:val="left"/>
              <w:rPr>
                <w:b/>
                <w:bCs/>
                <w:i w:val="0"/>
                <w:iCs/>
              </w:rPr>
            </w:pPr>
            <w:bookmarkStart w:id="59" w:name="_Hlk149040136"/>
            <w:r>
              <w:rPr>
                <w:b/>
                <w:bCs/>
                <w:i w:val="0"/>
                <w:iCs/>
              </w:rPr>
              <w:t>Stable h</w:t>
            </w:r>
            <w:r w:rsidR="00AB7357" w:rsidRPr="00AB7357">
              <w:rPr>
                <w:b/>
                <w:bCs/>
                <w:i w:val="0"/>
                <w:iCs/>
              </w:rPr>
              <w:t>ousing</w:t>
            </w:r>
          </w:p>
        </w:tc>
      </w:tr>
      <w:tr w:rsidR="00683EAF" w:rsidRPr="00CD1B11" w14:paraId="4DEB96C7" w14:textId="77777777" w:rsidTr="005008AD">
        <w:trPr>
          <w:trHeight w:val="2160"/>
        </w:trPr>
        <w:tc>
          <w:tcPr>
            <w:tcW w:w="10204" w:type="dxa"/>
            <w:tcBorders>
              <w:top w:val="single" w:sz="12" w:space="0" w:color="1E49E2" w:themeColor="accent1"/>
              <w:bottom w:val="nil"/>
            </w:tcBorders>
            <w:shd w:val="clear" w:color="auto" w:fill="CAF1FF" w:themeFill="accent2" w:themeFillTint="33"/>
          </w:tcPr>
          <w:p w14:paraId="7C343DC0" w14:textId="77777777" w:rsidR="007357A6" w:rsidRPr="00A20A19" w:rsidRDefault="00683EAF" w:rsidP="00A20A19">
            <w:pPr>
              <w:pStyle w:val="Bullet1stlevel"/>
              <w:numPr>
                <w:ilvl w:val="0"/>
                <w:numId w:val="0"/>
              </w:numPr>
              <w:jc w:val="left"/>
              <w:rPr>
                <w:i w:val="0"/>
                <w:iCs/>
              </w:rPr>
            </w:pPr>
            <w:r w:rsidRPr="00A20A19">
              <w:rPr>
                <w:i w:val="0"/>
                <w:iCs/>
              </w:rPr>
              <w:t xml:space="preserve">Key findings: </w:t>
            </w:r>
          </w:p>
          <w:p w14:paraId="6250DF0C" w14:textId="33092309" w:rsidR="00504E94" w:rsidRPr="00A20A19" w:rsidRDefault="00504E94" w:rsidP="00A20A19">
            <w:pPr>
              <w:numPr>
                <w:ilvl w:val="0"/>
                <w:numId w:val="15"/>
              </w:numPr>
              <w:spacing w:before="0" w:after="0"/>
              <w:ind w:right="0"/>
              <w:jc w:val="left"/>
              <w:rPr>
                <w:rFonts w:cs="@Batang"/>
                <w:b/>
                <w:bCs/>
                <w:i w:val="0"/>
                <w:iCs/>
              </w:rPr>
            </w:pPr>
            <w:r w:rsidRPr="00A20A19">
              <w:rPr>
                <w:rFonts w:cs="@Batang"/>
                <w:i w:val="0"/>
                <w:iCs/>
              </w:rPr>
              <w:t>The majority of J2SI PAD clients (average of 89.87</w:t>
            </w:r>
            <w:r w:rsidR="00524B4C" w:rsidRPr="00A20A19">
              <w:rPr>
                <w:rFonts w:cs="@Batang"/>
                <w:i w:val="0"/>
                <w:iCs/>
              </w:rPr>
              <w:t> per cent</w:t>
            </w:r>
            <w:r w:rsidRPr="00A20A19">
              <w:rPr>
                <w:rFonts w:cs="@Batang"/>
                <w:i w:val="0"/>
                <w:iCs/>
              </w:rPr>
              <w:t>)</w:t>
            </w:r>
            <w:r w:rsidRPr="00A20A19">
              <w:rPr>
                <w:rFonts w:ascii="ZWAdobeF" w:hAnsi="ZWAdobeF" w:cs="ZWAdobeF"/>
                <w:i w:val="0"/>
                <w:iCs/>
                <w:color w:val="auto"/>
                <w:sz w:val="2"/>
                <w:szCs w:val="2"/>
              </w:rPr>
              <w:t>4F4F</w:t>
            </w:r>
            <w:r w:rsidRPr="00A20A19">
              <w:rPr>
                <w:rFonts w:cs="@Batang"/>
                <w:i w:val="0"/>
                <w:iCs/>
                <w:vertAlign w:val="superscript"/>
              </w:rPr>
              <w:footnoteReference w:id="24"/>
            </w:r>
            <w:r w:rsidRPr="00A20A19">
              <w:rPr>
                <w:rFonts w:cs="@Batang"/>
                <w:i w:val="0"/>
                <w:iCs/>
              </w:rPr>
              <w:t xml:space="preserve"> were in stable housing at </w:t>
            </w:r>
            <w:r w:rsidR="007F5DC6" w:rsidRPr="00A20A19">
              <w:rPr>
                <w:rFonts w:cs="@Batang"/>
                <w:i w:val="0"/>
                <w:iCs/>
              </w:rPr>
              <w:t>the</w:t>
            </w:r>
            <w:r w:rsidRPr="00A20A19">
              <w:rPr>
                <w:rFonts w:cs="@Batang"/>
                <w:i w:val="0"/>
                <w:iCs/>
              </w:rPr>
              <w:t xml:space="preserve"> most recent measurement date, indicating that the program resulted in improved stable housing outcomes. </w:t>
            </w:r>
          </w:p>
          <w:p w14:paraId="620DFE8F" w14:textId="2D47995D" w:rsidR="00683EAF" w:rsidRPr="00E81969" w:rsidRDefault="00E61618" w:rsidP="00A20A19">
            <w:pPr>
              <w:pStyle w:val="Bullet1stlevel"/>
              <w:numPr>
                <w:ilvl w:val="0"/>
                <w:numId w:val="15"/>
              </w:numPr>
              <w:jc w:val="left"/>
              <w:rPr>
                <w:b/>
                <w:bCs/>
                <w:i w:val="0"/>
                <w:iCs/>
              </w:rPr>
            </w:pPr>
            <w:r w:rsidRPr="00A20A19">
              <w:rPr>
                <w:i w:val="0"/>
                <w:iCs/>
              </w:rPr>
              <w:t>In response to survey questions (scored between 1 and 5) relating to a client’s housing situation, the greatest improvement in survey score from program entry to exit related to the need for clients to manage housing related issues (+0.70)</w:t>
            </w:r>
            <w:r w:rsidRPr="00A20A19">
              <w:rPr>
                <w:rFonts w:ascii="ZWAdobeF" w:hAnsi="ZWAdobeF" w:cs="ZWAdobeF"/>
                <w:i w:val="0"/>
                <w:iCs/>
                <w:color w:val="auto"/>
                <w:sz w:val="2"/>
                <w:szCs w:val="2"/>
              </w:rPr>
              <w:t>5F5F</w:t>
            </w:r>
            <w:r w:rsidRPr="00A20A19">
              <w:rPr>
                <w:i w:val="0"/>
                <w:iCs/>
                <w:vertAlign w:val="superscript"/>
              </w:rPr>
              <w:footnoteReference w:id="25"/>
            </w:r>
            <w:r w:rsidRPr="00A20A19">
              <w:rPr>
                <w:i w:val="0"/>
                <w:iCs/>
              </w:rPr>
              <w:t xml:space="preserve"> followed by the extent to which the client’s housing situation was meeting their needs (+0.64).</w:t>
            </w:r>
          </w:p>
        </w:tc>
      </w:tr>
    </w:tbl>
    <w:bookmarkEnd w:id="59"/>
    <w:p w14:paraId="64499921" w14:textId="10DFAB98" w:rsidR="00AB7357" w:rsidRPr="005E303C" w:rsidRDefault="004D510B" w:rsidP="000E75B0">
      <w:pPr>
        <w:pStyle w:val="Bullet1stlevel"/>
        <w:numPr>
          <w:ilvl w:val="0"/>
          <w:numId w:val="0"/>
        </w:numPr>
        <w:spacing w:before="240"/>
      </w:pPr>
      <w:r w:rsidRPr="005E303C">
        <w:t>The</w:t>
      </w:r>
      <w:r w:rsidR="001C6708" w:rsidRPr="005E303C">
        <w:t xml:space="preserve"> majority of J2SI PAD clients were considered to be in stable housing at the </w:t>
      </w:r>
      <w:r w:rsidR="008C26FA">
        <w:t>most recent measurement date</w:t>
      </w:r>
      <w:r w:rsidR="000857EA" w:rsidRPr="005E303C">
        <w:t>, indicating that the program result</w:t>
      </w:r>
      <w:r w:rsidR="000C3B11" w:rsidRPr="005E303C">
        <w:t>ed</w:t>
      </w:r>
      <w:r w:rsidR="000857EA" w:rsidRPr="005E303C">
        <w:t xml:space="preserve"> in improved stable housing outcomes</w:t>
      </w:r>
      <w:r w:rsidR="002F4676" w:rsidRPr="005E303C">
        <w:t>. More specifically</w:t>
      </w:r>
      <w:r w:rsidR="00AB7357" w:rsidRPr="005E303C">
        <w:t>:</w:t>
      </w:r>
    </w:p>
    <w:p w14:paraId="5B0EDD64" w14:textId="7B97FB69" w:rsidR="00735AFE" w:rsidRPr="005E303C" w:rsidRDefault="005D44E7" w:rsidP="00BD3D9F">
      <w:pPr>
        <w:pStyle w:val="Bullet2ndlevel"/>
        <w:numPr>
          <w:ilvl w:val="0"/>
          <w:numId w:val="9"/>
        </w:numPr>
      </w:pPr>
      <w:r w:rsidRPr="005E303C">
        <w:t>92.45</w:t>
      </w:r>
      <w:r w:rsidR="00D431DA" w:rsidRPr="005E303C">
        <w:t xml:space="preserve"> per cent</w:t>
      </w:r>
      <w:r w:rsidR="00735AFE" w:rsidRPr="005E303C">
        <w:t xml:space="preserve"> </w:t>
      </w:r>
      <w:r w:rsidRPr="005E303C">
        <w:t xml:space="preserve">(n=53) </w:t>
      </w:r>
      <w:r w:rsidR="00735AFE" w:rsidRPr="005E303C">
        <w:t xml:space="preserve">of J2SI PAD </w:t>
      </w:r>
      <w:r w:rsidR="003A2EF6" w:rsidRPr="005E303C">
        <w:t xml:space="preserve">Cohort </w:t>
      </w:r>
      <w:r w:rsidR="0059674B" w:rsidRPr="005E303C">
        <w:t>3.</w:t>
      </w:r>
      <w:r w:rsidR="003A2EF6" w:rsidRPr="005E303C">
        <w:t xml:space="preserve">1 </w:t>
      </w:r>
      <w:r w:rsidR="00735AFE" w:rsidRPr="005E303C">
        <w:t>were in stable housing</w:t>
      </w:r>
      <w:r w:rsidRPr="005E303C">
        <w:t xml:space="preserve"> at the </w:t>
      </w:r>
      <w:r w:rsidR="002F4676" w:rsidRPr="005E303C">
        <w:t xml:space="preserve">final </w:t>
      </w:r>
      <w:r w:rsidRPr="005E303C">
        <w:t xml:space="preserve">48 month </w:t>
      </w:r>
      <w:r w:rsidR="003D2CE2" w:rsidRPr="005E303C">
        <w:t xml:space="preserve">payable outcomes </w:t>
      </w:r>
      <w:r w:rsidRPr="005E303C">
        <w:t xml:space="preserve">reporting period, </w:t>
      </w:r>
      <w:r w:rsidR="00735AFE" w:rsidRPr="005E303C">
        <w:t xml:space="preserve">representing an improvement of </w:t>
      </w:r>
      <w:r w:rsidRPr="005E303C">
        <w:t>39</w:t>
      </w:r>
      <w:r w:rsidR="00735AFE" w:rsidRPr="005E303C">
        <w:t>.</w:t>
      </w:r>
      <w:r w:rsidRPr="005E303C">
        <w:t>4</w:t>
      </w:r>
      <w:r w:rsidR="007A5877" w:rsidRPr="003C67D4">
        <w:t>2</w:t>
      </w:r>
      <w:r w:rsidR="00735AFE" w:rsidRPr="005E303C">
        <w:t xml:space="preserve"> </w:t>
      </w:r>
      <w:r w:rsidR="00D431DA" w:rsidRPr="005E303C">
        <w:t>per cent</w:t>
      </w:r>
      <w:r w:rsidR="00735AFE" w:rsidRPr="005E303C">
        <w:t xml:space="preserve"> on the control group</w:t>
      </w:r>
      <w:r w:rsidR="00963D02" w:rsidRPr="005E303C">
        <w:t>;</w:t>
      </w:r>
    </w:p>
    <w:p w14:paraId="427AB758" w14:textId="1795698E" w:rsidR="00735AFE" w:rsidRPr="005E303C" w:rsidRDefault="005D44E7" w:rsidP="00BD3D9F">
      <w:pPr>
        <w:pStyle w:val="Bullet2ndlevel"/>
        <w:numPr>
          <w:ilvl w:val="0"/>
          <w:numId w:val="9"/>
        </w:numPr>
      </w:pPr>
      <w:r w:rsidRPr="005E303C">
        <w:t>84.31</w:t>
      </w:r>
      <w:r w:rsidR="00D431DA" w:rsidRPr="005E303C">
        <w:t xml:space="preserve"> per cent</w:t>
      </w:r>
      <w:r w:rsidRPr="005E303C">
        <w:t xml:space="preserve"> (n=51) of J2SI PAD </w:t>
      </w:r>
      <w:r w:rsidR="003A2EF6" w:rsidRPr="005E303C">
        <w:t xml:space="preserve">Cohort </w:t>
      </w:r>
      <w:r w:rsidR="0059674B" w:rsidRPr="005E303C">
        <w:t>3.</w:t>
      </w:r>
      <w:r w:rsidR="003A2EF6" w:rsidRPr="005E303C">
        <w:t xml:space="preserve">2 </w:t>
      </w:r>
      <w:r w:rsidRPr="005E303C">
        <w:t xml:space="preserve">were in stable housing at the </w:t>
      </w:r>
      <w:r w:rsidR="002F4676" w:rsidRPr="005E303C">
        <w:t xml:space="preserve">final </w:t>
      </w:r>
      <w:r w:rsidRPr="005E303C">
        <w:t xml:space="preserve">48 month </w:t>
      </w:r>
      <w:r w:rsidR="003D2CE2" w:rsidRPr="005E303C">
        <w:t xml:space="preserve">payable outcomes </w:t>
      </w:r>
      <w:r w:rsidRPr="005E303C">
        <w:t xml:space="preserve">reporting period, representing an improvement of 31.28 </w:t>
      </w:r>
      <w:r w:rsidR="00D431DA" w:rsidRPr="005E303C">
        <w:t>per cent</w:t>
      </w:r>
      <w:r w:rsidRPr="005E303C">
        <w:t xml:space="preserve"> on the control group</w:t>
      </w:r>
      <w:r w:rsidR="00963D02" w:rsidRPr="005E303C">
        <w:t>; and</w:t>
      </w:r>
    </w:p>
    <w:p w14:paraId="1A05EB6E" w14:textId="34D1C0B9" w:rsidR="005D44E7" w:rsidRPr="005D44E7" w:rsidRDefault="005D44E7" w:rsidP="00BD3D9F">
      <w:pPr>
        <w:pStyle w:val="Bullet2ndlevel"/>
        <w:numPr>
          <w:ilvl w:val="0"/>
          <w:numId w:val="9"/>
        </w:numPr>
      </w:pPr>
      <w:r>
        <w:t>92.86</w:t>
      </w:r>
      <w:r w:rsidR="00D431DA">
        <w:t xml:space="preserve"> per cent</w:t>
      </w:r>
      <w:r>
        <w:t xml:space="preserve"> (n=56) of </w:t>
      </w:r>
      <w:r w:rsidR="00EC60D3">
        <w:t>J2SI</w:t>
      </w:r>
      <w:r>
        <w:t xml:space="preserve"> PAD </w:t>
      </w:r>
      <w:r w:rsidR="003A2EF6">
        <w:t xml:space="preserve">Cohort </w:t>
      </w:r>
      <w:r w:rsidR="0059674B">
        <w:t>3.</w:t>
      </w:r>
      <w:r w:rsidR="003A2EF6">
        <w:t xml:space="preserve">3 </w:t>
      </w:r>
      <w:r>
        <w:t xml:space="preserve">clients were in stable housing at the 36 month </w:t>
      </w:r>
      <w:r w:rsidR="003D2CE2" w:rsidRPr="003D2CE2">
        <w:t xml:space="preserve">payable outcomes </w:t>
      </w:r>
      <w:r>
        <w:t xml:space="preserve">reporting period, representing an improvement of 53.52 </w:t>
      </w:r>
      <w:r w:rsidR="00D431DA">
        <w:t>per cent</w:t>
      </w:r>
      <w:r>
        <w:t xml:space="preserve"> on the control group.</w:t>
      </w:r>
      <w:r w:rsidR="00272B50">
        <w:rPr>
          <w:rFonts w:ascii="ZWAdobeF" w:hAnsi="ZWAdobeF" w:cs="ZWAdobeF"/>
          <w:color w:val="auto"/>
          <w:sz w:val="2"/>
          <w:szCs w:val="2"/>
        </w:rPr>
        <w:t>13F</w:t>
      </w:r>
      <w:r w:rsidR="00125CA2">
        <w:rPr>
          <w:rFonts w:ascii="ZWAdobeF" w:hAnsi="ZWAdobeF" w:cs="ZWAdobeF"/>
          <w:color w:val="auto"/>
          <w:sz w:val="2"/>
          <w:szCs w:val="2"/>
        </w:rPr>
        <w:t>13F</w:t>
      </w:r>
      <w:r w:rsidR="003D2CE2">
        <w:rPr>
          <w:rStyle w:val="FootnoteReference"/>
        </w:rPr>
        <w:footnoteReference w:id="26"/>
      </w:r>
      <w:r>
        <w:t xml:space="preserve"> </w:t>
      </w:r>
    </w:p>
    <w:p w14:paraId="59A630CA" w14:textId="69EC3DD6" w:rsidR="00F77116" w:rsidRDefault="00072403" w:rsidP="00325BE2">
      <w:pPr>
        <w:pStyle w:val="BodyText"/>
      </w:pPr>
      <w:r>
        <w:t xml:space="preserve">In response to questions relating to </w:t>
      </w:r>
      <w:r w:rsidR="0015256E">
        <w:t xml:space="preserve">their housing situation collected via </w:t>
      </w:r>
      <w:r w:rsidR="00E3081C">
        <w:t xml:space="preserve">the </w:t>
      </w:r>
      <w:r w:rsidR="0015256E">
        <w:t>TICSPOT survey</w:t>
      </w:r>
      <w:r>
        <w:t xml:space="preserve">, J2SI PAD clients </w:t>
      </w:r>
      <w:r w:rsidR="0015256E">
        <w:t>reported</w:t>
      </w:r>
      <w:r>
        <w:t xml:space="preserve"> </w:t>
      </w:r>
      <w:r w:rsidR="004479A2">
        <w:t>slight</w:t>
      </w:r>
      <w:r>
        <w:t xml:space="preserve"> </w:t>
      </w:r>
      <w:r w:rsidR="004479A2">
        <w:t xml:space="preserve">improvements </w:t>
      </w:r>
      <w:r>
        <w:t xml:space="preserve">in </w:t>
      </w:r>
      <w:r w:rsidR="004479A2">
        <w:t>self-reported</w:t>
      </w:r>
      <w:r>
        <w:t xml:space="preserve"> outcomes </w:t>
      </w:r>
      <w:r w:rsidR="0015256E">
        <w:t xml:space="preserve">from </w:t>
      </w:r>
      <w:r>
        <w:t>program commencement through to exit</w:t>
      </w:r>
      <w:r w:rsidR="0015256E">
        <w:t>.</w:t>
      </w:r>
      <w:r w:rsidR="003572E1" w:rsidRPr="007B44AB">
        <w:rPr>
          <w:rStyle w:val="FootnoteReference"/>
        </w:rPr>
        <w:footnoteReference w:id="27"/>
      </w:r>
      <w:r w:rsidR="007B44AB" w:rsidRPr="003C67D4">
        <w:rPr>
          <w:vertAlign w:val="superscript"/>
        </w:rPr>
        <w:t>,</w:t>
      </w:r>
      <w:r w:rsidR="007B44AB">
        <w:rPr>
          <w:rStyle w:val="FootnoteReference"/>
        </w:rPr>
        <w:footnoteReference w:id="28"/>
      </w:r>
      <w:r w:rsidR="007B44AB" w:rsidRPr="003C67D4">
        <w:rPr>
          <w:vertAlign w:val="superscript"/>
        </w:rPr>
        <w:t>,</w:t>
      </w:r>
      <w:r w:rsidR="007B44AB">
        <w:rPr>
          <w:rStyle w:val="FootnoteReference"/>
        </w:rPr>
        <w:footnoteReference w:id="29"/>
      </w:r>
      <w:r w:rsidR="007B44AB">
        <w:t xml:space="preserve"> </w:t>
      </w:r>
      <w:r w:rsidR="0015256E">
        <w:t xml:space="preserve">Clients reported that: </w:t>
      </w:r>
    </w:p>
    <w:p w14:paraId="51B5385D" w14:textId="28B45BF8" w:rsidR="00DB7597" w:rsidRDefault="004156A8" w:rsidP="00632D10">
      <w:pPr>
        <w:pStyle w:val="Bullet1stlevel"/>
      </w:pPr>
      <w:r>
        <w:t>In response</w:t>
      </w:r>
      <w:r w:rsidR="004E7B11">
        <w:t xml:space="preserve"> to</w:t>
      </w:r>
      <w:r>
        <w:t xml:space="preserve"> the question </w:t>
      </w:r>
      <w:r w:rsidR="004E7B11">
        <w:t>‘</w:t>
      </w:r>
      <w:r w:rsidRPr="005008AD">
        <w:rPr>
          <w:i/>
          <w:iCs/>
        </w:rPr>
        <w:t xml:space="preserve">to </w:t>
      </w:r>
      <w:r w:rsidR="004E7B11" w:rsidRPr="005008AD">
        <w:rPr>
          <w:i/>
          <w:iCs/>
        </w:rPr>
        <w:t>what extent does where you live currently meet your needs?</w:t>
      </w:r>
      <w:r w:rsidR="004E7B11">
        <w:t>’</w:t>
      </w:r>
      <w:r>
        <w:t xml:space="preserve"> the average score </w:t>
      </w:r>
      <w:r w:rsidR="000A3DE5">
        <w:t>increased</w:t>
      </w:r>
      <w:r w:rsidR="00BB48CE">
        <w:t xml:space="preserve"> </w:t>
      </w:r>
      <w:r w:rsidR="00F31E7B">
        <w:t xml:space="preserve">by </w:t>
      </w:r>
      <w:r w:rsidR="00BB48CE">
        <w:t>+0.64</w:t>
      </w:r>
      <w:r w:rsidR="000A3DE5">
        <w:t xml:space="preserve"> from 3.32 </w:t>
      </w:r>
      <w:r w:rsidR="00BB48CE">
        <w:t xml:space="preserve">(n=97) </w:t>
      </w:r>
      <w:r w:rsidR="000A3DE5">
        <w:t>to 3.96</w:t>
      </w:r>
      <w:r w:rsidR="00BB48CE">
        <w:t xml:space="preserve"> (n=96)</w:t>
      </w:r>
      <w:r w:rsidR="00B50581">
        <w:t xml:space="preserve">, where a score of </w:t>
      </w:r>
      <w:r w:rsidR="00BB48CE">
        <w:t>three</w:t>
      </w:r>
      <w:r w:rsidR="00B50581">
        <w:t xml:space="preserve"> represents </w:t>
      </w:r>
      <w:r w:rsidR="00394BDE" w:rsidRPr="005008AD">
        <w:rPr>
          <w:i/>
          <w:iCs/>
        </w:rPr>
        <w:t>‘</w:t>
      </w:r>
      <w:r w:rsidR="00DB7597" w:rsidRPr="005008AD">
        <w:rPr>
          <w:i/>
          <w:iCs/>
        </w:rPr>
        <w:t>somewhat</w:t>
      </w:r>
      <w:r w:rsidR="00394BDE" w:rsidRPr="005008AD">
        <w:rPr>
          <w:i/>
          <w:iCs/>
        </w:rPr>
        <w:t>’</w:t>
      </w:r>
      <w:r w:rsidR="00B50581">
        <w:t xml:space="preserve"> and a score of four represents </w:t>
      </w:r>
      <w:r w:rsidR="006E4E21" w:rsidRPr="005008AD">
        <w:rPr>
          <w:i/>
          <w:iCs/>
        </w:rPr>
        <w:t>‘</w:t>
      </w:r>
      <w:r w:rsidR="00DB7597" w:rsidRPr="005008AD">
        <w:rPr>
          <w:i/>
          <w:iCs/>
        </w:rPr>
        <w:t>considerably</w:t>
      </w:r>
      <w:r w:rsidR="006E4E21" w:rsidRPr="005008AD">
        <w:rPr>
          <w:i/>
          <w:iCs/>
        </w:rPr>
        <w:t>’</w:t>
      </w:r>
      <w:r w:rsidR="00BB48CE">
        <w:t>;</w:t>
      </w:r>
    </w:p>
    <w:p w14:paraId="039205EF" w14:textId="3D350B68" w:rsidR="00DB7597" w:rsidRDefault="00DB7597" w:rsidP="00632D10">
      <w:pPr>
        <w:pStyle w:val="Bullet1stlevel"/>
      </w:pPr>
      <w:r>
        <w:t>In response to the question ‘</w:t>
      </w:r>
      <w:r>
        <w:rPr>
          <w:i/>
          <w:iCs/>
        </w:rPr>
        <w:t>how often do you feel safe where you currently live</w:t>
      </w:r>
      <w:r w:rsidRPr="00C72D32">
        <w:rPr>
          <w:i/>
          <w:iCs/>
        </w:rPr>
        <w:t>?</w:t>
      </w:r>
      <w:r>
        <w:t xml:space="preserve">’ the average score increased </w:t>
      </w:r>
      <w:r w:rsidR="00F31E7B">
        <w:t xml:space="preserve">by </w:t>
      </w:r>
      <w:r>
        <w:t>+0.2</w:t>
      </w:r>
      <w:r w:rsidR="00251F74">
        <w:t>7</w:t>
      </w:r>
      <w:r>
        <w:t xml:space="preserve"> from 3.</w:t>
      </w:r>
      <w:r w:rsidR="00055E68">
        <w:t>89</w:t>
      </w:r>
      <w:r>
        <w:t xml:space="preserve">  (n=9</w:t>
      </w:r>
      <w:r w:rsidR="00055E68">
        <w:t>8</w:t>
      </w:r>
      <w:r>
        <w:t xml:space="preserve">) to </w:t>
      </w:r>
      <w:r w:rsidR="00055E68">
        <w:t>4.16</w:t>
      </w:r>
      <w:r>
        <w:t xml:space="preserve"> (n=96), where a score of four represents </w:t>
      </w:r>
      <w:r w:rsidR="00E10122">
        <w:t>‘</w:t>
      </w:r>
      <w:r w:rsidR="002F02AE" w:rsidRPr="005008AD">
        <w:rPr>
          <w:i/>
          <w:iCs/>
        </w:rPr>
        <w:t>most of the time</w:t>
      </w:r>
      <w:r w:rsidR="00E10122" w:rsidRPr="005008AD">
        <w:rPr>
          <w:i/>
          <w:iCs/>
        </w:rPr>
        <w:t>’</w:t>
      </w:r>
      <w:r>
        <w:t>;</w:t>
      </w:r>
    </w:p>
    <w:p w14:paraId="11753DD0" w14:textId="6256E5F9" w:rsidR="002F02AE" w:rsidRPr="00342CFA" w:rsidRDefault="002F02AE" w:rsidP="00632D10">
      <w:pPr>
        <w:pStyle w:val="Bullet1stlevel"/>
      </w:pPr>
      <w:r>
        <w:t>In response to the question ‘</w:t>
      </w:r>
      <w:r>
        <w:rPr>
          <w:i/>
          <w:iCs/>
        </w:rPr>
        <w:t xml:space="preserve">how </w:t>
      </w:r>
      <w:r w:rsidR="003C2F13">
        <w:rPr>
          <w:i/>
          <w:iCs/>
        </w:rPr>
        <w:t>satisfied are you with</w:t>
      </w:r>
      <w:r>
        <w:rPr>
          <w:i/>
          <w:iCs/>
        </w:rPr>
        <w:t xml:space="preserve"> where you currently live</w:t>
      </w:r>
      <w:r w:rsidRPr="00C72D32">
        <w:rPr>
          <w:i/>
          <w:iCs/>
        </w:rPr>
        <w:t>?</w:t>
      </w:r>
      <w:r>
        <w:t xml:space="preserve">’ the average score increased </w:t>
      </w:r>
      <w:r w:rsidR="00251F74">
        <w:t xml:space="preserve">by </w:t>
      </w:r>
      <w:r>
        <w:t>+0.</w:t>
      </w:r>
      <w:r w:rsidR="00E34FF4">
        <w:t>43</w:t>
      </w:r>
      <w:r>
        <w:t xml:space="preserve"> from 3.</w:t>
      </w:r>
      <w:r w:rsidR="00A60FBE">
        <w:t>32</w:t>
      </w:r>
      <w:r>
        <w:t xml:space="preserve">  (n=98) to </w:t>
      </w:r>
      <w:r w:rsidR="00A60FBE">
        <w:t>3</w:t>
      </w:r>
      <w:r>
        <w:t>.</w:t>
      </w:r>
      <w:r w:rsidR="00A60FBE">
        <w:t>75</w:t>
      </w:r>
      <w:r>
        <w:t xml:space="preserve"> (n=96), where a score of three represents </w:t>
      </w:r>
      <w:r w:rsidR="005E723C">
        <w:t>‘</w:t>
      </w:r>
      <w:r w:rsidR="00735795" w:rsidRPr="005008AD">
        <w:rPr>
          <w:i/>
          <w:iCs/>
        </w:rPr>
        <w:t>neutral</w:t>
      </w:r>
      <w:r w:rsidR="005E723C" w:rsidRPr="005008AD">
        <w:rPr>
          <w:i/>
          <w:iCs/>
        </w:rPr>
        <w:t>’</w:t>
      </w:r>
      <w:r>
        <w:t xml:space="preserve"> and a score of four represents </w:t>
      </w:r>
      <w:r w:rsidR="005E723C">
        <w:t>‘</w:t>
      </w:r>
      <w:r w:rsidR="00055DED" w:rsidRPr="005008AD">
        <w:rPr>
          <w:i/>
          <w:iCs/>
        </w:rPr>
        <w:t>satisfied</w:t>
      </w:r>
      <w:r w:rsidR="005E723C" w:rsidRPr="005008AD">
        <w:rPr>
          <w:i/>
          <w:iCs/>
        </w:rPr>
        <w:t>’</w:t>
      </w:r>
      <w:r w:rsidRPr="00342CFA">
        <w:t>;</w:t>
      </w:r>
      <w:r w:rsidR="00735795" w:rsidRPr="00342CFA">
        <w:t xml:space="preserve"> and</w:t>
      </w:r>
    </w:p>
    <w:p w14:paraId="5B6C3988" w14:textId="5B98BF79" w:rsidR="000D1D50" w:rsidRPr="00EF7A96" w:rsidRDefault="00735795" w:rsidP="00632D10">
      <w:pPr>
        <w:pStyle w:val="Bullet1stlevel"/>
      </w:pPr>
      <w:r w:rsidRPr="00342CFA">
        <w:t>In response to the question ‘</w:t>
      </w:r>
      <w:r w:rsidRPr="00342CFA">
        <w:rPr>
          <w:i/>
          <w:iCs/>
        </w:rPr>
        <w:t>how often do you need to manage issues with your housing?</w:t>
      </w:r>
      <w:r w:rsidRPr="00342CFA">
        <w:t xml:space="preserve">’ the average score increased </w:t>
      </w:r>
      <w:r w:rsidR="00E34FF4">
        <w:t xml:space="preserve">by </w:t>
      </w:r>
      <w:r w:rsidRPr="00342CFA">
        <w:t>+0.</w:t>
      </w:r>
      <w:r w:rsidR="008F703D" w:rsidRPr="00342CFA">
        <w:t>70</w:t>
      </w:r>
      <w:r w:rsidRPr="00342CFA">
        <w:t xml:space="preserve"> from </w:t>
      </w:r>
      <w:r w:rsidR="008F703D" w:rsidRPr="00342CFA">
        <w:t>2.77</w:t>
      </w:r>
      <w:r w:rsidRPr="00342CFA">
        <w:t xml:space="preserve"> (n=9</w:t>
      </w:r>
      <w:r w:rsidR="008F703D" w:rsidRPr="00342CFA">
        <w:t>3</w:t>
      </w:r>
      <w:r w:rsidRPr="00342CFA">
        <w:t>) to 3.</w:t>
      </w:r>
      <w:r w:rsidR="008F703D" w:rsidRPr="00342CFA">
        <w:t>64</w:t>
      </w:r>
      <w:r w:rsidRPr="00342CFA">
        <w:t xml:space="preserve"> (n=96), where a score of three represents </w:t>
      </w:r>
      <w:r w:rsidR="005E723C">
        <w:t>‘</w:t>
      </w:r>
      <w:r w:rsidR="008F703D" w:rsidRPr="005008AD">
        <w:rPr>
          <w:i/>
          <w:iCs/>
        </w:rPr>
        <w:t>sometimes</w:t>
      </w:r>
      <w:r w:rsidR="005E723C" w:rsidRPr="005008AD">
        <w:rPr>
          <w:i/>
          <w:iCs/>
        </w:rPr>
        <w:t>’</w:t>
      </w:r>
      <w:r w:rsidRPr="00342CFA">
        <w:t xml:space="preserve"> and a score of four represents </w:t>
      </w:r>
      <w:r w:rsidR="005E723C">
        <w:t>‘</w:t>
      </w:r>
      <w:r w:rsidR="00342CFA" w:rsidRPr="005008AD">
        <w:rPr>
          <w:i/>
          <w:iCs/>
        </w:rPr>
        <w:t>rarely</w:t>
      </w:r>
      <w:r w:rsidR="005E723C" w:rsidRPr="005008AD">
        <w:rPr>
          <w:i/>
          <w:iCs/>
        </w:rPr>
        <w:t>’</w:t>
      </w:r>
      <w:r w:rsidR="005D3F76" w:rsidRPr="005008AD">
        <w:rPr>
          <w:i/>
          <w:iCs/>
        </w:rPr>
        <w:t xml:space="preserve"> </w:t>
      </w:r>
      <w:r w:rsidR="005D3F76" w:rsidRPr="00342CFA">
        <w:t>(</w:t>
      </w:r>
      <w:r w:rsidR="005C4D6E">
        <w:fldChar w:fldCharType="begin"/>
      </w:r>
      <w:r w:rsidR="005C4D6E">
        <w:instrText xml:space="preserve"> REF _Ref149059894 \h </w:instrText>
      </w:r>
      <w:r w:rsidR="005C4D6E">
        <w:fldChar w:fldCharType="separate"/>
      </w:r>
      <w:r w:rsidR="00ED0DF7" w:rsidRPr="0075693D">
        <w:t xml:space="preserve">Figure </w:t>
      </w:r>
      <w:r w:rsidR="00ED0DF7">
        <w:rPr>
          <w:noProof/>
        </w:rPr>
        <w:t>6</w:t>
      </w:r>
      <w:r w:rsidR="005C4D6E">
        <w:fldChar w:fldCharType="end"/>
      </w:r>
      <w:r w:rsidR="004119BB" w:rsidRPr="00EF7A96">
        <w:t>)</w:t>
      </w:r>
      <w:r w:rsidR="00F705A6" w:rsidRPr="00EF7A96">
        <w:t>.</w:t>
      </w:r>
    </w:p>
    <w:p w14:paraId="686B54D6" w14:textId="08AFA0F3" w:rsidR="00D4547E" w:rsidRDefault="00D4547E" w:rsidP="00325BE2">
      <w:pPr>
        <w:pStyle w:val="BodyText"/>
      </w:pPr>
      <w:r w:rsidRPr="00EF7A96">
        <w:lastRenderedPageBreak/>
        <w:t>A</w:t>
      </w:r>
      <w:r w:rsidR="00E445EA" w:rsidRPr="00EF7A96">
        <w:t xml:space="preserve"> </w:t>
      </w:r>
      <w:r w:rsidR="00136190" w:rsidRPr="003C67D4">
        <w:t>similar</w:t>
      </w:r>
      <w:r w:rsidR="00E445EA" w:rsidRPr="00EF7A96">
        <w:t xml:space="preserve"> trend </w:t>
      </w:r>
      <w:r w:rsidR="00322EA3" w:rsidRPr="00EF7A96">
        <w:t xml:space="preserve">is </w:t>
      </w:r>
      <w:r w:rsidR="00262C2F" w:rsidRPr="00EF7A96">
        <w:t xml:space="preserve">seen when considering client responses to </w:t>
      </w:r>
      <w:r w:rsidR="00160228">
        <w:t xml:space="preserve">most of the </w:t>
      </w:r>
      <w:r w:rsidR="00262C2F" w:rsidRPr="00EF7A96">
        <w:t>questions regarding their housing</w:t>
      </w:r>
      <w:r w:rsidR="00D00E9A">
        <w:rPr>
          <w:rStyle w:val="FootnoteReference"/>
        </w:rPr>
        <w:footnoteReference w:id="30"/>
      </w:r>
      <w:r w:rsidR="00262C2F" w:rsidRPr="00EF7A96">
        <w:t>, with scores increasing initially</w:t>
      </w:r>
      <w:r w:rsidR="00781E89" w:rsidRPr="00EF7A96">
        <w:t xml:space="preserve"> </w:t>
      </w:r>
      <w:r w:rsidR="002844DF">
        <w:t xml:space="preserve">to </w:t>
      </w:r>
      <w:r w:rsidR="009B6B4D">
        <w:t>Review 2</w:t>
      </w:r>
      <w:r w:rsidR="00262C2F" w:rsidRPr="005008AD">
        <w:t>,</w:t>
      </w:r>
      <w:r w:rsidR="00262C2F" w:rsidRPr="00EF7A96">
        <w:t xml:space="preserve"> </w:t>
      </w:r>
      <w:r w:rsidR="00893DD7" w:rsidRPr="00EF7A96">
        <w:t>decreasing</w:t>
      </w:r>
      <w:r w:rsidR="00136190" w:rsidRPr="003C67D4">
        <w:t xml:space="preserve"> slightly</w:t>
      </w:r>
      <w:r w:rsidR="00781E89" w:rsidRPr="00EF7A96">
        <w:t xml:space="preserve"> </w:t>
      </w:r>
      <w:r w:rsidR="00025ECA" w:rsidRPr="005008AD">
        <w:t>to</w:t>
      </w:r>
      <w:r w:rsidR="001C0A9C" w:rsidRPr="005008AD">
        <w:t xml:space="preserve"> </w:t>
      </w:r>
      <w:r w:rsidR="009B6B4D">
        <w:t>Review 5</w:t>
      </w:r>
      <w:r w:rsidR="00025ECA" w:rsidRPr="005008AD">
        <w:t>,</w:t>
      </w:r>
      <w:r w:rsidR="00025ECA">
        <w:t xml:space="preserve"> and increasing again </w:t>
      </w:r>
      <w:r w:rsidR="00D04DC3">
        <w:t>to</w:t>
      </w:r>
      <w:r w:rsidR="00893DD7" w:rsidRPr="00EF7A96">
        <w:t xml:space="preserve"> Exit.</w:t>
      </w:r>
      <w:r w:rsidR="005D6957" w:rsidRPr="005008AD">
        <w:rPr>
          <w:rStyle w:val="FootnoteReference"/>
        </w:rPr>
        <w:footnoteReference w:id="31"/>
      </w:r>
      <w:r w:rsidR="008132A8">
        <w:t xml:space="preserve">  </w:t>
      </w:r>
      <w:r w:rsidR="00893DD7">
        <w:t xml:space="preserve"> </w:t>
      </w:r>
    </w:p>
    <w:p w14:paraId="0044B110" w14:textId="23F11D52" w:rsidR="00120C74" w:rsidRPr="0075693D" w:rsidRDefault="003828A0" w:rsidP="00134FF5">
      <w:pPr>
        <w:pStyle w:val="Caption"/>
      </w:pPr>
      <w:bookmarkStart w:id="60" w:name="_Ref149059894"/>
      <w:bookmarkStart w:id="61" w:name="_Ref150182169"/>
      <w:bookmarkStart w:id="62" w:name="_Toc174547291"/>
      <w:r w:rsidRPr="0075693D">
        <w:t xml:space="preserve">Figure </w:t>
      </w:r>
      <w:r w:rsidRPr="0075693D">
        <w:fldChar w:fldCharType="begin"/>
      </w:r>
      <w:r w:rsidRPr="0015701D">
        <w:instrText xml:space="preserve"> SEQ Figure \* ARABIC </w:instrText>
      </w:r>
      <w:r w:rsidRPr="0075693D">
        <w:fldChar w:fldCharType="separate"/>
      </w:r>
      <w:r w:rsidR="00ED0DF7">
        <w:rPr>
          <w:noProof/>
        </w:rPr>
        <w:t>6</w:t>
      </w:r>
      <w:r w:rsidRPr="0075693D">
        <w:fldChar w:fldCharType="end"/>
      </w:r>
      <w:bookmarkEnd w:id="60"/>
      <w:r w:rsidRPr="0075693D">
        <w:t>: Average score of J2S</w:t>
      </w:r>
      <w:r w:rsidR="006B27EE" w:rsidRPr="0075693D">
        <w:t>I</w:t>
      </w:r>
      <w:r w:rsidRPr="0075693D">
        <w:t xml:space="preserve"> PAD client survey to questions relating to </w:t>
      </w:r>
      <w:r w:rsidR="001C2529" w:rsidRPr="0075693D">
        <w:t>housing</w:t>
      </w:r>
      <w:r w:rsidR="008C22A8" w:rsidRPr="003C67D4">
        <w:rPr>
          <w:rStyle w:val="FootnoteReference"/>
          <w:sz w:val="14"/>
          <w:szCs w:val="14"/>
        </w:rPr>
        <w:footnoteReference w:id="32"/>
      </w:r>
      <w:r w:rsidR="00DC3B06" w:rsidRPr="003C67D4">
        <w:rPr>
          <w:rFonts w:ascii="Cambria" w:hAnsi="Cambria" w:cs="ZWAdobeF"/>
          <w:sz w:val="14"/>
          <w:szCs w:val="14"/>
          <w:vertAlign w:val="superscript"/>
        </w:rPr>
        <w:t>,</w:t>
      </w:r>
      <w:r w:rsidR="000D1D50" w:rsidRPr="003C67D4">
        <w:rPr>
          <w:rStyle w:val="FootnoteReference"/>
          <w:sz w:val="14"/>
          <w:szCs w:val="14"/>
        </w:rPr>
        <w:footnoteReference w:id="33"/>
      </w:r>
      <w:bookmarkEnd w:id="61"/>
      <w:bookmarkEnd w:id="62"/>
    </w:p>
    <w:p w14:paraId="450C7390" w14:textId="1EA03B17" w:rsidR="0015701D" w:rsidRPr="0015701D" w:rsidRDefault="001C2529" w:rsidP="00134FF5">
      <w:pPr>
        <w:pStyle w:val="Caption"/>
      </w:pPr>
      <w:r>
        <w:rPr>
          <w:noProof/>
        </w:rPr>
        <w:drawing>
          <wp:inline distT="0" distB="0" distL="0" distR="0" wp14:anchorId="26656ACE" wp14:editId="5090E17D">
            <wp:extent cx="5207000" cy="2736850"/>
            <wp:effectExtent l="0" t="0" r="0" b="0"/>
            <wp:docPr id="50" name="Chart 50" descr="The figure depicts J2SI client survey results relating to housing. Client experience regarding needs being met, level of safety, level of satisfaction and need to manage issues all became more positive as clients progressed through the program.">
              <a:extLst xmlns:a="http://schemas.openxmlformats.org/drawingml/2006/main">
                <a:ext uri="{FF2B5EF4-FFF2-40B4-BE49-F238E27FC236}">
                  <a16:creationId xmlns:a16="http://schemas.microsoft.com/office/drawing/2014/main" id="{46E62040-76AF-7E2F-DC1B-BEA6B5753C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F01861" w14:paraId="4F4F2568" w14:textId="77777777" w:rsidTr="00F01861">
        <w:trPr>
          <w:trHeight w:val="429"/>
        </w:trPr>
        <w:tc>
          <w:tcPr>
            <w:tcW w:w="10204" w:type="dxa"/>
          </w:tcPr>
          <w:p w14:paraId="2D346D3A" w14:textId="044ACC4B" w:rsidR="00F01861" w:rsidRPr="00AB7357" w:rsidRDefault="00F01861">
            <w:pPr>
              <w:pStyle w:val="BodyText"/>
              <w:spacing w:before="0" w:after="0"/>
              <w:ind w:left="-113"/>
              <w:jc w:val="left"/>
              <w:rPr>
                <w:b/>
                <w:bCs/>
                <w:i w:val="0"/>
                <w:iCs/>
              </w:rPr>
            </w:pPr>
            <w:r>
              <w:rPr>
                <w:b/>
                <w:bCs/>
                <w:i w:val="0"/>
                <w:iCs/>
              </w:rPr>
              <w:t xml:space="preserve">Health and wellbeing </w:t>
            </w:r>
          </w:p>
        </w:tc>
      </w:tr>
      <w:tr w:rsidR="00CD1B11" w14:paraId="0C283D5D" w14:textId="77777777" w:rsidTr="005008AD">
        <w:trPr>
          <w:trHeight w:val="3579"/>
        </w:trPr>
        <w:tc>
          <w:tcPr>
            <w:tcW w:w="10204" w:type="dxa"/>
            <w:tcBorders>
              <w:top w:val="single" w:sz="12" w:space="0" w:color="1E49E2" w:themeColor="accent1"/>
              <w:bottom w:val="nil"/>
            </w:tcBorders>
            <w:shd w:val="clear" w:color="auto" w:fill="CAF1FF" w:themeFill="accent2" w:themeFillTint="33"/>
          </w:tcPr>
          <w:p w14:paraId="40CFC2BF" w14:textId="25C7F391" w:rsidR="00CD1B11" w:rsidRPr="00632D10" w:rsidRDefault="00CD1B11" w:rsidP="00632D10">
            <w:pPr>
              <w:pStyle w:val="Bullet1stlevel"/>
              <w:numPr>
                <w:ilvl w:val="0"/>
                <w:numId w:val="0"/>
              </w:numPr>
              <w:jc w:val="left"/>
              <w:rPr>
                <w:i w:val="0"/>
                <w:iCs/>
              </w:rPr>
            </w:pPr>
            <w:r w:rsidRPr="00632D10">
              <w:rPr>
                <w:i w:val="0"/>
                <w:iCs/>
              </w:rPr>
              <w:t xml:space="preserve">Key </w:t>
            </w:r>
            <w:r w:rsidR="00705E26" w:rsidRPr="00632D10">
              <w:rPr>
                <w:i w:val="0"/>
                <w:iCs/>
              </w:rPr>
              <w:t>findings:</w:t>
            </w:r>
            <w:r w:rsidR="00376594" w:rsidRPr="00632D10">
              <w:rPr>
                <w:i w:val="0"/>
                <w:iCs/>
              </w:rPr>
              <w:t xml:space="preserve"> </w:t>
            </w:r>
          </w:p>
          <w:p w14:paraId="7806B946" w14:textId="54BE2FD1" w:rsidR="00504E94" w:rsidRPr="00632D10" w:rsidRDefault="00504E94" w:rsidP="00632D10">
            <w:pPr>
              <w:pStyle w:val="Bullet1stlevel"/>
              <w:numPr>
                <w:ilvl w:val="0"/>
                <w:numId w:val="15"/>
              </w:numPr>
              <w:jc w:val="left"/>
              <w:rPr>
                <w:i w:val="0"/>
                <w:iCs/>
              </w:rPr>
            </w:pPr>
            <w:r w:rsidRPr="00632D10">
              <w:rPr>
                <w:i w:val="0"/>
                <w:iCs/>
              </w:rPr>
              <w:t>J2SI PAD clients saw a 50.38</w:t>
            </w:r>
            <w:r w:rsidR="00524B4C" w:rsidRPr="00632D10">
              <w:rPr>
                <w:i w:val="0"/>
                <w:iCs/>
              </w:rPr>
              <w:t> per cent</w:t>
            </w:r>
            <w:r w:rsidRPr="00632D10">
              <w:rPr>
                <w:i w:val="0"/>
                <w:iCs/>
                <w:vertAlign w:val="superscript"/>
              </w:rPr>
              <w:footnoteReference w:id="34"/>
            </w:r>
            <w:r w:rsidRPr="00632D10">
              <w:rPr>
                <w:i w:val="0"/>
                <w:iCs/>
                <w:vertAlign w:val="superscript"/>
              </w:rPr>
              <w:t xml:space="preserve"> </w:t>
            </w:r>
            <w:r w:rsidRPr="00632D10">
              <w:rPr>
                <w:i w:val="0"/>
                <w:iCs/>
              </w:rPr>
              <w:t>reduction in the average number of hospital bed days in their most recent 12 months prior to measurement compared to the baseline average at the time of evaluation reporting.</w:t>
            </w:r>
          </w:p>
          <w:p w14:paraId="34FEB09C" w14:textId="77777777" w:rsidR="003E361D" w:rsidRPr="00632D10" w:rsidRDefault="003E361D" w:rsidP="00632D10">
            <w:pPr>
              <w:pStyle w:val="Bullet1stlevel"/>
              <w:numPr>
                <w:ilvl w:val="0"/>
                <w:numId w:val="15"/>
              </w:numPr>
              <w:jc w:val="left"/>
              <w:rPr>
                <w:i w:val="0"/>
                <w:iCs/>
              </w:rPr>
            </w:pPr>
            <w:r w:rsidRPr="00632D10">
              <w:rPr>
                <w:i w:val="0"/>
                <w:iCs/>
              </w:rPr>
              <w:t xml:space="preserve">In response to survey questions relating to clients’ health and wellbeing, the greatest improvement in survey score from program entry to exit related to clients being able to access treatment when they needed it (+0.57). </w:t>
            </w:r>
          </w:p>
          <w:p w14:paraId="5D75D2E3" w14:textId="3A40E5A2" w:rsidR="008C4DDF" w:rsidRPr="005C6510" w:rsidRDefault="003E361D" w:rsidP="00632D10">
            <w:pPr>
              <w:pStyle w:val="Bullet1stlevel"/>
              <w:numPr>
                <w:ilvl w:val="0"/>
                <w:numId w:val="15"/>
              </w:numPr>
              <w:jc w:val="left"/>
              <w:rPr>
                <w:i w:val="0"/>
                <w:iCs/>
              </w:rPr>
            </w:pPr>
            <w:r w:rsidRPr="00632D10">
              <w:rPr>
                <w:i w:val="0"/>
                <w:iCs/>
              </w:rPr>
              <w:t xml:space="preserve">When considering health services accessed by clients </w:t>
            </w:r>
            <w:r w:rsidR="00A02DC0" w:rsidRPr="00632D10">
              <w:rPr>
                <w:i w:val="0"/>
                <w:iCs/>
              </w:rPr>
              <w:t>from baseline</w:t>
            </w:r>
            <w:r w:rsidR="00504E94" w:rsidRPr="00632D10">
              <w:rPr>
                <w:rStyle w:val="FootnoteReference"/>
                <w:rFonts w:cs="@Batang"/>
                <w:i w:val="0"/>
                <w:iCs/>
              </w:rPr>
              <w:footnoteReference w:id="35"/>
            </w:r>
            <w:r w:rsidR="00A02DC0" w:rsidRPr="00632D10">
              <w:rPr>
                <w:i w:val="0"/>
                <w:iCs/>
              </w:rPr>
              <w:t xml:space="preserve"> </w:t>
            </w:r>
            <w:r w:rsidRPr="00632D10">
              <w:rPr>
                <w:i w:val="0"/>
                <w:iCs/>
              </w:rPr>
              <w:t xml:space="preserve">through to month 30 of the program, there was a reduction in average ED presentations </w:t>
            </w:r>
            <w:r w:rsidR="00504E94" w:rsidRPr="00632D10">
              <w:rPr>
                <w:i w:val="0"/>
                <w:iCs/>
              </w:rPr>
              <w:t xml:space="preserve">per client per month from </w:t>
            </w:r>
            <w:r w:rsidRPr="00632D10">
              <w:rPr>
                <w:i w:val="0"/>
                <w:iCs/>
              </w:rPr>
              <w:t>0.</w:t>
            </w:r>
            <w:r w:rsidR="00504E94" w:rsidRPr="00632D10">
              <w:rPr>
                <w:i w:val="0"/>
                <w:iCs/>
              </w:rPr>
              <w:t>30 to 0.14 (-53.96</w:t>
            </w:r>
            <w:r w:rsidR="00524B4C" w:rsidRPr="00632D10">
              <w:rPr>
                <w:i w:val="0"/>
                <w:iCs/>
              </w:rPr>
              <w:t> per cent</w:t>
            </w:r>
            <w:r w:rsidR="00504E94" w:rsidRPr="00632D10">
              <w:rPr>
                <w:i w:val="0"/>
                <w:iCs/>
              </w:rPr>
              <w:t>), partially offset by</w:t>
            </w:r>
            <w:r w:rsidR="005F77BA" w:rsidRPr="00632D10">
              <w:rPr>
                <w:i w:val="0"/>
                <w:iCs/>
              </w:rPr>
              <w:t xml:space="preserve"> an increase in</w:t>
            </w:r>
            <w:r w:rsidRPr="00632D10">
              <w:rPr>
                <w:i w:val="0"/>
                <w:iCs/>
              </w:rPr>
              <w:t xml:space="preserve"> community health service hours </w:t>
            </w:r>
            <w:r w:rsidR="00504E94" w:rsidRPr="00632D10">
              <w:rPr>
                <w:i w:val="0"/>
                <w:iCs/>
              </w:rPr>
              <w:t>from 0.02 to 0.08 (+256.13</w:t>
            </w:r>
            <w:r w:rsidR="00524B4C" w:rsidRPr="00632D10">
              <w:rPr>
                <w:i w:val="0"/>
                <w:iCs/>
              </w:rPr>
              <w:t> per cent</w:t>
            </w:r>
            <w:r w:rsidR="00504E94" w:rsidRPr="00632D10">
              <w:rPr>
                <w:i w:val="0"/>
                <w:iCs/>
              </w:rPr>
              <w:t>).</w:t>
            </w:r>
            <w:r w:rsidRPr="00632D10">
              <w:rPr>
                <w:i w:val="0"/>
                <w:iCs/>
              </w:rPr>
              <w:t xml:space="preserve"> This increase in community service use may have played a role in clients reducing their need to engage with the tertiary health system, signalling increased help seeking behaviour, </w:t>
            </w:r>
            <w:r w:rsidR="001D4CA5" w:rsidRPr="00632D10">
              <w:rPr>
                <w:i w:val="0"/>
                <w:iCs/>
              </w:rPr>
              <w:t>considered</w:t>
            </w:r>
            <w:r w:rsidR="00504E94" w:rsidRPr="00632D10">
              <w:rPr>
                <w:i w:val="0"/>
                <w:iCs/>
              </w:rPr>
              <w:t xml:space="preserve"> </w:t>
            </w:r>
            <w:r w:rsidR="008672E1" w:rsidRPr="00632D10">
              <w:rPr>
                <w:i w:val="0"/>
                <w:iCs/>
              </w:rPr>
              <w:t>to be</w:t>
            </w:r>
            <w:r w:rsidRPr="00632D10">
              <w:rPr>
                <w:i w:val="0"/>
                <w:iCs/>
              </w:rPr>
              <w:t xml:space="preserve"> a positive</w:t>
            </w:r>
            <w:r w:rsidRPr="009B6B4D">
              <w:t xml:space="preserve"> program outcome.</w:t>
            </w:r>
          </w:p>
        </w:tc>
      </w:tr>
    </w:tbl>
    <w:p w14:paraId="4479ACCF" w14:textId="3D77CB74" w:rsidR="00693A99" w:rsidRDefault="00DD0FC8" w:rsidP="000E75B0">
      <w:pPr>
        <w:pStyle w:val="BodyText"/>
        <w:spacing w:before="240"/>
        <w:rPr>
          <w:rFonts w:cs="@Batang"/>
        </w:rPr>
      </w:pPr>
      <w:r>
        <w:rPr>
          <w:rFonts w:cs="@Batang"/>
        </w:rPr>
        <w:t xml:space="preserve">J2SI PAD </w:t>
      </w:r>
      <w:r w:rsidR="003776B8">
        <w:rPr>
          <w:rFonts w:cs="@Batang"/>
        </w:rPr>
        <w:t xml:space="preserve">clients reported </w:t>
      </w:r>
      <w:r w:rsidR="003776B8">
        <w:t>improvement</w:t>
      </w:r>
      <w:r>
        <w:t xml:space="preserve">s </w:t>
      </w:r>
      <w:r w:rsidR="003776B8">
        <w:t>in</w:t>
      </w:r>
      <w:r>
        <w:t xml:space="preserve"> self-reported</w:t>
      </w:r>
      <w:r w:rsidR="003776B8">
        <w:t xml:space="preserve"> health and wellbeing outcomes from program commencement through to exit.</w:t>
      </w:r>
      <w:r w:rsidR="003776B8">
        <w:rPr>
          <w:rFonts w:cs="@Batang"/>
        </w:rPr>
        <w:t xml:space="preserve"> </w:t>
      </w:r>
      <w:r w:rsidR="005E0D44">
        <w:rPr>
          <w:rFonts w:cs="@Batang"/>
        </w:rPr>
        <w:t>C</w:t>
      </w:r>
      <w:r w:rsidR="00693A99">
        <w:rPr>
          <w:rFonts w:cs="@Batang"/>
        </w:rPr>
        <w:t xml:space="preserve">lients reported that: </w:t>
      </w:r>
    </w:p>
    <w:p w14:paraId="7D93CDF1" w14:textId="52548EE8" w:rsidR="00D22756" w:rsidRDefault="00D22756" w:rsidP="00632D10">
      <w:pPr>
        <w:pStyle w:val="Bullet1stlevel"/>
      </w:pPr>
      <w:r w:rsidRPr="00D22756">
        <w:t xml:space="preserve">In response to questions asking </w:t>
      </w:r>
      <w:r w:rsidRPr="005008AD">
        <w:rPr>
          <w:i/>
          <w:iCs/>
        </w:rPr>
        <w:t>how often physical health, mental health and/or AOD related issues were getting in the way of what they wanted to do</w:t>
      </w:r>
      <w:r w:rsidRPr="00D22756">
        <w:t xml:space="preserve">, the average score increased </w:t>
      </w:r>
      <w:r w:rsidR="001D4CA5">
        <w:t>by</w:t>
      </w:r>
      <w:r w:rsidRPr="00D22756">
        <w:t xml:space="preserve"> +0.17 from 3.28 (n=100) to </w:t>
      </w:r>
      <w:r>
        <w:t>3</w:t>
      </w:r>
      <w:r w:rsidRPr="00D22756">
        <w:t xml:space="preserve">.45 (n=96), where a score of three </w:t>
      </w:r>
      <w:r>
        <w:t xml:space="preserve">represents </w:t>
      </w:r>
      <w:r w:rsidR="0010624A">
        <w:t>‘</w:t>
      </w:r>
      <w:r w:rsidR="00762E35" w:rsidRPr="005008AD">
        <w:rPr>
          <w:i/>
          <w:iCs/>
        </w:rPr>
        <w:t>sometimes</w:t>
      </w:r>
      <w:r w:rsidR="0010624A" w:rsidRPr="005008AD">
        <w:rPr>
          <w:i/>
          <w:iCs/>
        </w:rPr>
        <w:t>’</w:t>
      </w:r>
      <w:r w:rsidR="00762E35">
        <w:t>;</w:t>
      </w:r>
    </w:p>
    <w:p w14:paraId="4DBF37C5" w14:textId="62580D05" w:rsidR="00762E35" w:rsidRDefault="00762E35" w:rsidP="00632D10">
      <w:pPr>
        <w:pStyle w:val="Bullet1stlevel"/>
      </w:pPr>
      <w:r w:rsidRPr="00D22756">
        <w:t xml:space="preserve">In response to questions asking </w:t>
      </w:r>
      <w:r w:rsidRPr="005008AD">
        <w:rPr>
          <w:i/>
          <w:iCs/>
        </w:rPr>
        <w:t>how often they were accessing treatment when they needed it</w:t>
      </w:r>
      <w:r w:rsidRPr="00D22756">
        <w:t xml:space="preserve">, the average score increased </w:t>
      </w:r>
      <w:r w:rsidR="000472F2">
        <w:t>by</w:t>
      </w:r>
      <w:r w:rsidRPr="00D22756">
        <w:t xml:space="preserve"> +0.</w:t>
      </w:r>
      <w:r>
        <w:t>5</w:t>
      </w:r>
      <w:r w:rsidRPr="00D22756">
        <w:t>7 from 3.</w:t>
      </w:r>
      <w:r>
        <w:t>34</w:t>
      </w:r>
      <w:r w:rsidRPr="00D22756">
        <w:t xml:space="preserve"> (n=100) to </w:t>
      </w:r>
      <w:r>
        <w:t>3</w:t>
      </w:r>
      <w:r w:rsidRPr="00D22756">
        <w:t>.</w:t>
      </w:r>
      <w:r>
        <w:t>91</w:t>
      </w:r>
      <w:r w:rsidRPr="00D22756">
        <w:t xml:space="preserve"> (n=96), where a score of three </w:t>
      </w:r>
      <w:r w:rsidRPr="00435D29">
        <w:t xml:space="preserve">represents </w:t>
      </w:r>
      <w:r w:rsidR="00C97976" w:rsidRPr="005008AD">
        <w:rPr>
          <w:i/>
          <w:iCs/>
        </w:rPr>
        <w:t>‘</w:t>
      </w:r>
      <w:r w:rsidRPr="005008AD">
        <w:rPr>
          <w:i/>
          <w:iCs/>
        </w:rPr>
        <w:t>sometimes</w:t>
      </w:r>
      <w:r w:rsidR="00C97976" w:rsidRPr="005008AD">
        <w:rPr>
          <w:i/>
          <w:iCs/>
        </w:rPr>
        <w:t>’</w:t>
      </w:r>
      <w:r w:rsidRPr="00435D29">
        <w:t xml:space="preserve"> and</w:t>
      </w:r>
      <w:r>
        <w:t xml:space="preserve"> a score of four represents </w:t>
      </w:r>
      <w:r w:rsidR="0010624A">
        <w:t>‘</w:t>
      </w:r>
      <w:r w:rsidR="00435D29" w:rsidRPr="005008AD">
        <w:rPr>
          <w:i/>
          <w:iCs/>
        </w:rPr>
        <w:t>most of the time</w:t>
      </w:r>
      <w:r w:rsidR="0010624A" w:rsidRPr="005008AD">
        <w:rPr>
          <w:i/>
          <w:iCs/>
        </w:rPr>
        <w:t>’</w:t>
      </w:r>
      <w:r>
        <w:t>;</w:t>
      </w:r>
      <w:r w:rsidR="00AC49EE">
        <w:t xml:space="preserve"> and</w:t>
      </w:r>
    </w:p>
    <w:p w14:paraId="522769B9" w14:textId="3CE36983" w:rsidR="00567C26" w:rsidRPr="000E75B0" w:rsidRDefault="00435D29" w:rsidP="00632D10">
      <w:pPr>
        <w:pStyle w:val="Bullet1stlevel"/>
        <w:rPr>
          <w:spacing w:val="-2"/>
        </w:rPr>
      </w:pPr>
      <w:r w:rsidRPr="000E75B0">
        <w:rPr>
          <w:spacing w:val="-2"/>
        </w:rPr>
        <w:lastRenderedPageBreak/>
        <w:t xml:space="preserve">In response to questions asking </w:t>
      </w:r>
      <w:r w:rsidRPr="000E75B0">
        <w:rPr>
          <w:i/>
          <w:spacing w:val="-2"/>
        </w:rPr>
        <w:t xml:space="preserve">how satisfied they were </w:t>
      </w:r>
      <w:r w:rsidR="00693A99" w:rsidRPr="000E75B0">
        <w:rPr>
          <w:i/>
          <w:spacing w:val="-2"/>
        </w:rPr>
        <w:t>with the treatment they were receiving</w:t>
      </w:r>
      <w:r w:rsidR="000D1D50" w:rsidRPr="000E75B0">
        <w:rPr>
          <w:spacing w:val="-2"/>
        </w:rPr>
        <w:t xml:space="preserve">, </w:t>
      </w:r>
      <w:r w:rsidR="0031113D" w:rsidRPr="000E75B0">
        <w:rPr>
          <w:spacing w:val="-2"/>
        </w:rPr>
        <w:t xml:space="preserve">the average score </w:t>
      </w:r>
      <w:r w:rsidRPr="000E75B0">
        <w:rPr>
          <w:spacing w:val="-2"/>
        </w:rPr>
        <w:t>increased</w:t>
      </w:r>
      <w:r w:rsidR="0031113D" w:rsidRPr="000E75B0">
        <w:rPr>
          <w:spacing w:val="-2"/>
        </w:rPr>
        <w:t xml:space="preserve"> </w:t>
      </w:r>
      <w:r w:rsidR="000472F2" w:rsidRPr="000E75B0">
        <w:rPr>
          <w:spacing w:val="-2"/>
        </w:rPr>
        <w:t xml:space="preserve">by </w:t>
      </w:r>
      <w:r w:rsidR="000D1D50" w:rsidRPr="000E75B0">
        <w:rPr>
          <w:spacing w:val="-2"/>
        </w:rPr>
        <w:t>+0.17</w:t>
      </w:r>
      <w:r w:rsidRPr="000E75B0">
        <w:rPr>
          <w:spacing w:val="-2"/>
        </w:rPr>
        <w:t xml:space="preserve"> from 3.91 (n=43) to </w:t>
      </w:r>
      <w:r w:rsidR="001C1C55" w:rsidRPr="000E75B0">
        <w:rPr>
          <w:spacing w:val="-2"/>
        </w:rPr>
        <w:t>4.09</w:t>
      </w:r>
      <w:r w:rsidRPr="000E75B0">
        <w:rPr>
          <w:spacing w:val="-2"/>
        </w:rPr>
        <w:t xml:space="preserve"> (n=96), where a score of four represents </w:t>
      </w:r>
      <w:r w:rsidR="0010624A" w:rsidRPr="000E75B0">
        <w:rPr>
          <w:spacing w:val="-2"/>
        </w:rPr>
        <w:t>‘</w:t>
      </w:r>
      <w:r w:rsidR="00AC49EE" w:rsidRPr="000E75B0">
        <w:rPr>
          <w:i/>
          <w:spacing w:val="-2"/>
        </w:rPr>
        <w:t>satisfied</w:t>
      </w:r>
      <w:r w:rsidR="0010624A" w:rsidRPr="000E75B0">
        <w:rPr>
          <w:i/>
          <w:spacing w:val="-2"/>
        </w:rPr>
        <w:t>’</w:t>
      </w:r>
      <w:r w:rsidR="0062125B" w:rsidRPr="000E75B0">
        <w:rPr>
          <w:i/>
          <w:spacing w:val="-2"/>
        </w:rPr>
        <w:t xml:space="preserve"> </w:t>
      </w:r>
      <w:r w:rsidR="0062125B" w:rsidRPr="000E75B0">
        <w:rPr>
          <w:spacing w:val="-2"/>
        </w:rPr>
        <w:t>(</w:t>
      </w:r>
      <w:r w:rsidR="005C4D6E" w:rsidRPr="000E75B0">
        <w:rPr>
          <w:spacing w:val="-2"/>
        </w:rPr>
        <w:fldChar w:fldCharType="begin"/>
      </w:r>
      <w:r w:rsidR="005C4D6E" w:rsidRPr="000E75B0">
        <w:rPr>
          <w:spacing w:val="-2"/>
        </w:rPr>
        <w:instrText xml:space="preserve"> REF _Ref149067464 \h </w:instrText>
      </w:r>
      <w:r w:rsidR="000E75B0">
        <w:rPr>
          <w:spacing w:val="-2"/>
        </w:rPr>
        <w:instrText xml:space="preserve"> \* MERGEFORMAT </w:instrText>
      </w:r>
      <w:r w:rsidR="005C4D6E" w:rsidRPr="000E75B0">
        <w:rPr>
          <w:spacing w:val="-2"/>
        </w:rPr>
      </w:r>
      <w:r w:rsidR="005C4D6E" w:rsidRPr="000E75B0">
        <w:rPr>
          <w:spacing w:val="-2"/>
        </w:rPr>
        <w:fldChar w:fldCharType="separate"/>
      </w:r>
      <w:r w:rsidR="00ED0DF7" w:rsidRPr="000E75B0">
        <w:rPr>
          <w:spacing w:val="-2"/>
        </w:rPr>
        <w:t xml:space="preserve">Figure </w:t>
      </w:r>
      <w:r w:rsidR="00ED0DF7" w:rsidRPr="000E75B0">
        <w:rPr>
          <w:noProof/>
          <w:spacing w:val="-2"/>
        </w:rPr>
        <w:t>7</w:t>
      </w:r>
      <w:r w:rsidR="005C4D6E" w:rsidRPr="000E75B0">
        <w:rPr>
          <w:spacing w:val="-2"/>
        </w:rPr>
        <w:fldChar w:fldCharType="end"/>
      </w:r>
      <w:r w:rsidR="0062125B" w:rsidRPr="000E75B0">
        <w:rPr>
          <w:spacing w:val="-2"/>
        </w:rPr>
        <w:t>)</w:t>
      </w:r>
      <w:r w:rsidR="001C2529" w:rsidRPr="000E75B0">
        <w:rPr>
          <w:spacing w:val="-2"/>
        </w:rPr>
        <w:t>.</w:t>
      </w:r>
    </w:p>
    <w:p w14:paraId="3204AC48" w14:textId="1E051BBE" w:rsidR="001C2529" w:rsidRPr="0075693D" w:rsidRDefault="001C2529" w:rsidP="00134FF5">
      <w:pPr>
        <w:pStyle w:val="Caption"/>
      </w:pPr>
      <w:bookmarkStart w:id="63" w:name="_Ref149067464"/>
      <w:bookmarkStart w:id="64" w:name="_Toc174547292"/>
      <w:r w:rsidRPr="0075693D">
        <w:t xml:space="preserve">Figure </w:t>
      </w:r>
      <w:r w:rsidRPr="0075693D">
        <w:fldChar w:fldCharType="begin"/>
      </w:r>
      <w:r w:rsidRPr="0015701D">
        <w:instrText xml:space="preserve"> SEQ Figure \* ARABIC </w:instrText>
      </w:r>
      <w:r w:rsidRPr="0075693D">
        <w:fldChar w:fldCharType="separate"/>
      </w:r>
      <w:r w:rsidR="000A505B">
        <w:rPr>
          <w:noProof/>
        </w:rPr>
        <w:t>7</w:t>
      </w:r>
      <w:r w:rsidRPr="0075693D">
        <w:fldChar w:fldCharType="end"/>
      </w:r>
      <w:bookmarkEnd w:id="63"/>
      <w:r w:rsidRPr="0075693D">
        <w:t xml:space="preserve">: Average score of </w:t>
      </w:r>
      <w:r w:rsidR="00EC60D3" w:rsidRPr="0075693D">
        <w:t>J2SI</w:t>
      </w:r>
      <w:r w:rsidRPr="0075693D">
        <w:t xml:space="preserve"> PAD client survey to questions relating to </w:t>
      </w:r>
      <w:r w:rsidR="00EA2DED" w:rsidRPr="0075693D">
        <w:t>health</w:t>
      </w:r>
      <w:bookmarkEnd w:id="64"/>
      <w:r w:rsidR="00EA2DED" w:rsidRPr="0075693D">
        <w:t xml:space="preserve"> </w:t>
      </w:r>
    </w:p>
    <w:p w14:paraId="048FE0F0" w14:textId="2B407748" w:rsidR="00E16796" w:rsidRDefault="00CB11C6" w:rsidP="0070605A">
      <w:pPr>
        <w:pStyle w:val="BodyText"/>
        <w:rPr>
          <w:b/>
          <w:bCs/>
        </w:rPr>
      </w:pPr>
      <w:r>
        <w:rPr>
          <w:noProof/>
        </w:rPr>
        <w:drawing>
          <wp:inline distT="0" distB="0" distL="0" distR="0" wp14:anchorId="1AF5D92C" wp14:editId="193CBF41">
            <wp:extent cx="5080000" cy="2476500"/>
            <wp:effectExtent l="0" t="0" r="0" b="0"/>
            <wp:docPr id="67" name="Chart 67" descr="The figure depicts J2SI client survey results relating to health outcomes. Client experience regarding health issues interfering with goals, treatment being accessed when needed and treatment satisfaction all stayed mostly positive throughout the program.">
              <a:extLst xmlns:a="http://schemas.openxmlformats.org/drawingml/2006/main">
                <a:ext uri="{FF2B5EF4-FFF2-40B4-BE49-F238E27FC236}">
                  <a16:creationId xmlns:a16="http://schemas.microsoft.com/office/drawing/2014/main" id="{CDA04504-C41C-2D17-4C9D-985D3A4B4E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78059B" w14:textId="21E1F017" w:rsidR="00F32071" w:rsidRDefault="0004124A" w:rsidP="00A43A2D">
      <w:pPr>
        <w:pStyle w:val="BodyText"/>
        <w:jc w:val="both"/>
      </w:pPr>
      <w:r>
        <w:t>As described,</w:t>
      </w:r>
      <w:r w:rsidR="00CB799A">
        <w:t xml:space="preserve"> t</w:t>
      </w:r>
      <w:r w:rsidR="00CB799A" w:rsidRPr="00CB799A">
        <w:t xml:space="preserve">he greatest improvement in survey score from program entry to exit related to clients being able to access treatment when they needed it (+0.57). </w:t>
      </w:r>
      <w:r w:rsidR="0057547C">
        <w:t xml:space="preserve">When breaking this down by treatment type, </w:t>
      </w:r>
      <w:r w:rsidR="00FB1077">
        <w:t>at program exit, client</w:t>
      </w:r>
      <w:r w:rsidR="006B27EE">
        <w:t>s</w:t>
      </w:r>
      <w:r w:rsidR="00FB1077">
        <w:t xml:space="preserve"> </w:t>
      </w:r>
      <w:r w:rsidR="00FB1077" w:rsidRPr="00046B04">
        <w:t xml:space="preserve">reported accessing AOD treatment </w:t>
      </w:r>
      <w:r w:rsidR="00046B04" w:rsidRPr="00046B04">
        <w:t xml:space="preserve">when they needed it </w:t>
      </w:r>
      <w:r w:rsidR="002643EB">
        <w:t>more than</w:t>
      </w:r>
      <w:r w:rsidR="005B0D81" w:rsidRPr="00046B04">
        <w:t xml:space="preserve"> physical </w:t>
      </w:r>
      <w:r w:rsidR="002643EB">
        <w:t>and/or</w:t>
      </w:r>
      <w:r w:rsidR="005B0D81" w:rsidRPr="00046B04">
        <w:t xml:space="preserve"> mental health </w:t>
      </w:r>
      <w:r w:rsidR="002643EB">
        <w:t>treatment</w:t>
      </w:r>
      <w:r w:rsidR="005B0D81" w:rsidRPr="00046B04">
        <w:t xml:space="preserve"> and GPs</w:t>
      </w:r>
      <w:r w:rsidR="00046B04" w:rsidRPr="00046B04">
        <w:t xml:space="preserve"> (</w:t>
      </w:r>
      <w:r w:rsidR="005C4D6E">
        <w:fldChar w:fldCharType="begin"/>
      </w:r>
      <w:r w:rsidR="005C4D6E">
        <w:instrText xml:space="preserve"> REF _Ref149128534 \h </w:instrText>
      </w:r>
      <w:r w:rsidR="005C4D6E">
        <w:fldChar w:fldCharType="separate"/>
      </w:r>
      <w:r w:rsidR="00ED0DF7" w:rsidRPr="0075693D">
        <w:t xml:space="preserve">Figure </w:t>
      </w:r>
      <w:r w:rsidR="00ED0DF7">
        <w:rPr>
          <w:noProof/>
        </w:rPr>
        <w:t>8</w:t>
      </w:r>
      <w:r w:rsidR="005C4D6E">
        <w:fldChar w:fldCharType="end"/>
      </w:r>
      <w:r w:rsidR="00046B04" w:rsidRPr="00046B04">
        <w:t>)</w:t>
      </w:r>
      <w:r w:rsidR="005B0D81" w:rsidRPr="00046B04">
        <w:t>. This</w:t>
      </w:r>
      <w:r w:rsidR="005B0D81">
        <w:t xml:space="preserve"> </w:t>
      </w:r>
      <w:r w:rsidR="00873730">
        <w:t>differed</w:t>
      </w:r>
      <w:r w:rsidR="005B0D81">
        <w:t xml:space="preserve"> to </w:t>
      </w:r>
      <w:r w:rsidR="0053551D">
        <w:t>at</w:t>
      </w:r>
      <w:r w:rsidR="005B0D81">
        <w:t xml:space="preserve"> the start of the program, where clients reported accessing </w:t>
      </w:r>
      <w:r w:rsidR="00873730">
        <w:t>physical health treatment the most, followed by AOD</w:t>
      </w:r>
      <w:r w:rsidR="0096320E">
        <w:t xml:space="preserve"> related treatment</w:t>
      </w:r>
      <w:r w:rsidR="00873730">
        <w:t>, GPs and mental health</w:t>
      </w:r>
      <w:r w:rsidR="0096320E">
        <w:t xml:space="preserve"> treatment</w:t>
      </w:r>
      <w:r w:rsidR="00873730">
        <w:t xml:space="preserve">. </w:t>
      </w:r>
    </w:p>
    <w:p w14:paraId="0FEB45FB" w14:textId="439F8599" w:rsidR="00FB1077" w:rsidRPr="0075693D" w:rsidRDefault="00FB1077" w:rsidP="00134FF5">
      <w:pPr>
        <w:pStyle w:val="Caption"/>
      </w:pPr>
      <w:bookmarkStart w:id="65" w:name="_Ref149128534"/>
      <w:bookmarkStart w:id="66" w:name="_Toc174547293"/>
      <w:r w:rsidRPr="0075693D">
        <w:t xml:space="preserve">Figure </w:t>
      </w:r>
      <w:r w:rsidRPr="0075693D">
        <w:fldChar w:fldCharType="begin"/>
      </w:r>
      <w:r w:rsidRPr="0015701D">
        <w:instrText xml:space="preserve"> SEQ Figure \* ARABIC </w:instrText>
      </w:r>
      <w:r w:rsidRPr="0075693D">
        <w:fldChar w:fldCharType="separate"/>
      </w:r>
      <w:r w:rsidR="000A505B">
        <w:rPr>
          <w:noProof/>
        </w:rPr>
        <w:t>8</w:t>
      </w:r>
      <w:r w:rsidRPr="0075693D">
        <w:fldChar w:fldCharType="end"/>
      </w:r>
      <w:bookmarkEnd w:id="65"/>
      <w:r w:rsidRPr="0075693D">
        <w:t xml:space="preserve">: Average score of </w:t>
      </w:r>
      <w:r w:rsidR="00EC60D3" w:rsidRPr="0075693D">
        <w:t>J2SI</w:t>
      </w:r>
      <w:r w:rsidRPr="0075693D">
        <w:t xml:space="preserve"> PAD client survey to questions relating to health service access</w:t>
      </w:r>
      <w:bookmarkEnd w:id="66"/>
      <w:r w:rsidRPr="0075693D">
        <w:t xml:space="preserve"> </w:t>
      </w:r>
    </w:p>
    <w:p w14:paraId="4C0146D0" w14:textId="62A211F8" w:rsidR="008E6B10" w:rsidRDefault="0034652F" w:rsidP="00A43A2D">
      <w:pPr>
        <w:pStyle w:val="BodyText"/>
        <w:jc w:val="both"/>
      </w:pPr>
      <w:r>
        <w:rPr>
          <w:noProof/>
        </w:rPr>
        <w:drawing>
          <wp:inline distT="0" distB="0" distL="0" distR="0" wp14:anchorId="227F159B" wp14:editId="57B3F50E">
            <wp:extent cx="6543304" cy="2343150"/>
            <wp:effectExtent l="0" t="0" r="0" b="0"/>
            <wp:docPr id="9" name="Chart 9" descr="The figure depicts J2SI client survey results relating to health service access. Client use of alcohol and/or drug, mental health, physical health and GP services all increased throughout the program.">
              <a:extLst xmlns:a="http://schemas.openxmlformats.org/drawingml/2006/main">
                <a:ext uri="{FF2B5EF4-FFF2-40B4-BE49-F238E27FC236}">
                  <a16:creationId xmlns:a16="http://schemas.microsoft.com/office/drawing/2014/main" id="{7784E86E-F32E-A68E-D677-D8DD8FB1BF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4893617" w14:textId="6B5A109C" w:rsidR="00E550A1" w:rsidRDefault="0090374C" w:rsidP="00325BE2">
      <w:pPr>
        <w:pStyle w:val="BodyText"/>
      </w:pPr>
      <w:r>
        <w:t>How improvements in c</w:t>
      </w:r>
      <w:r w:rsidR="00AF0A18">
        <w:t>lients</w:t>
      </w:r>
      <w:r w:rsidR="0041255F">
        <w:t>’</w:t>
      </w:r>
      <w:r>
        <w:t xml:space="preserve"> self-reported</w:t>
      </w:r>
      <w:r w:rsidR="00AF0A18">
        <w:t xml:space="preserve"> </w:t>
      </w:r>
      <w:r>
        <w:t>health and wellbeing outcomes translated</w:t>
      </w:r>
      <w:r w:rsidR="00A010F0">
        <w:t xml:space="preserve"> </w:t>
      </w:r>
      <w:r w:rsidR="00E550A1">
        <w:t>in</w:t>
      </w:r>
      <w:r w:rsidR="00417A8F">
        <w:t xml:space="preserve">to health service use </w:t>
      </w:r>
      <w:r w:rsidR="00EC16EF">
        <w:t>has</w:t>
      </w:r>
      <w:r w:rsidR="00E550A1">
        <w:t xml:space="preserve"> be</w:t>
      </w:r>
      <w:r w:rsidR="00EC16EF">
        <w:t>en</w:t>
      </w:r>
      <w:r w:rsidR="00E550A1">
        <w:t xml:space="preserve"> explored </w:t>
      </w:r>
      <w:r>
        <w:t>by</w:t>
      </w:r>
      <w:r w:rsidR="00E550A1">
        <w:t xml:space="preserve"> considering </w:t>
      </w:r>
      <w:r w:rsidR="0053491D">
        <w:t>J2SI PAD client hospital bed days</w:t>
      </w:r>
      <w:r w:rsidR="00603767">
        <w:t xml:space="preserve">, </w:t>
      </w:r>
      <w:r w:rsidR="00323209">
        <w:t xml:space="preserve">calculated for the purposes of the </w:t>
      </w:r>
      <w:r w:rsidR="00A75D4A">
        <w:t xml:space="preserve">outcome payments, </w:t>
      </w:r>
      <w:r w:rsidR="006A678B">
        <w:t>in addition to</w:t>
      </w:r>
      <w:r w:rsidR="00A75D4A">
        <w:t xml:space="preserve"> </w:t>
      </w:r>
      <w:r w:rsidR="0096320E">
        <w:t>observational</w:t>
      </w:r>
      <w:r w:rsidR="00417A8F">
        <w:t xml:space="preserve"> </w:t>
      </w:r>
      <w:r w:rsidR="00417A8F" w:rsidRPr="002643EB">
        <w:t xml:space="preserve">analysis of </w:t>
      </w:r>
      <w:r w:rsidR="0096320E">
        <w:t>VSIIDR</w:t>
      </w:r>
      <w:r w:rsidR="00417A8F" w:rsidRPr="002643EB">
        <w:t xml:space="preserve"> </w:t>
      </w:r>
      <w:r w:rsidR="00A75D4A" w:rsidRPr="002643EB">
        <w:t>data</w:t>
      </w:r>
      <w:r w:rsidR="0096320E">
        <w:t xml:space="preserve"> for select service</w:t>
      </w:r>
      <w:r w:rsidR="002475F7">
        <w:t>s</w:t>
      </w:r>
      <w:r w:rsidR="00417A8F" w:rsidRPr="002643EB">
        <w:t>.</w:t>
      </w:r>
      <w:r w:rsidR="00417A8F">
        <w:t xml:space="preserve"> </w:t>
      </w:r>
    </w:p>
    <w:p w14:paraId="17CE3ED5" w14:textId="3076E71B" w:rsidR="00AF0A18" w:rsidRPr="002627E0" w:rsidRDefault="00417A8F" w:rsidP="00325BE2">
      <w:pPr>
        <w:pStyle w:val="BodyText"/>
      </w:pPr>
      <w:r>
        <w:t xml:space="preserve">When considering the </w:t>
      </w:r>
      <w:r w:rsidR="006A678B">
        <w:t xml:space="preserve">results of the payable outcomes measurement, </w:t>
      </w:r>
      <w:r w:rsidR="00AF0A18">
        <w:t xml:space="preserve">J2SI PAD clients saw a </w:t>
      </w:r>
      <w:r w:rsidR="00AF0A18" w:rsidRPr="00F41900">
        <w:t>reduction in hospital bed days</w:t>
      </w:r>
      <w:r w:rsidR="00AF0A18" w:rsidRPr="00EF74D5">
        <w:t xml:space="preserve"> </w:t>
      </w:r>
      <w:r w:rsidR="00AF0A18" w:rsidRPr="002627E0">
        <w:t>relative to the control group</w:t>
      </w:r>
      <w:r w:rsidRPr="002627E0">
        <w:t>.</w:t>
      </w:r>
      <w:r w:rsidR="00AF0A18" w:rsidRPr="002627E0">
        <w:t xml:space="preserve"> </w:t>
      </w:r>
      <w:r w:rsidRPr="002627E0">
        <w:t>S</w:t>
      </w:r>
      <w:r w:rsidR="00AF0A18" w:rsidRPr="002627E0">
        <w:t xml:space="preserve">pecifically:  </w:t>
      </w:r>
    </w:p>
    <w:p w14:paraId="5E4D1D36" w14:textId="2D206A53" w:rsidR="00AF0A18" w:rsidRPr="002627E0" w:rsidRDefault="00AF0A18" w:rsidP="00632D10">
      <w:pPr>
        <w:pStyle w:val="Bullet1stlevel"/>
      </w:pPr>
      <w:r w:rsidRPr="002627E0">
        <w:rPr>
          <w:rFonts w:cs="@Batang"/>
        </w:rPr>
        <w:t xml:space="preserve">At the final 48 month reporting period, </w:t>
      </w:r>
      <w:r w:rsidR="0041255F" w:rsidRPr="002627E0">
        <w:rPr>
          <w:rFonts w:cs="@Batang"/>
        </w:rPr>
        <w:t xml:space="preserve">the </w:t>
      </w:r>
      <w:r w:rsidRPr="002627E0">
        <w:t>hospital bed days</w:t>
      </w:r>
      <w:r w:rsidR="002643EB" w:rsidRPr="002627E0">
        <w:t xml:space="preserve"> </w:t>
      </w:r>
      <w:r w:rsidR="0041255F" w:rsidRPr="002627E0">
        <w:t xml:space="preserve">of </w:t>
      </w:r>
      <w:r w:rsidR="0041255F" w:rsidRPr="002627E0">
        <w:rPr>
          <w:rFonts w:cs="@Batang"/>
        </w:rPr>
        <w:t>Cohort 3.1</w:t>
      </w:r>
      <w:r w:rsidR="0041255F" w:rsidRPr="002627E0">
        <w:t xml:space="preserve"> </w:t>
      </w:r>
      <w:r w:rsidR="002643EB" w:rsidRPr="002627E0">
        <w:t>had</w:t>
      </w:r>
      <w:r w:rsidRPr="002627E0">
        <w:t xml:space="preserve"> reduced </w:t>
      </w:r>
      <w:r w:rsidR="002643EB" w:rsidRPr="002627E0">
        <w:t xml:space="preserve">by </w:t>
      </w:r>
      <w:r w:rsidRPr="002627E0">
        <w:t xml:space="preserve">46.94 </w:t>
      </w:r>
      <w:r w:rsidR="00D431DA" w:rsidRPr="002627E0">
        <w:t>per cent</w:t>
      </w:r>
      <w:r w:rsidRPr="002627E0">
        <w:t xml:space="preserve"> (from 10.</w:t>
      </w:r>
      <w:r w:rsidR="00431949">
        <w:t>5</w:t>
      </w:r>
      <w:r w:rsidRPr="002627E0">
        <w:t xml:space="preserve"> to 5.</w:t>
      </w:r>
      <w:r w:rsidR="002F1D95">
        <w:t>6</w:t>
      </w:r>
      <w:r w:rsidRPr="002627E0">
        <w:t xml:space="preserve"> days a year), representing a relative rate of improv</w:t>
      </w:r>
      <w:r w:rsidRPr="00695BB1">
        <w:t>ement of 109.1</w:t>
      </w:r>
      <w:r w:rsidR="00695BB1" w:rsidRPr="00695BB1">
        <w:t>0</w:t>
      </w:r>
      <w:r w:rsidRPr="00695BB1">
        <w:t xml:space="preserve"> </w:t>
      </w:r>
      <w:r w:rsidR="00D431DA" w:rsidRPr="00695BB1">
        <w:t>per</w:t>
      </w:r>
      <w:r w:rsidR="00D431DA" w:rsidRPr="002627E0">
        <w:t xml:space="preserve"> cent</w:t>
      </w:r>
      <w:r w:rsidRPr="002627E0">
        <w:t xml:space="preserve"> compared to the control group;</w:t>
      </w:r>
    </w:p>
    <w:p w14:paraId="4F66846C" w14:textId="292AD428" w:rsidR="00AF0A18" w:rsidRPr="00695BB1" w:rsidRDefault="00AF0A18" w:rsidP="00632D10">
      <w:pPr>
        <w:pStyle w:val="Bullet1stlevel"/>
      </w:pPr>
      <w:r w:rsidRPr="00883630">
        <w:rPr>
          <w:rFonts w:cs="@Batang"/>
        </w:rPr>
        <w:t xml:space="preserve">At the </w:t>
      </w:r>
      <w:r w:rsidR="002643EB">
        <w:rPr>
          <w:rFonts w:cs="@Batang"/>
        </w:rPr>
        <w:t xml:space="preserve">final </w:t>
      </w:r>
      <w:r w:rsidRPr="00883630">
        <w:rPr>
          <w:rFonts w:cs="@Batang"/>
        </w:rPr>
        <w:t>48 month reporting period</w:t>
      </w:r>
      <w:r w:rsidR="002643EB" w:rsidRPr="00883630">
        <w:rPr>
          <w:rFonts w:cs="@Batang"/>
        </w:rPr>
        <w:t xml:space="preserve">, </w:t>
      </w:r>
      <w:r w:rsidR="0041255F">
        <w:rPr>
          <w:rFonts w:cs="@Batang"/>
        </w:rPr>
        <w:t xml:space="preserve">the </w:t>
      </w:r>
      <w:r w:rsidRPr="00883630">
        <w:t xml:space="preserve">hospital bed days </w:t>
      </w:r>
      <w:r w:rsidR="0041255F">
        <w:t xml:space="preserve">of </w:t>
      </w:r>
      <w:r w:rsidR="0041255F">
        <w:rPr>
          <w:rFonts w:cs="@Batang"/>
        </w:rPr>
        <w:t>Cohort 3.2</w:t>
      </w:r>
      <w:r w:rsidR="0041255F" w:rsidRPr="00883630">
        <w:rPr>
          <w:rFonts w:cs="@Batang"/>
        </w:rPr>
        <w:t xml:space="preserve"> </w:t>
      </w:r>
      <w:r w:rsidR="002643EB">
        <w:t xml:space="preserve">had </w:t>
      </w:r>
      <w:r w:rsidRPr="00883630">
        <w:t>reduced</w:t>
      </w:r>
      <w:r w:rsidR="002643EB">
        <w:t xml:space="preserve"> by</w:t>
      </w:r>
      <w:r w:rsidRPr="00883630">
        <w:t xml:space="preserve"> </w:t>
      </w:r>
      <w:r w:rsidRPr="00614288">
        <w:t>60.35</w:t>
      </w:r>
      <w:r w:rsidRPr="00883630">
        <w:t xml:space="preserve"> </w:t>
      </w:r>
      <w:r w:rsidR="00D431DA">
        <w:t>per cent</w:t>
      </w:r>
      <w:r w:rsidRPr="00883630">
        <w:t xml:space="preserve"> (from 10.</w:t>
      </w:r>
      <w:r>
        <w:t>2</w:t>
      </w:r>
      <w:r w:rsidRPr="00883630">
        <w:t xml:space="preserve"> to </w:t>
      </w:r>
      <w:r>
        <w:t>4</w:t>
      </w:r>
      <w:r w:rsidRPr="00883630">
        <w:t>.</w:t>
      </w:r>
      <w:r>
        <w:t>0</w:t>
      </w:r>
      <w:r w:rsidRPr="00883630">
        <w:t xml:space="preserve"> days a year), representing a relative rate of </w:t>
      </w:r>
      <w:r w:rsidRPr="00695BB1">
        <w:t>improvement of 122.5</w:t>
      </w:r>
      <w:r w:rsidR="00695BB1" w:rsidRPr="00695BB1">
        <w:t>1</w:t>
      </w:r>
      <w:r w:rsidRPr="00695BB1">
        <w:t xml:space="preserve"> </w:t>
      </w:r>
      <w:r w:rsidR="00D431DA" w:rsidRPr="00695BB1">
        <w:t>per cent</w:t>
      </w:r>
      <w:r w:rsidRPr="00695BB1">
        <w:t xml:space="preserve"> compared to the control group; and</w:t>
      </w:r>
    </w:p>
    <w:p w14:paraId="2AF2FAFA" w14:textId="34B7BB35" w:rsidR="00AF0A18" w:rsidRPr="00883630" w:rsidRDefault="00AF0A18" w:rsidP="00632D10">
      <w:pPr>
        <w:pStyle w:val="Bullet1stlevel"/>
      </w:pPr>
      <w:r>
        <w:t xml:space="preserve">At the </w:t>
      </w:r>
      <w:r w:rsidR="008279B4">
        <w:t>36</w:t>
      </w:r>
      <w:r>
        <w:t xml:space="preserve"> month reporting period,</w:t>
      </w:r>
      <w:r w:rsidR="002643EB">
        <w:t xml:space="preserve"> </w:t>
      </w:r>
      <w:r w:rsidR="0041255F">
        <w:t xml:space="preserve">the </w:t>
      </w:r>
      <w:r>
        <w:t>hospital bed days</w:t>
      </w:r>
      <w:r w:rsidR="002643EB">
        <w:t xml:space="preserve"> </w:t>
      </w:r>
      <w:r w:rsidR="0041255F">
        <w:t xml:space="preserve">of Cohort 3.3 </w:t>
      </w:r>
      <w:r w:rsidR="002643EB">
        <w:t>had</w:t>
      </w:r>
      <w:r>
        <w:t xml:space="preserve"> </w:t>
      </w:r>
      <w:r w:rsidRPr="00C96083">
        <w:t xml:space="preserve">reduced </w:t>
      </w:r>
      <w:r w:rsidR="002643EB">
        <w:t>by</w:t>
      </w:r>
      <w:r w:rsidR="002643EB" w:rsidRPr="00C96083">
        <w:t xml:space="preserve"> </w:t>
      </w:r>
      <w:r w:rsidRPr="00702A58">
        <w:t>43.85</w:t>
      </w:r>
      <w:r w:rsidRPr="00C96083">
        <w:t xml:space="preserve"> </w:t>
      </w:r>
      <w:r w:rsidR="00D431DA">
        <w:t>per cent</w:t>
      </w:r>
      <w:r w:rsidRPr="00C96083">
        <w:t xml:space="preserve"> (from </w:t>
      </w:r>
      <w:r>
        <w:t>6.</w:t>
      </w:r>
      <w:r w:rsidR="00114FE4">
        <w:t>4</w:t>
      </w:r>
      <w:r w:rsidRPr="00C96083">
        <w:t xml:space="preserve"> to </w:t>
      </w:r>
      <w:r>
        <w:t>3</w:t>
      </w:r>
      <w:r w:rsidRPr="00C96083">
        <w:t>.</w:t>
      </w:r>
      <w:r>
        <w:t>5</w:t>
      </w:r>
      <w:r w:rsidRPr="00C96083">
        <w:t xml:space="preserve"> days a year), representing a relative rate of improvement of 1</w:t>
      </w:r>
      <w:r>
        <w:t>08</w:t>
      </w:r>
      <w:r w:rsidRPr="00C96083">
        <w:t>.</w:t>
      </w:r>
      <w:r>
        <w:t>7</w:t>
      </w:r>
      <w:r w:rsidR="00BC312D">
        <w:t>1</w:t>
      </w:r>
      <w:r w:rsidRPr="00C96083">
        <w:t xml:space="preserve"> </w:t>
      </w:r>
      <w:r w:rsidR="00D431DA">
        <w:t>per cent</w:t>
      </w:r>
      <w:r w:rsidRPr="00C96083">
        <w:t xml:space="preserve"> compared to the control group</w:t>
      </w:r>
      <w:r>
        <w:t>.</w:t>
      </w:r>
    </w:p>
    <w:p w14:paraId="2C7B889C" w14:textId="008A6F57" w:rsidR="009B70F9" w:rsidRPr="004C7F79" w:rsidRDefault="00EC16EF" w:rsidP="001A1F7B">
      <w:pPr>
        <w:pStyle w:val="BodyText"/>
        <w:jc w:val="both"/>
      </w:pPr>
      <w:r w:rsidRPr="004C7F79">
        <w:lastRenderedPageBreak/>
        <w:t xml:space="preserve">Similarly, results from the </w:t>
      </w:r>
      <w:r w:rsidR="00EF2ED3">
        <w:t>analysis of VSIIDR data</w:t>
      </w:r>
      <w:r w:rsidR="003030E7" w:rsidRPr="004C7F79">
        <w:t xml:space="preserve"> found that</w:t>
      </w:r>
      <w:r w:rsidR="0090007B" w:rsidRPr="004C7F79">
        <w:t xml:space="preserve">, on average, </w:t>
      </w:r>
      <w:r w:rsidR="006108DA" w:rsidRPr="004C7F79">
        <w:t xml:space="preserve">J2SI PAD clients presented to the ED </w:t>
      </w:r>
      <w:r w:rsidR="008E2812" w:rsidRPr="004C7F79">
        <w:t xml:space="preserve">less </w:t>
      </w:r>
      <w:r w:rsidR="00054B33">
        <w:t xml:space="preserve">often </w:t>
      </w:r>
      <w:r w:rsidR="008E2812" w:rsidRPr="004C7F79">
        <w:t>per month</w:t>
      </w:r>
      <w:r w:rsidR="00AE41C1" w:rsidRPr="004C7F79">
        <w:t xml:space="preserve"> </w:t>
      </w:r>
      <w:r w:rsidR="00D92896" w:rsidRPr="004C7F79">
        <w:t xml:space="preserve">as the program progressed. </w:t>
      </w:r>
      <w:r w:rsidR="00287B1F" w:rsidRPr="004C7F79">
        <w:t xml:space="preserve">As shown in </w:t>
      </w:r>
      <w:r w:rsidR="005C4D6E">
        <w:fldChar w:fldCharType="begin"/>
      </w:r>
      <w:r w:rsidR="005C4D6E">
        <w:instrText xml:space="preserve"> REF _Ref149829815 \h </w:instrText>
      </w:r>
      <w:r w:rsidR="005C4D6E">
        <w:fldChar w:fldCharType="separate"/>
      </w:r>
      <w:r w:rsidR="00ED0DF7" w:rsidRPr="0075693D">
        <w:t xml:space="preserve">Figure </w:t>
      </w:r>
      <w:r w:rsidR="00ED0DF7">
        <w:rPr>
          <w:noProof/>
        </w:rPr>
        <w:t>9</w:t>
      </w:r>
      <w:r w:rsidR="005C4D6E">
        <w:fldChar w:fldCharType="end"/>
      </w:r>
      <w:r w:rsidR="00287B1F" w:rsidRPr="004C7F79">
        <w:t xml:space="preserve">, </w:t>
      </w:r>
      <w:r w:rsidR="00E434D4" w:rsidRPr="004C7F79">
        <w:t>all J2SI PAD cohorts saw</w:t>
      </w:r>
      <w:r w:rsidR="00917D58" w:rsidRPr="004C7F79">
        <w:t xml:space="preserve"> a</w:t>
      </w:r>
      <w:r w:rsidR="00E434D4" w:rsidRPr="004C7F79">
        <w:t xml:space="preserve"> </w:t>
      </w:r>
      <w:r w:rsidR="005D56DC" w:rsidRPr="004C7F79">
        <w:t>downward trend in</w:t>
      </w:r>
      <w:r w:rsidR="00E434D4" w:rsidRPr="004C7F79">
        <w:t xml:space="preserve"> average monthly</w:t>
      </w:r>
      <w:r w:rsidR="00287B1F" w:rsidRPr="004C7F79">
        <w:t xml:space="preserve"> ED</w:t>
      </w:r>
      <w:r w:rsidR="00E434D4" w:rsidRPr="004C7F79">
        <w:t xml:space="preserve"> </w:t>
      </w:r>
      <w:r w:rsidR="00287B1F" w:rsidRPr="004C7F79">
        <w:t xml:space="preserve">presentations </w:t>
      </w:r>
      <w:r w:rsidR="00D25C11" w:rsidRPr="004C7F79">
        <w:t xml:space="preserve">across </w:t>
      </w:r>
      <w:r w:rsidR="004C7F79">
        <w:t>program</w:t>
      </w:r>
      <w:r w:rsidR="0090007B" w:rsidRPr="004C7F79">
        <w:t>.</w:t>
      </w:r>
      <w:r w:rsidR="00272B50">
        <w:rPr>
          <w:rFonts w:ascii="ZWAdobeF" w:hAnsi="ZWAdobeF" w:cs="ZWAdobeF"/>
          <w:color w:val="auto"/>
          <w:sz w:val="2"/>
          <w:szCs w:val="2"/>
        </w:rPr>
        <w:t>15F</w:t>
      </w:r>
      <w:r w:rsidR="00125CA2">
        <w:rPr>
          <w:rFonts w:ascii="ZWAdobeF" w:hAnsi="ZWAdobeF" w:cs="ZWAdobeF"/>
          <w:color w:val="auto"/>
          <w:sz w:val="2"/>
          <w:szCs w:val="2"/>
        </w:rPr>
        <w:t>1</w:t>
      </w:r>
      <w:r w:rsidR="005D56DC" w:rsidRPr="004C7F79">
        <w:rPr>
          <w:rStyle w:val="FootnoteReference"/>
        </w:rPr>
        <w:footnoteReference w:id="36"/>
      </w:r>
      <w:r w:rsidR="0090007B" w:rsidRPr="004C7F79">
        <w:t xml:space="preserve"> </w:t>
      </w:r>
    </w:p>
    <w:p w14:paraId="504FC9C4" w14:textId="03597962" w:rsidR="007D5C69" w:rsidRPr="0075693D" w:rsidRDefault="007D5C69" w:rsidP="00134FF5">
      <w:pPr>
        <w:pStyle w:val="Caption"/>
      </w:pPr>
      <w:bookmarkStart w:id="67" w:name="_Ref149829815"/>
      <w:bookmarkStart w:id="68" w:name="_Ref150182153"/>
      <w:bookmarkStart w:id="69" w:name="_Toc174547294"/>
      <w:r w:rsidRPr="0075693D">
        <w:t xml:space="preserve">Figure </w:t>
      </w:r>
      <w:r w:rsidRPr="0075693D">
        <w:fldChar w:fldCharType="begin"/>
      </w:r>
      <w:r w:rsidRPr="0015701D">
        <w:instrText xml:space="preserve"> SEQ Figure \* ARABIC </w:instrText>
      </w:r>
      <w:r w:rsidRPr="0075693D">
        <w:fldChar w:fldCharType="separate"/>
      </w:r>
      <w:r w:rsidR="000A505B">
        <w:rPr>
          <w:noProof/>
        </w:rPr>
        <w:t>9</w:t>
      </w:r>
      <w:r w:rsidRPr="0075693D">
        <w:fldChar w:fldCharType="end"/>
      </w:r>
      <w:bookmarkEnd w:id="67"/>
      <w:r w:rsidRPr="0075693D">
        <w:t xml:space="preserve">: Average </w:t>
      </w:r>
      <w:r w:rsidR="005C084E" w:rsidRPr="0075693D">
        <w:t>presentation to ED, per J2SI client, per month across the program period</w:t>
      </w:r>
      <w:bookmarkEnd w:id="68"/>
      <w:bookmarkEnd w:id="69"/>
      <w:r w:rsidRPr="0075693D">
        <w:t xml:space="preserve"> </w:t>
      </w:r>
    </w:p>
    <w:p w14:paraId="504AB1B3" w14:textId="104441A5" w:rsidR="007D5C69" w:rsidRDefault="00AD66ED" w:rsidP="00AD66ED">
      <w:r>
        <w:rPr>
          <w:noProof/>
        </w:rPr>
        <w:drawing>
          <wp:inline distT="0" distB="0" distL="0" distR="0" wp14:anchorId="2597173B" wp14:editId="62C35183">
            <wp:extent cx="6543304" cy="2838203"/>
            <wp:effectExtent l="0" t="0" r="0" b="0"/>
            <wp:docPr id="26" name="Chart 26" descr="The figure depicts J2SI client average ED presentations. Client ED presentations decreased compared to baseline for all cohorts throughout the program.">
              <a:extLst xmlns:a="http://schemas.openxmlformats.org/drawingml/2006/main">
                <a:ext uri="{FF2B5EF4-FFF2-40B4-BE49-F238E27FC236}">
                  <a16:creationId xmlns:a16="http://schemas.microsoft.com/office/drawing/2014/main" id="{C6D8F0AF-5A17-D89C-10E4-0B3AF9962D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F63A8A2" w14:textId="3084E841" w:rsidR="007766C5" w:rsidRDefault="00B976F0" w:rsidP="000E75B0">
      <w:pPr>
        <w:pStyle w:val="BodyText"/>
        <w:spacing w:before="240"/>
        <w:jc w:val="both"/>
      </w:pPr>
      <w:r>
        <w:t xml:space="preserve">Unlike hospital bed days and ED presentations, </w:t>
      </w:r>
      <w:r w:rsidR="00426E77">
        <w:t xml:space="preserve">J2SI PAD </w:t>
      </w:r>
      <w:r w:rsidR="00101BF5">
        <w:t>clients</w:t>
      </w:r>
      <w:r w:rsidR="0041255F">
        <w:t>’</w:t>
      </w:r>
      <w:r w:rsidR="00426E77">
        <w:t xml:space="preserve"> average </w:t>
      </w:r>
      <w:r w:rsidR="00426E77" w:rsidRPr="00F41900">
        <w:t>monthly community health hours increased across the program</w:t>
      </w:r>
      <w:r w:rsidR="000C7AE1" w:rsidRPr="00F41900">
        <w:t xml:space="preserve"> (</w:t>
      </w:r>
      <w:r w:rsidR="005C4D6E">
        <w:fldChar w:fldCharType="begin"/>
      </w:r>
      <w:r w:rsidR="005C4D6E">
        <w:instrText xml:space="preserve"> REF _Ref149830980 \h </w:instrText>
      </w:r>
      <w:r w:rsidR="005C4D6E">
        <w:fldChar w:fldCharType="separate"/>
      </w:r>
      <w:r w:rsidR="00ED0DF7" w:rsidRPr="0075693D">
        <w:t xml:space="preserve">Figure </w:t>
      </w:r>
      <w:r w:rsidR="00ED0DF7">
        <w:rPr>
          <w:noProof/>
        </w:rPr>
        <w:t>10</w:t>
      </w:r>
      <w:r w:rsidR="005C4D6E">
        <w:fldChar w:fldCharType="end"/>
      </w:r>
      <w:r w:rsidR="000C7AE1" w:rsidRPr="00F41900">
        <w:t>)</w:t>
      </w:r>
      <w:r w:rsidR="00426E77" w:rsidRPr="00F41900">
        <w:t>.</w:t>
      </w:r>
      <w:r w:rsidR="000C7AE1" w:rsidRPr="00F41900">
        <w:t xml:space="preserve"> </w:t>
      </w:r>
      <w:r w:rsidR="00584E89" w:rsidRPr="00F41900">
        <w:t xml:space="preserve">This increase </w:t>
      </w:r>
      <w:r w:rsidR="00E90727" w:rsidRPr="00F41900">
        <w:t>may have played a role</w:t>
      </w:r>
      <w:r w:rsidR="00E90727">
        <w:t xml:space="preserve"> in clients reducing their </w:t>
      </w:r>
      <w:r w:rsidR="00515648">
        <w:t>need to engage</w:t>
      </w:r>
      <w:r w:rsidR="00E90727">
        <w:t xml:space="preserve"> with the tertiary health system</w:t>
      </w:r>
      <w:r w:rsidR="00515648">
        <w:t xml:space="preserve">, </w:t>
      </w:r>
      <w:r w:rsidR="003C7A14">
        <w:t>signalling</w:t>
      </w:r>
      <w:r w:rsidR="00FA5713">
        <w:t xml:space="preserve"> </w:t>
      </w:r>
      <w:r w:rsidR="003C7A14">
        <w:t>increased help seeking behaviour</w:t>
      </w:r>
      <w:r w:rsidR="004C3D2F">
        <w:t>.</w:t>
      </w:r>
      <w:r w:rsidR="002D1ADC">
        <w:t xml:space="preserve"> </w:t>
      </w:r>
      <w:r w:rsidR="00EF383F">
        <w:t xml:space="preserve">It is noted that community health hours for Cohorts </w:t>
      </w:r>
      <w:r w:rsidR="00A42E61">
        <w:t>1</w:t>
      </w:r>
      <w:r w:rsidR="00EF383F">
        <w:t xml:space="preserve"> and </w:t>
      </w:r>
      <w:r w:rsidR="00A42E61">
        <w:t>2</w:t>
      </w:r>
      <w:r w:rsidR="00EF383F">
        <w:t xml:space="preserve"> reduced </w:t>
      </w:r>
      <w:r w:rsidR="009722CF">
        <w:t xml:space="preserve">between 31 and 36 months to levels comparable to </w:t>
      </w:r>
      <w:r w:rsidR="00054B33">
        <w:t xml:space="preserve">the </w:t>
      </w:r>
      <w:r w:rsidR="009722CF">
        <w:t>baseline</w:t>
      </w:r>
      <w:r w:rsidR="006440A2">
        <w:t>.</w:t>
      </w:r>
    </w:p>
    <w:p w14:paraId="55902622" w14:textId="6DE507F4" w:rsidR="0025054A" w:rsidRPr="0075693D" w:rsidRDefault="0025054A" w:rsidP="00134FF5">
      <w:pPr>
        <w:pStyle w:val="Caption"/>
      </w:pPr>
      <w:bookmarkStart w:id="70" w:name="_Ref149830980"/>
      <w:bookmarkStart w:id="71" w:name="_Toc174547295"/>
      <w:r w:rsidRPr="0075693D">
        <w:t xml:space="preserve">Figure </w:t>
      </w:r>
      <w:r w:rsidRPr="0075693D">
        <w:fldChar w:fldCharType="begin"/>
      </w:r>
      <w:r w:rsidRPr="0015701D">
        <w:instrText xml:space="preserve"> SEQ Figure \* ARABIC </w:instrText>
      </w:r>
      <w:r w:rsidRPr="0075693D">
        <w:fldChar w:fldCharType="separate"/>
      </w:r>
      <w:r w:rsidR="000A505B">
        <w:rPr>
          <w:noProof/>
        </w:rPr>
        <w:t>10</w:t>
      </w:r>
      <w:r w:rsidRPr="0075693D">
        <w:fldChar w:fldCharType="end"/>
      </w:r>
      <w:bookmarkEnd w:id="70"/>
      <w:r w:rsidRPr="0075693D">
        <w:t xml:space="preserve">: Average </w:t>
      </w:r>
      <w:r w:rsidR="00BC7775" w:rsidRPr="0075693D">
        <w:t>community health hours</w:t>
      </w:r>
      <w:r w:rsidRPr="0075693D">
        <w:t>, per J2SI client, per month across the program period</w:t>
      </w:r>
      <w:bookmarkEnd w:id="71"/>
      <w:r w:rsidRPr="0075693D">
        <w:t xml:space="preserve"> </w:t>
      </w:r>
    </w:p>
    <w:p w14:paraId="1644E39F" w14:textId="1D57A9A0" w:rsidR="0034352C" w:rsidRPr="0058768A" w:rsidRDefault="004976E9" w:rsidP="0058768A">
      <w:r>
        <w:rPr>
          <w:noProof/>
        </w:rPr>
        <w:drawing>
          <wp:inline distT="0" distB="0" distL="0" distR="0" wp14:anchorId="7947D408" wp14:editId="0D5E982E">
            <wp:extent cx="6460177" cy="2888615"/>
            <wp:effectExtent l="0" t="0" r="0" b="0"/>
            <wp:docPr id="39" name="Chart 39" descr="The figure depicts J2SI client average community health hours accessed. Client community health service use increased compared to baseline for all cohorts throughout the program.">
              <a:extLst xmlns:a="http://schemas.openxmlformats.org/drawingml/2006/main">
                <a:ext uri="{FF2B5EF4-FFF2-40B4-BE49-F238E27FC236}">
                  <a16:creationId xmlns:a16="http://schemas.microsoft.com/office/drawing/2014/main" id="{5F4B3C03-0349-668C-6577-EC6A05833D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9C5E2A4" w14:textId="77777777" w:rsidR="00525613" w:rsidRDefault="00525613" w:rsidP="00A43A2D">
      <w:pPr>
        <w:pStyle w:val="BodyText"/>
        <w:jc w:val="both"/>
        <w:rPr>
          <w:color w:val="auto"/>
        </w:rPr>
        <w:sectPr w:rsidR="00525613" w:rsidSect="005B0986">
          <w:pgSz w:w="11906" w:h="16838"/>
          <w:pgMar w:top="851" w:right="851" w:bottom="851" w:left="851" w:header="567" w:footer="283" w:gutter="0"/>
          <w:cols w:space="708"/>
          <w:docGrid w:linePitch="360"/>
        </w:sectPr>
      </w:pP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A40467" w14:paraId="3C2BEB42" w14:textId="77777777" w:rsidTr="00F01861">
        <w:trPr>
          <w:trHeight w:val="429"/>
        </w:trPr>
        <w:tc>
          <w:tcPr>
            <w:tcW w:w="10204" w:type="dxa"/>
          </w:tcPr>
          <w:p w14:paraId="6A3CDE60" w14:textId="11013019" w:rsidR="00A40467" w:rsidRPr="00AB7357" w:rsidRDefault="00A40467">
            <w:pPr>
              <w:pStyle w:val="BodyText"/>
              <w:spacing w:before="0" w:after="0"/>
              <w:ind w:left="-113"/>
              <w:jc w:val="left"/>
              <w:rPr>
                <w:b/>
                <w:bCs/>
                <w:i w:val="0"/>
                <w:iCs/>
              </w:rPr>
            </w:pPr>
            <w:r>
              <w:rPr>
                <w:b/>
                <w:bCs/>
                <w:i w:val="0"/>
                <w:iCs/>
              </w:rPr>
              <w:lastRenderedPageBreak/>
              <w:t xml:space="preserve">Independence </w:t>
            </w:r>
          </w:p>
        </w:tc>
      </w:tr>
      <w:tr w:rsidR="00C97A75" w14:paraId="311CFFFC" w14:textId="77777777" w:rsidTr="005008AD">
        <w:trPr>
          <w:trHeight w:val="1652"/>
        </w:trPr>
        <w:tc>
          <w:tcPr>
            <w:tcW w:w="10204" w:type="dxa"/>
            <w:tcBorders>
              <w:top w:val="single" w:sz="12" w:space="0" w:color="1E49E2" w:themeColor="accent1"/>
              <w:bottom w:val="nil"/>
            </w:tcBorders>
            <w:shd w:val="clear" w:color="auto" w:fill="CAF1FF" w:themeFill="accent2" w:themeFillTint="33"/>
          </w:tcPr>
          <w:p w14:paraId="32359635" w14:textId="7C569BA5" w:rsidR="00C97A75" w:rsidRPr="00632D10" w:rsidRDefault="00C97A75" w:rsidP="00632D10">
            <w:pPr>
              <w:pStyle w:val="Bullet1stlevel"/>
              <w:numPr>
                <w:ilvl w:val="0"/>
                <w:numId w:val="0"/>
              </w:numPr>
              <w:jc w:val="left"/>
              <w:rPr>
                <w:i w:val="0"/>
                <w:iCs/>
              </w:rPr>
            </w:pPr>
            <w:r w:rsidRPr="00632D10">
              <w:rPr>
                <w:i w:val="0"/>
                <w:iCs/>
              </w:rPr>
              <w:t>Key findings</w:t>
            </w:r>
            <w:r w:rsidR="007357A6" w:rsidRPr="00632D10">
              <w:rPr>
                <w:i w:val="0"/>
                <w:iCs/>
              </w:rPr>
              <w:t>:</w:t>
            </w:r>
          </w:p>
          <w:p w14:paraId="6DD8CC28" w14:textId="54D4FB51" w:rsidR="00C97A75" w:rsidRPr="00E77980" w:rsidRDefault="00D1109F" w:rsidP="007A2CBF">
            <w:pPr>
              <w:pStyle w:val="Bullet1stlevel"/>
              <w:numPr>
                <w:ilvl w:val="0"/>
                <w:numId w:val="46"/>
              </w:numPr>
              <w:tabs>
                <w:tab w:val="num" w:pos="1570"/>
              </w:tabs>
              <w:ind w:left="373"/>
              <w:jc w:val="left"/>
              <w:rPr>
                <w:i w:val="0"/>
                <w:iCs/>
              </w:rPr>
            </w:pPr>
            <w:r w:rsidRPr="00632D10">
              <w:rPr>
                <w:rFonts w:cs="@Batang"/>
                <w:i w:val="0"/>
                <w:iCs/>
              </w:rPr>
              <w:t xml:space="preserve">J2SI PAD clients </w:t>
            </w:r>
            <w:r w:rsidR="004F426C" w:rsidRPr="00632D10">
              <w:rPr>
                <w:rFonts w:cs="@Batang"/>
                <w:i w:val="0"/>
                <w:iCs/>
              </w:rPr>
              <w:t>showed</w:t>
            </w:r>
            <w:r w:rsidR="00386657" w:rsidRPr="00632D10">
              <w:rPr>
                <w:rFonts w:cs="@Batang"/>
                <w:i w:val="0"/>
                <w:iCs/>
              </w:rPr>
              <w:t xml:space="preserve"> a slight</w:t>
            </w:r>
            <w:r w:rsidR="004F426C" w:rsidRPr="00632D10">
              <w:rPr>
                <w:rFonts w:cs="@Batang"/>
                <w:i w:val="0"/>
                <w:iCs/>
              </w:rPr>
              <w:t xml:space="preserve"> improvement in </w:t>
            </w:r>
            <w:r w:rsidR="000125A9" w:rsidRPr="00632D10">
              <w:rPr>
                <w:rFonts w:cs="@Batang"/>
                <w:i w:val="0"/>
                <w:iCs/>
              </w:rPr>
              <w:t>areas relating to their independence</w:t>
            </w:r>
            <w:r w:rsidR="004F426C" w:rsidRPr="00632D10">
              <w:rPr>
                <w:rFonts w:cs="@Batang"/>
                <w:i w:val="0"/>
                <w:iCs/>
              </w:rPr>
              <w:t xml:space="preserve">. </w:t>
            </w:r>
            <w:r w:rsidR="00007D0F" w:rsidRPr="00632D10">
              <w:rPr>
                <w:i w:val="0"/>
                <w:iCs/>
              </w:rPr>
              <w:t>T</w:t>
            </w:r>
            <w:r w:rsidR="006511EE" w:rsidRPr="00632D10">
              <w:rPr>
                <w:i w:val="0"/>
                <w:iCs/>
              </w:rPr>
              <w:t xml:space="preserve">he greatest improvement in </w:t>
            </w:r>
            <w:r w:rsidR="004B279E" w:rsidRPr="00632D10">
              <w:rPr>
                <w:i w:val="0"/>
                <w:iCs/>
              </w:rPr>
              <w:t xml:space="preserve">client </w:t>
            </w:r>
            <w:r w:rsidR="006511EE" w:rsidRPr="00632D10">
              <w:rPr>
                <w:i w:val="0"/>
                <w:iCs/>
              </w:rPr>
              <w:t xml:space="preserve">survey </w:t>
            </w:r>
            <w:r w:rsidR="004B279E" w:rsidRPr="00632D10">
              <w:rPr>
                <w:i w:val="0"/>
                <w:iCs/>
              </w:rPr>
              <w:t>scores</w:t>
            </w:r>
            <w:r w:rsidR="00E77980" w:rsidRPr="00632D10">
              <w:rPr>
                <w:i w:val="0"/>
                <w:iCs/>
              </w:rPr>
              <w:t xml:space="preserve"> regarding independence </w:t>
            </w:r>
            <w:r w:rsidR="006511EE" w:rsidRPr="00632D10">
              <w:rPr>
                <w:i w:val="0"/>
                <w:iCs/>
              </w:rPr>
              <w:t xml:space="preserve">related to </w:t>
            </w:r>
            <w:r w:rsidRPr="00632D10">
              <w:rPr>
                <w:i w:val="0"/>
                <w:iCs/>
              </w:rPr>
              <w:t>clients’</w:t>
            </w:r>
            <w:r w:rsidR="00685752" w:rsidRPr="00632D10">
              <w:rPr>
                <w:i w:val="0"/>
                <w:iCs/>
              </w:rPr>
              <w:t xml:space="preserve"> </w:t>
            </w:r>
            <w:r w:rsidR="00BB33B4" w:rsidRPr="00632D10">
              <w:rPr>
                <w:i w:val="0"/>
                <w:iCs/>
              </w:rPr>
              <w:t xml:space="preserve">feelings of </w:t>
            </w:r>
            <w:r w:rsidRPr="00632D10">
              <w:rPr>
                <w:i w:val="0"/>
                <w:iCs/>
              </w:rPr>
              <w:t xml:space="preserve">having </w:t>
            </w:r>
            <w:r w:rsidR="00BB33B4" w:rsidRPr="00632D10">
              <w:rPr>
                <w:i w:val="0"/>
                <w:iCs/>
              </w:rPr>
              <w:t>choice and control in their life (</w:t>
            </w:r>
            <w:r w:rsidR="001566DA" w:rsidRPr="00632D10">
              <w:rPr>
                <w:i w:val="0"/>
                <w:iCs/>
              </w:rPr>
              <w:t>+</w:t>
            </w:r>
            <w:r w:rsidR="00BB33B4" w:rsidRPr="00632D10">
              <w:rPr>
                <w:i w:val="0"/>
                <w:iCs/>
              </w:rPr>
              <w:t xml:space="preserve">0.46), followed by </w:t>
            </w:r>
            <w:r w:rsidR="0029180F" w:rsidRPr="00632D10">
              <w:rPr>
                <w:i w:val="0"/>
                <w:iCs/>
              </w:rPr>
              <w:t>feeling as if they are making decisions that are right for them (</w:t>
            </w:r>
            <w:r w:rsidR="001566DA" w:rsidRPr="00632D10">
              <w:rPr>
                <w:i w:val="0"/>
                <w:iCs/>
              </w:rPr>
              <w:t>+</w:t>
            </w:r>
            <w:r w:rsidR="0029180F" w:rsidRPr="00632D10">
              <w:rPr>
                <w:i w:val="0"/>
                <w:iCs/>
              </w:rPr>
              <w:t>0.</w:t>
            </w:r>
            <w:r w:rsidR="001566DA" w:rsidRPr="00632D10">
              <w:rPr>
                <w:i w:val="0"/>
                <w:iCs/>
              </w:rPr>
              <w:t>43)</w:t>
            </w:r>
            <w:r w:rsidR="006511EE" w:rsidRPr="00632D10">
              <w:rPr>
                <w:i w:val="0"/>
                <w:iCs/>
              </w:rPr>
              <w:t>.</w:t>
            </w:r>
          </w:p>
        </w:tc>
      </w:tr>
    </w:tbl>
    <w:p w14:paraId="1045179A" w14:textId="78C5435C" w:rsidR="00166830" w:rsidRDefault="00166830" w:rsidP="000E75B0">
      <w:pPr>
        <w:pStyle w:val="BodyText"/>
        <w:spacing w:before="240"/>
      </w:pPr>
      <w:r>
        <w:t>J2SI PAD clients</w:t>
      </w:r>
      <w:r w:rsidRPr="00166830">
        <w:t xml:space="preserve"> reported </w:t>
      </w:r>
      <w:r w:rsidR="008F67EE">
        <w:t>slight</w:t>
      </w:r>
      <w:r w:rsidRPr="00166830">
        <w:t xml:space="preserve"> improvement</w:t>
      </w:r>
      <w:r w:rsidR="008F67EE">
        <w:t>s</w:t>
      </w:r>
      <w:r w:rsidRPr="00166830">
        <w:t xml:space="preserve"> in outcomes </w:t>
      </w:r>
      <w:r w:rsidR="002E1036">
        <w:t>relating</w:t>
      </w:r>
      <w:r w:rsidR="0025018D">
        <w:t xml:space="preserve"> to their independence </w:t>
      </w:r>
      <w:r w:rsidRPr="00166830">
        <w:t xml:space="preserve">from program commencement through to exit. </w:t>
      </w:r>
      <w:r w:rsidR="007B6568">
        <w:t>It is noted that average scores to questions relating to independence were higher at program commencement (</w:t>
      </w:r>
      <w:r w:rsidR="006440A2">
        <w:t>I</w:t>
      </w:r>
      <w:r w:rsidR="007B6568">
        <w:t>nitial) relative to other outcome areas. This may have result</w:t>
      </w:r>
      <w:r w:rsidR="00054B33">
        <w:t>ed</w:t>
      </w:r>
      <w:r w:rsidR="007B6568">
        <w:t xml:space="preserve"> in scores having ‘less room to improve’ over time. </w:t>
      </w:r>
      <w:r w:rsidR="002E1036">
        <w:t>C</w:t>
      </w:r>
      <w:r w:rsidRPr="00166830">
        <w:t>lients reported that:</w:t>
      </w:r>
    </w:p>
    <w:p w14:paraId="28739CFA" w14:textId="4E5959C9" w:rsidR="009577C3" w:rsidRDefault="009577C3" w:rsidP="00632D10">
      <w:pPr>
        <w:pStyle w:val="Bullet1stlevel"/>
      </w:pPr>
      <w:r w:rsidRPr="009577C3">
        <w:t>In response to</w:t>
      </w:r>
      <w:r>
        <w:t xml:space="preserve"> </w:t>
      </w:r>
      <w:r w:rsidR="008E5CD5">
        <w:t>the</w:t>
      </w:r>
      <w:r w:rsidR="001B4F44">
        <w:t xml:space="preserve"> statement ‘</w:t>
      </w:r>
      <w:r w:rsidR="001B4F44" w:rsidRPr="005008AD">
        <w:rPr>
          <w:i/>
          <w:iCs/>
        </w:rPr>
        <w:t>I am able to carry out day-to-day tasks without support</w:t>
      </w:r>
      <w:r w:rsidR="001B4F44">
        <w:t>’</w:t>
      </w:r>
      <w:r w:rsidR="008E5CD5">
        <w:t xml:space="preserve">, </w:t>
      </w:r>
      <w:r w:rsidRPr="009577C3">
        <w:t xml:space="preserve">the average score </w:t>
      </w:r>
      <w:r w:rsidR="001B4F44">
        <w:t xml:space="preserve">was unchanged at 3.99 (n=96) where a score of </w:t>
      </w:r>
      <w:r w:rsidRPr="009577C3">
        <w:t xml:space="preserve">four represents </w:t>
      </w:r>
      <w:r w:rsidR="00E06548" w:rsidRPr="005008AD">
        <w:rPr>
          <w:i/>
          <w:iCs/>
        </w:rPr>
        <w:t>‘</w:t>
      </w:r>
      <w:r w:rsidRPr="005008AD">
        <w:rPr>
          <w:i/>
          <w:iCs/>
        </w:rPr>
        <w:t>considerably</w:t>
      </w:r>
      <w:r w:rsidR="00E06548" w:rsidRPr="005008AD">
        <w:rPr>
          <w:i/>
          <w:iCs/>
        </w:rPr>
        <w:t>’</w:t>
      </w:r>
      <w:r w:rsidRPr="009577C3">
        <w:t>;</w:t>
      </w:r>
    </w:p>
    <w:p w14:paraId="5093172C" w14:textId="2658AA69" w:rsidR="001B4F44" w:rsidRPr="001B4F44" w:rsidRDefault="001B4F44" w:rsidP="00632D10">
      <w:pPr>
        <w:pStyle w:val="Bullet1stlevel"/>
      </w:pPr>
      <w:r w:rsidRPr="001B4F44">
        <w:t>In response to the statement ‘</w:t>
      </w:r>
      <w:r w:rsidRPr="005008AD">
        <w:rPr>
          <w:i/>
          <w:iCs/>
        </w:rPr>
        <w:t>I am confident in making decision that are right for me</w:t>
      </w:r>
      <w:r>
        <w:t>’</w:t>
      </w:r>
      <w:r w:rsidRPr="001B4F44">
        <w:t>, the average score</w:t>
      </w:r>
      <w:r>
        <w:t xml:space="preserve"> increased </w:t>
      </w:r>
      <w:r w:rsidR="006440A2">
        <w:t xml:space="preserve">by </w:t>
      </w:r>
      <w:r>
        <w:t xml:space="preserve">+0.43 from 3.59 (n=100) to 4.02 (n=96) where a score of </w:t>
      </w:r>
      <w:r w:rsidR="00982334">
        <w:t>four represents</w:t>
      </w:r>
      <w:r w:rsidR="009B71E2" w:rsidRPr="009B71E2">
        <w:t xml:space="preserve"> </w:t>
      </w:r>
      <w:r w:rsidR="00E06548">
        <w:t>‘</w:t>
      </w:r>
      <w:r w:rsidR="009B71E2" w:rsidRPr="005008AD">
        <w:rPr>
          <w:i/>
          <w:iCs/>
        </w:rPr>
        <w:t>most of the time</w:t>
      </w:r>
      <w:r w:rsidR="009123E5" w:rsidRPr="005008AD">
        <w:rPr>
          <w:i/>
          <w:iCs/>
        </w:rPr>
        <w:t>’</w:t>
      </w:r>
      <w:r w:rsidR="005230F5">
        <w:t>;</w:t>
      </w:r>
    </w:p>
    <w:p w14:paraId="350D36EE" w14:textId="3789954F" w:rsidR="009B71E2" w:rsidRPr="00247394" w:rsidRDefault="009B71E2" w:rsidP="00632D10">
      <w:pPr>
        <w:pStyle w:val="Bullet1stlevel"/>
      </w:pPr>
      <w:r w:rsidRPr="00247394">
        <w:t>In response to the statement ‘</w:t>
      </w:r>
      <w:r w:rsidRPr="005008AD">
        <w:rPr>
          <w:i/>
          <w:iCs/>
        </w:rPr>
        <w:t>I can find and get the help I need by myself’</w:t>
      </w:r>
      <w:r w:rsidRPr="00247394">
        <w:t xml:space="preserve">, the average score increased </w:t>
      </w:r>
      <w:r w:rsidR="006440A2">
        <w:t xml:space="preserve">by </w:t>
      </w:r>
      <w:r w:rsidRPr="00247394">
        <w:t xml:space="preserve">+0.29 from 3.53 (n=100) to 3.82 (n=96) where a score of four represents </w:t>
      </w:r>
      <w:r w:rsidR="009123E5">
        <w:t>‘</w:t>
      </w:r>
      <w:r w:rsidRPr="005008AD">
        <w:rPr>
          <w:i/>
          <w:iCs/>
        </w:rPr>
        <w:t>most of the time</w:t>
      </w:r>
      <w:r w:rsidR="009123E5" w:rsidRPr="005008AD">
        <w:rPr>
          <w:i/>
          <w:iCs/>
        </w:rPr>
        <w:t>’</w:t>
      </w:r>
      <w:r w:rsidR="005230F5">
        <w:t>; and</w:t>
      </w:r>
    </w:p>
    <w:p w14:paraId="65386758" w14:textId="444CF9F0" w:rsidR="00CB2B86" w:rsidRPr="003C67D4" w:rsidRDefault="00247394" w:rsidP="00632D10">
      <w:pPr>
        <w:pStyle w:val="Bullet1stlevel"/>
      </w:pPr>
      <w:r w:rsidRPr="005230F5">
        <w:t>In response to the statement ‘</w:t>
      </w:r>
      <w:r w:rsidRPr="004C5A60">
        <w:rPr>
          <w:i/>
          <w:iCs/>
        </w:rPr>
        <w:t>I feel I have choice and control in my life’</w:t>
      </w:r>
      <w:r w:rsidRPr="005230F5">
        <w:t xml:space="preserve">, the average score increased </w:t>
      </w:r>
      <w:r w:rsidR="006440A2">
        <w:t>by</w:t>
      </w:r>
      <w:r w:rsidRPr="005230F5">
        <w:t xml:space="preserve"> +0.46 from 3.42 (n=100) to 3.88 (n=96) where a score of </w:t>
      </w:r>
      <w:r w:rsidR="00B91BC5">
        <w:t xml:space="preserve">three </w:t>
      </w:r>
      <w:r w:rsidRPr="005230F5">
        <w:t xml:space="preserve">represents </w:t>
      </w:r>
      <w:r w:rsidR="009123E5" w:rsidRPr="004C5A60">
        <w:rPr>
          <w:i/>
          <w:iCs/>
        </w:rPr>
        <w:t>‘</w:t>
      </w:r>
      <w:r w:rsidRPr="004C5A60">
        <w:rPr>
          <w:i/>
          <w:iCs/>
        </w:rPr>
        <w:t>sometimes</w:t>
      </w:r>
      <w:r w:rsidR="009123E5" w:rsidRPr="004C5A60">
        <w:rPr>
          <w:i/>
          <w:iCs/>
        </w:rPr>
        <w:t>’</w:t>
      </w:r>
      <w:r w:rsidRPr="005230F5">
        <w:t xml:space="preserve"> and a score of four represents </w:t>
      </w:r>
      <w:r w:rsidR="009123E5" w:rsidRPr="004C5A60">
        <w:rPr>
          <w:i/>
          <w:iCs/>
        </w:rPr>
        <w:t>‘</w:t>
      </w:r>
      <w:r w:rsidRPr="004C5A60">
        <w:rPr>
          <w:i/>
          <w:iCs/>
        </w:rPr>
        <w:t>most of the time</w:t>
      </w:r>
      <w:r w:rsidR="009123E5" w:rsidRPr="004C5A60">
        <w:rPr>
          <w:i/>
          <w:iCs/>
        </w:rPr>
        <w:t>’</w:t>
      </w:r>
      <w:r w:rsidR="005230F5" w:rsidRPr="005230F5">
        <w:t xml:space="preserve"> </w:t>
      </w:r>
      <w:r w:rsidR="00F45C82" w:rsidRPr="005230F5">
        <w:t>(</w:t>
      </w:r>
      <w:r w:rsidR="004C5A60">
        <w:fldChar w:fldCharType="begin"/>
      </w:r>
      <w:r w:rsidR="004C5A60">
        <w:instrText xml:space="preserve"> REF _Ref149067427 \h </w:instrText>
      </w:r>
      <w:r w:rsidR="004C5A60">
        <w:fldChar w:fldCharType="separate"/>
      </w:r>
      <w:r w:rsidR="00ED0DF7" w:rsidRPr="00684645">
        <w:t>Fi</w:t>
      </w:r>
      <w:r w:rsidR="00ED0DF7" w:rsidRPr="00D31462">
        <w:t xml:space="preserve">gure </w:t>
      </w:r>
      <w:r w:rsidR="00ED0DF7">
        <w:rPr>
          <w:rFonts w:cs="@Batang"/>
          <w:noProof/>
        </w:rPr>
        <w:t>11</w:t>
      </w:r>
      <w:r w:rsidR="004C5A60">
        <w:fldChar w:fldCharType="end"/>
      </w:r>
      <w:r w:rsidR="00FF2549" w:rsidRPr="005230F5">
        <w:fldChar w:fldCharType="begin" w:fldLock="1"/>
      </w:r>
      <w:r w:rsidR="00FF2549" w:rsidRPr="005230F5">
        <w:instrText xml:space="preserve"> REF _Ref149067427 \h  \* MERGEFORMAT </w:instrText>
      </w:r>
      <w:r w:rsidR="0061017C">
        <w:fldChar w:fldCharType="separate"/>
      </w:r>
      <w:r w:rsidR="00FF2549" w:rsidRPr="005230F5">
        <w:fldChar w:fldCharType="end"/>
      </w:r>
      <w:r w:rsidR="00FF2549" w:rsidRPr="005230F5">
        <w:t xml:space="preserve">). </w:t>
      </w:r>
    </w:p>
    <w:p w14:paraId="22577694" w14:textId="73A1ECC4" w:rsidR="00CB2B86" w:rsidRDefault="00CB2B86" w:rsidP="00325BE2">
      <w:pPr>
        <w:pStyle w:val="BodyText"/>
      </w:pPr>
      <w:r w:rsidRPr="003C67D4">
        <w:t xml:space="preserve">Client responses to questions regarding </w:t>
      </w:r>
      <w:r w:rsidR="00186A10" w:rsidRPr="003C67D4">
        <w:t xml:space="preserve">how confident they felt </w:t>
      </w:r>
      <w:r w:rsidR="00351B49">
        <w:t xml:space="preserve">in </w:t>
      </w:r>
      <w:r w:rsidR="00186A10" w:rsidRPr="003C67D4">
        <w:t xml:space="preserve">making the right decisions, accessing help by themselves and </w:t>
      </w:r>
      <w:r w:rsidR="007B1911" w:rsidRPr="003C67D4">
        <w:t xml:space="preserve">feeling as though they </w:t>
      </w:r>
      <w:r w:rsidR="00B6395B" w:rsidRPr="003C67D4">
        <w:t>have</w:t>
      </w:r>
      <w:r w:rsidR="007B1911" w:rsidRPr="003C67D4">
        <w:t xml:space="preserve"> choice and control over their lives </w:t>
      </w:r>
      <w:r w:rsidR="0003119E" w:rsidRPr="003C67D4">
        <w:t xml:space="preserve">increased </w:t>
      </w:r>
      <w:r w:rsidR="00B6395B" w:rsidRPr="003C67D4">
        <w:t>steadily</w:t>
      </w:r>
      <w:r w:rsidR="0003119E" w:rsidRPr="003C67D4">
        <w:t xml:space="preserve"> across the duration of the program. </w:t>
      </w:r>
      <w:r w:rsidR="004C01DC" w:rsidRPr="003C67D4">
        <w:t xml:space="preserve">This </w:t>
      </w:r>
      <w:r w:rsidR="00B6395B" w:rsidRPr="003C67D4">
        <w:t>differed</w:t>
      </w:r>
      <w:r w:rsidR="004C01DC" w:rsidRPr="003C67D4">
        <w:t xml:space="preserve"> to their response to the survey question </w:t>
      </w:r>
      <w:r w:rsidR="00C642A7" w:rsidRPr="003C67D4">
        <w:t>regarding their ability to carry out day-to-day tasks without support</w:t>
      </w:r>
      <w:r w:rsidR="00B6395B" w:rsidRPr="003C67D4">
        <w:t xml:space="preserve">, which saw </w:t>
      </w:r>
      <w:r w:rsidR="00351B49">
        <w:t xml:space="preserve">the </w:t>
      </w:r>
      <w:r w:rsidR="00B6395B" w:rsidRPr="003C67D4">
        <w:t>response remaining relatively stable over</w:t>
      </w:r>
      <w:r w:rsidR="00351B49">
        <w:t xml:space="preserve"> </w:t>
      </w:r>
      <w:r w:rsidR="00B6395B" w:rsidRPr="003C67D4">
        <w:t>time.</w:t>
      </w:r>
      <w:r w:rsidRPr="003C67D4">
        <w:t xml:space="preserve"> </w:t>
      </w:r>
    </w:p>
    <w:p w14:paraId="05A43BC9" w14:textId="2C7117B8" w:rsidR="00606C1C" w:rsidRPr="00684645" w:rsidRDefault="00EA2DED" w:rsidP="00134FF5">
      <w:pPr>
        <w:pStyle w:val="Caption"/>
      </w:pPr>
      <w:bookmarkStart w:id="72" w:name="_Ref149067427"/>
      <w:bookmarkStart w:id="73" w:name="_Toc174547296"/>
      <w:r w:rsidRPr="00684645">
        <w:t>Fi</w:t>
      </w:r>
      <w:r w:rsidRPr="00D31462">
        <w:t xml:space="preserve">gure </w:t>
      </w:r>
      <w:r w:rsidRPr="00D31462">
        <w:fldChar w:fldCharType="begin"/>
      </w:r>
      <w:r w:rsidRPr="003C67D4">
        <w:rPr>
          <w:rFonts w:cs="@Batang"/>
        </w:rPr>
        <w:instrText xml:space="preserve"> SEQ Figure \* ARABIC </w:instrText>
      </w:r>
      <w:r w:rsidRPr="00D31462">
        <w:fldChar w:fldCharType="separate"/>
      </w:r>
      <w:r w:rsidR="000A505B">
        <w:rPr>
          <w:rFonts w:cs="@Batang"/>
          <w:noProof/>
        </w:rPr>
        <w:t>11</w:t>
      </w:r>
      <w:r w:rsidRPr="00D31462">
        <w:fldChar w:fldCharType="end"/>
      </w:r>
      <w:bookmarkEnd w:id="72"/>
      <w:r w:rsidRPr="00D31462">
        <w:t xml:space="preserve">: Average </w:t>
      </w:r>
      <w:r w:rsidRPr="00684645">
        <w:t xml:space="preserve">score of </w:t>
      </w:r>
      <w:r w:rsidR="00EC60D3" w:rsidRPr="00684645">
        <w:t>J2SI</w:t>
      </w:r>
      <w:r w:rsidRPr="00684645">
        <w:t xml:space="preserve"> PAD client survey to questions relating to independence</w:t>
      </w:r>
      <w:bookmarkEnd w:id="73"/>
    </w:p>
    <w:p w14:paraId="6184365E" w14:textId="06220024" w:rsidR="008239CA" w:rsidRDefault="00EA2DED" w:rsidP="0070605A">
      <w:pPr>
        <w:pStyle w:val="BodyText"/>
      </w:pPr>
      <w:r>
        <w:rPr>
          <w:noProof/>
        </w:rPr>
        <w:drawing>
          <wp:inline distT="0" distB="0" distL="0" distR="0" wp14:anchorId="74165B25" wp14:editId="38B949CC">
            <wp:extent cx="6353175" cy="2814452"/>
            <wp:effectExtent l="0" t="0" r="0" b="0"/>
            <wp:docPr id="61" name="Chart 61" descr="The figure depicts J2SI client survey results relating to independence. Client experience regarding completing day-to-day tasks unsupported, making correct decisions, finding help independently and autonomy was largely positive and unchanged throughout the program.">
              <a:extLst xmlns:a="http://schemas.openxmlformats.org/drawingml/2006/main">
                <a:ext uri="{FF2B5EF4-FFF2-40B4-BE49-F238E27FC236}">
                  <a16:creationId xmlns:a16="http://schemas.microsoft.com/office/drawing/2014/main" id="{D422D8C4-9EFF-5A62-7C58-42C14AC8C4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5370401" w14:textId="77777777" w:rsidR="00973442" w:rsidRDefault="00973442" w:rsidP="0070605A">
      <w:pPr>
        <w:pStyle w:val="BodyText"/>
        <w:sectPr w:rsidR="00973442" w:rsidSect="005B0986">
          <w:pgSz w:w="11906" w:h="16838"/>
          <w:pgMar w:top="851" w:right="851" w:bottom="851" w:left="851" w:header="567" w:footer="283" w:gutter="0"/>
          <w:cols w:space="708"/>
          <w:docGrid w:linePitch="360"/>
        </w:sectPr>
      </w:pP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FF2549" w14:paraId="1B5D2B87" w14:textId="77777777" w:rsidTr="00F01861">
        <w:trPr>
          <w:trHeight w:val="429"/>
        </w:trPr>
        <w:tc>
          <w:tcPr>
            <w:tcW w:w="10204" w:type="dxa"/>
          </w:tcPr>
          <w:p w14:paraId="781D694A" w14:textId="375D2229" w:rsidR="00FF2549" w:rsidRPr="00AB7357" w:rsidRDefault="00FF2549">
            <w:pPr>
              <w:pStyle w:val="BodyText"/>
              <w:spacing w:before="0" w:after="0"/>
              <w:ind w:left="-113"/>
              <w:jc w:val="left"/>
              <w:rPr>
                <w:b/>
                <w:bCs/>
                <w:i w:val="0"/>
                <w:iCs/>
              </w:rPr>
            </w:pPr>
            <w:r>
              <w:rPr>
                <w:b/>
                <w:bCs/>
                <w:i w:val="0"/>
                <w:iCs/>
              </w:rPr>
              <w:lastRenderedPageBreak/>
              <w:t xml:space="preserve">Economic participation </w:t>
            </w:r>
          </w:p>
        </w:tc>
      </w:tr>
      <w:tr w:rsidR="00D206B2" w:rsidRPr="00CD1B11" w14:paraId="5D58AF28" w14:textId="77777777" w:rsidTr="00DA5F57">
        <w:trPr>
          <w:trHeight w:val="3495"/>
        </w:trPr>
        <w:tc>
          <w:tcPr>
            <w:tcW w:w="10204" w:type="dxa"/>
            <w:tcBorders>
              <w:top w:val="single" w:sz="12" w:space="0" w:color="1E49E2" w:themeColor="accent1"/>
              <w:bottom w:val="nil"/>
            </w:tcBorders>
            <w:shd w:val="clear" w:color="auto" w:fill="CAF1FF" w:themeFill="accent2" w:themeFillTint="33"/>
          </w:tcPr>
          <w:p w14:paraId="3C2A38BC" w14:textId="219E0147" w:rsidR="00D206B2" w:rsidRPr="00632D10" w:rsidRDefault="00D206B2" w:rsidP="00632D10">
            <w:pPr>
              <w:pStyle w:val="Bullet1stlevel"/>
              <w:numPr>
                <w:ilvl w:val="0"/>
                <w:numId w:val="0"/>
              </w:numPr>
              <w:jc w:val="left"/>
              <w:rPr>
                <w:i w:val="0"/>
                <w:iCs/>
              </w:rPr>
            </w:pPr>
            <w:r w:rsidRPr="00632D10">
              <w:rPr>
                <w:i w:val="0"/>
                <w:iCs/>
              </w:rPr>
              <w:t xml:space="preserve">Key findings: </w:t>
            </w:r>
          </w:p>
          <w:p w14:paraId="4A9F9611" w14:textId="42B6298A" w:rsidR="00D206B2" w:rsidRPr="00632D10" w:rsidRDefault="003A6782" w:rsidP="00632D10">
            <w:pPr>
              <w:pStyle w:val="Bullet1stlevel"/>
              <w:jc w:val="left"/>
              <w:rPr>
                <w:i w:val="0"/>
                <w:iCs/>
              </w:rPr>
            </w:pPr>
            <w:r w:rsidRPr="00632D10">
              <w:rPr>
                <w:i w:val="0"/>
                <w:iCs/>
              </w:rPr>
              <w:t>There was limited evidence to suggest that J2SI PAD clients increased their participation in economic activities, such as employment, volunteering and</w:t>
            </w:r>
            <w:r w:rsidR="00507E3D" w:rsidRPr="00632D10">
              <w:rPr>
                <w:i w:val="0"/>
                <w:iCs/>
              </w:rPr>
              <w:t xml:space="preserve">/or </w:t>
            </w:r>
            <w:r w:rsidRPr="00632D10">
              <w:rPr>
                <w:i w:val="0"/>
                <w:iCs/>
              </w:rPr>
              <w:t xml:space="preserve">education, across the duration of the program. </w:t>
            </w:r>
            <w:r w:rsidR="00504E94" w:rsidRPr="00632D10">
              <w:rPr>
                <w:i w:val="0"/>
                <w:iCs/>
              </w:rPr>
              <w:t xml:space="preserve">For some clients, their ability to partake was inhibited by COVID-19 related lockdowns. </w:t>
            </w:r>
            <w:r w:rsidRPr="00632D10">
              <w:rPr>
                <w:i w:val="0"/>
                <w:iCs/>
              </w:rPr>
              <w:t>However, clients did report</w:t>
            </w:r>
            <w:r w:rsidR="00507E3D" w:rsidRPr="00632D10">
              <w:rPr>
                <w:i w:val="0"/>
                <w:iCs/>
              </w:rPr>
              <w:t xml:space="preserve"> an improved level of </w:t>
            </w:r>
            <w:r w:rsidR="003011A2" w:rsidRPr="00632D10">
              <w:rPr>
                <w:i w:val="0"/>
                <w:iCs/>
              </w:rPr>
              <w:t>satisfaction</w:t>
            </w:r>
            <w:r w:rsidR="002647CE" w:rsidRPr="00632D10">
              <w:rPr>
                <w:i w:val="0"/>
                <w:iCs/>
              </w:rPr>
              <w:t xml:space="preserve">, and </w:t>
            </w:r>
            <w:r w:rsidR="009F5041" w:rsidRPr="00632D10">
              <w:rPr>
                <w:i w:val="0"/>
                <w:iCs/>
              </w:rPr>
              <w:t xml:space="preserve">ability to take part in </w:t>
            </w:r>
            <w:r w:rsidRPr="00632D10">
              <w:rPr>
                <w:i w:val="0"/>
                <w:iCs/>
              </w:rPr>
              <w:t>such activities</w:t>
            </w:r>
            <w:r w:rsidR="009F5041" w:rsidRPr="00632D10">
              <w:rPr>
                <w:i w:val="0"/>
                <w:iCs/>
              </w:rPr>
              <w:t>, in addition to</w:t>
            </w:r>
            <w:r w:rsidR="002647CE" w:rsidRPr="00632D10">
              <w:rPr>
                <w:i w:val="0"/>
                <w:iCs/>
              </w:rPr>
              <w:t xml:space="preserve"> reporting improvements in their ability to manage </w:t>
            </w:r>
            <w:r w:rsidR="009F5041" w:rsidRPr="00632D10">
              <w:rPr>
                <w:i w:val="0"/>
                <w:iCs/>
              </w:rPr>
              <w:t xml:space="preserve">their personal finances. </w:t>
            </w:r>
          </w:p>
          <w:p w14:paraId="5C03DF73" w14:textId="28A44C2B" w:rsidR="00D206B2" w:rsidRPr="00632D10" w:rsidRDefault="00D206B2" w:rsidP="00632D10">
            <w:pPr>
              <w:pStyle w:val="Bullet1stlevel"/>
              <w:jc w:val="left"/>
              <w:rPr>
                <w:i w:val="0"/>
                <w:iCs/>
              </w:rPr>
            </w:pPr>
            <w:r w:rsidRPr="00632D10">
              <w:rPr>
                <w:i w:val="0"/>
                <w:iCs/>
              </w:rPr>
              <w:t xml:space="preserve">The </w:t>
            </w:r>
            <w:r w:rsidR="00D431DA" w:rsidRPr="00632D10">
              <w:rPr>
                <w:i w:val="0"/>
                <w:iCs/>
              </w:rPr>
              <w:t>largest</w:t>
            </w:r>
            <w:r w:rsidRPr="00632D10">
              <w:rPr>
                <w:i w:val="0"/>
                <w:iCs/>
              </w:rPr>
              <w:t xml:space="preserve"> increase</w:t>
            </w:r>
            <w:r w:rsidR="00C1308D" w:rsidRPr="00632D10">
              <w:rPr>
                <w:i w:val="0"/>
                <w:iCs/>
              </w:rPr>
              <w:t xml:space="preserve"> in survey questions regarding clients</w:t>
            </w:r>
            <w:r w:rsidR="003147F6" w:rsidRPr="00632D10">
              <w:rPr>
                <w:i w:val="0"/>
                <w:iCs/>
              </w:rPr>
              <w:t>’</w:t>
            </w:r>
            <w:r w:rsidR="00C1308D" w:rsidRPr="00632D10">
              <w:rPr>
                <w:i w:val="0"/>
                <w:iCs/>
              </w:rPr>
              <w:t xml:space="preserve"> economic participation</w:t>
            </w:r>
            <w:r w:rsidRPr="00632D10">
              <w:rPr>
                <w:i w:val="0"/>
                <w:iCs/>
              </w:rPr>
              <w:t xml:space="preserve"> from program entry to exit related to the</w:t>
            </w:r>
            <w:r w:rsidR="00C37604" w:rsidRPr="00632D10">
              <w:rPr>
                <w:i w:val="0"/>
                <w:iCs/>
              </w:rPr>
              <w:t xml:space="preserve">ir satisfaction </w:t>
            </w:r>
            <w:r w:rsidR="002912FD" w:rsidRPr="00632D10">
              <w:rPr>
                <w:i w:val="0"/>
                <w:iCs/>
              </w:rPr>
              <w:t>and ability to take part</w:t>
            </w:r>
            <w:r w:rsidR="00C37604" w:rsidRPr="00632D10">
              <w:rPr>
                <w:i w:val="0"/>
                <w:iCs/>
              </w:rPr>
              <w:t xml:space="preserve"> in work, training and education, </w:t>
            </w:r>
            <w:r w:rsidR="00504E94" w:rsidRPr="00632D10">
              <w:rPr>
                <w:i w:val="0"/>
                <w:iCs/>
              </w:rPr>
              <w:t>with an increase of +0.4</w:t>
            </w:r>
            <w:r w:rsidR="00720E73" w:rsidRPr="00632D10">
              <w:rPr>
                <w:i w:val="0"/>
                <w:iCs/>
              </w:rPr>
              <w:t>8</w:t>
            </w:r>
            <w:r w:rsidR="00504E94" w:rsidRPr="00632D10">
              <w:rPr>
                <w:i w:val="0"/>
                <w:iCs/>
              </w:rPr>
              <w:t>.</w:t>
            </w:r>
            <w:r w:rsidR="00B4158A" w:rsidRPr="00632D10">
              <w:rPr>
                <w:i w:val="0"/>
                <w:iCs/>
              </w:rPr>
              <w:t xml:space="preserve"> </w:t>
            </w:r>
          </w:p>
          <w:p w14:paraId="3DB4D4E8" w14:textId="22F522BA" w:rsidR="00D206B2" w:rsidRPr="00CD1B11" w:rsidRDefault="00B4158A" w:rsidP="00632D10">
            <w:pPr>
              <w:pStyle w:val="Bullet1stlevel"/>
              <w:jc w:val="left"/>
              <w:rPr>
                <w:rFonts w:cs="@Batang"/>
                <w:b/>
              </w:rPr>
            </w:pPr>
            <w:r w:rsidRPr="00632D10">
              <w:rPr>
                <w:i w:val="0"/>
                <w:iCs/>
              </w:rPr>
              <w:t xml:space="preserve">Clients </w:t>
            </w:r>
            <w:r w:rsidR="00C56BA6" w:rsidRPr="00632D10">
              <w:rPr>
                <w:i w:val="0"/>
                <w:iCs/>
              </w:rPr>
              <w:t xml:space="preserve">reported a decline in their self-rate ability to pay for basic living </w:t>
            </w:r>
            <w:r w:rsidR="00902509" w:rsidRPr="00632D10">
              <w:rPr>
                <w:i w:val="0"/>
                <w:iCs/>
              </w:rPr>
              <w:t>expenses</w:t>
            </w:r>
            <w:r w:rsidR="00C56BA6" w:rsidRPr="00632D10">
              <w:rPr>
                <w:i w:val="0"/>
                <w:iCs/>
              </w:rPr>
              <w:t xml:space="preserve"> (</w:t>
            </w:r>
            <w:r w:rsidR="00902509" w:rsidRPr="00632D10">
              <w:rPr>
                <w:i w:val="0"/>
                <w:iCs/>
              </w:rPr>
              <w:t xml:space="preserve">-0.45), possibly related to the change in JobSeeker payments which were higher during </w:t>
            </w:r>
            <w:r w:rsidR="00AD5208" w:rsidRPr="00632D10">
              <w:rPr>
                <w:i w:val="0"/>
                <w:iCs/>
              </w:rPr>
              <w:t xml:space="preserve">the first two years of </w:t>
            </w:r>
            <w:r w:rsidR="00902509" w:rsidRPr="00632D10">
              <w:rPr>
                <w:i w:val="0"/>
                <w:iCs/>
              </w:rPr>
              <w:t xml:space="preserve">COVID-19, and </w:t>
            </w:r>
            <w:r w:rsidR="00AD5208" w:rsidRPr="00632D10">
              <w:rPr>
                <w:i w:val="0"/>
                <w:iCs/>
              </w:rPr>
              <w:t xml:space="preserve">more recent </w:t>
            </w:r>
            <w:r w:rsidR="00902509" w:rsidRPr="00632D10">
              <w:rPr>
                <w:i w:val="0"/>
                <w:iCs/>
              </w:rPr>
              <w:t>cost of living pressures.</w:t>
            </w:r>
          </w:p>
        </w:tc>
      </w:tr>
    </w:tbl>
    <w:p w14:paraId="7CC834B7" w14:textId="61647C8E" w:rsidR="00A26297" w:rsidRPr="00E26A10" w:rsidRDefault="002647CE" w:rsidP="00325BE2">
      <w:pPr>
        <w:pStyle w:val="BodyText"/>
      </w:pPr>
      <w:r>
        <w:t xml:space="preserve">Analysis of TICSPOT data indicates that </w:t>
      </w:r>
      <w:r w:rsidR="00CF44EA">
        <w:t xml:space="preserve">J2SI </w:t>
      </w:r>
      <w:r w:rsidR="000826A1">
        <w:t xml:space="preserve">PAD </w:t>
      </w:r>
      <w:r w:rsidR="00CF44EA">
        <w:t>clients</w:t>
      </w:r>
      <w:r w:rsidR="002B4B7B">
        <w:t>’</w:t>
      </w:r>
      <w:r w:rsidR="000826A1">
        <w:t xml:space="preserve"> </w:t>
      </w:r>
      <w:r w:rsidR="00A26297" w:rsidRPr="009332CB">
        <w:t xml:space="preserve">participation in employment, volunteering and education was sporadic </w:t>
      </w:r>
      <w:r w:rsidR="000826A1">
        <w:t>across</w:t>
      </w:r>
      <w:r w:rsidR="00A26297" w:rsidRPr="009332CB">
        <w:t xml:space="preserve"> the service delivery period. </w:t>
      </w:r>
      <w:r w:rsidR="00BE40F7" w:rsidRPr="00BE40F7">
        <w:t>For some clients, their ability to partake was inhibited by COVID-19 related lockdowns</w:t>
      </w:r>
      <w:r w:rsidR="00BE40F7">
        <w:t xml:space="preserve">. </w:t>
      </w:r>
      <w:r w:rsidR="00360522">
        <w:t>A</w:t>
      </w:r>
      <w:r w:rsidR="000826A1">
        <w:t>dditional</w:t>
      </w:r>
      <w:r w:rsidR="00A26297" w:rsidRPr="009332CB">
        <w:t xml:space="preserve"> </w:t>
      </w:r>
      <w:r w:rsidR="000826A1">
        <w:t>context</w:t>
      </w:r>
      <w:r w:rsidR="00A26297" w:rsidRPr="009332CB">
        <w:t xml:space="preserve"> provided by SHM</w:t>
      </w:r>
      <w:r w:rsidR="00360522">
        <w:t xml:space="preserve"> indicates</w:t>
      </w:r>
      <w:r w:rsidR="00A26297" w:rsidRPr="009332CB">
        <w:t xml:space="preserve"> this </w:t>
      </w:r>
      <w:r w:rsidR="00360522">
        <w:t>decrease</w:t>
      </w:r>
      <w:r w:rsidR="00A26297" w:rsidRPr="009332CB">
        <w:t xml:space="preserve"> is </w:t>
      </w:r>
      <w:r w:rsidR="00360522">
        <w:t>expected</w:t>
      </w:r>
      <w:r w:rsidR="00A26297" w:rsidRPr="009332CB">
        <w:t xml:space="preserve">, as, for many clients, turning up somewhere regularly has not been part of their lives for a </w:t>
      </w:r>
      <w:r w:rsidR="00260D1B">
        <w:t>considerable period of time</w:t>
      </w:r>
      <w:r w:rsidR="00A26297" w:rsidRPr="009332CB">
        <w:t>. Despite the sporadic nature of client participation, analysis of TICSPOT data does indicate a shift in clients’ self-rated</w:t>
      </w:r>
      <w:r w:rsidR="000826A1">
        <w:t xml:space="preserve"> satisfaction and ability</w:t>
      </w:r>
      <w:r w:rsidR="00A26297" w:rsidRPr="009332CB">
        <w:t xml:space="preserve"> </w:t>
      </w:r>
      <w:r w:rsidR="000826A1">
        <w:t>t</w:t>
      </w:r>
      <w:r w:rsidR="00A26297" w:rsidRPr="009332CB">
        <w:t>o take part in employment, volunteering and education as the program progressed</w:t>
      </w:r>
      <w:r w:rsidR="00CF44EA">
        <w:t xml:space="preserve">, which may, in time, translate into </w:t>
      </w:r>
      <w:r>
        <w:t xml:space="preserve">more </w:t>
      </w:r>
      <w:r w:rsidR="00CF44EA">
        <w:t>consistent economic participation. Clients reported that:</w:t>
      </w:r>
    </w:p>
    <w:p w14:paraId="0C3B42B7" w14:textId="3C10F47D" w:rsidR="00973442" w:rsidRDefault="00973442" w:rsidP="00632D10">
      <w:pPr>
        <w:pStyle w:val="Bullet1stlevel"/>
      </w:pPr>
      <w:r>
        <w:t>In response to the question ‘</w:t>
      </w:r>
      <w:r w:rsidR="00620803">
        <w:rPr>
          <w:i/>
          <w:iCs/>
        </w:rPr>
        <w:t>how satisfied are you with your involvement in work, training, or volunteering</w:t>
      </w:r>
      <w:r w:rsidRPr="00C72D32">
        <w:rPr>
          <w:i/>
          <w:iCs/>
        </w:rPr>
        <w:t>?</w:t>
      </w:r>
      <w:r>
        <w:t xml:space="preserve">’ the average score increased </w:t>
      </w:r>
      <w:r w:rsidR="00260D1B">
        <w:t xml:space="preserve">by </w:t>
      </w:r>
      <w:r>
        <w:t>+0.</w:t>
      </w:r>
      <w:r w:rsidR="008E3C58">
        <w:t>4</w:t>
      </w:r>
      <w:r w:rsidR="00BF07E6">
        <w:t>8</w:t>
      </w:r>
      <w:r>
        <w:t xml:space="preserve"> from </w:t>
      </w:r>
      <w:r w:rsidR="008E3C58">
        <w:t>2.74</w:t>
      </w:r>
      <w:r>
        <w:t xml:space="preserve"> (n=9</w:t>
      </w:r>
      <w:r w:rsidR="008E3C58">
        <w:t>6</w:t>
      </w:r>
      <w:r>
        <w:t>) to 3.</w:t>
      </w:r>
      <w:r w:rsidR="008E3C58">
        <w:t>23</w:t>
      </w:r>
      <w:r>
        <w:t xml:space="preserve"> (n=9</w:t>
      </w:r>
      <w:r w:rsidR="008E3C58">
        <w:t>5</w:t>
      </w:r>
      <w:r>
        <w:t xml:space="preserve">), where a score of </w:t>
      </w:r>
      <w:r w:rsidR="008E3C58">
        <w:t>three</w:t>
      </w:r>
      <w:r>
        <w:t xml:space="preserve"> represents </w:t>
      </w:r>
      <w:r w:rsidR="00C97976">
        <w:t>‘</w:t>
      </w:r>
      <w:r w:rsidR="00B30C42" w:rsidRPr="005008AD">
        <w:rPr>
          <w:i/>
          <w:iCs/>
        </w:rPr>
        <w:t>neutral</w:t>
      </w:r>
      <w:r w:rsidR="00C97976" w:rsidRPr="005008AD">
        <w:rPr>
          <w:i/>
          <w:iCs/>
        </w:rPr>
        <w:t>’</w:t>
      </w:r>
      <w:r>
        <w:t>;</w:t>
      </w:r>
    </w:p>
    <w:p w14:paraId="1BE61AFF" w14:textId="3CE12B76" w:rsidR="00B30C42" w:rsidRPr="00B30C42" w:rsidRDefault="00B30C42" w:rsidP="00632D10">
      <w:pPr>
        <w:pStyle w:val="Bullet1stlevel"/>
      </w:pPr>
      <w:r w:rsidRPr="00B30C42">
        <w:t>In response to the question ‘</w:t>
      </w:r>
      <w:r w:rsidRPr="005008AD">
        <w:rPr>
          <w:i/>
          <w:iCs/>
        </w:rPr>
        <w:t xml:space="preserve">how </w:t>
      </w:r>
      <w:r w:rsidR="00B6554B" w:rsidRPr="005008AD">
        <w:rPr>
          <w:i/>
          <w:iCs/>
        </w:rPr>
        <w:t>would you rate your ability to take part</w:t>
      </w:r>
      <w:r w:rsidRPr="005008AD">
        <w:rPr>
          <w:i/>
          <w:iCs/>
        </w:rPr>
        <w:t xml:space="preserve"> in </w:t>
      </w:r>
      <w:r w:rsidR="00B6554B" w:rsidRPr="005008AD">
        <w:rPr>
          <w:i/>
          <w:iCs/>
        </w:rPr>
        <w:t xml:space="preserve">the </w:t>
      </w:r>
      <w:r w:rsidRPr="005008AD">
        <w:rPr>
          <w:i/>
          <w:iCs/>
        </w:rPr>
        <w:t>work, training, or volunteering</w:t>
      </w:r>
      <w:r w:rsidR="00B6554B" w:rsidRPr="005008AD">
        <w:rPr>
          <w:i/>
          <w:iCs/>
        </w:rPr>
        <w:t xml:space="preserve"> you want</w:t>
      </w:r>
      <w:r w:rsidRPr="005008AD">
        <w:rPr>
          <w:i/>
          <w:iCs/>
        </w:rPr>
        <w:t>?</w:t>
      </w:r>
      <w:r w:rsidRPr="00B30C42">
        <w:t>’ the average score increased +0.4</w:t>
      </w:r>
      <w:r w:rsidR="00B6554B">
        <w:t>8</w:t>
      </w:r>
      <w:r w:rsidRPr="00B30C42">
        <w:t xml:space="preserve"> from 2.</w:t>
      </w:r>
      <w:r w:rsidR="00B6554B">
        <w:t>92</w:t>
      </w:r>
      <w:r w:rsidRPr="00B30C42">
        <w:t xml:space="preserve"> (n=9</w:t>
      </w:r>
      <w:r w:rsidR="00B6554B">
        <w:t>8</w:t>
      </w:r>
      <w:r w:rsidRPr="00B30C42">
        <w:t>) to 3.3</w:t>
      </w:r>
      <w:r w:rsidR="00970B7F">
        <w:t>9</w:t>
      </w:r>
      <w:r w:rsidRPr="00B30C42">
        <w:t xml:space="preserve"> (n=95), where a score of three represents </w:t>
      </w:r>
      <w:r w:rsidR="00C97976">
        <w:t>‘</w:t>
      </w:r>
      <w:r w:rsidRPr="005008AD">
        <w:rPr>
          <w:i/>
          <w:iCs/>
        </w:rPr>
        <w:t>neutral</w:t>
      </w:r>
      <w:r w:rsidR="00C97976" w:rsidRPr="005008AD">
        <w:rPr>
          <w:i/>
          <w:iCs/>
        </w:rPr>
        <w:t>’</w:t>
      </w:r>
      <w:r w:rsidRPr="00B30C42">
        <w:t>;</w:t>
      </w:r>
    </w:p>
    <w:p w14:paraId="3619A846" w14:textId="26F7D679" w:rsidR="00AF3EE5" w:rsidRPr="00B30C42" w:rsidRDefault="00AF3EE5" w:rsidP="00632D10">
      <w:pPr>
        <w:pStyle w:val="Bullet1stlevel"/>
      </w:pPr>
      <w:r w:rsidRPr="00B30C42">
        <w:t>In response to the question ‘</w:t>
      </w:r>
      <w:r w:rsidRPr="005008AD">
        <w:rPr>
          <w:i/>
          <w:iCs/>
        </w:rPr>
        <w:t>how would you rate your skills in managing your own finances</w:t>
      </w:r>
      <w:r w:rsidRPr="00B30C42">
        <w:t>?’ the average score increased +0.</w:t>
      </w:r>
      <w:r>
        <w:t>06</w:t>
      </w:r>
      <w:r w:rsidRPr="00B30C42">
        <w:t xml:space="preserve"> from </w:t>
      </w:r>
      <w:r>
        <w:t xml:space="preserve">3.33 </w:t>
      </w:r>
      <w:r w:rsidRPr="00B30C42">
        <w:t>(n=9</w:t>
      </w:r>
      <w:r>
        <w:t>9</w:t>
      </w:r>
      <w:r w:rsidRPr="00B30C42">
        <w:t>) to 3.3</w:t>
      </w:r>
      <w:r>
        <w:t>9</w:t>
      </w:r>
      <w:r w:rsidRPr="00B30C42">
        <w:t xml:space="preserve"> (n=95), where a score of </w:t>
      </w:r>
      <w:r>
        <w:t>three</w:t>
      </w:r>
      <w:r w:rsidRPr="00B30C42">
        <w:t xml:space="preserve"> represents </w:t>
      </w:r>
      <w:r w:rsidR="00C97976" w:rsidRPr="005008AD">
        <w:rPr>
          <w:i/>
          <w:iCs/>
        </w:rPr>
        <w:t>‘</w:t>
      </w:r>
      <w:r w:rsidRPr="005008AD">
        <w:rPr>
          <w:i/>
          <w:iCs/>
        </w:rPr>
        <w:t>neutral</w:t>
      </w:r>
      <w:r w:rsidR="00C97976" w:rsidRPr="005008AD">
        <w:rPr>
          <w:i/>
          <w:iCs/>
        </w:rPr>
        <w:t>’</w:t>
      </w:r>
      <w:r w:rsidRPr="00B30C42">
        <w:t>;</w:t>
      </w:r>
    </w:p>
    <w:p w14:paraId="546585D4" w14:textId="2CB64286" w:rsidR="00FA05DB" w:rsidRPr="00B2065A" w:rsidRDefault="00FA05DB" w:rsidP="00632D10">
      <w:pPr>
        <w:pStyle w:val="Bullet1stlevel"/>
      </w:pPr>
      <w:r w:rsidRPr="00324C8F">
        <w:t>In response to the question ‘</w:t>
      </w:r>
      <w:r w:rsidRPr="005008AD">
        <w:rPr>
          <w:i/>
          <w:iCs/>
        </w:rPr>
        <w:t xml:space="preserve">how </w:t>
      </w:r>
      <w:proofErr w:type="gramStart"/>
      <w:r w:rsidRPr="005008AD">
        <w:rPr>
          <w:i/>
          <w:iCs/>
        </w:rPr>
        <w:t>would you</w:t>
      </w:r>
      <w:proofErr w:type="gramEnd"/>
      <w:r w:rsidRPr="005008AD">
        <w:rPr>
          <w:i/>
          <w:iCs/>
        </w:rPr>
        <w:t xml:space="preserve"> rate your ability to manage </w:t>
      </w:r>
      <w:r w:rsidR="00691EF4" w:rsidRPr="005008AD">
        <w:rPr>
          <w:i/>
          <w:iCs/>
        </w:rPr>
        <w:t>your debts</w:t>
      </w:r>
      <w:r w:rsidRPr="005008AD">
        <w:rPr>
          <w:i/>
          <w:iCs/>
        </w:rPr>
        <w:t>’</w:t>
      </w:r>
      <w:r w:rsidRPr="00324C8F">
        <w:t xml:space="preserve"> the average score increased +0.0</w:t>
      </w:r>
      <w:r w:rsidR="00691EF4" w:rsidRPr="00324C8F">
        <w:t>5</w:t>
      </w:r>
      <w:r w:rsidRPr="00324C8F">
        <w:t xml:space="preserve"> from 3.</w:t>
      </w:r>
      <w:r w:rsidR="00691EF4" w:rsidRPr="00324C8F">
        <w:t>65</w:t>
      </w:r>
      <w:r w:rsidRPr="00324C8F">
        <w:t xml:space="preserve"> (n=99) </w:t>
      </w:r>
      <w:r w:rsidRPr="00B2065A">
        <w:t>to 3.</w:t>
      </w:r>
      <w:r w:rsidR="00691EF4" w:rsidRPr="00B2065A">
        <w:t>71</w:t>
      </w:r>
      <w:r w:rsidRPr="00B2065A">
        <w:t xml:space="preserve"> (n=95), where a score of four represents </w:t>
      </w:r>
      <w:r w:rsidR="00C97976" w:rsidRPr="005008AD">
        <w:rPr>
          <w:i/>
          <w:iCs/>
        </w:rPr>
        <w:t>‘</w:t>
      </w:r>
      <w:r w:rsidRPr="005008AD">
        <w:rPr>
          <w:i/>
          <w:iCs/>
        </w:rPr>
        <w:t>good</w:t>
      </w:r>
      <w:r w:rsidR="00C97976" w:rsidRPr="005008AD">
        <w:rPr>
          <w:i/>
          <w:iCs/>
        </w:rPr>
        <w:t>’</w:t>
      </w:r>
      <w:r w:rsidRPr="00B2065A">
        <w:t>;</w:t>
      </w:r>
      <w:r w:rsidR="00352F7C" w:rsidRPr="00B2065A">
        <w:t xml:space="preserve"> and</w:t>
      </w:r>
    </w:p>
    <w:p w14:paraId="124D55C8" w14:textId="6245320A" w:rsidR="00F45C82" w:rsidRDefault="00324C8F" w:rsidP="00632D10">
      <w:pPr>
        <w:pStyle w:val="Bullet1stlevel"/>
        <w:rPr>
          <w:color w:val="auto"/>
        </w:rPr>
      </w:pPr>
      <w:r w:rsidRPr="00B2065A">
        <w:t>In response to the question ‘</w:t>
      </w:r>
      <w:r w:rsidRPr="0080205F">
        <w:rPr>
          <w:i/>
          <w:iCs/>
        </w:rPr>
        <w:t xml:space="preserve">are you able to </w:t>
      </w:r>
      <w:r w:rsidR="00B464EB" w:rsidRPr="0080205F">
        <w:rPr>
          <w:i/>
        </w:rPr>
        <w:t xml:space="preserve">pay for basic living </w:t>
      </w:r>
      <w:r w:rsidRPr="0080205F">
        <w:rPr>
          <w:i/>
          <w:iCs/>
        </w:rPr>
        <w:t>expenses’</w:t>
      </w:r>
      <w:r w:rsidR="003B31BD">
        <w:t xml:space="preserve"> the average score </w:t>
      </w:r>
      <w:r w:rsidRPr="00B2065A">
        <w:t>decreased</w:t>
      </w:r>
      <w:r w:rsidR="003B31BD">
        <w:t xml:space="preserve"> </w:t>
      </w:r>
      <w:r w:rsidR="00B464EB">
        <w:t>-0.45</w:t>
      </w:r>
      <w:r w:rsidRPr="00B2065A">
        <w:t xml:space="preserve"> from </w:t>
      </w:r>
      <w:r w:rsidR="00313B76" w:rsidRPr="00B2065A">
        <w:t>4.26</w:t>
      </w:r>
      <w:r w:rsidRPr="00B2065A">
        <w:t xml:space="preserve"> (n=99) to 3.</w:t>
      </w:r>
      <w:r w:rsidR="00313B76" w:rsidRPr="00B2065A">
        <w:t>8</w:t>
      </w:r>
      <w:r w:rsidRPr="00B2065A">
        <w:t xml:space="preserve">1 (n=95), where a score of </w:t>
      </w:r>
      <w:r w:rsidR="00313B76" w:rsidRPr="00B2065A">
        <w:t>four</w:t>
      </w:r>
      <w:r w:rsidRPr="00B2065A">
        <w:t xml:space="preserve"> represents </w:t>
      </w:r>
      <w:r w:rsidR="00313B76" w:rsidRPr="00B2065A">
        <w:t xml:space="preserve">most of the time. </w:t>
      </w:r>
      <w:r w:rsidR="00B464EB" w:rsidRPr="00B464EB">
        <w:t>This decline may be due to factors such as JobSeeker payments being higher for a period of time during the program due to the $550 fortnightly COVID-19 supplement</w:t>
      </w:r>
      <w:r w:rsidR="0063324F">
        <w:t xml:space="preserve"> </w:t>
      </w:r>
      <w:r w:rsidR="00B464EB" w:rsidRPr="00B464EB">
        <w:t xml:space="preserve">and </w:t>
      </w:r>
      <w:r w:rsidR="0063324F">
        <w:t>more recent</w:t>
      </w:r>
      <w:r w:rsidR="00B464EB" w:rsidRPr="00B464EB">
        <w:t xml:space="preserve"> cost of living </w:t>
      </w:r>
      <w:r w:rsidR="00B464EB" w:rsidRPr="00E26A10">
        <w:rPr>
          <w:color w:val="auto"/>
        </w:rPr>
        <w:t>pressures</w:t>
      </w:r>
      <w:r w:rsidR="003147F6">
        <w:rPr>
          <w:color w:val="auto"/>
        </w:rPr>
        <w:t xml:space="preserve"> </w:t>
      </w:r>
      <w:r w:rsidR="00B464EB" w:rsidRPr="00E26A10">
        <w:rPr>
          <w:color w:val="auto"/>
        </w:rPr>
        <w:t>(</w:t>
      </w:r>
      <w:r w:rsidR="00421803">
        <w:rPr>
          <w:color w:val="auto"/>
        </w:rPr>
        <w:fldChar w:fldCharType="begin"/>
      </w:r>
      <w:r w:rsidR="00421803">
        <w:rPr>
          <w:color w:val="auto"/>
        </w:rPr>
        <w:instrText xml:space="preserve"> REF _Ref153710314 \h </w:instrText>
      </w:r>
      <w:r w:rsidR="00421803">
        <w:rPr>
          <w:color w:val="auto"/>
        </w:rPr>
      </w:r>
      <w:r w:rsidR="00421803">
        <w:rPr>
          <w:color w:val="auto"/>
        </w:rPr>
        <w:fldChar w:fldCharType="separate"/>
      </w:r>
      <w:r w:rsidR="00ED0DF7" w:rsidRPr="00EA2DED">
        <w:t xml:space="preserve">Figure </w:t>
      </w:r>
      <w:r w:rsidR="00ED0DF7">
        <w:rPr>
          <w:noProof/>
        </w:rPr>
        <w:t>12</w:t>
      </w:r>
      <w:r w:rsidR="00421803">
        <w:rPr>
          <w:color w:val="auto"/>
        </w:rPr>
        <w:fldChar w:fldCharType="end"/>
      </w:r>
      <w:r w:rsidR="00E26A10" w:rsidRPr="00352F7C">
        <w:rPr>
          <w:color w:val="auto"/>
        </w:rPr>
        <w:fldChar w:fldCharType="begin" w:fldLock="1"/>
      </w:r>
      <w:r w:rsidR="00E26A10" w:rsidRPr="00352F7C">
        <w:rPr>
          <w:color w:val="auto"/>
        </w:rPr>
        <w:instrText xml:space="preserve"> REF _Ref150437485  \* MERGEFORMAT </w:instrText>
      </w:r>
      <w:r w:rsidR="0061017C">
        <w:rPr>
          <w:color w:val="auto"/>
        </w:rPr>
        <w:fldChar w:fldCharType="separate"/>
      </w:r>
      <w:r w:rsidR="00E26A10" w:rsidRPr="00352F7C">
        <w:rPr>
          <w:color w:val="auto"/>
        </w:rPr>
        <w:fldChar w:fldCharType="end"/>
      </w:r>
      <w:r w:rsidR="00D8661C" w:rsidRPr="00352F7C">
        <w:rPr>
          <w:color w:val="auto"/>
        </w:rPr>
        <w:fldChar w:fldCharType="begin" w:fldLock="1"/>
      </w:r>
      <w:r w:rsidR="00D8661C" w:rsidRPr="00352F7C">
        <w:rPr>
          <w:color w:val="auto"/>
        </w:rPr>
        <w:instrText xml:space="preserve"> REF _Ref149068092 \h  \* MERGEFORMAT </w:instrText>
      </w:r>
      <w:r w:rsidR="00D8661C" w:rsidRPr="00352F7C">
        <w:rPr>
          <w:color w:val="auto"/>
        </w:rPr>
      </w:r>
      <w:r w:rsidR="0061017C">
        <w:rPr>
          <w:color w:val="auto"/>
        </w:rPr>
        <w:fldChar w:fldCharType="separate"/>
      </w:r>
      <w:r w:rsidR="00D8661C" w:rsidRPr="00352F7C">
        <w:rPr>
          <w:color w:val="auto"/>
        </w:rPr>
        <w:fldChar w:fldCharType="end"/>
      </w:r>
      <w:r w:rsidR="00B464EB" w:rsidRPr="00352F7C">
        <w:rPr>
          <w:color w:val="auto"/>
        </w:rPr>
        <w:t>).</w:t>
      </w:r>
    </w:p>
    <w:p w14:paraId="2EE21DC1" w14:textId="5EB01AC1" w:rsidR="008A5631" w:rsidRPr="00EA2DED" w:rsidRDefault="008A5631" w:rsidP="00134FF5">
      <w:pPr>
        <w:pStyle w:val="Caption"/>
      </w:pPr>
      <w:bookmarkStart w:id="74" w:name="_Ref153710314"/>
      <w:bookmarkStart w:id="75" w:name="_Toc174547297"/>
      <w:r w:rsidRPr="00EA2DED">
        <w:t xml:space="preserve">Figure </w:t>
      </w:r>
      <w:r>
        <w:fldChar w:fldCharType="begin"/>
      </w:r>
      <w:r>
        <w:instrText xml:space="preserve"> SEQ Figure \* ARABIC </w:instrText>
      </w:r>
      <w:r>
        <w:fldChar w:fldCharType="separate"/>
      </w:r>
      <w:r w:rsidR="000A505B">
        <w:rPr>
          <w:noProof/>
        </w:rPr>
        <w:t>12</w:t>
      </w:r>
      <w:r>
        <w:rPr>
          <w:noProof/>
        </w:rPr>
        <w:fldChar w:fldCharType="end"/>
      </w:r>
      <w:bookmarkEnd w:id="74"/>
      <w:r w:rsidRPr="00EA2DED">
        <w:t>: Average score of J2S</w:t>
      </w:r>
      <w:r>
        <w:t>I</w:t>
      </w:r>
      <w:r w:rsidRPr="00EA2DED">
        <w:t xml:space="preserve"> PAD client survey to questions relating to </w:t>
      </w:r>
      <w:r>
        <w:t>economic participation</w:t>
      </w:r>
      <w:bookmarkEnd w:id="75"/>
    </w:p>
    <w:p w14:paraId="339C53D3" w14:textId="3AC3E0E1" w:rsidR="008A5631" w:rsidRDefault="008A5631" w:rsidP="008A5631">
      <w:pPr>
        <w:pStyle w:val="BodyText"/>
        <w:rPr>
          <w:b/>
          <w:bCs/>
          <w:highlight w:val="red"/>
        </w:rPr>
      </w:pPr>
      <w:r>
        <w:rPr>
          <w:noProof/>
        </w:rPr>
        <w:drawing>
          <wp:inline distT="0" distB="0" distL="0" distR="0" wp14:anchorId="2601B27D" wp14:editId="28168DAC">
            <wp:extent cx="6448301" cy="2353310"/>
            <wp:effectExtent l="0" t="0" r="0" b="0"/>
            <wp:docPr id="62" name="Chart 62" descr="The figure depicts J2SI client survey results relating to economic participation. Client experience regarding work/training/volunteering satisfaction, ability to work/train/volunteer, managing personal finances, managing personal debts and ability to afford basic living expenses were mostly positive throughout the program. ">
              <a:extLst xmlns:a="http://schemas.openxmlformats.org/drawingml/2006/main">
                <a:ext uri="{FF2B5EF4-FFF2-40B4-BE49-F238E27FC236}">
                  <a16:creationId xmlns:a16="http://schemas.microsoft.com/office/drawing/2014/main" id="{AAC6F192-9076-2962-4F2C-C4D5C6F6F1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F6CCB7F" w14:textId="77777777" w:rsidR="00973442" w:rsidRDefault="00973442" w:rsidP="008A5631">
      <w:pPr>
        <w:pStyle w:val="BodyText"/>
        <w:rPr>
          <w:b/>
          <w:bCs/>
          <w:highlight w:val="red"/>
        </w:rPr>
        <w:sectPr w:rsidR="00973442" w:rsidSect="005B0986">
          <w:pgSz w:w="11906" w:h="16838"/>
          <w:pgMar w:top="851" w:right="851" w:bottom="851" w:left="851" w:header="567" w:footer="283" w:gutter="0"/>
          <w:cols w:space="708"/>
          <w:docGrid w:linePitch="360"/>
        </w:sectPr>
      </w:pP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8A5631" w14:paraId="6DC59158" w14:textId="77777777" w:rsidTr="00F01861">
        <w:trPr>
          <w:trHeight w:val="429"/>
        </w:trPr>
        <w:tc>
          <w:tcPr>
            <w:tcW w:w="10204" w:type="dxa"/>
          </w:tcPr>
          <w:p w14:paraId="0F488FE9" w14:textId="77777777" w:rsidR="008A5631" w:rsidRPr="00AB7357" w:rsidRDefault="008A5631">
            <w:pPr>
              <w:pStyle w:val="BodyText"/>
              <w:spacing w:before="0" w:after="0"/>
              <w:ind w:left="-113"/>
              <w:jc w:val="left"/>
              <w:rPr>
                <w:b/>
                <w:bCs/>
                <w:i w:val="0"/>
                <w:iCs/>
              </w:rPr>
            </w:pPr>
            <w:r>
              <w:rPr>
                <w:b/>
                <w:bCs/>
                <w:i w:val="0"/>
                <w:iCs/>
              </w:rPr>
              <w:lastRenderedPageBreak/>
              <w:t xml:space="preserve">Social participation </w:t>
            </w:r>
          </w:p>
        </w:tc>
      </w:tr>
      <w:tr w:rsidR="008A5631" w:rsidRPr="00CD1B11" w14:paraId="799BE9F6" w14:textId="77777777" w:rsidTr="0028268C">
        <w:tblPrEx>
          <w:tblBorders>
            <w:top w:val="single" w:sz="12" w:space="0" w:color="1E49E2" w:themeColor="accent1"/>
            <w:bottom w:val="single" w:sz="12" w:space="0" w:color="1E49E2" w:themeColor="accent1"/>
          </w:tblBorders>
        </w:tblPrEx>
        <w:trPr>
          <w:trHeight w:val="1368"/>
        </w:trPr>
        <w:tc>
          <w:tcPr>
            <w:tcW w:w="10204" w:type="dxa"/>
            <w:tcBorders>
              <w:top w:val="single" w:sz="12" w:space="0" w:color="1E49E2" w:themeColor="accent1"/>
              <w:bottom w:val="nil"/>
            </w:tcBorders>
            <w:shd w:val="clear" w:color="auto" w:fill="CAF1FF" w:themeFill="accent2" w:themeFillTint="33"/>
          </w:tcPr>
          <w:p w14:paraId="29E9D5AA" w14:textId="38695D26" w:rsidR="008A5631" w:rsidRPr="00632D10" w:rsidRDefault="008A5631" w:rsidP="00632D10">
            <w:pPr>
              <w:pStyle w:val="Bullet1stlevel"/>
              <w:numPr>
                <w:ilvl w:val="0"/>
                <w:numId w:val="0"/>
              </w:numPr>
              <w:jc w:val="left"/>
              <w:rPr>
                <w:i w:val="0"/>
                <w:iCs/>
              </w:rPr>
            </w:pPr>
            <w:r w:rsidRPr="00632D10">
              <w:rPr>
                <w:i w:val="0"/>
                <w:iCs/>
              </w:rPr>
              <w:t xml:space="preserve">Key findings: </w:t>
            </w:r>
          </w:p>
          <w:p w14:paraId="1C977623" w14:textId="0A139DD1" w:rsidR="008A5631" w:rsidRPr="00344506" w:rsidRDefault="008A5631" w:rsidP="00632D10">
            <w:pPr>
              <w:pStyle w:val="Bullet1stlevel"/>
              <w:numPr>
                <w:ilvl w:val="0"/>
                <w:numId w:val="15"/>
              </w:numPr>
              <w:jc w:val="left"/>
              <w:rPr>
                <w:b/>
              </w:rPr>
            </w:pPr>
            <w:r w:rsidRPr="00632D10">
              <w:rPr>
                <w:i w:val="0"/>
                <w:iCs/>
              </w:rPr>
              <w:t xml:space="preserve">J2SI PAD clients reported improvements relating to their </w:t>
            </w:r>
            <w:r w:rsidR="00872C69" w:rsidRPr="00632D10">
              <w:rPr>
                <w:i w:val="0"/>
                <w:iCs/>
              </w:rPr>
              <w:t>social</w:t>
            </w:r>
            <w:r w:rsidRPr="00632D10">
              <w:rPr>
                <w:i w:val="0"/>
                <w:iCs/>
              </w:rPr>
              <w:t xml:space="preserve"> participation</w:t>
            </w:r>
            <w:r w:rsidR="0028268C" w:rsidRPr="00632D10">
              <w:rPr>
                <w:i w:val="0"/>
                <w:iCs/>
              </w:rPr>
              <w:t>.</w:t>
            </w:r>
            <w:r w:rsidR="00C63723" w:rsidRPr="00632D10">
              <w:rPr>
                <w:i w:val="0"/>
                <w:iCs/>
              </w:rPr>
              <w:t xml:space="preserve"> </w:t>
            </w:r>
            <w:r w:rsidRPr="00632D10">
              <w:rPr>
                <w:i w:val="0"/>
                <w:iCs/>
              </w:rPr>
              <w:t xml:space="preserve">The </w:t>
            </w:r>
            <w:r w:rsidR="00D431DA" w:rsidRPr="00632D10">
              <w:rPr>
                <w:i w:val="0"/>
                <w:iCs/>
              </w:rPr>
              <w:t>largest</w:t>
            </w:r>
            <w:r w:rsidRPr="00632D10">
              <w:rPr>
                <w:i w:val="0"/>
                <w:iCs/>
              </w:rPr>
              <w:t xml:space="preserve"> increase from program entry to exit related to their </w:t>
            </w:r>
            <w:r w:rsidR="00872C69" w:rsidRPr="00632D10">
              <w:rPr>
                <w:i w:val="0"/>
                <w:iCs/>
              </w:rPr>
              <w:t>ability to access support from personal relationships</w:t>
            </w:r>
            <w:r w:rsidRPr="00632D10">
              <w:rPr>
                <w:i w:val="0"/>
                <w:iCs/>
              </w:rPr>
              <w:t xml:space="preserve"> (+</w:t>
            </w:r>
            <w:r w:rsidR="00872C69" w:rsidRPr="00632D10">
              <w:rPr>
                <w:i w:val="0"/>
                <w:iCs/>
              </w:rPr>
              <w:t>1</w:t>
            </w:r>
            <w:r w:rsidRPr="00632D10">
              <w:rPr>
                <w:i w:val="0"/>
                <w:iCs/>
              </w:rPr>
              <w:t>.</w:t>
            </w:r>
            <w:r w:rsidR="00872C69" w:rsidRPr="00632D10">
              <w:rPr>
                <w:i w:val="0"/>
                <w:iCs/>
              </w:rPr>
              <w:t>08</w:t>
            </w:r>
            <w:r w:rsidRPr="00632D10">
              <w:rPr>
                <w:i w:val="0"/>
                <w:iCs/>
              </w:rPr>
              <w:t>)</w:t>
            </w:r>
            <w:r w:rsidR="0028268C" w:rsidRPr="00632D10">
              <w:rPr>
                <w:i w:val="0"/>
                <w:iCs/>
              </w:rPr>
              <w:t>.</w:t>
            </w:r>
          </w:p>
        </w:tc>
      </w:tr>
    </w:tbl>
    <w:p w14:paraId="4F65C38C" w14:textId="63718D7D" w:rsidR="008A5631" w:rsidRPr="00325BE2" w:rsidRDefault="008A5631" w:rsidP="00325BE2">
      <w:pPr>
        <w:pStyle w:val="BodyText"/>
      </w:pPr>
      <w:r w:rsidRPr="00325BE2">
        <w:t>J2SI PAD clients reported an improvement in outcomes relating to their social participation from program commencement through to exit. Clients reported that:</w:t>
      </w:r>
    </w:p>
    <w:p w14:paraId="4BEDF7C1" w14:textId="13DE140F" w:rsidR="00330111" w:rsidRDefault="00330111" w:rsidP="00632D10">
      <w:pPr>
        <w:pStyle w:val="Bullet1stlevel"/>
      </w:pPr>
      <w:r>
        <w:t>In response to the question ‘</w:t>
      </w:r>
      <w:r>
        <w:rPr>
          <w:i/>
          <w:iCs/>
        </w:rPr>
        <w:t>how often are you able to access support from your personal relationships</w:t>
      </w:r>
      <w:r w:rsidRPr="00C72D32">
        <w:rPr>
          <w:i/>
          <w:iCs/>
        </w:rPr>
        <w:t>?</w:t>
      </w:r>
      <w:r>
        <w:t xml:space="preserve">’ the average score increased </w:t>
      </w:r>
      <w:r w:rsidR="00057084">
        <w:t>by</w:t>
      </w:r>
      <w:r>
        <w:t xml:space="preserve"> +1</w:t>
      </w:r>
      <w:r w:rsidR="0005439A">
        <w:t>.08</w:t>
      </w:r>
      <w:r>
        <w:t xml:space="preserve"> from 2.7</w:t>
      </w:r>
      <w:r w:rsidR="0005439A">
        <w:t>7</w:t>
      </w:r>
      <w:r>
        <w:t xml:space="preserve"> (n=</w:t>
      </w:r>
      <w:r w:rsidR="0005439A">
        <w:t>100</w:t>
      </w:r>
      <w:r>
        <w:t>) to 3.</w:t>
      </w:r>
      <w:r w:rsidR="0005439A">
        <w:t>85</w:t>
      </w:r>
      <w:r>
        <w:t xml:space="preserve"> (n=9</w:t>
      </w:r>
      <w:r w:rsidR="0005439A">
        <w:t>6</w:t>
      </w:r>
      <w:r>
        <w:t xml:space="preserve">), where a score of </w:t>
      </w:r>
      <w:r w:rsidR="007B20F0">
        <w:t>three</w:t>
      </w:r>
      <w:r>
        <w:t xml:space="preserve"> represents </w:t>
      </w:r>
      <w:r w:rsidR="00B2065A" w:rsidRPr="00217FF5">
        <w:rPr>
          <w:i/>
          <w:iCs/>
        </w:rPr>
        <w:t>‘</w:t>
      </w:r>
      <w:r w:rsidR="007B20F0" w:rsidRPr="00217FF5">
        <w:rPr>
          <w:i/>
          <w:iCs/>
        </w:rPr>
        <w:t>sometimes</w:t>
      </w:r>
      <w:r w:rsidR="00B2065A" w:rsidRPr="00217FF5">
        <w:rPr>
          <w:i/>
          <w:iCs/>
        </w:rPr>
        <w:t>’</w:t>
      </w:r>
      <w:r>
        <w:t xml:space="preserve"> and a score of </w:t>
      </w:r>
      <w:r w:rsidR="0005439A">
        <w:t>four</w:t>
      </w:r>
      <w:r>
        <w:t xml:space="preserve"> represents </w:t>
      </w:r>
      <w:r w:rsidR="00B2065A" w:rsidRPr="00217FF5">
        <w:rPr>
          <w:i/>
          <w:iCs/>
        </w:rPr>
        <w:t>‘</w:t>
      </w:r>
      <w:r w:rsidR="002C3FB9" w:rsidRPr="00217FF5">
        <w:rPr>
          <w:i/>
          <w:iCs/>
        </w:rPr>
        <w:t>most of the time</w:t>
      </w:r>
      <w:r w:rsidR="00B2065A" w:rsidRPr="00217FF5">
        <w:rPr>
          <w:i/>
          <w:iCs/>
        </w:rPr>
        <w:t>’</w:t>
      </w:r>
      <w:r>
        <w:t>;</w:t>
      </w:r>
    </w:p>
    <w:p w14:paraId="3EDECC75" w14:textId="0FDA671E" w:rsidR="00E10008" w:rsidRDefault="00E10008" w:rsidP="00632D10">
      <w:pPr>
        <w:pStyle w:val="Bullet1stlevel"/>
      </w:pPr>
      <w:r>
        <w:t xml:space="preserve">In response </w:t>
      </w:r>
      <w:r w:rsidRPr="00571669">
        <w:t>to the question ‘</w:t>
      </w:r>
      <w:r w:rsidRPr="00571669">
        <w:rPr>
          <w:i/>
          <w:iCs/>
        </w:rPr>
        <w:t>how often are you able to maintain positive relationships?</w:t>
      </w:r>
      <w:r w:rsidRPr="00571669">
        <w:t xml:space="preserve">’ the average score increased </w:t>
      </w:r>
      <w:r w:rsidR="00057084">
        <w:t xml:space="preserve">by </w:t>
      </w:r>
      <w:r w:rsidRPr="00571669">
        <w:t xml:space="preserve">+0.32 from </w:t>
      </w:r>
      <w:r w:rsidR="000D3365" w:rsidRPr="00571669">
        <w:t>3.29</w:t>
      </w:r>
      <w:r w:rsidRPr="00571669">
        <w:t xml:space="preserve"> (n=100) to 3.</w:t>
      </w:r>
      <w:r w:rsidR="000D3365" w:rsidRPr="00571669">
        <w:t>61</w:t>
      </w:r>
      <w:r w:rsidRPr="00571669">
        <w:t xml:space="preserve"> (n=96), where a score of </w:t>
      </w:r>
      <w:r w:rsidR="000D3365" w:rsidRPr="00571669">
        <w:t>three</w:t>
      </w:r>
      <w:r w:rsidRPr="00571669">
        <w:t xml:space="preserve"> represents </w:t>
      </w:r>
      <w:r w:rsidR="00B2065A" w:rsidRPr="00217FF5">
        <w:rPr>
          <w:i/>
          <w:iCs/>
        </w:rPr>
        <w:t>‘</w:t>
      </w:r>
      <w:r w:rsidR="00571669" w:rsidRPr="00217FF5">
        <w:rPr>
          <w:i/>
          <w:iCs/>
        </w:rPr>
        <w:t>sometimes</w:t>
      </w:r>
      <w:r w:rsidR="00B2065A" w:rsidRPr="00217FF5">
        <w:rPr>
          <w:i/>
          <w:iCs/>
        </w:rPr>
        <w:t>’</w:t>
      </w:r>
      <w:r w:rsidRPr="00571669">
        <w:t xml:space="preserve"> and a score of four represents </w:t>
      </w:r>
      <w:r w:rsidR="00B2065A" w:rsidRPr="00217FF5">
        <w:rPr>
          <w:i/>
          <w:iCs/>
        </w:rPr>
        <w:t>‘</w:t>
      </w:r>
      <w:r w:rsidRPr="00217FF5">
        <w:rPr>
          <w:i/>
          <w:iCs/>
        </w:rPr>
        <w:t>most of the time</w:t>
      </w:r>
      <w:r w:rsidR="00B2065A" w:rsidRPr="00217FF5">
        <w:rPr>
          <w:i/>
          <w:iCs/>
        </w:rPr>
        <w:t>’</w:t>
      </w:r>
      <w:r w:rsidRPr="00571669">
        <w:t>;</w:t>
      </w:r>
    </w:p>
    <w:p w14:paraId="54D0392A" w14:textId="070460C9" w:rsidR="00571669" w:rsidRDefault="00571669" w:rsidP="00632D10">
      <w:pPr>
        <w:pStyle w:val="Bullet1stlevel"/>
      </w:pPr>
      <w:r>
        <w:t xml:space="preserve">In response </w:t>
      </w:r>
      <w:r w:rsidRPr="00571669">
        <w:t>to the question ‘</w:t>
      </w:r>
      <w:r>
        <w:rPr>
          <w:i/>
          <w:iCs/>
        </w:rPr>
        <w:t>how often do you feel connected to, and part o</w:t>
      </w:r>
      <w:r w:rsidR="00057084">
        <w:rPr>
          <w:i/>
          <w:iCs/>
        </w:rPr>
        <w:t>f</w:t>
      </w:r>
      <w:r>
        <w:rPr>
          <w:i/>
          <w:iCs/>
        </w:rPr>
        <w:t>, a community</w:t>
      </w:r>
      <w:r w:rsidRPr="00571669">
        <w:rPr>
          <w:i/>
          <w:iCs/>
        </w:rPr>
        <w:t>?</w:t>
      </w:r>
      <w:r w:rsidRPr="00571669">
        <w:t>’ the average score increased +0.</w:t>
      </w:r>
      <w:r>
        <w:t>46</w:t>
      </w:r>
      <w:r w:rsidRPr="00571669">
        <w:t xml:space="preserve"> from </w:t>
      </w:r>
      <w:r>
        <w:t>2.68</w:t>
      </w:r>
      <w:r w:rsidRPr="00571669">
        <w:t xml:space="preserve"> (n=100) to 3.1</w:t>
      </w:r>
      <w:r>
        <w:t>4</w:t>
      </w:r>
      <w:r w:rsidRPr="00571669">
        <w:t xml:space="preserve"> (n=96), where a score of </w:t>
      </w:r>
      <w:r w:rsidR="00E42676">
        <w:t>three</w:t>
      </w:r>
      <w:r w:rsidRPr="00571669">
        <w:t xml:space="preserve"> represents </w:t>
      </w:r>
      <w:r w:rsidR="00B2065A" w:rsidRPr="00217FF5">
        <w:rPr>
          <w:i/>
          <w:iCs/>
        </w:rPr>
        <w:t>‘</w:t>
      </w:r>
      <w:r w:rsidR="000D1CF1" w:rsidRPr="00217FF5">
        <w:rPr>
          <w:i/>
          <w:iCs/>
        </w:rPr>
        <w:t>sometimes</w:t>
      </w:r>
      <w:r w:rsidR="00B2065A" w:rsidRPr="00217FF5">
        <w:rPr>
          <w:i/>
          <w:iCs/>
        </w:rPr>
        <w:t>’</w:t>
      </w:r>
      <w:r w:rsidRPr="00571669">
        <w:t>;</w:t>
      </w:r>
    </w:p>
    <w:p w14:paraId="1CDBF6EC" w14:textId="3158585B" w:rsidR="008A5631" w:rsidRPr="00707D7F" w:rsidRDefault="004E5ED8" w:rsidP="00632D10">
      <w:pPr>
        <w:pStyle w:val="Bullet1stlevel"/>
        <w:rPr>
          <w:color w:val="auto"/>
        </w:rPr>
      </w:pPr>
      <w:r>
        <w:t xml:space="preserve">In response </w:t>
      </w:r>
      <w:r w:rsidRPr="00571669">
        <w:t>to the question ‘</w:t>
      </w:r>
      <w:r>
        <w:rPr>
          <w:i/>
          <w:iCs/>
        </w:rPr>
        <w:t>how satisfied are you with your involvement in social activities</w:t>
      </w:r>
      <w:r w:rsidRPr="00571669">
        <w:rPr>
          <w:i/>
          <w:iCs/>
        </w:rPr>
        <w:t>?</w:t>
      </w:r>
      <w:r w:rsidRPr="00571669">
        <w:t xml:space="preserve">’ the average score increased </w:t>
      </w:r>
      <w:r w:rsidR="00057084">
        <w:t>by</w:t>
      </w:r>
      <w:r w:rsidRPr="00571669">
        <w:t xml:space="preserve"> +0.</w:t>
      </w:r>
      <w:r>
        <w:t>41</w:t>
      </w:r>
      <w:r w:rsidRPr="00571669">
        <w:t xml:space="preserve"> from </w:t>
      </w:r>
      <w:r>
        <w:t>2.97</w:t>
      </w:r>
      <w:r w:rsidRPr="00571669">
        <w:t xml:space="preserve"> (n=</w:t>
      </w:r>
      <w:r>
        <w:t>99</w:t>
      </w:r>
      <w:r w:rsidRPr="00571669">
        <w:t>) to 3.</w:t>
      </w:r>
      <w:r>
        <w:t>38</w:t>
      </w:r>
      <w:r w:rsidRPr="00571669">
        <w:t xml:space="preserve"> (n=96), where a score of </w:t>
      </w:r>
      <w:r>
        <w:t>three</w:t>
      </w:r>
      <w:r w:rsidRPr="00571669">
        <w:t xml:space="preserve"> represents </w:t>
      </w:r>
      <w:r w:rsidR="00B2065A" w:rsidRPr="00256069">
        <w:rPr>
          <w:i/>
          <w:iCs/>
        </w:rPr>
        <w:t>‘</w:t>
      </w:r>
      <w:r w:rsidR="00744E10" w:rsidRPr="00256069">
        <w:rPr>
          <w:i/>
          <w:iCs/>
        </w:rPr>
        <w:t>neutral</w:t>
      </w:r>
      <w:r w:rsidR="00B2065A" w:rsidRPr="00256069">
        <w:rPr>
          <w:i/>
          <w:iCs/>
        </w:rPr>
        <w:t>’</w:t>
      </w:r>
      <w:r w:rsidR="00744E10">
        <w:t xml:space="preserve"> </w:t>
      </w:r>
      <w:r w:rsidR="008A5631" w:rsidRPr="00256069">
        <w:rPr>
          <w:color w:val="auto"/>
          <w:sz w:val="22"/>
          <w:szCs w:val="24"/>
        </w:rPr>
        <w:t>(</w:t>
      </w:r>
      <w:r w:rsidR="00421803">
        <w:rPr>
          <w:color w:val="auto"/>
          <w:sz w:val="22"/>
          <w:szCs w:val="24"/>
        </w:rPr>
        <w:fldChar w:fldCharType="begin"/>
      </w:r>
      <w:r w:rsidR="00421803">
        <w:rPr>
          <w:color w:val="auto"/>
          <w:sz w:val="22"/>
          <w:szCs w:val="24"/>
        </w:rPr>
        <w:instrText xml:space="preserve"> REF _Ref150437543 \h </w:instrText>
      </w:r>
      <w:r w:rsidR="00421803">
        <w:rPr>
          <w:color w:val="auto"/>
          <w:sz w:val="22"/>
          <w:szCs w:val="24"/>
        </w:rPr>
      </w:r>
      <w:r w:rsidR="00421803">
        <w:rPr>
          <w:color w:val="auto"/>
          <w:sz w:val="22"/>
          <w:szCs w:val="24"/>
        </w:rPr>
        <w:fldChar w:fldCharType="separate"/>
      </w:r>
      <w:r w:rsidR="00ED0DF7" w:rsidRPr="00EA2DED">
        <w:t xml:space="preserve">Figure </w:t>
      </w:r>
      <w:r w:rsidR="00ED0DF7">
        <w:rPr>
          <w:noProof/>
        </w:rPr>
        <w:t>13</w:t>
      </w:r>
      <w:r w:rsidR="00421803">
        <w:rPr>
          <w:color w:val="auto"/>
          <w:sz w:val="22"/>
          <w:szCs w:val="24"/>
        </w:rPr>
        <w:fldChar w:fldCharType="end"/>
      </w:r>
      <w:r w:rsidR="00707D7F" w:rsidRPr="004E5ED8">
        <w:rPr>
          <w:color w:val="auto"/>
          <w:szCs w:val="20"/>
        </w:rPr>
        <w:fldChar w:fldCharType="begin" w:fldLock="1"/>
      </w:r>
      <w:r w:rsidR="00707D7F" w:rsidRPr="004E5ED8">
        <w:rPr>
          <w:color w:val="auto"/>
          <w:szCs w:val="20"/>
        </w:rPr>
        <w:instrText xml:space="preserve"> REF _Ref150437543  \* MERGEFORMAT </w:instrText>
      </w:r>
      <w:r w:rsidR="0061017C">
        <w:rPr>
          <w:color w:val="auto"/>
          <w:szCs w:val="20"/>
        </w:rPr>
        <w:fldChar w:fldCharType="separate"/>
      </w:r>
      <w:r w:rsidR="00707D7F" w:rsidRPr="004E5ED8">
        <w:rPr>
          <w:color w:val="auto"/>
          <w:szCs w:val="20"/>
        </w:rPr>
        <w:fldChar w:fldCharType="end"/>
      </w:r>
      <w:r w:rsidR="008A5631" w:rsidRPr="004E5ED8">
        <w:rPr>
          <w:color w:val="auto"/>
          <w:szCs w:val="20"/>
        </w:rPr>
        <w:fldChar w:fldCharType="begin" w:fldLock="1"/>
      </w:r>
      <w:r w:rsidR="008A5631" w:rsidRPr="004E5ED8">
        <w:rPr>
          <w:color w:val="auto"/>
          <w:szCs w:val="20"/>
        </w:rPr>
        <w:instrText xml:space="preserve"> REF _Ref149068311 \h  \* MERGEFORMAT </w:instrText>
      </w:r>
      <w:r w:rsidR="008A5631" w:rsidRPr="004E5ED8">
        <w:rPr>
          <w:color w:val="auto"/>
          <w:szCs w:val="20"/>
        </w:rPr>
      </w:r>
      <w:r w:rsidR="0061017C">
        <w:rPr>
          <w:color w:val="auto"/>
          <w:szCs w:val="20"/>
        </w:rPr>
        <w:fldChar w:fldCharType="separate"/>
      </w:r>
      <w:r w:rsidR="008A5631" w:rsidRPr="004E5ED8">
        <w:rPr>
          <w:color w:val="auto"/>
          <w:szCs w:val="20"/>
        </w:rPr>
        <w:fldChar w:fldCharType="end"/>
      </w:r>
      <w:r w:rsidR="008A5631" w:rsidRPr="004E5ED8">
        <w:rPr>
          <w:color w:val="auto"/>
          <w:szCs w:val="20"/>
        </w:rPr>
        <w:t>).</w:t>
      </w:r>
      <w:r w:rsidR="008A5631" w:rsidRPr="00256069">
        <w:rPr>
          <w:color w:val="auto"/>
          <w:sz w:val="22"/>
          <w:szCs w:val="24"/>
        </w:rPr>
        <w:t xml:space="preserve"> </w:t>
      </w:r>
    </w:p>
    <w:p w14:paraId="35C4F7E5" w14:textId="4753BEED" w:rsidR="008A5631" w:rsidRPr="00EA2DED" w:rsidRDefault="008A5631" w:rsidP="00134FF5">
      <w:pPr>
        <w:pStyle w:val="Caption"/>
      </w:pPr>
      <w:bookmarkStart w:id="76" w:name="_Ref150437543"/>
      <w:bookmarkStart w:id="77" w:name="_Toc174547298"/>
      <w:r w:rsidRPr="00EA2DED">
        <w:t xml:space="preserve">Figure </w:t>
      </w:r>
      <w:r>
        <w:fldChar w:fldCharType="begin"/>
      </w:r>
      <w:r>
        <w:instrText xml:space="preserve"> SEQ Figure \* ARABIC </w:instrText>
      </w:r>
      <w:r>
        <w:fldChar w:fldCharType="separate"/>
      </w:r>
      <w:r w:rsidR="000A505B">
        <w:rPr>
          <w:noProof/>
        </w:rPr>
        <w:t>13</w:t>
      </w:r>
      <w:r>
        <w:rPr>
          <w:noProof/>
        </w:rPr>
        <w:fldChar w:fldCharType="end"/>
      </w:r>
      <w:bookmarkEnd w:id="76"/>
      <w:r w:rsidRPr="00EA2DED">
        <w:t xml:space="preserve">: Average score of </w:t>
      </w:r>
      <w:r>
        <w:t>J2SI</w:t>
      </w:r>
      <w:r w:rsidRPr="00EA2DED">
        <w:t xml:space="preserve"> PAD client survey to questions relating to </w:t>
      </w:r>
      <w:r>
        <w:t>social participation</w:t>
      </w:r>
      <w:bookmarkEnd w:id="77"/>
    </w:p>
    <w:p w14:paraId="6066CC8E" w14:textId="62BBE459" w:rsidR="008A5631" w:rsidRDefault="008A5631" w:rsidP="0047474B">
      <w:pPr>
        <w:pStyle w:val="BodyText"/>
        <w:spacing w:after="240"/>
        <w:rPr>
          <w:b/>
          <w:bCs/>
          <w:highlight w:val="red"/>
        </w:rPr>
      </w:pPr>
      <w:r>
        <w:rPr>
          <w:noProof/>
        </w:rPr>
        <w:drawing>
          <wp:inline distT="0" distB="0" distL="0" distR="0" wp14:anchorId="332374D1" wp14:editId="744840CF">
            <wp:extent cx="6460177" cy="2581275"/>
            <wp:effectExtent l="0" t="0" r="0" b="0"/>
            <wp:docPr id="63" name="Chart 63" descr="The figure depicts J2SI client survey results relating to social participation . Client experience regarding personal support networks, maintaining positive relationships, community connectedness and satisfaction from social activity involvement was mostly positive and improved slightly throughout the program.">
              <a:extLst xmlns:a="http://schemas.openxmlformats.org/drawingml/2006/main">
                <a:ext uri="{FF2B5EF4-FFF2-40B4-BE49-F238E27FC236}">
                  <a16:creationId xmlns:a16="http://schemas.microsoft.com/office/drawing/2014/main" id="{1BBF55BE-648D-FFD0-CA0A-7F0DAF0D1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7060BA" w14:paraId="3C02901A" w14:textId="77777777" w:rsidTr="007C7C9E">
        <w:trPr>
          <w:trHeight w:val="429"/>
        </w:trPr>
        <w:tc>
          <w:tcPr>
            <w:tcW w:w="10204" w:type="dxa"/>
          </w:tcPr>
          <w:p w14:paraId="0D98DA7C" w14:textId="41FE6933" w:rsidR="007060BA" w:rsidRPr="00AB7357" w:rsidRDefault="00BA4C65" w:rsidP="008A5631">
            <w:pPr>
              <w:pStyle w:val="BodyText"/>
              <w:spacing w:before="0" w:after="0"/>
              <w:ind w:left="0"/>
              <w:jc w:val="left"/>
              <w:rPr>
                <w:b/>
                <w:bCs/>
                <w:i w:val="0"/>
                <w:iCs/>
              </w:rPr>
            </w:pPr>
            <w:r>
              <w:rPr>
                <w:b/>
                <w:bCs/>
                <w:i w:val="0"/>
                <w:iCs/>
              </w:rPr>
              <w:t>Police interactions</w:t>
            </w:r>
            <w:r w:rsidR="007060BA">
              <w:rPr>
                <w:b/>
                <w:bCs/>
                <w:i w:val="0"/>
                <w:iCs/>
              </w:rPr>
              <w:t xml:space="preserve"> </w:t>
            </w:r>
          </w:p>
        </w:tc>
      </w:tr>
      <w:tr w:rsidR="00FE51BE" w:rsidRPr="00CD1B11" w14:paraId="494658CA" w14:textId="77777777" w:rsidTr="007C7C9E">
        <w:tblPrEx>
          <w:tblBorders>
            <w:top w:val="single" w:sz="12" w:space="0" w:color="1E49E2" w:themeColor="accent1"/>
            <w:bottom w:val="single" w:sz="12" w:space="0" w:color="1E49E2" w:themeColor="accent1"/>
          </w:tblBorders>
        </w:tblPrEx>
        <w:trPr>
          <w:trHeight w:val="1145"/>
        </w:trPr>
        <w:tc>
          <w:tcPr>
            <w:tcW w:w="10204" w:type="dxa"/>
            <w:tcBorders>
              <w:top w:val="single" w:sz="12" w:space="0" w:color="1E49E2" w:themeColor="accent1"/>
              <w:bottom w:val="nil"/>
            </w:tcBorders>
            <w:shd w:val="clear" w:color="auto" w:fill="CAF1FF" w:themeFill="accent2" w:themeFillTint="33"/>
          </w:tcPr>
          <w:p w14:paraId="3B8639A5" w14:textId="45A3CFD8" w:rsidR="00FE51BE" w:rsidRPr="00632D10" w:rsidRDefault="00FE51BE" w:rsidP="00632D10">
            <w:pPr>
              <w:pStyle w:val="Bullet1stlevel"/>
              <w:numPr>
                <w:ilvl w:val="0"/>
                <w:numId w:val="0"/>
              </w:numPr>
              <w:jc w:val="left"/>
              <w:rPr>
                <w:i w:val="0"/>
                <w:iCs/>
              </w:rPr>
            </w:pPr>
            <w:r w:rsidRPr="00632D10">
              <w:rPr>
                <w:i w:val="0"/>
                <w:iCs/>
              </w:rPr>
              <w:t xml:space="preserve">Key findings: </w:t>
            </w:r>
          </w:p>
          <w:p w14:paraId="64F5EB07" w14:textId="79D87F15" w:rsidR="00FE51BE" w:rsidRPr="00C136CC" w:rsidRDefault="00C136CC" w:rsidP="00632D10">
            <w:pPr>
              <w:pStyle w:val="Bullet1stlevel"/>
              <w:numPr>
                <w:ilvl w:val="0"/>
                <w:numId w:val="15"/>
              </w:numPr>
              <w:jc w:val="left"/>
              <w:rPr>
                <w:i w:val="0"/>
              </w:rPr>
            </w:pPr>
            <w:r w:rsidRPr="00632D10">
              <w:rPr>
                <w:i w:val="0"/>
                <w:iCs/>
              </w:rPr>
              <w:t>Average monthly police interactions and days in custody</w:t>
            </w:r>
            <w:r w:rsidR="008A562B" w:rsidRPr="00632D10">
              <w:rPr>
                <w:i w:val="0"/>
                <w:iCs/>
              </w:rPr>
              <w:t xml:space="preserve"> of J2SI PAD </w:t>
            </w:r>
            <w:r w:rsidR="00707D7F" w:rsidRPr="00632D10">
              <w:rPr>
                <w:i w:val="0"/>
                <w:iCs/>
              </w:rPr>
              <w:t>trended</w:t>
            </w:r>
            <w:r w:rsidRPr="00632D10">
              <w:rPr>
                <w:i w:val="0"/>
                <w:iCs/>
              </w:rPr>
              <w:t xml:space="preserve"> downwards</w:t>
            </w:r>
            <w:r w:rsidR="00B63BFA" w:rsidRPr="00632D10">
              <w:rPr>
                <w:i w:val="0"/>
                <w:iCs/>
              </w:rPr>
              <w:t xml:space="preserve"> across the duration of the program</w:t>
            </w:r>
            <w:r w:rsidR="001D411D" w:rsidRPr="00632D10">
              <w:rPr>
                <w:i w:val="0"/>
                <w:iCs/>
              </w:rPr>
              <w:t>.</w:t>
            </w:r>
          </w:p>
        </w:tc>
      </w:tr>
    </w:tbl>
    <w:p w14:paraId="05EC9126" w14:textId="31B1A403" w:rsidR="000F5458" w:rsidRDefault="00916D31" w:rsidP="0070605A">
      <w:pPr>
        <w:pStyle w:val="BodyText"/>
      </w:pPr>
      <w:r w:rsidRPr="002D0541">
        <w:t>Clients</w:t>
      </w:r>
      <w:r w:rsidR="003147F6">
        <w:t>’</w:t>
      </w:r>
      <w:r w:rsidRPr="002D0541">
        <w:t xml:space="preserve"> average monthly police interactions and days in custody trended downwards across the duration of the program (</w:t>
      </w:r>
      <w:r w:rsidR="00421803">
        <w:fldChar w:fldCharType="begin"/>
      </w:r>
      <w:r w:rsidR="00421803">
        <w:instrText xml:space="preserve"> REF _Ref149849997 \h </w:instrText>
      </w:r>
      <w:r w:rsidR="00421803">
        <w:fldChar w:fldCharType="separate"/>
      </w:r>
      <w:r w:rsidR="005B05CA" w:rsidRPr="00EA2DED">
        <w:t xml:space="preserve">Figure </w:t>
      </w:r>
      <w:r w:rsidR="005B05CA">
        <w:rPr>
          <w:noProof/>
        </w:rPr>
        <w:t>13</w:t>
      </w:r>
      <w:r w:rsidR="00421803">
        <w:fldChar w:fldCharType="end"/>
      </w:r>
      <w:r w:rsidRPr="002D0541">
        <w:t xml:space="preserve"> and </w:t>
      </w:r>
      <w:r w:rsidR="00421803">
        <w:fldChar w:fldCharType="begin"/>
      </w:r>
      <w:r w:rsidR="00421803">
        <w:instrText xml:space="preserve"> REF _Ref149850003 \h </w:instrText>
      </w:r>
      <w:r w:rsidR="00421803">
        <w:fldChar w:fldCharType="separate"/>
      </w:r>
      <w:r w:rsidR="005B05CA" w:rsidRPr="00EA2DED">
        <w:t xml:space="preserve">Figure </w:t>
      </w:r>
      <w:r w:rsidR="005B05CA">
        <w:rPr>
          <w:noProof/>
        </w:rPr>
        <w:t>14</w:t>
      </w:r>
      <w:r w:rsidR="00421803">
        <w:fldChar w:fldCharType="end"/>
      </w:r>
      <w:r w:rsidR="00D779C0">
        <w:fldChar w:fldCharType="begin" w:fldLock="1"/>
      </w:r>
      <w:r w:rsidR="00D779C0">
        <w:instrText xml:space="preserve"> REF _Ref149850003 \h  \* MERGEFORMAT </w:instrText>
      </w:r>
      <w:r w:rsidR="0061017C">
        <w:fldChar w:fldCharType="separate"/>
      </w:r>
      <w:r w:rsidR="00D779C0">
        <w:fldChar w:fldCharType="end"/>
      </w:r>
      <w:r w:rsidRPr="002D0541">
        <w:t>)</w:t>
      </w:r>
      <w:r w:rsidR="001C3B9E">
        <w:t xml:space="preserve">. </w:t>
      </w:r>
      <w:r w:rsidR="00DA1CA1">
        <w:t xml:space="preserve">Data shows that 61 per cent of J2SI PAD clients had some form of interaction with police during their time in the program. </w:t>
      </w:r>
      <w:r w:rsidR="00E03588">
        <w:t xml:space="preserve">Although this </w:t>
      </w:r>
      <w:r w:rsidR="00A0081E">
        <w:t xml:space="preserve">downward </w:t>
      </w:r>
      <w:r w:rsidR="00E03588">
        <w:t xml:space="preserve">trend is positive, police interactions includes instances where the client was </w:t>
      </w:r>
      <w:r w:rsidR="00AE6366">
        <w:t xml:space="preserve">either </w:t>
      </w:r>
      <w:r w:rsidR="00315884">
        <w:t>the</w:t>
      </w:r>
      <w:r w:rsidR="00AE6366">
        <w:t xml:space="preserve"> </w:t>
      </w:r>
      <w:r w:rsidR="00B81C1E">
        <w:t>offender or the victim</w:t>
      </w:r>
      <w:r w:rsidR="006401C0">
        <w:t xml:space="preserve">, and </w:t>
      </w:r>
      <w:r w:rsidR="00B81C1E">
        <w:t xml:space="preserve">an increase in police interactions where clients are the victim is not necessarily </w:t>
      </w:r>
      <w:r w:rsidR="006401C0">
        <w:t xml:space="preserve">a negative finding </w:t>
      </w:r>
      <w:r w:rsidR="00B81C1E">
        <w:t xml:space="preserve">as it may </w:t>
      </w:r>
      <w:r w:rsidR="006401C0">
        <w:t xml:space="preserve">demonstrate increasing help seeking behaviour. </w:t>
      </w:r>
    </w:p>
    <w:p w14:paraId="6612C2EA" w14:textId="29598980" w:rsidR="000C2ADC" w:rsidRDefault="000C2ADC" w:rsidP="00134FF5">
      <w:pPr>
        <w:pStyle w:val="Caption"/>
        <w:rPr>
          <w:rFonts w:cs="@Batang"/>
        </w:rPr>
      </w:pPr>
      <w:bookmarkStart w:id="78" w:name="_Ref149849997"/>
      <w:bookmarkStart w:id="79" w:name="_Toc174547299"/>
      <w:r w:rsidRPr="00EA2DED">
        <w:lastRenderedPageBreak/>
        <w:t xml:space="preserve">Figure </w:t>
      </w:r>
      <w:r>
        <w:fldChar w:fldCharType="begin"/>
      </w:r>
      <w:r>
        <w:instrText xml:space="preserve"> SEQ Figure \* ARABIC </w:instrText>
      </w:r>
      <w:r>
        <w:fldChar w:fldCharType="separate"/>
      </w:r>
      <w:r w:rsidR="000A505B">
        <w:rPr>
          <w:noProof/>
        </w:rPr>
        <w:t>14</w:t>
      </w:r>
      <w:r>
        <w:rPr>
          <w:noProof/>
        </w:rPr>
        <w:fldChar w:fldCharType="end"/>
      </w:r>
      <w:bookmarkEnd w:id="78"/>
      <w:r w:rsidRPr="00EA2DED">
        <w:t xml:space="preserve">: </w:t>
      </w:r>
      <w:r w:rsidRPr="000C2ADC">
        <w:t xml:space="preserve">Average </w:t>
      </w:r>
      <w:r>
        <w:t>police interactions</w:t>
      </w:r>
      <w:r w:rsidRPr="000C2ADC">
        <w:t>, per J2SI client, per month across the program period</w:t>
      </w:r>
      <w:bookmarkEnd w:id="79"/>
    </w:p>
    <w:p w14:paraId="4E798713" w14:textId="2031CA15" w:rsidR="00EE56EA" w:rsidRPr="003C67D4" w:rsidRDefault="00D70283" w:rsidP="003C67D4">
      <w:r>
        <w:rPr>
          <w:noProof/>
        </w:rPr>
        <w:drawing>
          <wp:inline distT="0" distB="0" distL="0" distR="0" wp14:anchorId="4CCA5314" wp14:editId="2ABA1956">
            <wp:extent cx="6329045" cy="2303813"/>
            <wp:effectExtent l="0" t="0" r="0" b="0"/>
            <wp:docPr id="64" name="Chart 64" descr="The figure depicts J2SI client average police interactions. Client police interactions generally decreased compared to baseline for all cohorts throughout the program.">
              <a:extLst xmlns:a="http://schemas.openxmlformats.org/drawingml/2006/main">
                <a:ext uri="{FF2B5EF4-FFF2-40B4-BE49-F238E27FC236}">
                  <a16:creationId xmlns:a16="http://schemas.microsoft.com/office/drawing/2014/main" id="{3A9399A2-3568-DD16-B1F7-15684476E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Del="00D70283">
        <w:rPr>
          <w:noProof/>
        </w:rPr>
        <w:t xml:space="preserve"> </w:t>
      </w:r>
    </w:p>
    <w:p w14:paraId="43B59F08" w14:textId="386AE5E5" w:rsidR="000C2ADC" w:rsidRDefault="000C2ADC" w:rsidP="00134FF5">
      <w:pPr>
        <w:pStyle w:val="Caption"/>
      </w:pPr>
      <w:bookmarkStart w:id="80" w:name="_Ref149850003"/>
      <w:bookmarkStart w:id="81" w:name="_Toc174547300"/>
      <w:r w:rsidRPr="00EA2DED">
        <w:t xml:space="preserve">Figure </w:t>
      </w:r>
      <w:r>
        <w:fldChar w:fldCharType="begin"/>
      </w:r>
      <w:r>
        <w:instrText xml:space="preserve"> SEQ Figure \* ARABIC </w:instrText>
      </w:r>
      <w:r>
        <w:fldChar w:fldCharType="separate"/>
      </w:r>
      <w:r w:rsidR="000A505B">
        <w:rPr>
          <w:noProof/>
        </w:rPr>
        <w:t>15</w:t>
      </w:r>
      <w:r>
        <w:rPr>
          <w:noProof/>
        </w:rPr>
        <w:fldChar w:fldCharType="end"/>
      </w:r>
      <w:bookmarkEnd w:id="80"/>
      <w:r w:rsidRPr="00EA2DED">
        <w:t xml:space="preserve">: </w:t>
      </w:r>
      <w:r w:rsidRPr="001A3970">
        <w:t xml:space="preserve">Average </w:t>
      </w:r>
      <w:r w:rsidR="00744828">
        <w:t>days in custody</w:t>
      </w:r>
      <w:r w:rsidRPr="001A3970">
        <w:t>, per J2SI client</w:t>
      </w:r>
      <w:r w:rsidRPr="000C2ADC">
        <w:t>, per month across the program period</w:t>
      </w:r>
      <w:bookmarkEnd w:id="81"/>
    </w:p>
    <w:p w14:paraId="384EA42C" w14:textId="14B62E8F" w:rsidR="000C2ADC" w:rsidRDefault="003F6E41" w:rsidP="000C2ADC">
      <w:pPr>
        <w:pStyle w:val="BodyText"/>
        <w:rPr>
          <w:rFonts w:cs="@Batang"/>
          <w:i/>
          <w:color w:val="00338D" w:themeColor="text2"/>
          <w:sz w:val="18"/>
          <w:szCs w:val="18"/>
        </w:rPr>
      </w:pPr>
      <w:r>
        <w:rPr>
          <w:noProof/>
        </w:rPr>
        <w:drawing>
          <wp:inline distT="0" distB="0" distL="0" distR="0" wp14:anchorId="68311EFD" wp14:editId="354E7095">
            <wp:extent cx="6412230" cy="2173184"/>
            <wp:effectExtent l="0" t="0" r="0" b="0"/>
            <wp:docPr id="65" name="Chart 65" descr="The figure depicts J2SI client average days in custody. Client days in custody generally decreased compared to baseline for all cohorts throughout the program.">
              <a:extLst xmlns:a="http://schemas.openxmlformats.org/drawingml/2006/main">
                <a:ext uri="{FF2B5EF4-FFF2-40B4-BE49-F238E27FC236}">
                  <a16:creationId xmlns:a16="http://schemas.microsoft.com/office/drawing/2014/main" id="{EA58241A-5AE8-C6A6-9E48-117DD62C19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Del="003F6E41">
        <w:rPr>
          <w:noProof/>
        </w:rPr>
        <w:t xml:space="preserve"> </w:t>
      </w: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D8661C" w14:paraId="59C1AF50" w14:textId="77777777" w:rsidTr="007C7C9E">
        <w:trPr>
          <w:trHeight w:val="429"/>
        </w:trPr>
        <w:tc>
          <w:tcPr>
            <w:tcW w:w="10204" w:type="dxa"/>
          </w:tcPr>
          <w:p w14:paraId="5A8274A4" w14:textId="2EDB6AF8" w:rsidR="00D8661C" w:rsidRPr="00AB7357" w:rsidRDefault="00D8661C">
            <w:pPr>
              <w:pStyle w:val="BodyText"/>
              <w:spacing w:before="0" w:after="0"/>
              <w:ind w:left="-113"/>
              <w:jc w:val="left"/>
              <w:rPr>
                <w:b/>
                <w:bCs/>
                <w:i w:val="0"/>
                <w:iCs/>
              </w:rPr>
            </w:pPr>
            <w:r>
              <w:rPr>
                <w:b/>
                <w:bCs/>
                <w:i w:val="0"/>
                <w:iCs/>
              </w:rPr>
              <w:t xml:space="preserve">Other observations relating to J2SI PAD client outcomes </w:t>
            </w:r>
          </w:p>
        </w:tc>
      </w:tr>
      <w:tr w:rsidR="00902138" w:rsidRPr="00CD1B11" w14:paraId="276E03C0" w14:textId="77777777" w:rsidTr="00DA6124">
        <w:trPr>
          <w:trHeight w:val="1844"/>
        </w:trPr>
        <w:tc>
          <w:tcPr>
            <w:tcW w:w="10204" w:type="dxa"/>
            <w:tcBorders>
              <w:top w:val="single" w:sz="12" w:space="0" w:color="1E49E2" w:themeColor="accent1"/>
              <w:bottom w:val="nil"/>
            </w:tcBorders>
            <w:shd w:val="clear" w:color="auto" w:fill="CAF1FF" w:themeFill="accent2" w:themeFillTint="33"/>
          </w:tcPr>
          <w:p w14:paraId="10ED5BFB" w14:textId="3D273FD0" w:rsidR="00902138" w:rsidRPr="00632D10" w:rsidRDefault="00902138" w:rsidP="00632D10">
            <w:pPr>
              <w:pStyle w:val="Bullet1stlevel"/>
              <w:numPr>
                <w:ilvl w:val="0"/>
                <w:numId w:val="0"/>
              </w:numPr>
              <w:jc w:val="left"/>
              <w:rPr>
                <w:i w:val="0"/>
                <w:iCs/>
              </w:rPr>
            </w:pPr>
            <w:r w:rsidRPr="00632D10">
              <w:rPr>
                <w:i w:val="0"/>
                <w:iCs/>
              </w:rPr>
              <w:t xml:space="preserve">Key findings: </w:t>
            </w:r>
          </w:p>
          <w:p w14:paraId="4A7BC028" w14:textId="78FCB284" w:rsidR="00902138" w:rsidRPr="00632D10" w:rsidRDefault="00902138" w:rsidP="00632D10">
            <w:pPr>
              <w:pStyle w:val="Bullet1stlevel"/>
              <w:numPr>
                <w:ilvl w:val="0"/>
                <w:numId w:val="15"/>
              </w:numPr>
              <w:jc w:val="left"/>
              <w:rPr>
                <w:b/>
                <w:i w:val="0"/>
                <w:iCs/>
              </w:rPr>
            </w:pPr>
            <w:r w:rsidRPr="00632D10">
              <w:rPr>
                <w:i w:val="0"/>
                <w:iCs/>
              </w:rPr>
              <w:t xml:space="preserve">Stable housing outcomes </w:t>
            </w:r>
            <w:r w:rsidR="00FE22B4" w:rsidRPr="00632D10">
              <w:rPr>
                <w:i w:val="0"/>
                <w:iCs/>
              </w:rPr>
              <w:t>are reported to be maintained beyond the period of support provided by J2SI PAD to a greater extent than previous iterations of the J2SI program</w:t>
            </w:r>
            <w:r w:rsidR="001D411D" w:rsidRPr="00632D10">
              <w:rPr>
                <w:i w:val="0"/>
                <w:iCs/>
              </w:rPr>
              <w:t>.</w:t>
            </w:r>
          </w:p>
          <w:p w14:paraId="5FD5C832" w14:textId="0D398FE2" w:rsidR="00902138" w:rsidRPr="00CD1B11" w:rsidRDefault="0071250D" w:rsidP="00632D10">
            <w:pPr>
              <w:pStyle w:val="Bullet1stlevel"/>
              <w:numPr>
                <w:ilvl w:val="0"/>
                <w:numId w:val="15"/>
              </w:numPr>
              <w:jc w:val="left"/>
              <w:rPr>
                <w:b/>
                <w:bCs/>
                <w:i w:val="0"/>
                <w:iCs/>
              </w:rPr>
            </w:pPr>
            <w:r w:rsidRPr="00632D10">
              <w:rPr>
                <w:i w:val="0"/>
                <w:iCs/>
              </w:rPr>
              <w:t>It was noted that working across cohorts may have had a positive effect, with staff working</w:t>
            </w:r>
            <w:r w:rsidR="004B2CB5" w:rsidRPr="00632D10">
              <w:rPr>
                <w:i w:val="0"/>
                <w:iCs/>
              </w:rPr>
              <w:t xml:space="preserve"> at the same stage of </w:t>
            </w:r>
            <w:r w:rsidR="000C4352" w:rsidRPr="00632D10">
              <w:rPr>
                <w:i w:val="0"/>
                <w:iCs/>
              </w:rPr>
              <w:t xml:space="preserve">the </w:t>
            </w:r>
            <w:r w:rsidR="004B2CB5" w:rsidRPr="00632D10">
              <w:rPr>
                <w:i w:val="0"/>
                <w:iCs/>
              </w:rPr>
              <w:t xml:space="preserve">program with each client </w:t>
            </w:r>
            <w:r w:rsidR="00354E42" w:rsidRPr="00632D10">
              <w:rPr>
                <w:i w:val="0"/>
                <w:iCs/>
              </w:rPr>
              <w:t>in the cohort</w:t>
            </w:r>
            <w:r w:rsidR="004B2CB5" w:rsidRPr="00632D10">
              <w:rPr>
                <w:i w:val="0"/>
                <w:iCs/>
              </w:rPr>
              <w:t xml:space="preserve"> </w:t>
            </w:r>
            <w:r w:rsidR="00354E42" w:rsidRPr="00632D10">
              <w:rPr>
                <w:i w:val="0"/>
                <w:iCs/>
              </w:rPr>
              <w:t>at the same time</w:t>
            </w:r>
            <w:r w:rsidR="001D411D" w:rsidRPr="00632D10">
              <w:rPr>
                <w:i w:val="0"/>
                <w:iCs/>
              </w:rPr>
              <w:t>.</w:t>
            </w:r>
          </w:p>
        </w:tc>
      </w:tr>
    </w:tbl>
    <w:p w14:paraId="42D62C48" w14:textId="28F04FE4" w:rsidR="005852B8" w:rsidRDefault="001E1104" w:rsidP="00325BE2">
      <w:pPr>
        <w:pStyle w:val="BodyText"/>
      </w:pPr>
      <w:r>
        <w:t xml:space="preserve">Further </w:t>
      </w:r>
      <w:r w:rsidR="00BD3BD5">
        <w:t>insight into</w:t>
      </w:r>
      <w:r>
        <w:t xml:space="preserve"> client outcomes </w:t>
      </w:r>
      <w:r w:rsidR="00310231">
        <w:t>was</w:t>
      </w:r>
      <w:r>
        <w:t xml:space="preserve"> </w:t>
      </w:r>
      <w:r w:rsidR="00BD3BD5">
        <w:t>gained during consultation with stakeholders. These insights are provided below:</w:t>
      </w:r>
    </w:p>
    <w:p w14:paraId="08CEC701" w14:textId="3D1B68D5" w:rsidR="00364EC0" w:rsidRDefault="00D90C21" w:rsidP="00632D10">
      <w:pPr>
        <w:pStyle w:val="Bullet1stlevel"/>
      </w:pPr>
      <w:r>
        <w:t xml:space="preserve">SHM </w:t>
      </w:r>
      <w:r w:rsidR="00C14EDC">
        <w:t xml:space="preserve">stakeholders </w:t>
      </w:r>
      <w:r w:rsidR="00F72103">
        <w:t>reported that</w:t>
      </w:r>
      <w:r>
        <w:t xml:space="preserve"> stable housing outcomes have </w:t>
      </w:r>
      <w:r w:rsidR="00984702">
        <w:t>been</w:t>
      </w:r>
      <w:r w:rsidR="00E84302">
        <w:t xml:space="preserve"> </w:t>
      </w:r>
      <w:r>
        <w:t>maintained beyond the support period of the J2SI PAD</w:t>
      </w:r>
      <w:r w:rsidR="00EE4969">
        <w:t xml:space="preserve"> </w:t>
      </w:r>
      <w:r>
        <w:t xml:space="preserve">to a greater extent than previous </w:t>
      </w:r>
      <w:r w:rsidR="00E84302">
        <w:t xml:space="preserve">iterations of </w:t>
      </w:r>
      <w:r>
        <w:t>J2SI</w:t>
      </w:r>
      <w:r w:rsidR="00EE4969">
        <w:t xml:space="preserve"> and other </w:t>
      </w:r>
      <w:r>
        <w:t xml:space="preserve">comparable programs. This was </w:t>
      </w:r>
      <w:r w:rsidR="00EE4969">
        <w:t xml:space="preserve">discussed as being </w:t>
      </w:r>
      <w:r w:rsidR="002978EB">
        <w:t>linked</w:t>
      </w:r>
      <w:r w:rsidR="00E84302">
        <w:t xml:space="preserve"> to the </w:t>
      </w:r>
      <w:r>
        <w:t xml:space="preserve">use of </w:t>
      </w:r>
      <w:r w:rsidRPr="005B24DF">
        <w:t>head leasing</w:t>
      </w:r>
      <w:r>
        <w:t xml:space="preserve"> in the J2SI PAD, which enabled </w:t>
      </w:r>
      <w:r w:rsidR="003A72C1">
        <w:t>more rapid housing in pursuit of ‘Housing First’ principles compared to previous phases. This</w:t>
      </w:r>
      <w:r w:rsidR="00D8268C">
        <w:t>,</w:t>
      </w:r>
      <w:r w:rsidR="003A72C1">
        <w:t xml:space="preserve"> in turn</w:t>
      </w:r>
      <w:r w:rsidR="00D8268C">
        <w:t>,</w:t>
      </w:r>
      <w:r w:rsidR="003A72C1">
        <w:t xml:space="preserve"> allowed </w:t>
      </w:r>
      <w:r>
        <w:t>a longer ‘run time’ to work with clients to settle into their home and community relatively early in their three</w:t>
      </w:r>
      <w:r w:rsidR="00B87261">
        <w:t>-</w:t>
      </w:r>
      <w:r>
        <w:t xml:space="preserve">year support period. </w:t>
      </w:r>
    </w:p>
    <w:p w14:paraId="356AE3F0" w14:textId="64CC8A1F" w:rsidR="0073031D" w:rsidRPr="009572B1" w:rsidRDefault="002F41B4" w:rsidP="009572B1">
      <w:pPr>
        <w:pStyle w:val="Bullet1stlevel"/>
      </w:pPr>
      <w:r w:rsidRPr="009572B1">
        <w:t xml:space="preserve">Consultation with SHM also </w:t>
      </w:r>
      <w:r w:rsidR="007B4087" w:rsidRPr="009572B1">
        <w:t>found</w:t>
      </w:r>
      <w:r w:rsidRPr="009572B1">
        <w:t xml:space="preserve"> that</w:t>
      </w:r>
      <w:r w:rsidR="00D65788" w:rsidRPr="009572B1">
        <w:t xml:space="preserve"> the organisation continues to check-in on </w:t>
      </w:r>
      <w:r w:rsidR="00B8385A" w:rsidRPr="009572B1">
        <w:t>clients</w:t>
      </w:r>
      <w:r w:rsidR="00D65788" w:rsidRPr="009572B1">
        <w:t xml:space="preserve"> for a period of time post-program. It was reported that</w:t>
      </w:r>
      <w:r w:rsidR="00EE4969" w:rsidRPr="009572B1">
        <w:t>, in the</w:t>
      </w:r>
      <w:r w:rsidRPr="009572B1" w:rsidDel="00B87261">
        <w:t xml:space="preserve"> </w:t>
      </w:r>
      <w:r w:rsidR="00B87261" w:rsidRPr="009572B1">
        <w:t>12</w:t>
      </w:r>
      <w:r w:rsidRPr="009572B1">
        <w:t xml:space="preserve"> months following J2SI PAD program completion, </w:t>
      </w:r>
      <w:r w:rsidR="00D90C21" w:rsidRPr="009572B1">
        <w:t>the organisation</w:t>
      </w:r>
      <w:r w:rsidR="00EE4969" w:rsidRPr="009572B1">
        <w:t xml:space="preserve"> continues a monthly follow up </w:t>
      </w:r>
      <w:r w:rsidR="00D90C21" w:rsidRPr="009572B1">
        <w:t>with clients’ housing provider</w:t>
      </w:r>
      <w:r w:rsidR="00EE4969" w:rsidRPr="009572B1">
        <w:t>s</w:t>
      </w:r>
      <w:r w:rsidRPr="009572B1">
        <w:t>, and that r</w:t>
      </w:r>
      <w:r w:rsidR="00D90C21" w:rsidRPr="009572B1">
        <w:t xml:space="preserve">eferrals are made </w:t>
      </w:r>
      <w:r w:rsidR="00E84302" w:rsidRPr="009572B1">
        <w:t>in</w:t>
      </w:r>
      <w:r w:rsidR="00D90C21" w:rsidRPr="009572B1">
        <w:t xml:space="preserve">to other SHM programs (such as Greenlight) where J2SI clients are eligible and in need of additional support. SHM management gave </w:t>
      </w:r>
      <w:r w:rsidR="00A87F9B" w:rsidRPr="009572B1">
        <w:t xml:space="preserve">an </w:t>
      </w:r>
      <w:r w:rsidR="00D90C21" w:rsidRPr="009572B1">
        <w:t xml:space="preserve">example of </w:t>
      </w:r>
      <w:r w:rsidR="00B8385A" w:rsidRPr="009572B1">
        <w:t xml:space="preserve">supporting clients following program completion by </w:t>
      </w:r>
      <w:r w:rsidR="00CC09F4" w:rsidRPr="009572B1">
        <w:t>referring them to supportive housing teams to ensure they are connected with their community</w:t>
      </w:r>
      <w:r w:rsidR="00A87F9B" w:rsidRPr="009572B1">
        <w:t xml:space="preserve"> </w:t>
      </w:r>
      <w:r w:rsidR="00CC09F4" w:rsidRPr="009572B1">
        <w:t xml:space="preserve">if they </w:t>
      </w:r>
      <w:r w:rsidR="00D65788" w:rsidRPr="009572B1">
        <w:t>move</w:t>
      </w:r>
      <w:r w:rsidR="00CC09F4" w:rsidRPr="009572B1">
        <w:t>d</w:t>
      </w:r>
      <w:r w:rsidR="00D65788" w:rsidRPr="009572B1">
        <w:t xml:space="preserve"> from</w:t>
      </w:r>
      <w:r w:rsidR="00D90C21" w:rsidRPr="009572B1">
        <w:t xml:space="preserve"> </w:t>
      </w:r>
      <w:r w:rsidR="00D65788" w:rsidRPr="009572B1">
        <w:t xml:space="preserve">a </w:t>
      </w:r>
      <w:r w:rsidR="00D90C21" w:rsidRPr="009572B1">
        <w:t xml:space="preserve">head </w:t>
      </w:r>
      <w:r w:rsidRPr="009572B1">
        <w:t xml:space="preserve">leased property </w:t>
      </w:r>
      <w:r w:rsidR="00CC09F4" w:rsidRPr="009572B1">
        <w:t xml:space="preserve">and </w:t>
      </w:r>
      <w:r w:rsidRPr="009572B1">
        <w:t>into permanent social hous</w:t>
      </w:r>
      <w:r w:rsidR="000533C9" w:rsidRPr="009572B1">
        <w:t>ing</w:t>
      </w:r>
      <w:r w:rsidRPr="009572B1">
        <w:t xml:space="preserve"> towards the end of the program (</w:t>
      </w:r>
      <w:r w:rsidR="007B4087" w:rsidRPr="009572B1">
        <w:t xml:space="preserve">e.g. in </w:t>
      </w:r>
      <w:r w:rsidR="00267D9D" w:rsidRPr="009572B1">
        <w:t xml:space="preserve">the </w:t>
      </w:r>
      <w:r w:rsidRPr="009572B1">
        <w:t>final six months)</w:t>
      </w:r>
      <w:r w:rsidR="00CC09F4" w:rsidRPr="009572B1">
        <w:t>.</w:t>
      </w:r>
      <w:r w:rsidR="00A87F9B" w:rsidRPr="009572B1">
        <w:t xml:space="preserve"> </w:t>
      </w:r>
    </w:p>
    <w:p w14:paraId="22E1151E" w14:textId="63BA1FB5" w:rsidR="0073031D" w:rsidRDefault="00E4364A" w:rsidP="00632D10">
      <w:pPr>
        <w:pStyle w:val="Bullet1stlevel"/>
      </w:pPr>
      <w:r>
        <w:t xml:space="preserve">SHM </w:t>
      </w:r>
      <w:r w:rsidR="00071806">
        <w:t>stakeholders</w:t>
      </w:r>
      <w:r w:rsidR="0073031D">
        <w:t xml:space="preserve"> described observing a ‘cohort effect’, as clients within each cohort entered/exited the program at a similar time, had a similar level of need, and achieved a similar </w:t>
      </w:r>
      <w:r w:rsidR="0073031D" w:rsidRPr="0037264E">
        <w:t xml:space="preserve">improvement in outcomes as the </w:t>
      </w:r>
      <w:r w:rsidR="0073031D" w:rsidRPr="0037264E">
        <w:lastRenderedPageBreak/>
        <w:t>program progressed. This was validated by the analysis of TICSPOT data, which shows a similar trajectory in the improvement in self-reported client outcome scores within each cohort (</w:t>
      </w:r>
      <w:hyperlink w:anchor="_A2._TICSPOT_Analysis" w:history="1">
        <w:r w:rsidR="00F60C64">
          <w:rPr>
            <w:rStyle w:val="Hyperlink"/>
          </w:rPr>
          <w:fldChar w:fldCharType="begin" w:fldLock="1"/>
        </w:r>
        <w:r w:rsidR="00F60C64">
          <w:instrText xml:space="preserve"> REF _Ref150236874 \w \h </w:instrText>
        </w:r>
        <w:r w:rsidR="00F60C64">
          <w:rPr>
            <w:rStyle w:val="Hyperlink"/>
          </w:rPr>
        </w:r>
        <w:r w:rsidR="00F60C64">
          <w:rPr>
            <w:rStyle w:val="Hyperlink"/>
          </w:rPr>
          <w:fldChar w:fldCharType="separate"/>
        </w:r>
        <w:r w:rsidR="00F60C64">
          <w:t>Appendix B</w:t>
        </w:r>
        <w:r w:rsidR="00F60C64">
          <w:rPr>
            <w:rStyle w:val="Hyperlink"/>
          </w:rPr>
          <w:fldChar w:fldCharType="end"/>
        </w:r>
      </w:hyperlink>
      <w:r w:rsidR="0073031D">
        <w:t xml:space="preserve">). The data shows a similar trajectory in the improvement of outcomes </w:t>
      </w:r>
      <w:r w:rsidR="0073031D" w:rsidRPr="00257935">
        <w:t>for Cohorts 3.1 and 3.2</w:t>
      </w:r>
      <w:r w:rsidR="0073031D">
        <w:t xml:space="preserve">, however </w:t>
      </w:r>
      <w:r w:rsidR="0073031D" w:rsidRPr="00257935">
        <w:t>Cohort 3.3 differed, in that client outcome scores represented a</w:t>
      </w:r>
      <w:r w:rsidR="0073031D" w:rsidRPr="00C1793F">
        <w:t xml:space="preserve"> flatter trajectory </w:t>
      </w:r>
      <w:r w:rsidR="0073031D" w:rsidRPr="00257935">
        <w:t>over the evaluation period</w:t>
      </w:r>
      <w:r w:rsidR="0073031D" w:rsidRPr="00C1793F">
        <w:t xml:space="preserve">. </w:t>
      </w:r>
      <w:r w:rsidR="0073031D" w:rsidRPr="00257935">
        <w:t>There are several reasons as to why this could have occurred,</w:t>
      </w:r>
      <w:r w:rsidR="0073031D">
        <w:t xml:space="preserve"> including: </w:t>
      </w:r>
    </w:p>
    <w:p w14:paraId="2FF3F59E" w14:textId="30E0D5A4" w:rsidR="0073031D" w:rsidRDefault="0073031D" w:rsidP="009572B1">
      <w:pPr>
        <w:pStyle w:val="BodyText"/>
      </w:pPr>
      <w:r>
        <w:t>Approximately half of Cohort 3.3 clients</w:t>
      </w:r>
      <w:r w:rsidRPr="00257935">
        <w:t xml:space="preserve"> transitioned into the program from COVID-19 hotel accommodation and recorded higher</w:t>
      </w:r>
      <w:r>
        <w:t xml:space="preserve"> outcome scores upon entering the program, relative to Cohort</w:t>
      </w:r>
      <w:r w:rsidR="0067579F">
        <w:t>s</w:t>
      </w:r>
      <w:r>
        <w:t xml:space="preserve"> 3.1 and 3.2. This may have </w:t>
      </w:r>
      <w:r w:rsidRPr="00257935">
        <w:t>resulted in ‘less room for improvement’ in scores over time</w:t>
      </w:r>
      <w:r>
        <w:t>;</w:t>
      </w:r>
    </w:p>
    <w:p w14:paraId="3D228072" w14:textId="77777777" w:rsidR="0073031D" w:rsidRDefault="0073031D" w:rsidP="009572B1">
      <w:pPr>
        <w:pStyle w:val="BodyText"/>
      </w:pPr>
      <w:r>
        <w:t>JobSeeker payments were considerably higher at the time when Cohort 3.3</w:t>
      </w:r>
      <w:r w:rsidRPr="00923ACC">
        <w:t xml:space="preserve"> </w:t>
      </w:r>
      <w:r>
        <w:t>entered into the program due to the $550 fortnightly COVID-19 supplement. Similar to the above, this may have contributed to an elevation in relative Cohort 3.3 entry scores; and</w:t>
      </w:r>
    </w:p>
    <w:p w14:paraId="64FAC3E0" w14:textId="266D0835" w:rsidR="00D90C21" w:rsidRDefault="0073031D" w:rsidP="009572B1">
      <w:pPr>
        <w:pStyle w:val="BodyText"/>
      </w:pPr>
      <w:r w:rsidRPr="00257935">
        <w:t xml:space="preserve">Other confounding variables may also have impacted </w:t>
      </w:r>
      <w:r>
        <w:t>Cohort 3.3</w:t>
      </w:r>
      <w:r w:rsidRPr="00257935">
        <w:t xml:space="preserve"> to a greater extent (e.g. cost of living pressures), as a number of the client outcomes </w:t>
      </w:r>
      <w:r>
        <w:t>relate</w:t>
      </w:r>
      <w:r w:rsidRPr="00257935">
        <w:t xml:space="preserve"> to </w:t>
      </w:r>
      <w:r w:rsidRPr="00C1793F">
        <w:t xml:space="preserve">general socioeconomic indicators of wellbeing that may have declined </w:t>
      </w:r>
      <w:r w:rsidRPr="00257935">
        <w:t xml:space="preserve">more </w:t>
      </w:r>
      <w:r w:rsidRPr="00C1793F">
        <w:t xml:space="preserve">generally </w:t>
      </w:r>
      <w:r w:rsidRPr="00257935">
        <w:t>across this period</w:t>
      </w:r>
      <w:r>
        <w:t>.</w:t>
      </w:r>
      <w:r w:rsidR="00D90C21">
        <w:t xml:space="preserve"> </w:t>
      </w:r>
    </w:p>
    <w:p w14:paraId="4C04EC52" w14:textId="73EAEF23" w:rsidR="009A6358" w:rsidRDefault="009A6358" w:rsidP="009A6358">
      <w:pPr>
        <w:pStyle w:val="Heading4"/>
      </w:pPr>
      <w:bookmarkStart w:id="82" w:name="_Ref150334010"/>
      <w:r>
        <w:t>Elements of the PAD that supported client outcomes</w:t>
      </w:r>
      <w:bookmarkEnd w:id="82"/>
    </w:p>
    <w:p w14:paraId="181C85BE" w14:textId="043F0131" w:rsidR="0070605A" w:rsidRPr="009572B1" w:rsidRDefault="00DF0FB5" w:rsidP="009572B1">
      <w:pPr>
        <w:pStyle w:val="BodyText"/>
      </w:pPr>
      <w:r w:rsidRPr="009572B1">
        <w:t xml:space="preserve">Consultation with stakeholders </w:t>
      </w:r>
      <w:r w:rsidR="000E460E" w:rsidRPr="009572B1">
        <w:t>found</w:t>
      </w:r>
      <w:r w:rsidRPr="009572B1">
        <w:t xml:space="preserve"> that t</w:t>
      </w:r>
      <w:r w:rsidR="0070605A" w:rsidRPr="009572B1">
        <w:t xml:space="preserve">he PAD supported the achievement of </w:t>
      </w:r>
      <w:r w:rsidR="00F66392" w:rsidRPr="009572B1">
        <w:t xml:space="preserve">client outcomes through </w:t>
      </w:r>
      <w:r w:rsidR="00EC3D16" w:rsidRPr="009572B1">
        <w:t xml:space="preserve">the inclusion of </w:t>
      </w:r>
      <w:r w:rsidR="0070605A" w:rsidRPr="009572B1">
        <w:t xml:space="preserve">head leasing, </w:t>
      </w:r>
      <w:r w:rsidR="00296639" w:rsidRPr="009572B1">
        <w:t>financial penalties</w:t>
      </w:r>
      <w:r w:rsidR="000E460E" w:rsidRPr="009572B1">
        <w:t xml:space="preserve"> and priority access to housing</w:t>
      </w:r>
      <w:r w:rsidR="00296639" w:rsidRPr="009572B1">
        <w:t xml:space="preserve">, </w:t>
      </w:r>
      <w:r w:rsidR="0070605A" w:rsidRPr="009572B1">
        <w:t>cross-agency collaboration</w:t>
      </w:r>
      <w:r w:rsidR="00EC3D16" w:rsidRPr="009572B1">
        <w:t xml:space="preserve"> and </w:t>
      </w:r>
      <w:r w:rsidR="00861794" w:rsidRPr="009572B1">
        <w:t>payable outcomes</w:t>
      </w:r>
      <w:r w:rsidR="0070605A" w:rsidRPr="009572B1">
        <w:t xml:space="preserve">. </w:t>
      </w:r>
      <w:r w:rsidR="00786080" w:rsidRPr="009572B1">
        <w:t xml:space="preserve">Each of these </w:t>
      </w:r>
      <w:r w:rsidR="00EC3D16" w:rsidRPr="009572B1">
        <w:t xml:space="preserve">supporting features </w:t>
      </w:r>
      <w:r w:rsidR="00786080" w:rsidRPr="009572B1">
        <w:t>is discussed below.</w:t>
      </w:r>
    </w:p>
    <w:p w14:paraId="59C5B393" w14:textId="1011A29B" w:rsidR="00F539FE" w:rsidRPr="0087490D" w:rsidRDefault="00F539FE" w:rsidP="0087490D">
      <w:pPr>
        <w:pStyle w:val="Heading5"/>
      </w:pPr>
      <w:r w:rsidRPr="0087490D">
        <w:t>Head leasing</w:t>
      </w:r>
    </w:p>
    <w:p w14:paraId="4F6C8345" w14:textId="76033BE6" w:rsidR="00ED6346" w:rsidRPr="009572B1" w:rsidRDefault="003362ED" w:rsidP="009572B1">
      <w:pPr>
        <w:pStyle w:val="BodyText"/>
      </w:pPr>
      <w:r w:rsidRPr="009572B1">
        <w:t>The J2SI PAD</w:t>
      </w:r>
      <w:r w:rsidR="000F2231" w:rsidRPr="009572B1">
        <w:t>’</w:t>
      </w:r>
      <w:r w:rsidRPr="009572B1">
        <w:t xml:space="preserve">s </w:t>
      </w:r>
      <w:r w:rsidR="00BB3AAE" w:rsidRPr="009572B1">
        <w:t xml:space="preserve">head leasing </w:t>
      </w:r>
      <w:r w:rsidRPr="009572B1">
        <w:t xml:space="preserve">arrangement </w:t>
      </w:r>
      <w:r w:rsidR="00A94306" w:rsidRPr="009572B1">
        <w:t xml:space="preserve">enabled </w:t>
      </w:r>
      <w:r w:rsidR="00F0253C" w:rsidRPr="009572B1">
        <w:t>clients to be rapidly housed.</w:t>
      </w:r>
      <w:r w:rsidR="00BB3AAE" w:rsidRPr="009572B1">
        <w:t xml:space="preserve"> </w:t>
      </w:r>
      <w:r w:rsidR="007270D0" w:rsidRPr="009572B1">
        <w:t xml:space="preserve">This </w:t>
      </w:r>
      <w:r w:rsidR="00381E9B" w:rsidRPr="009572B1">
        <w:t xml:space="preserve">supported </w:t>
      </w:r>
      <w:r w:rsidR="00390830" w:rsidRPr="009572B1">
        <w:t>client</w:t>
      </w:r>
      <w:r w:rsidR="00381E9B" w:rsidRPr="009572B1">
        <w:t xml:space="preserve"> outcomes, as </w:t>
      </w:r>
      <w:r w:rsidR="00431668" w:rsidRPr="009572B1">
        <w:t xml:space="preserve">clients </w:t>
      </w:r>
      <w:r w:rsidR="00381E9B" w:rsidRPr="009572B1">
        <w:t>were</w:t>
      </w:r>
      <w:r w:rsidR="00431668" w:rsidRPr="009572B1">
        <w:t xml:space="preserve"> </w:t>
      </w:r>
      <w:r w:rsidR="004B1DD7" w:rsidRPr="009572B1">
        <w:t>provided with temporary housing</w:t>
      </w:r>
      <w:r w:rsidR="004B1D17" w:rsidRPr="009572B1">
        <w:t xml:space="preserve"> </w:t>
      </w:r>
      <w:r w:rsidR="00D86760" w:rsidRPr="009572B1">
        <w:t xml:space="preserve">and </w:t>
      </w:r>
      <w:r w:rsidR="00D97D10" w:rsidRPr="009572B1">
        <w:t xml:space="preserve">were </w:t>
      </w:r>
      <w:r w:rsidR="00467099" w:rsidRPr="009572B1">
        <w:t xml:space="preserve">able to commence </w:t>
      </w:r>
      <w:r w:rsidR="00D86760" w:rsidRPr="009572B1">
        <w:t xml:space="preserve">working </w:t>
      </w:r>
      <w:r w:rsidR="00335DE3" w:rsidRPr="009572B1">
        <w:t xml:space="preserve">effectively </w:t>
      </w:r>
      <w:r w:rsidR="00D86760" w:rsidRPr="009572B1">
        <w:t>with case worker</w:t>
      </w:r>
      <w:r w:rsidR="00E37EDB" w:rsidRPr="009572B1">
        <w:t>s</w:t>
      </w:r>
      <w:r w:rsidR="00D86760" w:rsidRPr="009572B1">
        <w:t xml:space="preserve"> on </w:t>
      </w:r>
      <w:r w:rsidR="00E37EDB" w:rsidRPr="009572B1">
        <w:t>personal</w:t>
      </w:r>
      <w:r w:rsidR="007C7AF4" w:rsidRPr="009572B1">
        <w:t xml:space="preserve"> </w:t>
      </w:r>
      <w:r w:rsidR="00920236" w:rsidRPr="009572B1">
        <w:t>goals</w:t>
      </w:r>
      <w:r w:rsidR="00467099" w:rsidRPr="009572B1">
        <w:t xml:space="preserve"> </w:t>
      </w:r>
      <w:r w:rsidR="00D86760" w:rsidRPr="009572B1">
        <w:t xml:space="preserve">more </w:t>
      </w:r>
      <w:r w:rsidR="00016BF9" w:rsidRPr="009572B1">
        <w:t>quickly</w:t>
      </w:r>
      <w:r w:rsidR="00105160" w:rsidRPr="009572B1">
        <w:t xml:space="preserve"> </w:t>
      </w:r>
      <w:r w:rsidR="00A70722" w:rsidRPr="009572B1">
        <w:t xml:space="preserve">in a stable environment </w:t>
      </w:r>
      <w:r w:rsidR="004B1D17" w:rsidRPr="009572B1">
        <w:t>than</w:t>
      </w:r>
      <w:r w:rsidR="00CD09C6" w:rsidRPr="009572B1">
        <w:t xml:space="preserve"> would have been </w:t>
      </w:r>
      <w:r w:rsidR="00734C0D" w:rsidRPr="009572B1">
        <w:t>possible</w:t>
      </w:r>
      <w:r w:rsidR="00CD09C6" w:rsidRPr="009572B1">
        <w:t xml:space="preserve"> </w:t>
      </w:r>
      <w:r w:rsidR="00734C0D" w:rsidRPr="009572B1">
        <w:t xml:space="preserve">if clients </w:t>
      </w:r>
      <w:r w:rsidR="006E2236" w:rsidRPr="009572B1">
        <w:t xml:space="preserve">were required to wait for </w:t>
      </w:r>
      <w:r w:rsidR="00315651" w:rsidRPr="009572B1">
        <w:t>a social housing offer.</w:t>
      </w:r>
      <w:r w:rsidR="008F7E73" w:rsidRPr="009572B1">
        <w:t xml:space="preserve"> </w:t>
      </w:r>
      <w:r w:rsidR="004B1DD7" w:rsidRPr="009572B1">
        <w:t xml:space="preserve">By contrast, stakeholders noted that the absence of head leasing as part of the J2SI </w:t>
      </w:r>
      <w:r w:rsidR="009C7EFD" w:rsidRPr="009572B1">
        <w:t xml:space="preserve">Phase 2 </w:t>
      </w:r>
      <w:r w:rsidR="004B1DD7" w:rsidRPr="009572B1">
        <w:t xml:space="preserve">RCT saw some clients waiting up to two years before receiving a social housing offer, requiring case worker engagement to take place in crisis accommodation and on the streets. </w:t>
      </w:r>
    </w:p>
    <w:p w14:paraId="58A1F9C3" w14:textId="4FF884D1" w:rsidR="00D90C21" w:rsidRPr="00DE42DA" w:rsidRDefault="00D90C21" w:rsidP="00134FF5">
      <w:pPr>
        <w:pStyle w:val="Caption"/>
      </w:pPr>
      <w:bookmarkStart w:id="83" w:name="_Toc174547311"/>
      <w:r w:rsidRPr="00DE42DA">
        <w:t xml:space="preserve">Table </w:t>
      </w:r>
      <w:r>
        <w:fldChar w:fldCharType="begin"/>
      </w:r>
      <w:r>
        <w:instrText xml:space="preserve"> SEQ Table \* ARABIC </w:instrText>
      </w:r>
      <w:r>
        <w:fldChar w:fldCharType="separate"/>
      </w:r>
      <w:r w:rsidR="005B05CA">
        <w:rPr>
          <w:noProof/>
        </w:rPr>
        <w:t>10</w:t>
      </w:r>
      <w:r>
        <w:rPr>
          <w:noProof/>
        </w:rPr>
        <w:fldChar w:fldCharType="end"/>
      </w:r>
      <w:r w:rsidRPr="00DE42DA">
        <w:t>: Average time to stable housing J2SI PAD vs VHR</w:t>
      </w:r>
      <w:bookmarkEnd w:id="83"/>
    </w:p>
    <w:tbl>
      <w:tblPr>
        <w:tblStyle w:val="KPMGTable"/>
        <w:tblW w:w="0" w:type="auto"/>
        <w:tblBorders>
          <w:bottom w:val="none" w:sz="0" w:space="0" w:color="auto"/>
          <w:insideH w:val="single" w:sz="4" w:space="0" w:color="808080" w:themeColor="background1" w:themeShade="80"/>
        </w:tblBorders>
        <w:tblLook w:val="04A0" w:firstRow="1" w:lastRow="0" w:firstColumn="1" w:lastColumn="0" w:noHBand="0" w:noVBand="1"/>
      </w:tblPr>
      <w:tblGrid>
        <w:gridCol w:w="5103"/>
        <w:gridCol w:w="1701"/>
      </w:tblGrid>
      <w:tr w:rsidR="00D90C21" w14:paraId="0DC83201" w14:textId="77777777">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5103" w:type="dxa"/>
            <w:shd w:val="clear" w:color="auto" w:fill="F2F2F2" w:themeFill="background1" w:themeFillShade="F2"/>
            <w:vAlign w:val="center"/>
          </w:tcPr>
          <w:p w14:paraId="58F79876" w14:textId="16499EC7" w:rsidR="00D90C21" w:rsidRPr="005F12D1" w:rsidRDefault="00D90C21">
            <w:pPr>
              <w:rPr>
                <w:rFonts w:eastAsia="Times New Roman" w:cs="@Batang"/>
                <w:szCs w:val="20"/>
              </w:rPr>
            </w:pPr>
            <w:r w:rsidRPr="005F12D1">
              <w:rPr>
                <w:rFonts w:eastAsia="Times New Roman" w:cs="@Batang"/>
                <w:szCs w:val="20"/>
              </w:rPr>
              <w:t xml:space="preserve">Average wait time </w:t>
            </w:r>
            <w:r w:rsidR="00504A54" w:rsidRPr="005F12D1">
              <w:rPr>
                <w:rFonts w:eastAsia="Times New Roman" w:cs="@Batang"/>
                <w:szCs w:val="20"/>
              </w:rPr>
              <w:t xml:space="preserve">to housing - </w:t>
            </w:r>
            <w:r w:rsidRPr="005F12D1">
              <w:rPr>
                <w:rFonts w:eastAsia="Times New Roman" w:cs="@Batang"/>
                <w:szCs w:val="20"/>
              </w:rPr>
              <w:t xml:space="preserve">J2SI </w:t>
            </w:r>
            <w:r w:rsidR="009C7EFD">
              <w:rPr>
                <w:rFonts w:eastAsia="Times New Roman" w:cs="@Batang"/>
                <w:szCs w:val="20"/>
              </w:rPr>
              <w:t xml:space="preserve">Phase 2 </w:t>
            </w:r>
            <w:r w:rsidRPr="005F12D1">
              <w:rPr>
                <w:rFonts w:eastAsia="Times New Roman" w:cs="@Batang"/>
                <w:szCs w:val="20"/>
              </w:rPr>
              <w:t>RCT</w:t>
            </w:r>
          </w:p>
        </w:tc>
        <w:tc>
          <w:tcPr>
            <w:tcW w:w="1701" w:type="dxa"/>
            <w:shd w:val="clear" w:color="auto" w:fill="auto"/>
            <w:vAlign w:val="center"/>
          </w:tcPr>
          <w:p w14:paraId="2DA0D2EA" w14:textId="4012216D" w:rsidR="00D90C21" w:rsidRPr="005F12D1" w:rsidRDefault="006C2E32">
            <w:pPr>
              <w:jc w:val="center"/>
              <w:cnfStyle w:val="100000000000" w:firstRow="1" w:lastRow="0" w:firstColumn="0" w:lastColumn="0" w:oddVBand="0" w:evenVBand="0" w:oddHBand="0" w:evenHBand="0" w:firstRowFirstColumn="0" w:firstRowLastColumn="0" w:lastRowFirstColumn="0" w:lastRowLastColumn="0"/>
              <w:rPr>
                <w:rFonts w:eastAsia="Times New Roman" w:cs="@Batang"/>
                <w:szCs w:val="20"/>
              </w:rPr>
            </w:pPr>
            <w:r>
              <w:rPr>
                <w:rFonts w:eastAsia="Times New Roman" w:cs="@Batang"/>
                <w:szCs w:val="20"/>
              </w:rPr>
              <w:t>8.8 months</w:t>
            </w:r>
          </w:p>
        </w:tc>
      </w:tr>
      <w:tr w:rsidR="00D90C21" w14:paraId="41E6E422" w14:textId="77777777">
        <w:trPr>
          <w:trHeight w:val="263"/>
        </w:trPr>
        <w:tc>
          <w:tcPr>
            <w:cnfStyle w:val="001000000000" w:firstRow="0" w:lastRow="0" w:firstColumn="1" w:lastColumn="0" w:oddVBand="0" w:evenVBand="0" w:oddHBand="0" w:evenHBand="0" w:firstRowFirstColumn="0" w:firstRowLastColumn="0" w:lastRowFirstColumn="0" w:lastRowLastColumn="0"/>
            <w:tcW w:w="5103" w:type="dxa"/>
            <w:vAlign w:val="center"/>
            <w:hideMark/>
          </w:tcPr>
          <w:p w14:paraId="5432FF6B" w14:textId="68EEBF50" w:rsidR="00D90C21" w:rsidRPr="005F12D1" w:rsidRDefault="00D90C21">
            <w:pPr>
              <w:rPr>
                <w:rFonts w:eastAsia="Times New Roman" w:cs="@Batang"/>
                <w:szCs w:val="20"/>
              </w:rPr>
            </w:pPr>
            <w:r w:rsidRPr="005F12D1">
              <w:rPr>
                <w:rFonts w:eastAsia="Times New Roman" w:cs="@Batang"/>
                <w:szCs w:val="20"/>
              </w:rPr>
              <w:t xml:space="preserve">Average wait time </w:t>
            </w:r>
            <w:r w:rsidR="00504A54" w:rsidRPr="005F12D1">
              <w:rPr>
                <w:rFonts w:eastAsia="Times New Roman" w:cs="@Batang"/>
                <w:szCs w:val="20"/>
              </w:rPr>
              <w:t xml:space="preserve">to housing - </w:t>
            </w:r>
            <w:r w:rsidRPr="005F12D1">
              <w:rPr>
                <w:rFonts w:eastAsia="Times New Roman" w:cs="@Batang"/>
                <w:szCs w:val="20"/>
              </w:rPr>
              <w:t xml:space="preserve">J2SI PAD </w:t>
            </w:r>
          </w:p>
        </w:tc>
        <w:tc>
          <w:tcPr>
            <w:tcW w:w="1701" w:type="dxa"/>
            <w:shd w:val="clear" w:color="auto" w:fill="auto"/>
            <w:vAlign w:val="center"/>
            <w:hideMark/>
          </w:tcPr>
          <w:p w14:paraId="437D8868" w14:textId="77777777" w:rsidR="00D90C21" w:rsidRPr="005F12D1" w:rsidRDefault="00D90C21">
            <w:pPr>
              <w:jc w:val="center"/>
              <w:cnfStyle w:val="000000000000" w:firstRow="0" w:lastRow="0" w:firstColumn="0" w:lastColumn="0" w:oddVBand="0" w:evenVBand="0" w:oddHBand="0" w:evenHBand="0" w:firstRowFirstColumn="0" w:firstRowLastColumn="0" w:lastRowFirstColumn="0" w:lastRowLastColumn="0"/>
              <w:rPr>
                <w:rFonts w:eastAsia="Times New Roman" w:cs="@Batang"/>
                <w:szCs w:val="20"/>
              </w:rPr>
            </w:pPr>
            <w:r w:rsidRPr="005F12D1">
              <w:rPr>
                <w:rFonts w:eastAsia="Times New Roman" w:cs="@Batang"/>
                <w:szCs w:val="20"/>
              </w:rPr>
              <w:t>4.8 months</w:t>
            </w:r>
          </w:p>
        </w:tc>
      </w:tr>
    </w:tbl>
    <w:p w14:paraId="095162A4" w14:textId="10F09477" w:rsidR="00105160" w:rsidRPr="009572B1" w:rsidRDefault="008F7E73" w:rsidP="009572B1">
      <w:pPr>
        <w:pStyle w:val="BodyText"/>
      </w:pPr>
      <w:r w:rsidRPr="009572B1">
        <w:t>Across the duration of the J2SI PAD, the Victorian social housing waitlist grew considerably</w:t>
      </w:r>
      <w:r w:rsidR="00F36001" w:rsidRPr="009572B1">
        <w:t xml:space="preserve"> </w:t>
      </w:r>
      <w:r w:rsidR="00340E03" w:rsidRPr="009572B1">
        <w:t>(</w:t>
      </w:r>
      <w:r w:rsidR="002D2CD8" w:rsidRPr="009572B1">
        <w:t xml:space="preserve">54 </w:t>
      </w:r>
      <w:r w:rsidR="00D431DA" w:rsidRPr="009572B1">
        <w:t>per cent</w:t>
      </w:r>
      <w:r w:rsidR="002D2CD8" w:rsidRPr="009572B1">
        <w:t xml:space="preserve"> </w:t>
      </w:r>
      <w:r w:rsidR="00340E03" w:rsidRPr="009572B1">
        <w:t xml:space="preserve">from </w:t>
      </w:r>
      <w:r w:rsidR="00D613C8" w:rsidRPr="009572B1">
        <w:t xml:space="preserve">44,028 applications </w:t>
      </w:r>
      <w:r w:rsidR="00340E03" w:rsidRPr="009572B1">
        <w:t xml:space="preserve">in </w:t>
      </w:r>
      <w:r w:rsidR="001A7EBB" w:rsidRPr="009572B1">
        <w:t xml:space="preserve">March </w:t>
      </w:r>
      <w:r w:rsidR="00340E03" w:rsidRPr="009572B1">
        <w:t>2018</w:t>
      </w:r>
      <w:r w:rsidR="001A7EBB" w:rsidRPr="009572B1">
        <w:rPr>
          <w:rStyle w:val="FootnoteReference"/>
        </w:rPr>
        <w:footnoteReference w:id="37"/>
      </w:r>
      <w:r w:rsidR="00340E03" w:rsidRPr="009572B1">
        <w:rPr>
          <w:rStyle w:val="FootnoteReference"/>
        </w:rPr>
        <w:t xml:space="preserve"> </w:t>
      </w:r>
      <w:r w:rsidR="00340E03" w:rsidRPr="009572B1">
        <w:t xml:space="preserve">to </w:t>
      </w:r>
      <w:r w:rsidR="00404A64" w:rsidRPr="009572B1">
        <w:t>67,985</w:t>
      </w:r>
      <w:r w:rsidR="00B42A01" w:rsidRPr="009572B1">
        <w:t xml:space="preserve"> applications</w:t>
      </w:r>
      <w:r w:rsidR="00404A64" w:rsidRPr="009572B1">
        <w:t xml:space="preserve"> in March 2023</w:t>
      </w:r>
      <w:r w:rsidR="00404A64" w:rsidRPr="009572B1">
        <w:rPr>
          <w:rStyle w:val="FootnoteReference"/>
        </w:rPr>
        <w:footnoteReference w:id="38"/>
      </w:r>
      <w:r w:rsidR="00404A64" w:rsidRPr="009572B1">
        <w:t>)</w:t>
      </w:r>
      <w:r w:rsidR="002D2CD8" w:rsidRPr="009572B1">
        <w:t>.</w:t>
      </w:r>
      <w:r w:rsidRPr="009572B1">
        <w:t xml:space="preserve"> This, combined with the introduction of new homelessness programs also operating a ‘Housing First’ model (notably </w:t>
      </w:r>
      <w:r w:rsidR="00C70DD9" w:rsidRPr="009572B1">
        <w:t>H2H</w:t>
      </w:r>
      <w:r w:rsidRPr="009572B1">
        <w:t>), led to slowed social housing offers to J2SI PAD</w:t>
      </w:r>
      <w:r w:rsidR="00095017" w:rsidRPr="009572B1">
        <w:t xml:space="preserve"> clients</w:t>
      </w:r>
      <w:r w:rsidRPr="009572B1">
        <w:t>. As noted in the interim evaluation report, head leasing mitigated against this</w:t>
      </w:r>
      <w:r w:rsidR="00335DE3" w:rsidRPr="009572B1">
        <w:t xml:space="preserve"> shortage</w:t>
      </w:r>
      <w:r w:rsidRPr="009572B1">
        <w:t xml:space="preserve">, allowing clients to enter into a </w:t>
      </w:r>
      <w:r w:rsidR="00335DE3" w:rsidRPr="009572B1">
        <w:t xml:space="preserve">temporary </w:t>
      </w:r>
      <w:r w:rsidRPr="009572B1">
        <w:t>home</w:t>
      </w:r>
      <w:r w:rsidR="00D951F6" w:rsidRPr="009572B1">
        <w:t xml:space="preserve"> while waiting for a </w:t>
      </w:r>
      <w:r w:rsidR="00335DE3" w:rsidRPr="009572B1">
        <w:t xml:space="preserve">permanent solution </w:t>
      </w:r>
      <w:r w:rsidR="00D951F6" w:rsidRPr="009572B1">
        <w:t xml:space="preserve">to </w:t>
      </w:r>
      <w:r w:rsidR="000F2231" w:rsidRPr="009572B1">
        <w:t xml:space="preserve">become </w:t>
      </w:r>
      <w:r w:rsidR="00335DE3" w:rsidRPr="009572B1">
        <w:t>available.</w:t>
      </w:r>
      <w:r w:rsidR="00ED6346" w:rsidRPr="009572B1">
        <w:t xml:space="preserve"> </w:t>
      </w:r>
    </w:p>
    <w:p w14:paraId="78C58A0A" w14:textId="361EFAA3" w:rsidR="001B38CC" w:rsidRDefault="001B38CC" w:rsidP="009572B1">
      <w:pPr>
        <w:pStyle w:val="BodyText"/>
      </w:pPr>
      <w:r>
        <w:t xml:space="preserve">In addition to </w:t>
      </w:r>
      <w:r w:rsidR="002812D0">
        <w:t xml:space="preserve">enabling clients to be rapidly housed, </w:t>
      </w:r>
      <w:r w:rsidR="0071080E">
        <w:t xml:space="preserve">SHM staff indicated instances where </w:t>
      </w:r>
      <w:r w:rsidR="002812D0">
        <w:t>head leas</w:t>
      </w:r>
      <w:r w:rsidR="009827A3">
        <w:t>ed properties were made available to client</w:t>
      </w:r>
      <w:r w:rsidR="00C4310E">
        <w:t>s</w:t>
      </w:r>
      <w:r w:rsidR="00F028E4">
        <w:t xml:space="preserve"> </w:t>
      </w:r>
      <w:r w:rsidR="000F2231">
        <w:t xml:space="preserve">whose </w:t>
      </w:r>
      <w:r w:rsidR="00F028E4">
        <w:t xml:space="preserve">social housing </w:t>
      </w:r>
      <w:r w:rsidR="00740EBD">
        <w:t>had broken</w:t>
      </w:r>
      <w:r w:rsidR="009827A3">
        <w:t xml:space="preserve"> down</w:t>
      </w:r>
      <w:r w:rsidR="00F028E4">
        <w:t xml:space="preserve">, helping to </w:t>
      </w:r>
      <w:r w:rsidR="00D45FCD">
        <w:t>prevent</w:t>
      </w:r>
      <w:r w:rsidR="00F028E4">
        <w:t xml:space="preserve"> clients </w:t>
      </w:r>
      <w:r w:rsidR="00D45FCD">
        <w:t xml:space="preserve">from </w:t>
      </w:r>
      <w:r w:rsidR="001A4E5E">
        <w:t>reverting</w:t>
      </w:r>
      <w:r w:rsidR="00D45FCD">
        <w:t xml:space="preserve"> into </w:t>
      </w:r>
      <w:r w:rsidR="00FA37BA">
        <w:t xml:space="preserve">homelessness. </w:t>
      </w:r>
      <w:r w:rsidR="00BB049A" w:rsidRPr="00D45FCD">
        <w:t>Stakeholders noted that head leasing may have</w:t>
      </w:r>
      <w:r w:rsidR="00C70DD9">
        <w:t xml:space="preserve"> also</w:t>
      </w:r>
      <w:r w:rsidR="00BB049A" w:rsidRPr="00D45FCD">
        <w:t xml:space="preserve"> </w:t>
      </w:r>
      <w:r w:rsidR="00F9507E" w:rsidRPr="00D45FCD">
        <w:t xml:space="preserve">led to greater consideration being given to </w:t>
      </w:r>
      <w:r w:rsidR="00212C89">
        <w:t>finding appropriate housing which met clients’</w:t>
      </w:r>
      <w:r w:rsidR="00F9507E" w:rsidRPr="00D45FCD">
        <w:t xml:space="preserve"> individual needs, as head leasing acted as a safety net</w:t>
      </w:r>
      <w:r w:rsidR="00212C89">
        <w:t xml:space="preserve"> </w:t>
      </w:r>
      <w:r w:rsidR="00BE1457">
        <w:t>providing housing in the interim period before social housing could be allocated</w:t>
      </w:r>
      <w:r w:rsidR="00F9507E" w:rsidRPr="00D45FCD">
        <w:t>.</w:t>
      </w:r>
      <w:r w:rsidR="00BB049A">
        <w:t xml:space="preserve"> </w:t>
      </w:r>
    </w:p>
    <w:p w14:paraId="6046A784" w14:textId="7F9DE369" w:rsidR="001B38CC" w:rsidRDefault="00FA37BA" w:rsidP="0047474B">
      <w:pPr>
        <w:pStyle w:val="BodyText"/>
        <w:keepLines/>
      </w:pPr>
      <w:r>
        <w:t xml:space="preserve">It was </w:t>
      </w:r>
      <w:r w:rsidR="009B2835">
        <w:t xml:space="preserve">also </w:t>
      </w:r>
      <w:r>
        <w:t>noted by s</w:t>
      </w:r>
      <w:r w:rsidR="001D2849">
        <w:t xml:space="preserve">ome stakeholders that </w:t>
      </w:r>
      <w:r w:rsidR="00EB7C3F">
        <w:t>head leasing is</w:t>
      </w:r>
      <w:r w:rsidR="000F2231">
        <w:t>,</w:t>
      </w:r>
      <w:r w:rsidR="00EB7C3F">
        <w:t xml:space="preserve"> by definition</w:t>
      </w:r>
      <w:r w:rsidR="000F2231">
        <w:t>,</w:t>
      </w:r>
      <w:r w:rsidR="00EB7C3F">
        <w:t xml:space="preserve"> temporary housing, and therefore </w:t>
      </w:r>
      <w:r w:rsidR="001D2849">
        <w:t xml:space="preserve">the </w:t>
      </w:r>
      <w:r w:rsidR="00EB7C3F">
        <w:t xml:space="preserve">J2SI PAD </w:t>
      </w:r>
      <w:r w:rsidR="00335DE3">
        <w:t>could</w:t>
      </w:r>
      <w:r w:rsidR="00EB7C3F">
        <w:t xml:space="preserve"> be seen to have deviated from a true ‘Housing First</w:t>
      </w:r>
      <w:r w:rsidR="001F1DCD">
        <w:t>’</w:t>
      </w:r>
      <w:r w:rsidR="00EB7C3F">
        <w:t xml:space="preserve"> model which </w:t>
      </w:r>
      <w:r w:rsidR="00EB7C3F" w:rsidRPr="00FA4DF2">
        <w:t xml:space="preserve">prescribes </w:t>
      </w:r>
      <w:r w:rsidR="00DC5C74">
        <w:t>‘</w:t>
      </w:r>
      <w:r w:rsidR="00EB7C3F" w:rsidRPr="00FA4DF2">
        <w:t xml:space="preserve">safe and </w:t>
      </w:r>
      <w:r w:rsidR="00EB7C3F" w:rsidRPr="009B2835">
        <w:rPr>
          <w:i/>
          <w:iCs/>
        </w:rPr>
        <w:t>permanent</w:t>
      </w:r>
      <w:r w:rsidR="00EB7C3F" w:rsidRPr="00FA4DF2">
        <w:t xml:space="preserve"> housing as the first priority for people experiencing homelessness</w:t>
      </w:r>
      <w:r w:rsidR="00A31C86">
        <w:t>’.</w:t>
      </w:r>
      <w:r w:rsidR="00272B50">
        <w:rPr>
          <w:rFonts w:ascii="ZWAdobeF" w:hAnsi="ZWAdobeF" w:cs="ZWAdobeF"/>
          <w:color w:val="auto"/>
          <w:sz w:val="2"/>
          <w:szCs w:val="2"/>
        </w:rPr>
        <w:t>19F</w:t>
      </w:r>
      <w:r w:rsidR="00125CA2">
        <w:rPr>
          <w:rFonts w:ascii="ZWAdobeF" w:hAnsi="ZWAdobeF" w:cs="ZWAdobeF"/>
          <w:color w:val="auto"/>
          <w:sz w:val="2"/>
          <w:szCs w:val="2"/>
        </w:rPr>
        <w:t>19F</w:t>
      </w:r>
      <w:r w:rsidR="00EB7C3F">
        <w:rPr>
          <w:rStyle w:val="FootnoteReference"/>
        </w:rPr>
        <w:footnoteReference w:id="39"/>
      </w:r>
      <w:r w:rsidR="00A31C86">
        <w:t xml:space="preserve"> </w:t>
      </w:r>
      <w:r w:rsidR="00996CB9">
        <w:t>However, it</w:t>
      </w:r>
      <w:r w:rsidR="00EB7C3F">
        <w:t xml:space="preserve"> was </w:t>
      </w:r>
      <w:r w:rsidR="001D2849">
        <w:t>further</w:t>
      </w:r>
      <w:r w:rsidR="00EB7C3F">
        <w:t xml:space="preserve"> noted that</w:t>
      </w:r>
      <w:r w:rsidR="000F2231">
        <w:t>,</w:t>
      </w:r>
      <w:r w:rsidR="00A31C86">
        <w:t xml:space="preserve"> within an environment of social housing shortages, </w:t>
      </w:r>
      <w:r w:rsidR="00EB7C3F">
        <w:t>head leasing provided</w:t>
      </w:r>
      <w:r w:rsidR="00A31C86">
        <w:t xml:space="preserve"> </w:t>
      </w:r>
      <w:r w:rsidR="00EB7C3F">
        <w:t xml:space="preserve">as close a proxy </w:t>
      </w:r>
      <w:r w:rsidR="000F2231">
        <w:t>as possible</w:t>
      </w:r>
      <w:r w:rsidR="00EB7C3F">
        <w:t xml:space="preserve"> to a true ‘Housing First’ approach</w:t>
      </w:r>
      <w:r w:rsidR="00A31C86">
        <w:t>.</w:t>
      </w:r>
      <w:r w:rsidR="00EB7C3F">
        <w:t xml:space="preserve"> </w:t>
      </w:r>
    </w:p>
    <w:p w14:paraId="72C15918" w14:textId="475FB344" w:rsidR="00C70DD9" w:rsidRDefault="00C70DD9" w:rsidP="00C70DD9">
      <w:pPr>
        <w:pStyle w:val="BodyText"/>
      </w:pPr>
      <w:r>
        <w:lastRenderedPageBreak/>
        <w:t>The J2SI PAD</w:t>
      </w:r>
      <w:r w:rsidR="000F2231">
        <w:t>’</w:t>
      </w:r>
      <w:r>
        <w:t xml:space="preserve">s head leasing arrangement was managed by Housing Choices Australia and Unison for the duration of the program. Consulted stakeholders observed a well-coordinated working relationship between these agencies and </w:t>
      </w:r>
      <w:r w:rsidRPr="00D171D8">
        <w:t>SHM</w:t>
      </w:r>
      <w:r>
        <w:t>, and that access to head leased properties was consistent across the program.</w:t>
      </w:r>
    </w:p>
    <w:p w14:paraId="2D21390B" w14:textId="43556CB2" w:rsidR="002051CB" w:rsidRPr="0087490D" w:rsidRDefault="002016A5" w:rsidP="0087490D">
      <w:pPr>
        <w:pStyle w:val="Heading5"/>
      </w:pPr>
      <w:bookmarkStart w:id="84" w:name="_Ref149842008"/>
      <w:r w:rsidRPr="0087490D">
        <w:t xml:space="preserve">Financial penalties and priority access </w:t>
      </w:r>
      <w:r w:rsidR="00E94346" w:rsidRPr="0087490D">
        <w:t>to social housing</w:t>
      </w:r>
      <w:bookmarkEnd w:id="84"/>
    </w:p>
    <w:p w14:paraId="4EFD6D6C" w14:textId="1A70B821" w:rsidR="00B861D3" w:rsidRPr="009572B1" w:rsidRDefault="00DD1E1C" w:rsidP="009572B1">
      <w:pPr>
        <w:pStyle w:val="BodyText"/>
      </w:pPr>
      <w:r w:rsidRPr="009572B1">
        <w:t>A</w:t>
      </w:r>
      <w:r w:rsidR="00C511B0" w:rsidRPr="009572B1">
        <w:t xml:space="preserve">s described above, </w:t>
      </w:r>
      <w:r w:rsidR="000A594D" w:rsidRPr="009572B1">
        <w:t>social housing offers slowed</w:t>
      </w:r>
      <w:r w:rsidR="00E91353" w:rsidRPr="009572B1">
        <w:t xml:space="preserve"> at times</w:t>
      </w:r>
      <w:r w:rsidR="000A594D" w:rsidRPr="009572B1">
        <w:t xml:space="preserve"> during the course of the J2SI PAD</w:t>
      </w:r>
      <w:r w:rsidR="00581D85" w:rsidRPr="009572B1">
        <w:t>.</w:t>
      </w:r>
      <w:r w:rsidRPr="009572B1">
        <w:t xml:space="preserve"> Although head leasing mitigated against </w:t>
      </w:r>
      <w:r w:rsidR="004E731F" w:rsidRPr="009572B1">
        <w:t xml:space="preserve">delays </w:t>
      </w:r>
      <w:r w:rsidR="00C272AB" w:rsidRPr="009572B1">
        <w:t>in</w:t>
      </w:r>
      <w:r w:rsidR="00E009D2" w:rsidRPr="009572B1">
        <w:t xml:space="preserve"> clients being able to move </w:t>
      </w:r>
      <w:r w:rsidR="00D951F6" w:rsidRPr="009572B1">
        <w:t>off</w:t>
      </w:r>
      <w:r w:rsidR="00E009D2" w:rsidRPr="009572B1">
        <w:t xml:space="preserve"> the street</w:t>
      </w:r>
      <w:r w:rsidR="00D951F6" w:rsidRPr="009572B1">
        <w:t>s</w:t>
      </w:r>
      <w:r w:rsidR="009B2835" w:rsidRPr="009572B1">
        <w:t xml:space="preserve">, </w:t>
      </w:r>
      <w:r w:rsidR="00D951F6" w:rsidRPr="009572B1">
        <w:t xml:space="preserve">or out of crisis </w:t>
      </w:r>
      <w:r w:rsidR="00E009D2" w:rsidRPr="009572B1">
        <w:t>accommodation</w:t>
      </w:r>
      <w:r w:rsidR="009B2835" w:rsidRPr="009572B1">
        <w:t xml:space="preserve">, </w:t>
      </w:r>
      <w:r w:rsidR="00335DE3" w:rsidRPr="009572B1">
        <w:t xml:space="preserve">and </w:t>
      </w:r>
      <w:r w:rsidR="00E009D2" w:rsidRPr="009572B1">
        <w:t xml:space="preserve">into </w:t>
      </w:r>
      <w:r w:rsidR="00B873FD" w:rsidRPr="009572B1">
        <w:t xml:space="preserve">stable </w:t>
      </w:r>
      <w:r w:rsidR="004B1DD7" w:rsidRPr="009572B1">
        <w:t>hous</w:t>
      </w:r>
      <w:r w:rsidR="00143DC7" w:rsidRPr="009572B1">
        <w:t>ing</w:t>
      </w:r>
      <w:r w:rsidR="004E731F" w:rsidRPr="009572B1">
        <w:t xml:space="preserve">, </w:t>
      </w:r>
      <w:r w:rsidR="00B44CB4" w:rsidRPr="009572B1">
        <w:t xml:space="preserve">this was not a </w:t>
      </w:r>
      <w:r w:rsidR="009B2835" w:rsidRPr="009572B1">
        <w:t>permanent</w:t>
      </w:r>
      <w:r w:rsidR="00B861D3" w:rsidRPr="009572B1">
        <w:t xml:space="preserve"> </w:t>
      </w:r>
      <w:r w:rsidR="00B44CB4" w:rsidRPr="009572B1">
        <w:t>solution</w:t>
      </w:r>
      <w:r w:rsidR="00B861D3" w:rsidRPr="009572B1">
        <w:t>. S</w:t>
      </w:r>
      <w:r w:rsidR="00EC32F2" w:rsidRPr="009572B1">
        <w:t xml:space="preserve">table housing outcomes were </w:t>
      </w:r>
      <w:r w:rsidR="00B861D3" w:rsidRPr="009572B1">
        <w:t xml:space="preserve">therefore </w:t>
      </w:r>
      <w:r w:rsidR="00EC32F2" w:rsidRPr="009572B1">
        <w:t xml:space="preserve">reliant </w:t>
      </w:r>
      <w:r w:rsidR="0009092E" w:rsidRPr="009572B1">
        <w:t xml:space="preserve">on </w:t>
      </w:r>
      <w:r w:rsidR="00EC32F2" w:rsidRPr="009572B1">
        <w:t>the capacity of</w:t>
      </w:r>
      <w:r w:rsidR="00F835DB" w:rsidRPr="009572B1">
        <w:t xml:space="preserve"> </w:t>
      </w:r>
      <w:r w:rsidR="005375C4" w:rsidRPr="009572B1">
        <w:t>Homes Victoria and community housing providers</w:t>
      </w:r>
      <w:r w:rsidR="00F835DB" w:rsidRPr="009572B1">
        <w:t xml:space="preserve"> to </w:t>
      </w:r>
      <w:r w:rsidR="00447D37" w:rsidRPr="009572B1">
        <w:t xml:space="preserve">make </w:t>
      </w:r>
      <w:r w:rsidR="00F835DB" w:rsidRPr="009572B1">
        <w:t xml:space="preserve">social housing offers </w:t>
      </w:r>
      <w:r w:rsidR="006F5D85" w:rsidRPr="009572B1">
        <w:t>to J2SI PAD clients</w:t>
      </w:r>
      <w:r w:rsidR="00F835DB" w:rsidRPr="009572B1">
        <w:t xml:space="preserve">. </w:t>
      </w:r>
    </w:p>
    <w:p w14:paraId="784E4EDB" w14:textId="0E021AC2" w:rsidR="00C24E4C" w:rsidRDefault="00064A23" w:rsidP="00636502">
      <w:pPr>
        <w:pStyle w:val="BodyText"/>
      </w:pPr>
      <w:r>
        <w:t>Consistent with the findings from the interim evaluation, t</w:t>
      </w:r>
      <w:r w:rsidR="00A17DFC">
        <w:t xml:space="preserve">he financial penalties embedded within the J2SI PAD were </w:t>
      </w:r>
      <w:r w:rsidR="00B873FD">
        <w:t xml:space="preserve">considered </w:t>
      </w:r>
      <w:r w:rsidR="000F2231">
        <w:t xml:space="preserve">to be </w:t>
      </w:r>
      <w:r w:rsidR="009B2835">
        <w:t>an effective</w:t>
      </w:r>
      <w:r w:rsidRPr="00C24032">
        <w:t xml:space="preserve"> ‘lever’ to </w:t>
      </w:r>
      <w:r w:rsidR="005C24C8">
        <w:t>securing</w:t>
      </w:r>
      <w:r w:rsidR="0009092E">
        <w:t xml:space="preserve"> social housing offers</w:t>
      </w:r>
      <w:r w:rsidR="008043FC">
        <w:t>, and the</w:t>
      </w:r>
      <w:r w:rsidR="009B2835">
        <w:t xml:space="preserve"> program’s</w:t>
      </w:r>
      <w:r w:rsidR="00037A96">
        <w:t xml:space="preserve"> </w:t>
      </w:r>
      <w:r w:rsidR="009B2835">
        <w:t xml:space="preserve">cross-agency </w:t>
      </w:r>
      <w:r w:rsidR="008043FC">
        <w:t xml:space="preserve">JWG worked to ensure awareness </w:t>
      </w:r>
      <w:r w:rsidR="00F835DB">
        <w:t xml:space="preserve">within DFFH </w:t>
      </w:r>
      <w:r w:rsidR="003D438C">
        <w:t xml:space="preserve">of the implication for </w:t>
      </w:r>
      <w:r w:rsidR="000F2231">
        <w:t>g</w:t>
      </w:r>
      <w:r w:rsidR="003D438C">
        <w:t>overnment i</w:t>
      </w:r>
      <w:r w:rsidR="00AA7ECB">
        <w:t>f</w:t>
      </w:r>
      <w:r w:rsidR="003D438C">
        <w:t xml:space="preserve"> housing was not secured</w:t>
      </w:r>
      <w:r>
        <w:t>.</w:t>
      </w:r>
      <w:r w:rsidR="00895B00">
        <w:t xml:space="preserve"> The Head Leasing Contingency Fund (HLCF) </w:t>
      </w:r>
      <w:r w:rsidR="00C24E4C">
        <w:t xml:space="preserve">was </w:t>
      </w:r>
      <w:r w:rsidR="00895B00">
        <w:t>incorporated into the program</w:t>
      </w:r>
      <w:r w:rsidR="0080757A">
        <w:t xml:space="preserve"> for the purposes of paying</w:t>
      </w:r>
      <w:r w:rsidR="00335DE3">
        <w:t xml:space="preserve"> out</w:t>
      </w:r>
      <w:r w:rsidR="0080757A">
        <w:t xml:space="preserve"> financial penalties </w:t>
      </w:r>
      <w:r w:rsidR="00C24E4C">
        <w:t xml:space="preserve">in the event that: </w:t>
      </w:r>
    </w:p>
    <w:p w14:paraId="5F9958F3" w14:textId="0226FEBA" w:rsidR="00B85FBA" w:rsidRDefault="00FD55D8" w:rsidP="00632D10">
      <w:pPr>
        <w:pStyle w:val="Bullet1stlevel"/>
      </w:pPr>
      <w:r>
        <w:t xml:space="preserve">A client not </w:t>
      </w:r>
      <w:r w:rsidRPr="00FD55D8">
        <w:t xml:space="preserve">housed through </w:t>
      </w:r>
      <w:r>
        <w:t xml:space="preserve">a </w:t>
      </w:r>
      <w:r w:rsidRPr="00FD55D8">
        <w:t xml:space="preserve">head-leased </w:t>
      </w:r>
      <w:r>
        <w:t>property</w:t>
      </w:r>
      <w:r w:rsidRPr="00FD55D8">
        <w:t xml:space="preserve"> </w:t>
      </w:r>
      <w:r>
        <w:t>was</w:t>
      </w:r>
      <w:r w:rsidRPr="00FD55D8">
        <w:t xml:space="preserve"> not offered permanent or transitional social housing within the first </w:t>
      </w:r>
      <w:r w:rsidR="00A25F9E">
        <w:t>six</w:t>
      </w:r>
      <w:r w:rsidRPr="00FD55D8">
        <w:t xml:space="preserve"> months of entering the program</w:t>
      </w:r>
      <w:r w:rsidR="00B85FBA">
        <w:t>; or</w:t>
      </w:r>
    </w:p>
    <w:p w14:paraId="1A146E73" w14:textId="404DCFB9" w:rsidR="00B85FBA" w:rsidRPr="00022FD2" w:rsidRDefault="00C24E4C" w:rsidP="00632D10">
      <w:pPr>
        <w:pStyle w:val="Bullet1stlevel"/>
      </w:pPr>
      <w:r>
        <w:t>A</w:t>
      </w:r>
      <w:r w:rsidR="00895B00">
        <w:t xml:space="preserve"> </w:t>
      </w:r>
      <w:r w:rsidR="00895B00" w:rsidRPr="00022FD2">
        <w:t>social housing offer was not made to a client before the end of their three-year support</w:t>
      </w:r>
      <w:r w:rsidR="00B85FBA" w:rsidRPr="00022FD2">
        <w:t>.</w:t>
      </w:r>
    </w:p>
    <w:p w14:paraId="3873BCC3" w14:textId="4CD35BE4" w:rsidR="00895B00" w:rsidRDefault="00B32F96" w:rsidP="00815908">
      <w:pPr>
        <w:pStyle w:val="BodyText"/>
      </w:pPr>
      <w:r w:rsidRPr="00FD67DF">
        <w:t xml:space="preserve">With the exception of a marginal </w:t>
      </w:r>
      <w:r w:rsidR="00815908" w:rsidRPr="00FD67DF">
        <w:t xml:space="preserve">draw down to </w:t>
      </w:r>
      <w:r w:rsidR="00895B00" w:rsidRPr="00022FD2">
        <w:t xml:space="preserve">compensate housing agencies for </w:t>
      </w:r>
      <w:r w:rsidR="00815908" w:rsidRPr="00FD67DF">
        <w:t xml:space="preserve">slightly </w:t>
      </w:r>
      <w:r w:rsidR="00895B00" w:rsidRPr="00022FD2">
        <w:t>higher-than</w:t>
      </w:r>
      <w:r w:rsidR="002161BF" w:rsidRPr="00022FD2">
        <w:t>-</w:t>
      </w:r>
      <w:r w:rsidR="00895B00" w:rsidRPr="00022FD2">
        <w:t>expected administrative and labour costs</w:t>
      </w:r>
      <w:r w:rsidR="00815908" w:rsidRPr="00022FD2">
        <w:t xml:space="preserve">, the HLCF has not been used. </w:t>
      </w:r>
    </w:p>
    <w:p w14:paraId="79BD656E" w14:textId="77777777" w:rsidR="00D25840" w:rsidRDefault="00B44CB4" w:rsidP="00B44CB4">
      <w:pPr>
        <w:pStyle w:val="BodyText"/>
      </w:pPr>
      <w:r w:rsidRPr="00F8348D">
        <w:t>J2SI</w:t>
      </w:r>
      <w:r w:rsidR="00636502" w:rsidRPr="00F8348D">
        <w:t>’</w:t>
      </w:r>
      <w:r w:rsidRPr="00F8348D">
        <w:t>s priority status on</w:t>
      </w:r>
      <w:r w:rsidR="00865105" w:rsidRPr="00F8348D">
        <w:t xml:space="preserve"> the</w:t>
      </w:r>
      <w:r w:rsidRPr="00F8348D">
        <w:t xml:space="preserve"> VHR also helped to secure timely </w:t>
      </w:r>
      <w:r w:rsidR="00F8348D">
        <w:t xml:space="preserve">permanent </w:t>
      </w:r>
      <w:r w:rsidRPr="00F8348D">
        <w:t>social housing offers for clients</w:t>
      </w:r>
      <w:r w:rsidR="00D25840">
        <w:t>.</w:t>
      </w:r>
    </w:p>
    <w:p w14:paraId="41CF32CA" w14:textId="328826CC" w:rsidR="00C24032" w:rsidRDefault="00E94346" w:rsidP="00C24032">
      <w:pPr>
        <w:pStyle w:val="Heading5"/>
      </w:pPr>
      <w:bookmarkStart w:id="85" w:name="_Ref149901768"/>
      <w:r>
        <w:t>Cross-agency collaboration</w:t>
      </w:r>
      <w:bookmarkEnd w:id="85"/>
    </w:p>
    <w:p w14:paraId="4186A8C6" w14:textId="17FC65BE" w:rsidR="00EB1EBC" w:rsidRDefault="006639AB" w:rsidP="00EB1EBC">
      <w:pPr>
        <w:pStyle w:val="BodyText"/>
      </w:pPr>
      <w:r>
        <w:t xml:space="preserve">Cross-agency collaboration was noted </w:t>
      </w:r>
      <w:r w:rsidR="003C5021">
        <w:t xml:space="preserve">by stakeholders as being an important driver of client outcomes, </w:t>
      </w:r>
      <w:r w:rsidR="001A7A57">
        <w:t>consistent with findings from the interim evaluation</w:t>
      </w:r>
      <w:r w:rsidR="00EB1EBC">
        <w:t>.</w:t>
      </w:r>
      <w:r w:rsidR="00705188">
        <w:t xml:space="preserve"> </w:t>
      </w:r>
    </w:p>
    <w:p w14:paraId="6CFBE17D" w14:textId="3433C7D9" w:rsidR="00EB1EBC" w:rsidRPr="00A20A19" w:rsidRDefault="00EB1EBC" w:rsidP="00A20A19">
      <w:pPr>
        <w:ind w:left="720"/>
        <w:rPr>
          <w:rStyle w:val="IntenseEmphasis"/>
        </w:rPr>
      </w:pPr>
      <w:r w:rsidRPr="00A20A19">
        <w:rPr>
          <w:rStyle w:val="IntenseEmphasis"/>
          <w:i/>
          <w:iCs/>
        </w:rPr>
        <w:t>“Penalties brought [accountabilities for housing allocations] to the Department’s attention and focus, but it’s also due to the strong partnerships between us and the housing offices, not just the penalties. The Department now have a better understanding of demand/supply of housing so they can manage this more actively. J2SI is a beneficiary but so are other programs.” – SHM Management</w:t>
      </w:r>
    </w:p>
    <w:p w14:paraId="4B37D59D" w14:textId="183755DC" w:rsidR="004A44DB" w:rsidRDefault="004A44DB" w:rsidP="003B4C72">
      <w:pPr>
        <w:pStyle w:val="BodyText"/>
        <w:spacing w:before="60"/>
      </w:pPr>
      <w:r>
        <w:t xml:space="preserve">Stakeholders from both SHM and </w:t>
      </w:r>
      <w:r w:rsidR="00705EAE">
        <w:t>g</w:t>
      </w:r>
      <w:r>
        <w:t xml:space="preserve">overnment noted that increasing effort was made by </w:t>
      </w:r>
      <w:r w:rsidRPr="00D171D8">
        <w:t>housing offices</w:t>
      </w:r>
      <w:r>
        <w:t xml:space="preserve"> to match social housing offers with the individual needs of clients</w:t>
      </w:r>
      <w:r w:rsidR="005B2EEB">
        <w:t>, further supporting client outcomes</w:t>
      </w:r>
      <w:r>
        <w:t>. This</w:t>
      </w:r>
      <w:r w:rsidR="00683ACB">
        <w:t xml:space="preserve"> was </w:t>
      </w:r>
      <w:r w:rsidR="003D54F1">
        <w:t>done through a collaborative</w:t>
      </w:r>
      <w:r w:rsidR="00445500">
        <w:t xml:space="preserve"> partnership between </w:t>
      </w:r>
      <w:r w:rsidR="00D171D8" w:rsidRPr="00D171D8">
        <w:t xml:space="preserve">housing </w:t>
      </w:r>
      <w:r w:rsidR="00D951F6" w:rsidRPr="00D171D8">
        <w:t>offices</w:t>
      </w:r>
      <w:r w:rsidR="000C3DCB" w:rsidRPr="00D171D8">
        <w:t xml:space="preserve"> and SHM</w:t>
      </w:r>
      <w:r w:rsidR="00D951F6">
        <w:t>. This partnership</w:t>
      </w:r>
      <w:r w:rsidR="000C3DCB">
        <w:t xml:space="preserve"> </w:t>
      </w:r>
      <w:r w:rsidR="00EB1EBC">
        <w:t>was reported to strengthen</w:t>
      </w:r>
      <w:r w:rsidR="000C3DCB">
        <w:t xml:space="preserve"> over time as </w:t>
      </w:r>
      <w:r w:rsidR="005B024D">
        <w:t>offices</w:t>
      </w:r>
      <w:r w:rsidR="002720CF">
        <w:t xml:space="preserve"> </w:t>
      </w:r>
      <w:r>
        <w:t xml:space="preserve">developed their understanding of the J2SI PAD and trust in SHM to deliver the program. </w:t>
      </w:r>
      <w:r w:rsidR="0025454B">
        <w:t xml:space="preserve">As discussed further on </w:t>
      </w:r>
      <w:r w:rsidR="002161BF">
        <w:t>p</w:t>
      </w:r>
      <w:r w:rsidR="0025454B">
        <w:t xml:space="preserve">age </w:t>
      </w:r>
      <w:r w:rsidR="0025454B">
        <w:fldChar w:fldCharType="begin"/>
      </w:r>
      <w:r w:rsidR="0025454B">
        <w:instrText xml:space="preserve"> PAGEREF _Ref150342349 \h </w:instrText>
      </w:r>
      <w:r w:rsidR="0025454B">
        <w:fldChar w:fldCharType="separate"/>
      </w:r>
      <w:r w:rsidR="005B05CA">
        <w:rPr>
          <w:noProof/>
        </w:rPr>
        <w:t>36</w:t>
      </w:r>
      <w:r w:rsidR="0025454B">
        <w:fldChar w:fldCharType="end"/>
      </w:r>
      <w:r w:rsidR="0025454B">
        <w:t xml:space="preserve">, this was supported by the development of a centralised agency within Homes Victoria </w:t>
      </w:r>
      <w:r w:rsidR="001A7A57">
        <w:t>to oversee</w:t>
      </w:r>
      <w:r w:rsidR="0025454B">
        <w:t xml:space="preserve"> social housing allocations</w:t>
      </w:r>
      <w:r w:rsidR="00D10D9F">
        <w:t xml:space="preserve">. </w:t>
      </w:r>
    </w:p>
    <w:p w14:paraId="1E4456B3" w14:textId="33FBEE9F" w:rsidR="00EB1EBC" w:rsidRPr="00A20A19" w:rsidRDefault="00EB1EBC" w:rsidP="00A20A19">
      <w:pPr>
        <w:ind w:left="720"/>
        <w:rPr>
          <w:rStyle w:val="IntenseEmphasis"/>
          <w:i/>
          <w:iCs/>
        </w:rPr>
      </w:pPr>
      <w:r w:rsidRPr="00A20A19">
        <w:rPr>
          <w:rStyle w:val="IntenseEmphasis"/>
          <w:i/>
          <w:iCs/>
        </w:rPr>
        <w:t xml:space="preserve">“The partnership approach was a surprise to me – it </w:t>
      </w:r>
      <w:r w:rsidRPr="00A20A19">
        <w:rPr>
          <w:rStyle w:val="IntenseEmphasis"/>
        </w:rPr>
        <w:t>enabled</w:t>
      </w:r>
      <w:r w:rsidRPr="00A20A19">
        <w:rPr>
          <w:rStyle w:val="IntenseEmphasis"/>
          <w:i/>
          <w:iCs/>
        </w:rPr>
        <w:t xml:space="preserve"> a joint approach between ourselves and </w:t>
      </w:r>
      <w:r w:rsidR="00705EAE" w:rsidRPr="00A20A19">
        <w:rPr>
          <w:rStyle w:val="IntenseEmphasis"/>
          <w:i/>
          <w:iCs/>
        </w:rPr>
        <w:t>g</w:t>
      </w:r>
      <w:r w:rsidRPr="00A20A19">
        <w:rPr>
          <w:rStyle w:val="IntenseEmphasis"/>
          <w:i/>
          <w:iCs/>
        </w:rPr>
        <w:t xml:space="preserve">overnment, rather than a purchaser/provider approach. We appreciated that and how it aided the program. Particularly during </w:t>
      </w:r>
      <w:r w:rsidR="00BE1AE6" w:rsidRPr="00A20A19">
        <w:rPr>
          <w:rStyle w:val="IntenseEmphasis"/>
          <w:i/>
          <w:iCs/>
        </w:rPr>
        <w:t>C</w:t>
      </w:r>
      <w:r w:rsidRPr="00A20A19">
        <w:rPr>
          <w:rStyle w:val="IntenseEmphasis"/>
          <w:i/>
          <w:iCs/>
        </w:rPr>
        <w:t xml:space="preserve">ovid, the partnerships allowed us to work differently.” </w:t>
      </w:r>
      <w:r w:rsidR="00EE269F" w:rsidRPr="00A20A19">
        <w:rPr>
          <w:rStyle w:val="IntenseEmphasis"/>
          <w:i/>
          <w:iCs/>
        </w:rPr>
        <w:t>–</w:t>
      </w:r>
      <w:r w:rsidRPr="00A20A19">
        <w:rPr>
          <w:rStyle w:val="IntenseEmphasis"/>
          <w:i/>
          <w:iCs/>
        </w:rPr>
        <w:t xml:space="preserve"> SHM Management</w:t>
      </w:r>
    </w:p>
    <w:p w14:paraId="7F3C0D1A" w14:textId="3AB901FA" w:rsidR="003302E9" w:rsidRDefault="003302E9" w:rsidP="003302E9">
      <w:pPr>
        <w:pStyle w:val="BodyText"/>
        <w:spacing w:before="60"/>
      </w:pPr>
      <w:r>
        <w:t>A collaborative</w:t>
      </w:r>
      <w:r w:rsidR="00E669A5">
        <w:t>, cross-agency</w:t>
      </w:r>
      <w:r>
        <w:t xml:space="preserve"> approach was undertaken to ongoing tenancy management, to preserve the social housing tenancy to the extent possible once an offer was made, supporting stable client housing. Housing offices were </w:t>
      </w:r>
      <w:r w:rsidR="00E669A5">
        <w:t>reported</w:t>
      </w:r>
      <w:r>
        <w:t xml:space="preserve"> to engage in good faith with SHM case managers due to their ability to collaboratively resolve tenancy issues and stabilise clients. Broader flow-on benefits were observed as housing offices demonstrated </w:t>
      </w:r>
      <w:r w:rsidR="002161BF">
        <w:t xml:space="preserve">a </w:t>
      </w:r>
      <w:r>
        <w:t xml:space="preserve">heightened willingness to provide social housing into the J2SI PAD and subsequent SHM programs. </w:t>
      </w:r>
    </w:p>
    <w:p w14:paraId="407E9691" w14:textId="0E4FE84D" w:rsidR="00E669A5" w:rsidRDefault="00E669A5" w:rsidP="00E669A5">
      <w:pPr>
        <w:pStyle w:val="BodyText"/>
        <w:spacing w:before="60"/>
      </w:pPr>
      <w:r>
        <w:t xml:space="preserve">The J2SI PAD was also considered to drive greater engagement between DTF and </w:t>
      </w:r>
      <w:r w:rsidR="00C32DFE">
        <w:t>service delivery</w:t>
      </w:r>
      <w:r w:rsidR="006805E1">
        <w:t xml:space="preserve"> organisations</w:t>
      </w:r>
      <w:r w:rsidR="002F1A63">
        <w:t xml:space="preserve">, increasing </w:t>
      </w:r>
      <w:r w:rsidR="006805E1">
        <w:t xml:space="preserve">the </w:t>
      </w:r>
      <w:r w:rsidR="00BC6296">
        <w:t>D</w:t>
      </w:r>
      <w:r w:rsidR="006805E1">
        <w:t>epartment</w:t>
      </w:r>
      <w:r w:rsidR="002161BF">
        <w:t>’</w:t>
      </w:r>
      <w:r w:rsidR="006805E1">
        <w:t xml:space="preserve">s </w:t>
      </w:r>
      <w:r w:rsidR="002F1A63">
        <w:t xml:space="preserve">exposure to </w:t>
      </w:r>
      <w:r>
        <w:t>the sector. Although stakeholders did not link this engagement to client outcomes, it was considered to have other benefits, in particular exposing DTF to new ways of working and associated capability uplift (</w:t>
      </w:r>
      <w:r w:rsidR="002161BF">
        <w:t>d</w:t>
      </w:r>
      <w:r>
        <w:t xml:space="preserve">iscussed further on </w:t>
      </w:r>
      <w:r w:rsidR="002161BF">
        <w:t>p</w:t>
      </w:r>
      <w:r w:rsidR="005A7509">
        <w:t xml:space="preserve">age </w:t>
      </w:r>
      <w:r w:rsidR="00200A43">
        <w:rPr>
          <w:highlight w:val="green"/>
        </w:rPr>
        <w:fldChar w:fldCharType="begin"/>
      </w:r>
      <w:r w:rsidR="00200A43">
        <w:instrText xml:space="preserve"> PAGEREF _Ref149901078 \h </w:instrText>
      </w:r>
      <w:r w:rsidR="00200A43">
        <w:rPr>
          <w:highlight w:val="green"/>
        </w:rPr>
      </w:r>
      <w:r w:rsidR="00200A43">
        <w:rPr>
          <w:highlight w:val="green"/>
        </w:rPr>
        <w:fldChar w:fldCharType="separate"/>
      </w:r>
      <w:r w:rsidR="005B05CA">
        <w:rPr>
          <w:noProof/>
        </w:rPr>
        <w:t>35</w:t>
      </w:r>
      <w:r w:rsidR="00200A43">
        <w:rPr>
          <w:highlight w:val="green"/>
        </w:rPr>
        <w:fldChar w:fldCharType="end"/>
      </w:r>
      <w:r>
        <w:t>).</w:t>
      </w:r>
    </w:p>
    <w:p w14:paraId="2B3536BD" w14:textId="274B608D" w:rsidR="005D7A84" w:rsidRPr="00A20A19" w:rsidRDefault="005D7A84" w:rsidP="00A20A19">
      <w:pPr>
        <w:ind w:left="720"/>
        <w:rPr>
          <w:rStyle w:val="IntenseEmphasis"/>
          <w:i/>
          <w:iCs/>
        </w:rPr>
      </w:pPr>
      <w:r w:rsidRPr="00A20A19">
        <w:rPr>
          <w:rStyle w:val="IntenseEmphasis"/>
          <w:i/>
          <w:iCs/>
        </w:rPr>
        <w:t xml:space="preserve">“The J2SI PAD was a conduit for a more meaningful relationship between us and the sector.” </w:t>
      </w:r>
      <w:r w:rsidR="00EE269F" w:rsidRPr="00A20A19">
        <w:rPr>
          <w:rStyle w:val="IntenseEmphasis"/>
          <w:i/>
          <w:iCs/>
        </w:rPr>
        <w:t>–</w:t>
      </w:r>
      <w:r w:rsidRPr="00A20A19">
        <w:rPr>
          <w:rStyle w:val="IntenseEmphasis"/>
          <w:i/>
          <w:iCs/>
        </w:rPr>
        <w:t xml:space="preserve"> DTF</w:t>
      </w:r>
    </w:p>
    <w:p w14:paraId="14F6ED38" w14:textId="6D90D3FB" w:rsidR="001B4912" w:rsidRPr="0087490D" w:rsidRDefault="0089290E" w:rsidP="0087490D">
      <w:pPr>
        <w:pStyle w:val="Heading5"/>
      </w:pPr>
      <w:bookmarkStart w:id="86" w:name="_Ref149898116"/>
      <w:r w:rsidRPr="0087490D">
        <w:t>Payable</w:t>
      </w:r>
      <w:r w:rsidR="006F7235" w:rsidRPr="0087490D">
        <w:t xml:space="preserve"> outcomes</w:t>
      </w:r>
      <w:bookmarkEnd w:id="86"/>
    </w:p>
    <w:p w14:paraId="5319A2C7" w14:textId="068F97BA" w:rsidR="0084531D" w:rsidRDefault="00D52DC0" w:rsidP="009572B1">
      <w:pPr>
        <w:pStyle w:val="BodyText"/>
      </w:pPr>
      <w:r>
        <w:t>S</w:t>
      </w:r>
      <w:r w:rsidR="001B4912">
        <w:t xml:space="preserve">ervice delivery staff </w:t>
      </w:r>
      <w:r>
        <w:t>noted</w:t>
      </w:r>
      <w:r w:rsidR="001B4912">
        <w:t xml:space="preserve"> that the </w:t>
      </w:r>
      <w:r w:rsidR="00542AEF">
        <w:t xml:space="preserve">two payable outcomes - </w:t>
      </w:r>
      <w:r w:rsidR="001B4912">
        <w:t>stable housing and hospital bed day</w:t>
      </w:r>
      <w:r w:rsidR="00542AEF">
        <w:t xml:space="preserve">s - </w:t>
      </w:r>
      <w:r w:rsidR="001B4912">
        <w:t>gave case workers and clients freedom to identify and work towards</w:t>
      </w:r>
      <w:r w:rsidR="007B4306">
        <w:t xml:space="preserve"> </w:t>
      </w:r>
      <w:r w:rsidR="001B4912">
        <w:t xml:space="preserve">clients’ </w:t>
      </w:r>
      <w:r w:rsidR="0084531D">
        <w:t xml:space="preserve">own </w:t>
      </w:r>
      <w:r w:rsidR="001B4912">
        <w:t>individual goals</w:t>
      </w:r>
      <w:r w:rsidR="007B4306">
        <w:t>, in addition to the payable outcomes.</w:t>
      </w:r>
      <w:r w:rsidR="001B4912">
        <w:t xml:space="preserve"> </w:t>
      </w:r>
      <w:r w:rsidR="007B4306">
        <w:t xml:space="preserve">It was also noted that </w:t>
      </w:r>
      <w:r w:rsidR="001B4912">
        <w:t xml:space="preserve">hospital bed days </w:t>
      </w:r>
      <w:r w:rsidR="006E04AE">
        <w:t>was</w:t>
      </w:r>
      <w:r w:rsidR="001B4912">
        <w:t xml:space="preserve"> often a downstream outcome of efforts to stabilise clients in other areas.</w:t>
      </w:r>
      <w:r w:rsidR="008B431B">
        <w:t xml:space="preserve"> S</w:t>
      </w:r>
      <w:r w:rsidR="00A151B4">
        <w:t xml:space="preserve">ome stakeholders </w:t>
      </w:r>
      <w:r w:rsidR="008B431B">
        <w:t>noted</w:t>
      </w:r>
      <w:r w:rsidR="00A151B4">
        <w:t xml:space="preserve"> that the tr</w:t>
      </w:r>
      <w:r w:rsidR="00A151B4" w:rsidRPr="00163AAB">
        <w:t xml:space="preserve">acking of payable outcomes may have provided a reinforcement </w:t>
      </w:r>
      <w:r w:rsidR="00A151B4" w:rsidRPr="00163AAB">
        <w:lastRenderedPageBreak/>
        <w:t>loop, providing evidence of client progress which</w:t>
      </w:r>
      <w:r w:rsidR="00A151B4">
        <w:t xml:space="preserve"> subsequently</w:t>
      </w:r>
      <w:r w:rsidR="00A151B4" w:rsidRPr="00163AAB">
        <w:t xml:space="preserve"> motivated case workers to continue to engage in high</w:t>
      </w:r>
      <w:r w:rsidR="008B521B">
        <w:noBreakHyphen/>
      </w:r>
      <w:r w:rsidR="00A151B4" w:rsidRPr="00163AAB">
        <w:t>quality service delivery</w:t>
      </w:r>
      <w:r w:rsidR="00A151B4">
        <w:t xml:space="preserve">. </w:t>
      </w:r>
      <w:r w:rsidR="007E4F52">
        <w:t>With this in mind, the payable outcomes</w:t>
      </w:r>
      <w:r>
        <w:t xml:space="preserve"> were considered </w:t>
      </w:r>
      <w:r w:rsidR="0056344A">
        <w:t>compl</w:t>
      </w:r>
      <w:r w:rsidR="00A2490F">
        <w:t>e</w:t>
      </w:r>
      <w:r w:rsidR="0056344A">
        <w:t>mentary to</w:t>
      </w:r>
      <w:r w:rsidR="007E6302">
        <w:t xml:space="preserve"> clients working towards and achieving positive outcomes across the duration of the program. </w:t>
      </w:r>
    </w:p>
    <w:p w14:paraId="5FF736AA" w14:textId="5778EF0C" w:rsidR="001B4912" w:rsidRDefault="00C653ED" w:rsidP="009572B1">
      <w:pPr>
        <w:pStyle w:val="BodyText"/>
      </w:pPr>
      <w:r>
        <w:t>J2SI PAD case workers</w:t>
      </w:r>
      <w:r w:rsidR="008B168D">
        <w:t xml:space="preserve"> compared the two payable outcomes</w:t>
      </w:r>
      <w:r w:rsidR="00437D30">
        <w:t xml:space="preserve"> of the J2SI PAD</w:t>
      </w:r>
      <w:r w:rsidR="008B168D">
        <w:t xml:space="preserve"> to </w:t>
      </w:r>
      <w:r w:rsidR="00437D30">
        <w:t>the</w:t>
      </w:r>
      <w:r w:rsidR="008B168D">
        <w:t xml:space="preserve"> </w:t>
      </w:r>
      <w:r w:rsidR="00636B37">
        <w:t xml:space="preserve">outcomes of the </w:t>
      </w:r>
      <w:r w:rsidR="00282C65">
        <w:t>PbR</w:t>
      </w:r>
      <w:r w:rsidR="00114178">
        <w:t xml:space="preserve"> - </w:t>
      </w:r>
      <w:r w:rsidR="008B168D">
        <w:t>which</w:t>
      </w:r>
      <w:r w:rsidR="00437D30">
        <w:t xml:space="preserve"> </w:t>
      </w:r>
      <w:r w:rsidR="00636B37">
        <w:t>includes</w:t>
      </w:r>
      <w:r w:rsidR="00524015">
        <w:t xml:space="preserve"> seven </w:t>
      </w:r>
      <w:r w:rsidR="00992B54">
        <w:t>program outcomes</w:t>
      </w:r>
      <w:r w:rsidR="00742811">
        <w:t xml:space="preserve">, </w:t>
      </w:r>
      <w:r w:rsidR="00CD238A">
        <w:t xml:space="preserve">including two </w:t>
      </w:r>
      <w:r w:rsidR="00636B37">
        <w:t>collected using</w:t>
      </w:r>
      <w:r w:rsidR="00992B54">
        <w:t xml:space="preserve"> </w:t>
      </w:r>
      <w:r w:rsidR="00992B54" w:rsidRPr="004A35AE">
        <w:rPr>
          <w:szCs w:val="20"/>
        </w:rPr>
        <w:t>TICSPO</w:t>
      </w:r>
      <w:r w:rsidR="004D02CC" w:rsidRPr="003C67D4">
        <w:rPr>
          <w:szCs w:val="20"/>
        </w:rPr>
        <w:t>T</w:t>
      </w:r>
      <w:r w:rsidR="004A35AE">
        <w:rPr>
          <w:szCs w:val="20"/>
        </w:rPr>
        <w:t>.</w:t>
      </w:r>
      <w:r w:rsidR="00080FB5">
        <w:rPr>
          <w:rStyle w:val="FootnoteReference"/>
        </w:rPr>
        <w:footnoteReference w:id="40"/>
      </w:r>
      <w:r w:rsidR="004A35AE">
        <w:t xml:space="preserve"> </w:t>
      </w:r>
      <w:r w:rsidR="001A0E4D">
        <w:t>Upon making this comparison, s</w:t>
      </w:r>
      <w:r w:rsidR="00992B54">
        <w:t xml:space="preserve">ome case workers </w:t>
      </w:r>
      <w:r w:rsidR="001A0E4D">
        <w:t>reported</w:t>
      </w:r>
      <w:r w:rsidR="00114178">
        <w:t xml:space="preserve"> the PbR </w:t>
      </w:r>
      <w:r w:rsidR="00D7639D">
        <w:t>to have</w:t>
      </w:r>
      <w:r w:rsidR="003A6356">
        <w:t xml:space="preserve"> less flexibility in terms of </w:t>
      </w:r>
      <w:r w:rsidR="007D2FC7">
        <w:t xml:space="preserve">client goal setting, however </w:t>
      </w:r>
      <w:r w:rsidR="001B4912">
        <w:t xml:space="preserve">SHM leadership </w:t>
      </w:r>
      <w:r w:rsidR="00626D9B">
        <w:t>noted</w:t>
      </w:r>
      <w:r w:rsidR="001B4912">
        <w:t xml:space="preserve"> that </w:t>
      </w:r>
      <w:r w:rsidR="007D2FC7">
        <w:t>use of</w:t>
      </w:r>
      <w:r w:rsidR="001B4912">
        <w:t xml:space="preserve"> TICSPOT </w:t>
      </w:r>
      <w:r w:rsidR="00626D9B">
        <w:t>has been consistent</w:t>
      </w:r>
      <w:r w:rsidR="001B4912">
        <w:t xml:space="preserve"> </w:t>
      </w:r>
      <w:r w:rsidR="00626D9B">
        <w:t xml:space="preserve">across both iterations of </w:t>
      </w:r>
      <w:r w:rsidR="007D2FC7">
        <w:t>the program</w:t>
      </w:r>
      <w:r w:rsidR="001B4912">
        <w:t xml:space="preserve">, </w:t>
      </w:r>
      <w:r w:rsidR="00626D9B">
        <w:t>with</w:t>
      </w:r>
      <w:r w:rsidR="001B4912">
        <w:t xml:space="preserve"> </w:t>
      </w:r>
      <w:r w:rsidR="00657A30">
        <w:t xml:space="preserve">the expectation that </w:t>
      </w:r>
      <w:r w:rsidR="001B4912">
        <w:t xml:space="preserve">J2SI PAD </w:t>
      </w:r>
      <w:r w:rsidR="00574DF3">
        <w:t>clients</w:t>
      </w:r>
      <w:r w:rsidR="001B4912">
        <w:t xml:space="preserve"> </w:t>
      </w:r>
      <w:r w:rsidR="00657A30">
        <w:t>incorporated</w:t>
      </w:r>
      <w:r w:rsidR="001B4912">
        <w:t xml:space="preserve"> TICSPOT outcomes</w:t>
      </w:r>
      <w:r w:rsidR="00574DF3">
        <w:t xml:space="preserve"> into goal setting</w:t>
      </w:r>
      <w:r w:rsidR="001B4912">
        <w:t xml:space="preserve">. </w:t>
      </w:r>
    </w:p>
    <w:p w14:paraId="27DE5F90" w14:textId="5602872A" w:rsidR="005D7A84" w:rsidRPr="00A20A19" w:rsidRDefault="005D7A84" w:rsidP="00A20A19">
      <w:pPr>
        <w:ind w:left="720"/>
        <w:rPr>
          <w:rStyle w:val="IntenseEmphasis"/>
          <w:i/>
          <w:iCs/>
        </w:rPr>
      </w:pPr>
      <w:r w:rsidRPr="00A20A19">
        <w:rPr>
          <w:rStyle w:val="IntenseEmphasis"/>
          <w:i/>
          <w:iCs/>
        </w:rPr>
        <w:t xml:space="preserve">“Hospital bed days are a really good outcome. As a case manager, we do good </w:t>
      </w:r>
      <w:r w:rsidR="00657A30" w:rsidRPr="00A20A19">
        <w:rPr>
          <w:rStyle w:val="IntenseEmphasis"/>
          <w:i/>
          <w:iCs/>
        </w:rPr>
        <w:t>work,</w:t>
      </w:r>
      <w:r w:rsidRPr="00A20A19">
        <w:rPr>
          <w:rStyle w:val="IntenseEmphasis"/>
          <w:i/>
          <w:iCs/>
        </w:rPr>
        <w:t xml:space="preserve"> and the hospital bed days somehow get better.” – SHM service delivery</w:t>
      </w:r>
    </w:p>
    <w:p w14:paraId="264B0A7F" w14:textId="17318EAD" w:rsidR="005D7A84" w:rsidRPr="00A20A19" w:rsidRDefault="005D7A84" w:rsidP="00A20A19">
      <w:pPr>
        <w:ind w:left="720"/>
        <w:rPr>
          <w:rStyle w:val="IntenseEmphasis"/>
          <w:i/>
          <w:iCs/>
        </w:rPr>
      </w:pPr>
      <w:r w:rsidRPr="00A20A19">
        <w:rPr>
          <w:rStyle w:val="IntenseEmphasis"/>
          <w:i/>
          <w:iCs/>
        </w:rPr>
        <w:t xml:space="preserve">“We have to do TICSPOT in the </w:t>
      </w:r>
      <w:r w:rsidR="00282C65" w:rsidRPr="00A20A19">
        <w:rPr>
          <w:rStyle w:val="IntenseEmphasis"/>
          <w:i/>
          <w:iCs/>
        </w:rPr>
        <w:t>PbR</w:t>
      </w:r>
      <w:r w:rsidRPr="00A20A19">
        <w:rPr>
          <w:rStyle w:val="IntenseEmphasis"/>
          <w:i/>
          <w:iCs/>
        </w:rPr>
        <w:t>… it gives more of a framework around goals. Sometimes this is a good thing, but there are limitations to putting people in a box and comparing them on the same outcomes.” – SHM service delivery</w:t>
      </w:r>
    </w:p>
    <w:p w14:paraId="0CD708B0" w14:textId="5BE4F653" w:rsidR="00DF4146" w:rsidRPr="001711A5" w:rsidRDefault="00574EFA" w:rsidP="001711A5">
      <w:pPr>
        <w:pStyle w:val="Heading4"/>
      </w:pPr>
      <w:bookmarkStart w:id="87" w:name="_Ref149902900"/>
      <w:r w:rsidRPr="001711A5">
        <w:t xml:space="preserve">Were the </w:t>
      </w:r>
      <w:r w:rsidR="00E92940">
        <w:t xml:space="preserve">client </w:t>
      </w:r>
      <w:r w:rsidRPr="001711A5">
        <w:t>outcomes the same as when the program was implemented differently?</w:t>
      </w:r>
      <w:bookmarkEnd w:id="87"/>
    </w:p>
    <w:p w14:paraId="20036FD6" w14:textId="51651CB0" w:rsidR="00A72BFD" w:rsidRDefault="00937DBC" w:rsidP="00541E43">
      <w:pPr>
        <w:pStyle w:val="BodyText"/>
        <w:spacing w:before="60"/>
      </w:pPr>
      <w:r>
        <w:t xml:space="preserve">Improved client outcomes </w:t>
      </w:r>
      <w:r w:rsidR="000C17EC">
        <w:t>were</w:t>
      </w:r>
      <w:r>
        <w:t xml:space="preserve"> seen under</w:t>
      </w:r>
      <w:r w:rsidR="00AE27B5">
        <w:t xml:space="preserve"> previous iterations of the</w:t>
      </w:r>
      <w:r w:rsidR="000C17EC">
        <w:t xml:space="preserve"> J2SI</w:t>
      </w:r>
      <w:r w:rsidR="00AE27B5">
        <w:t xml:space="preserve"> program (Pilot</w:t>
      </w:r>
      <w:r w:rsidR="00E475EC">
        <w:t xml:space="preserve"> and the </w:t>
      </w:r>
      <w:r w:rsidR="009C7EFD">
        <w:t xml:space="preserve">Phase 2 </w:t>
      </w:r>
      <w:r w:rsidR="00E475EC">
        <w:t>RCT)</w:t>
      </w:r>
      <w:r>
        <w:t>.</w:t>
      </w:r>
      <w:r w:rsidR="00272B50">
        <w:rPr>
          <w:rFonts w:ascii="ZWAdobeF" w:hAnsi="ZWAdobeF" w:cs="ZWAdobeF"/>
          <w:color w:val="auto"/>
          <w:sz w:val="2"/>
          <w:szCs w:val="2"/>
        </w:rPr>
        <w:t>22F</w:t>
      </w:r>
      <w:r w:rsidR="00125CA2">
        <w:rPr>
          <w:rFonts w:ascii="ZWAdobeF" w:hAnsi="ZWAdobeF" w:cs="ZWAdobeF"/>
          <w:color w:val="auto"/>
          <w:sz w:val="2"/>
          <w:szCs w:val="2"/>
        </w:rPr>
        <w:t>22F</w:t>
      </w:r>
      <w:r w:rsidRPr="00A72BFD">
        <w:rPr>
          <w:rStyle w:val="FootnoteReference"/>
        </w:rPr>
        <w:footnoteReference w:id="41"/>
      </w:r>
      <w:r w:rsidRPr="00A72BFD">
        <w:rPr>
          <w:vertAlign w:val="superscript"/>
        </w:rPr>
        <w:t>,</w:t>
      </w:r>
      <w:r w:rsidR="00272B50">
        <w:rPr>
          <w:rFonts w:ascii="ZWAdobeF" w:hAnsi="ZWAdobeF" w:cs="ZWAdobeF"/>
          <w:color w:val="auto"/>
          <w:sz w:val="2"/>
          <w:szCs w:val="2"/>
        </w:rPr>
        <w:t>23F</w:t>
      </w:r>
      <w:r w:rsidR="00125CA2">
        <w:rPr>
          <w:rFonts w:ascii="ZWAdobeF" w:hAnsi="ZWAdobeF" w:cs="ZWAdobeF"/>
          <w:color w:val="auto"/>
          <w:sz w:val="2"/>
          <w:szCs w:val="2"/>
        </w:rPr>
        <w:t>23F</w:t>
      </w:r>
      <w:r w:rsidRPr="00A72BFD">
        <w:rPr>
          <w:rStyle w:val="FootnoteReference"/>
        </w:rPr>
        <w:footnoteReference w:id="42"/>
      </w:r>
      <w:r w:rsidRPr="00A72BFD">
        <w:rPr>
          <w:vertAlign w:val="superscript"/>
        </w:rPr>
        <w:t xml:space="preserve"> </w:t>
      </w:r>
      <w:r>
        <w:t xml:space="preserve"> At this stage, </w:t>
      </w:r>
      <w:r w:rsidR="00D11A74">
        <w:t>it</w:t>
      </w:r>
      <w:r>
        <w:t xml:space="preserve"> is too early to </w:t>
      </w:r>
      <w:r w:rsidR="00DB082B">
        <w:t>determine whether</w:t>
      </w:r>
      <w:r>
        <w:t xml:space="preserve"> the </w:t>
      </w:r>
      <w:r w:rsidR="00282C65">
        <w:t>PbR</w:t>
      </w:r>
      <w:r>
        <w:t xml:space="preserve"> is </w:t>
      </w:r>
      <w:r w:rsidR="004F2FEF">
        <w:t xml:space="preserve">achieving </w:t>
      </w:r>
      <w:r w:rsidR="00D93910">
        <w:t>similarly</w:t>
      </w:r>
      <w:r w:rsidR="00FF0F04">
        <w:t xml:space="preserve"> strong results. </w:t>
      </w:r>
    </w:p>
    <w:p w14:paraId="4E976898" w14:textId="0663CCF9" w:rsidR="00CE4A79" w:rsidRDefault="00FF0F04" w:rsidP="008F682F">
      <w:pPr>
        <w:pStyle w:val="BodyText"/>
        <w:spacing w:before="60"/>
      </w:pPr>
      <w:r w:rsidRPr="00F1026D">
        <w:t xml:space="preserve">Although client outcomes have been consistent across </w:t>
      </w:r>
      <w:r w:rsidR="00D93910" w:rsidRPr="00F1026D">
        <w:t xml:space="preserve">the Pilot, </w:t>
      </w:r>
      <w:r w:rsidR="009C7EFD" w:rsidRPr="00F1026D">
        <w:t xml:space="preserve">Phase 2 </w:t>
      </w:r>
      <w:r w:rsidR="00D93910" w:rsidRPr="00F1026D">
        <w:t>RCT and</w:t>
      </w:r>
      <w:r w:rsidR="00127A6F" w:rsidRPr="00805B5D">
        <w:t xml:space="preserve"> </w:t>
      </w:r>
      <w:r w:rsidR="00127A6F" w:rsidRPr="003C67D4">
        <w:t>the</w:t>
      </w:r>
      <w:r w:rsidR="00D93910" w:rsidRPr="00F1026D">
        <w:t xml:space="preserve"> PAD, </w:t>
      </w:r>
      <w:r w:rsidRPr="00F1026D">
        <w:t>t</w:t>
      </w:r>
      <w:r w:rsidR="004208C9" w:rsidRPr="00F1026D">
        <w:t xml:space="preserve">here is </w:t>
      </w:r>
      <w:r w:rsidR="00B85E39" w:rsidRPr="00F1026D">
        <w:t xml:space="preserve">evidence to suggest that client outcomes </w:t>
      </w:r>
      <w:r w:rsidRPr="00F1026D">
        <w:t>have been</w:t>
      </w:r>
      <w:r w:rsidR="00B00C67" w:rsidRPr="00F1026D">
        <w:t xml:space="preserve"> </w:t>
      </w:r>
      <w:r w:rsidR="00780CBA" w:rsidRPr="00F1026D">
        <w:t>stronger</w:t>
      </w:r>
      <w:r w:rsidR="00B00C67" w:rsidRPr="00F1026D">
        <w:t xml:space="preserve"> under the J2SI PAD when compared to the </w:t>
      </w:r>
      <w:r w:rsidR="009C7EFD" w:rsidRPr="00F1026D">
        <w:t xml:space="preserve">Phase 2 </w:t>
      </w:r>
      <w:r w:rsidR="00B00C67" w:rsidRPr="00F1026D">
        <w:t xml:space="preserve">RCT. </w:t>
      </w:r>
      <w:r w:rsidR="0014462B" w:rsidRPr="00F1026D">
        <w:t xml:space="preserve">As shown in </w:t>
      </w:r>
      <w:r w:rsidR="008D7AA8">
        <w:fldChar w:fldCharType="begin"/>
      </w:r>
      <w:r w:rsidR="008D7AA8">
        <w:instrText xml:space="preserve"> REF _Ref149131077 \h </w:instrText>
      </w:r>
      <w:r w:rsidR="008D7AA8">
        <w:fldChar w:fldCharType="separate"/>
      </w:r>
      <w:r w:rsidR="005B05CA" w:rsidRPr="00D31462">
        <w:t xml:space="preserve">Table </w:t>
      </w:r>
      <w:r w:rsidR="005B05CA">
        <w:rPr>
          <w:noProof/>
        </w:rPr>
        <w:t>11</w:t>
      </w:r>
      <w:r w:rsidR="008D7AA8">
        <w:fldChar w:fldCharType="end"/>
      </w:r>
      <w:r w:rsidR="0014462B" w:rsidRPr="00F1026D">
        <w:t xml:space="preserve">, </w:t>
      </w:r>
      <w:r w:rsidR="005E1FB9" w:rsidRPr="00F1026D">
        <w:t>J2SI</w:t>
      </w:r>
      <w:r w:rsidR="0014462B" w:rsidRPr="00F1026D">
        <w:t xml:space="preserve"> </w:t>
      </w:r>
      <w:r w:rsidR="004208C9" w:rsidRPr="00F1026D">
        <w:t>PAD</w:t>
      </w:r>
      <w:r w:rsidR="0014462B" w:rsidRPr="00F1026D">
        <w:t xml:space="preserve"> clients had better </w:t>
      </w:r>
      <w:r w:rsidR="003740F3" w:rsidRPr="003C67D4">
        <w:t>hospital bed day</w:t>
      </w:r>
      <w:r w:rsidR="00AB12DB" w:rsidRPr="00F1026D">
        <w:t xml:space="preserve"> </w:t>
      </w:r>
      <w:r w:rsidR="0014462B" w:rsidRPr="00F1026D">
        <w:t xml:space="preserve">outcomes compared to clients in </w:t>
      </w:r>
      <w:r w:rsidR="00900C0F" w:rsidRPr="00F1026D">
        <w:t xml:space="preserve">the </w:t>
      </w:r>
      <w:r w:rsidR="009C7EFD" w:rsidRPr="00F1026D">
        <w:t xml:space="preserve">Phase 2 </w:t>
      </w:r>
      <w:r w:rsidR="00900C0F" w:rsidRPr="00F1026D">
        <w:t>RCT</w:t>
      </w:r>
      <w:r w:rsidR="0014462B" w:rsidRPr="00F1026D">
        <w:t xml:space="preserve"> at the same points in the program</w:t>
      </w:r>
      <w:r w:rsidR="0027241E" w:rsidRPr="00F1026D">
        <w:t xml:space="preserve">, </w:t>
      </w:r>
      <w:proofErr w:type="gramStart"/>
      <w:r w:rsidR="0027241E" w:rsidRPr="00F1026D">
        <w:t>with the exception of</w:t>
      </w:r>
      <w:proofErr w:type="gramEnd"/>
      <w:r w:rsidR="0027241E" w:rsidRPr="00F1026D">
        <w:t xml:space="preserve"> </w:t>
      </w:r>
      <w:r w:rsidR="0087138E" w:rsidRPr="00F1026D">
        <w:t>Cohort 3.1 at 48 month</w:t>
      </w:r>
      <w:r w:rsidR="00DE2953" w:rsidRPr="003C67D4">
        <w:t>s</w:t>
      </w:r>
      <w:r w:rsidR="00B875B3">
        <w:t xml:space="preserve"> which is </w:t>
      </w:r>
      <w:r w:rsidR="00524B4C">
        <w:t>one per cent</w:t>
      </w:r>
      <w:r w:rsidR="00B875B3">
        <w:t xml:space="preserve"> lower than the control</w:t>
      </w:r>
      <w:r w:rsidR="0014462B" w:rsidRPr="00F1026D">
        <w:t xml:space="preserve">. </w:t>
      </w:r>
      <w:r w:rsidR="00CE4A79" w:rsidRPr="00F1026D">
        <w:t xml:space="preserve">Similarly, </w:t>
      </w:r>
      <w:r w:rsidR="008169C9" w:rsidRPr="00F1026D">
        <w:t xml:space="preserve">J2SI PAD </w:t>
      </w:r>
      <w:r w:rsidR="006C39CD" w:rsidRPr="00F1026D">
        <w:t xml:space="preserve">clients had better </w:t>
      </w:r>
      <w:r w:rsidR="00D139CB">
        <w:t xml:space="preserve">stable </w:t>
      </w:r>
      <w:r w:rsidR="006C39CD" w:rsidRPr="00F1026D">
        <w:t xml:space="preserve">housing outcomes at </w:t>
      </w:r>
      <w:r w:rsidR="008169C9" w:rsidRPr="00F1026D">
        <w:t>24</w:t>
      </w:r>
      <w:r w:rsidR="00727B42" w:rsidRPr="003C67D4">
        <w:t xml:space="preserve">, </w:t>
      </w:r>
      <w:r w:rsidR="008169C9" w:rsidRPr="00F1026D">
        <w:t xml:space="preserve">36 </w:t>
      </w:r>
      <w:r w:rsidR="00727B42" w:rsidRPr="003C67D4">
        <w:t xml:space="preserve">and 48 </w:t>
      </w:r>
      <w:r w:rsidR="008169C9" w:rsidRPr="00F1026D">
        <w:t xml:space="preserve">months compared to </w:t>
      </w:r>
      <w:r w:rsidR="009C7EFD" w:rsidRPr="00F1026D">
        <w:t xml:space="preserve">Phase 2 </w:t>
      </w:r>
      <w:r w:rsidR="008169C9" w:rsidRPr="00F1026D">
        <w:t>RCT clients</w:t>
      </w:r>
      <w:r w:rsidR="00690226">
        <w:t>.</w:t>
      </w:r>
      <w:r w:rsidR="00757644">
        <w:t xml:space="preserve"> </w:t>
      </w:r>
      <w:r w:rsidR="004070A3" w:rsidRPr="003C67D4">
        <w:t xml:space="preserve">As noted elsewhere, </w:t>
      </w:r>
      <w:r w:rsidR="00A90CD5" w:rsidRPr="003C67D4">
        <w:t>t</w:t>
      </w:r>
      <w:r w:rsidR="009A60D5" w:rsidRPr="008F682F">
        <w:t>he achievement</w:t>
      </w:r>
      <w:r w:rsidR="008C2D5A" w:rsidRPr="003C67D4">
        <w:t xml:space="preserve"> </w:t>
      </w:r>
      <w:r w:rsidR="009A60D5" w:rsidRPr="008F682F">
        <w:t>of high</w:t>
      </w:r>
      <w:r w:rsidR="004070A3" w:rsidRPr="003C67D4">
        <w:t>er</w:t>
      </w:r>
      <w:r w:rsidR="009A60D5" w:rsidRPr="008F682F">
        <w:t xml:space="preserve"> client outcomes </w:t>
      </w:r>
      <w:r w:rsidR="008C2D5A" w:rsidRPr="008F682F">
        <w:t>for J2SI PAD clients</w:t>
      </w:r>
      <w:r w:rsidR="00D825D3" w:rsidRPr="003C67D4">
        <w:t>, particularly for Cohort 3.3</w:t>
      </w:r>
      <w:r w:rsidR="008A4914">
        <w:t xml:space="preserve"> clients</w:t>
      </w:r>
      <w:r w:rsidR="00D825D3" w:rsidRPr="003C67D4">
        <w:t xml:space="preserve">, </w:t>
      </w:r>
      <w:r w:rsidR="008C2D5A" w:rsidRPr="008F682F">
        <w:t>is</w:t>
      </w:r>
      <w:r w:rsidR="00D825D3" w:rsidRPr="003C67D4">
        <w:t xml:space="preserve"> notable, given </w:t>
      </w:r>
      <w:r w:rsidR="008C4962">
        <w:t xml:space="preserve">the </w:t>
      </w:r>
      <w:r w:rsidR="005B0F58">
        <w:t>coinciding</w:t>
      </w:r>
      <w:r w:rsidR="004070A3" w:rsidRPr="003C67D4">
        <w:t xml:space="preserve"> </w:t>
      </w:r>
      <w:r w:rsidR="005E7090" w:rsidRPr="003C67D4">
        <w:t>cost of living pressures</w:t>
      </w:r>
      <w:r w:rsidR="008F682F">
        <w:t xml:space="preserve"> </w:t>
      </w:r>
      <w:r w:rsidR="005E7090" w:rsidRPr="003C67D4">
        <w:t>during their support period</w:t>
      </w:r>
      <w:r w:rsidR="008F682F">
        <w:t xml:space="preserve"> </w:t>
      </w:r>
      <w:r w:rsidR="00A90CD5" w:rsidRPr="008F682F">
        <w:t xml:space="preserve">(see page </w:t>
      </w:r>
      <w:r w:rsidR="00A90CD5" w:rsidRPr="008F682F">
        <w:fldChar w:fldCharType="begin"/>
      </w:r>
      <w:r w:rsidR="00A90CD5" w:rsidRPr="008F682F">
        <w:instrText xml:space="preserve"> PAGEREF _Ref150334010 \h </w:instrText>
      </w:r>
      <w:r w:rsidR="00A90CD5" w:rsidRPr="008F682F">
        <w:fldChar w:fldCharType="separate"/>
      </w:r>
      <w:r w:rsidR="005B05CA">
        <w:rPr>
          <w:noProof/>
        </w:rPr>
        <w:t>25</w:t>
      </w:r>
      <w:r w:rsidR="00A90CD5" w:rsidRPr="008F682F">
        <w:fldChar w:fldCharType="end"/>
      </w:r>
      <w:r w:rsidR="00A90CD5" w:rsidRPr="008F682F">
        <w:t>)</w:t>
      </w:r>
      <w:r w:rsidR="005E7090" w:rsidRPr="003C67D4">
        <w:t>.</w:t>
      </w:r>
      <w:r w:rsidR="00A90CD5" w:rsidRPr="008F682F">
        <w:t xml:space="preserve"> Cohort 3.3</w:t>
      </w:r>
      <w:r w:rsidR="008F682F">
        <w:t xml:space="preserve"> </w:t>
      </w:r>
      <w:r w:rsidR="006F389B" w:rsidRPr="008F682F">
        <w:t>outcomes</w:t>
      </w:r>
      <w:r w:rsidR="006C39CD" w:rsidRPr="008F682F">
        <w:t xml:space="preserve"> </w:t>
      </w:r>
      <w:r w:rsidR="00A90CD5" w:rsidRPr="008F682F">
        <w:t xml:space="preserve">were also likely </w:t>
      </w:r>
      <w:r w:rsidR="00D77435" w:rsidRPr="008F682F">
        <w:t>influenced by</w:t>
      </w:r>
      <w:r w:rsidR="00977AE1" w:rsidRPr="008F682F">
        <w:t xml:space="preserve"> </w:t>
      </w:r>
      <w:r w:rsidR="008F682F">
        <w:t>program</w:t>
      </w:r>
      <w:r w:rsidR="008F682F" w:rsidRPr="008F682F">
        <w:t xml:space="preserve"> </w:t>
      </w:r>
      <w:r w:rsidR="008F682F">
        <w:t xml:space="preserve">commencement </w:t>
      </w:r>
      <w:r w:rsidR="00325443" w:rsidRPr="008F682F">
        <w:t>in mid-2020 during</w:t>
      </w:r>
      <w:r w:rsidR="00C71576" w:rsidRPr="008F682F">
        <w:t xml:space="preserve"> </w:t>
      </w:r>
      <w:r w:rsidR="00B605CD" w:rsidRPr="008F682F">
        <w:t xml:space="preserve">the </w:t>
      </w:r>
      <w:r w:rsidR="00C71576" w:rsidRPr="008F682F">
        <w:t xml:space="preserve">COVID-19 pandemic, with </w:t>
      </w:r>
      <w:r w:rsidR="00F55286" w:rsidRPr="008F682F">
        <w:t xml:space="preserve">lockdowns and other pandemic response measures causing disruption for </w:t>
      </w:r>
      <w:r w:rsidR="00325443" w:rsidRPr="008F682F">
        <w:t xml:space="preserve">a significant proportion of their support period. </w:t>
      </w:r>
      <w:r w:rsidR="00D76C2A" w:rsidRPr="008F682F">
        <w:t xml:space="preserve">Notably, year </w:t>
      </w:r>
      <w:r w:rsidR="004F755E" w:rsidRPr="008F682F">
        <w:t>one</w:t>
      </w:r>
      <w:r w:rsidR="00D76C2A" w:rsidRPr="008F682F">
        <w:t xml:space="preserve"> of support for </w:t>
      </w:r>
      <w:r w:rsidR="0060726D" w:rsidRPr="008F682F">
        <w:t>C</w:t>
      </w:r>
      <w:r w:rsidR="00D76C2A" w:rsidRPr="008F682F">
        <w:t>ohort 3.3</w:t>
      </w:r>
      <w:r w:rsidR="000F6694" w:rsidRPr="008F682F">
        <w:t xml:space="preserve"> coincided with the</w:t>
      </w:r>
      <w:r w:rsidR="00541FA6" w:rsidRPr="008F682F">
        <w:t xml:space="preserve"> sudden shortfall in </w:t>
      </w:r>
      <w:r w:rsidR="00D76C2A" w:rsidRPr="008F682F">
        <w:t xml:space="preserve">available </w:t>
      </w:r>
      <w:r w:rsidR="00541FA6" w:rsidRPr="008F682F">
        <w:t xml:space="preserve">social housing due to the commencement of </w:t>
      </w:r>
      <w:r w:rsidR="00D76C2A" w:rsidRPr="008F682F">
        <w:t xml:space="preserve">the </w:t>
      </w:r>
      <w:r w:rsidR="00541FA6" w:rsidRPr="008F682F">
        <w:t>H2H</w:t>
      </w:r>
      <w:r w:rsidR="00D76C2A" w:rsidRPr="008F682F">
        <w:t xml:space="preserve"> program</w:t>
      </w:r>
      <w:r w:rsidR="000E178F" w:rsidRPr="008F682F">
        <w:t xml:space="preserve">. </w:t>
      </w:r>
      <w:r w:rsidR="00FF683C" w:rsidRPr="008F682F">
        <w:t>T</w:t>
      </w:r>
      <w:r w:rsidR="000E178F" w:rsidRPr="008F682F">
        <w:t>hese policy circumstances</w:t>
      </w:r>
      <w:r w:rsidR="00F91E48" w:rsidRPr="008F682F">
        <w:t xml:space="preserve"> likely presented further disruption to </w:t>
      </w:r>
      <w:r w:rsidR="0060726D" w:rsidRPr="008F682F">
        <w:t>C</w:t>
      </w:r>
      <w:r w:rsidR="00F91E48" w:rsidRPr="008F682F">
        <w:t xml:space="preserve">ohort 3.3 clients </w:t>
      </w:r>
      <w:r w:rsidR="000E178F" w:rsidRPr="008F682F">
        <w:t>while</w:t>
      </w:r>
      <w:r w:rsidR="00F91E48" w:rsidRPr="008F682F">
        <w:t xml:space="preserve"> </w:t>
      </w:r>
      <w:r w:rsidR="00CF200D" w:rsidRPr="008F682F">
        <w:t>additional head l</w:t>
      </w:r>
      <w:r w:rsidR="00780BC8" w:rsidRPr="008F682F">
        <w:t>eases were procured</w:t>
      </w:r>
      <w:r w:rsidR="00C134F2" w:rsidRPr="008F682F">
        <w:t>. This is</w:t>
      </w:r>
      <w:r w:rsidR="00FF683C" w:rsidRPr="008F682F">
        <w:t xml:space="preserve"> particularly</w:t>
      </w:r>
      <w:r w:rsidR="00C134F2" w:rsidRPr="008F682F">
        <w:t xml:space="preserve"> relevant</w:t>
      </w:r>
      <w:r w:rsidR="00FF683C" w:rsidRPr="008F682F">
        <w:t xml:space="preserve"> </w:t>
      </w:r>
      <w:r w:rsidR="00E412E1" w:rsidRPr="008F682F">
        <w:t>g</w:t>
      </w:r>
      <w:r w:rsidR="00FF683C" w:rsidRPr="008F682F">
        <w:t xml:space="preserve">iven the importance of the first year of support to achieving housing, health and wellbeing outcomes, which </w:t>
      </w:r>
      <w:r w:rsidR="00E412E1" w:rsidRPr="008F682F">
        <w:t>were consistently seen as</w:t>
      </w:r>
      <w:r w:rsidR="00FF683C" w:rsidRPr="008F682F">
        <w:t xml:space="preserve"> foundational to achieving broader client goals</w:t>
      </w:r>
      <w:r w:rsidR="00541FA6" w:rsidRPr="008F682F">
        <w:t xml:space="preserve">. </w:t>
      </w:r>
      <w:r w:rsidR="00325443" w:rsidRPr="008F682F">
        <w:t xml:space="preserve">As noted in other SHM documentation, </w:t>
      </w:r>
      <w:r w:rsidR="001A1981" w:rsidRPr="008F682F">
        <w:t xml:space="preserve">although </w:t>
      </w:r>
      <w:r w:rsidR="00E81455" w:rsidRPr="008F682F">
        <w:t xml:space="preserve">case worker support was able to continue throughout the pandemic, </w:t>
      </w:r>
      <w:r w:rsidR="00076DDF" w:rsidRPr="008F682F">
        <w:t xml:space="preserve">clients’ ability to </w:t>
      </w:r>
      <w:r w:rsidR="0091446B" w:rsidRPr="008F682F">
        <w:t>work towards broader social inclusion and economic participation</w:t>
      </w:r>
      <w:r w:rsidR="000C737F" w:rsidRPr="008F682F">
        <w:t xml:space="preserve"> was </w:t>
      </w:r>
      <w:r w:rsidR="00D17052" w:rsidRPr="008F682F">
        <w:t xml:space="preserve">also </w:t>
      </w:r>
      <w:r w:rsidR="000C737F" w:rsidRPr="008F682F">
        <w:t>likely impacted</w:t>
      </w:r>
      <w:r w:rsidR="000E178F" w:rsidRPr="008F682F">
        <w:t xml:space="preserve"> by</w:t>
      </w:r>
      <w:r w:rsidR="000E178F">
        <w:t xml:space="preserve"> pandemic response measures</w:t>
      </w:r>
      <w:r w:rsidR="00DE591E">
        <w:t xml:space="preserve">, which may have </w:t>
      </w:r>
      <w:r w:rsidR="00D17052">
        <w:t xml:space="preserve">further </w:t>
      </w:r>
      <w:r w:rsidR="00DE591E">
        <w:t>impacted their broader wellbeing</w:t>
      </w:r>
      <w:r w:rsidR="00D17052">
        <w:t xml:space="preserve"> and outcomes</w:t>
      </w:r>
      <w:r w:rsidR="0091446B">
        <w:t>.</w:t>
      </w:r>
      <w:r w:rsidR="00272B50">
        <w:rPr>
          <w:rFonts w:ascii="ZWAdobeF" w:hAnsi="ZWAdobeF" w:cs="ZWAdobeF"/>
          <w:color w:val="auto"/>
          <w:sz w:val="2"/>
          <w:szCs w:val="2"/>
        </w:rPr>
        <w:t>24F</w:t>
      </w:r>
      <w:r w:rsidR="00125CA2">
        <w:rPr>
          <w:rFonts w:ascii="ZWAdobeF" w:hAnsi="ZWAdobeF" w:cs="ZWAdobeF"/>
          <w:color w:val="auto"/>
          <w:sz w:val="2"/>
          <w:szCs w:val="2"/>
        </w:rPr>
        <w:t>24F</w:t>
      </w:r>
      <w:r w:rsidR="00D17052">
        <w:rPr>
          <w:rStyle w:val="FootnoteReference"/>
        </w:rPr>
        <w:footnoteReference w:id="43"/>
      </w:r>
      <w:r w:rsidR="0091446B">
        <w:t xml:space="preserve"> </w:t>
      </w:r>
      <w:r w:rsidR="00E81455">
        <w:t xml:space="preserve"> </w:t>
      </w:r>
      <w:r>
        <w:t xml:space="preserve"> </w:t>
      </w:r>
    </w:p>
    <w:p w14:paraId="0E73F140" w14:textId="42A8C6C4" w:rsidR="00657A30" w:rsidRDefault="008F682F" w:rsidP="0047474B">
      <w:pPr>
        <w:pStyle w:val="BodyText"/>
        <w:keepLines/>
        <w:spacing w:before="60"/>
      </w:pPr>
      <w:r>
        <w:t xml:space="preserve">Stronger </w:t>
      </w:r>
      <w:r w:rsidRPr="00F1026D">
        <w:t xml:space="preserve">client outcomes </w:t>
      </w:r>
      <w:r w:rsidR="00AA7D60">
        <w:t xml:space="preserve">under the J2SI PAD </w:t>
      </w:r>
      <w:r w:rsidR="00657A30">
        <w:t>suggest that the supporting features associated with the PAD (head lea</w:t>
      </w:r>
      <w:r w:rsidR="000F6544">
        <w:t>s</w:t>
      </w:r>
      <w:r w:rsidR="00657A30">
        <w:t>ing, financial penalties and priority access, cross-agency collaboration and payable outcomes) may have helped to strengthen client outcome</w:t>
      </w:r>
      <w:r w:rsidR="00657A30" w:rsidRPr="008F682F">
        <w:t xml:space="preserve">s. </w:t>
      </w:r>
      <w:r w:rsidR="00657A30">
        <w:t xml:space="preserve">The value these features bring to the J2SI program is further demonstrated when considering that these elements (apart from the payable outcomes) have been incorporated into the </w:t>
      </w:r>
      <w:r w:rsidR="00282C65">
        <w:t>PbR</w:t>
      </w:r>
      <w:r w:rsidR="00657A30">
        <w:t xml:space="preserve">. </w:t>
      </w:r>
    </w:p>
    <w:p w14:paraId="6C6E27E8" w14:textId="78B5AAD8" w:rsidR="0094507F" w:rsidRPr="0029554B" w:rsidRDefault="0094507F" w:rsidP="00134FF5">
      <w:pPr>
        <w:pStyle w:val="Caption"/>
      </w:pPr>
      <w:bookmarkStart w:id="88" w:name="_Ref149131077"/>
      <w:bookmarkStart w:id="89" w:name="_Toc174547312"/>
      <w:r w:rsidRPr="00D31462">
        <w:t xml:space="preserve">Table </w:t>
      </w:r>
      <w:r w:rsidRPr="00D31462">
        <w:fldChar w:fldCharType="begin"/>
      </w:r>
      <w:r w:rsidRPr="00E20FC5">
        <w:instrText xml:space="preserve"> SEQ Table \* ARABIC </w:instrText>
      </w:r>
      <w:r w:rsidRPr="00D31462">
        <w:fldChar w:fldCharType="separate"/>
      </w:r>
      <w:r w:rsidR="005B05CA">
        <w:rPr>
          <w:noProof/>
        </w:rPr>
        <w:t>11</w:t>
      </w:r>
      <w:r w:rsidRPr="00D31462">
        <w:fldChar w:fldCharType="end"/>
      </w:r>
      <w:bookmarkEnd w:id="88"/>
      <w:r w:rsidRPr="00D31462">
        <w:t xml:space="preserve">: </w:t>
      </w:r>
      <w:r w:rsidR="004208C9" w:rsidRPr="00D31462">
        <w:t xml:space="preserve">J2SI </w:t>
      </w:r>
      <w:r w:rsidRPr="0029554B">
        <w:t>PAD</w:t>
      </w:r>
      <w:r w:rsidR="004208C9" w:rsidRPr="0029554B">
        <w:t xml:space="preserve"> compared to the J2SI </w:t>
      </w:r>
      <w:r w:rsidR="009C7EFD">
        <w:t xml:space="preserve">Phase 2 </w:t>
      </w:r>
      <w:r w:rsidR="004208C9" w:rsidRPr="0029554B">
        <w:t>RCT</w:t>
      </w:r>
      <w:r w:rsidR="00A52ADD" w:rsidRPr="0029554B">
        <w:t xml:space="preserve"> </w:t>
      </w:r>
      <w:r w:rsidR="004B3DD6" w:rsidRPr="0029554B">
        <w:t>(</w:t>
      </w:r>
      <w:r w:rsidR="007B4D3B">
        <w:t>s</w:t>
      </w:r>
      <w:r w:rsidR="004B3DD6" w:rsidRPr="00520FAD">
        <w:t>ee</w:t>
      </w:r>
      <w:r w:rsidR="004B3DD6" w:rsidRPr="0029554B">
        <w:t xml:space="preserve"> interpretation note below)</w:t>
      </w:r>
      <w:bookmarkEnd w:id="89"/>
    </w:p>
    <w:tbl>
      <w:tblPr>
        <w:tblStyle w:val="KPMGTable"/>
        <w:tblW w:w="0" w:type="auto"/>
        <w:tblLook w:val="04A0" w:firstRow="1" w:lastRow="0" w:firstColumn="1" w:lastColumn="0" w:noHBand="0" w:noVBand="1"/>
      </w:tblPr>
      <w:tblGrid>
        <w:gridCol w:w="1985"/>
        <w:gridCol w:w="1618"/>
        <w:gridCol w:w="3187"/>
        <w:gridCol w:w="3049"/>
      </w:tblGrid>
      <w:tr w:rsidR="004208C9" w14:paraId="64DF117E" w14:textId="5859ED94" w:rsidTr="007C7C9E">
        <w:trPr>
          <w:cnfStyle w:val="100000000000" w:firstRow="1" w:lastRow="0" w:firstColumn="0" w:lastColumn="0" w:oddVBand="0" w:evenVBand="0" w:oddHBand="0" w:evenHBand="0" w:firstRowFirstColumn="0" w:firstRowLastColumn="0" w:lastRowFirstColumn="0" w:lastRowLastColumn="0"/>
          <w:trHeight w:val="309"/>
          <w:tblHeader/>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tcPr>
          <w:p w14:paraId="58FDD110" w14:textId="4E15D330" w:rsidR="004208C9" w:rsidRPr="00D05BFB" w:rsidRDefault="004208C9" w:rsidP="00515B04">
            <w:pPr>
              <w:pStyle w:val="TableHeading"/>
            </w:pPr>
            <w:r w:rsidRPr="00D05BFB">
              <w:t>Outcome measure</w:t>
            </w:r>
          </w:p>
        </w:tc>
        <w:tc>
          <w:tcPr>
            <w:tcW w:w="1618" w:type="dxa"/>
            <w:shd w:val="clear" w:color="auto" w:fill="auto"/>
          </w:tcPr>
          <w:p w14:paraId="1C4A2E4D" w14:textId="6674D7E8" w:rsidR="004208C9" w:rsidRPr="00D05BFB" w:rsidRDefault="004208C9" w:rsidP="007C7C9E">
            <w:pPr>
              <w:pStyle w:val="TableHeading"/>
              <w:jc w:val="center"/>
              <w:cnfStyle w:val="100000000000" w:firstRow="1" w:lastRow="0" w:firstColumn="0" w:lastColumn="0" w:oddVBand="0" w:evenVBand="0" w:oddHBand="0" w:evenHBand="0" w:firstRowFirstColumn="0" w:firstRowLastColumn="0" w:lastRowFirstColumn="0" w:lastRowLastColumn="0"/>
            </w:pPr>
            <w:r w:rsidRPr="00D05BFB">
              <w:t>Time</w:t>
            </w:r>
          </w:p>
        </w:tc>
        <w:tc>
          <w:tcPr>
            <w:tcW w:w="3187" w:type="dxa"/>
            <w:shd w:val="clear" w:color="auto" w:fill="auto"/>
          </w:tcPr>
          <w:p w14:paraId="68B7FB1F" w14:textId="012381B6" w:rsidR="004208C9" w:rsidRPr="00D05BFB" w:rsidRDefault="004208C9" w:rsidP="003C67D4">
            <w:pPr>
              <w:pStyle w:val="TableHeading"/>
              <w:jc w:val="center"/>
              <w:cnfStyle w:val="100000000000" w:firstRow="1" w:lastRow="0" w:firstColumn="0" w:lastColumn="0" w:oddVBand="0" w:evenVBand="0" w:oddHBand="0" w:evenHBand="0" w:firstRowFirstColumn="0" w:firstRowLastColumn="0" w:lastRowFirstColumn="0" w:lastRowLastColumn="0"/>
            </w:pPr>
            <w:r w:rsidRPr="00D05BFB">
              <w:t xml:space="preserve">J2SI </w:t>
            </w:r>
            <w:r w:rsidR="009C7EFD">
              <w:t xml:space="preserve">Phase 2 </w:t>
            </w:r>
            <w:r w:rsidRPr="00D05BFB">
              <w:t>RCT</w:t>
            </w:r>
          </w:p>
        </w:tc>
        <w:tc>
          <w:tcPr>
            <w:tcW w:w="3049" w:type="dxa"/>
            <w:shd w:val="clear" w:color="auto" w:fill="auto"/>
          </w:tcPr>
          <w:p w14:paraId="0CFC31D7" w14:textId="23992D15" w:rsidR="004208C9" w:rsidRPr="00D05BFB" w:rsidRDefault="004208C9" w:rsidP="003C67D4">
            <w:pPr>
              <w:pStyle w:val="TableHeading"/>
              <w:jc w:val="center"/>
              <w:cnfStyle w:val="100000000000" w:firstRow="1" w:lastRow="0" w:firstColumn="0" w:lastColumn="0" w:oddVBand="0" w:evenVBand="0" w:oddHBand="0" w:evenHBand="0" w:firstRowFirstColumn="0" w:firstRowLastColumn="0" w:lastRowFirstColumn="0" w:lastRowLastColumn="0"/>
            </w:pPr>
            <w:r w:rsidRPr="00D05BFB">
              <w:t>J2SI PAD</w:t>
            </w:r>
          </w:p>
        </w:tc>
      </w:tr>
      <w:tr w:rsidR="00F01861" w14:paraId="330C7628" w14:textId="2AE40544" w:rsidTr="007C7C9E">
        <w:trPr>
          <w:trHeight w:val="778"/>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CAF0097" w14:textId="5663005D" w:rsidR="00F01861" w:rsidRPr="00D05BFB" w:rsidRDefault="00F01861" w:rsidP="00F81A3C">
            <w:pPr>
              <w:rPr>
                <w:rFonts w:eastAsia="Times New Roman" w:cs="@Batang"/>
                <w:color w:val="auto"/>
                <w:sz w:val="18"/>
                <w:szCs w:val="20"/>
              </w:rPr>
            </w:pPr>
            <w:r w:rsidRPr="00D05BFB">
              <w:rPr>
                <w:rFonts w:eastAsia="Times New Roman" w:cs="@Batang"/>
                <w:color w:val="auto"/>
                <w:sz w:val="18"/>
                <w:szCs w:val="20"/>
              </w:rPr>
              <w:t>Hospital bed days (</w:t>
            </w:r>
            <w:r>
              <w:rPr>
                <w:rFonts w:eastAsia="Times New Roman" w:cs="@Batang"/>
                <w:color w:val="auto"/>
                <w:sz w:val="18"/>
                <w:szCs w:val="20"/>
              </w:rPr>
              <w:t xml:space="preserve">reduction in </w:t>
            </w:r>
            <w:r w:rsidRPr="00D05BFB">
              <w:rPr>
                <w:rFonts w:eastAsia="Times New Roman" w:cs="@Batang"/>
                <w:color w:val="auto"/>
                <w:sz w:val="18"/>
                <w:szCs w:val="20"/>
              </w:rPr>
              <w:t>average number compared to the control)</w:t>
            </w:r>
          </w:p>
        </w:tc>
        <w:tc>
          <w:tcPr>
            <w:tcW w:w="1618" w:type="dxa"/>
            <w:vAlign w:val="center"/>
          </w:tcPr>
          <w:p w14:paraId="40B67753" w14:textId="29B2E94B" w:rsidR="00F01861" w:rsidRPr="00D05BFB" w:rsidRDefault="00F01861" w:rsidP="00F81A3C">
            <w:pPr>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D05BFB">
              <w:rPr>
                <w:rFonts w:eastAsia="Times New Roman" w:cs="@Batang"/>
                <w:color w:val="auto"/>
                <w:sz w:val="18"/>
                <w:szCs w:val="20"/>
              </w:rPr>
              <w:t>24 months</w:t>
            </w:r>
          </w:p>
        </w:tc>
        <w:tc>
          <w:tcPr>
            <w:tcW w:w="3187" w:type="dxa"/>
            <w:vAlign w:val="center"/>
          </w:tcPr>
          <w:p w14:paraId="67BC988F" w14:textId="4E63B3B3" w:rsidR="00F01861" w:rsidRPr="00D05BFB" w:rsidRDefault="00F01861" w:rsidP="00802138">
            <w:pPr>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D05BFB">
              <w:rPr>
                <w:rFonts w:eastAsia="Times New Roman" w:cs="@Batang"/>
                <w:color w:val="auto"/>
                <w:sz w:val="18"/>
                <w:szCs w:val="20"/>
              </w:rPr>
              <w:t>15% reduction excl. outlier</w:t>
            </w:r>
          </w:p>
        </w:tc>
        <w:tc>
          <w:tcPr>
            <w:tcW w:w="3049" w:type="dxa"/>
            <w:vAlign w:val="center"/>
          </w:tcPr>
          <w:p w14:paraId="194C3178" w14:textId="5E4CF6D5" w:rsidR="00F01861" w:rsidRPr="00D05BFB"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D05BFB">
              <w:rPr>
                <w:rFonts w:eastAsia="Times New Roman" w:cs="@Batang"/>
                <w:color w:val="auto"/>
                <w:sz w:val="18"/>
                <w:szCs w:val="20"/>
              </w:rPr>
              <w:t>6</w:t>
            </w:r>
            <w:r>
              <w:rPr>
                <w:rFonts w:eastAsia="Times New Roman" w:cs="@Batang"/>
                <w:color w:val="auto"/>
                <w:sz w:val="18"/>
                <w:szCs w:val="20"/>
              </w:rPr>
              <w:t>1</w:t>
            </w:r>
            <w:r w:rsidRPr="00D05BFB">
              <w:rPr>
                <w:rFonts w:eastAsia="Times New Roman" w:cs="@Batang"/>
                <w:color w:val="auto"/>
                <w:sz w:val="18"/>
                <w:szCs w:val="20"/>
              </w:rPr>
              <w:t>.</w:t>
            </w:r>
            <w:r>
              <w:rPr>
                <w:rFonts w:eastAsia="Times New Roman" w:cs="@Batang"/>
                <w:color w:val="auto"/>
                <w:sz w:val="18"/>
                <w:szCs w:val="20"/>
              </w:rPr>
              <w:t>74</w:t>
            </w:r>
            <w:r w:rsidRPr="00D05BFB">
              <w:rPr>
                <w:rFonts w:eastAsia="Times New Roman" w:cs="@Batang"/>
                <w:color w:val="auto"/>
                <w:sz w:val="18"/>
                <w:szCs w:val="20"/>
              </w:rPr>
              <w:t>% reduction (3.1)</w:t>
            </w:r>
          </w:p>
          <w:p w14:paraId="724A2CF8" w14:textId="0998ADC1" w:rsidR="00F01861" w:rsidRPr="00D05BFB"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D05BFB">
              <w:rPr>
                <w:rFonts w:eastAsia="Times New Roman" w:cs="@Batang"/>
                <w:color w:val="auto"/>
                <w:sz w:val="18"/>
                <w:szCs w:val="20"/>
              </w:rPr>
              <w:t>5</w:t>
            </w:r>
            <w:r>
              <w:rPr>
                <w:rFonts w:eastAsia="Times New Roman" w:cs="@Batang"/>
                <w:color w:val="auto"/>
                <w:sz w:val="18"/>
                <w:szCs w:val="20"/>
              </w:rPr>
              <w:t>2</w:t>
            </w:r>
            <w:r w:rsidRPr="00D05BFB">
              <w:rPr>
                <w:rFonts w:eastAsia="Times New Roman" w:cs="@Batang"/>
                <w:color w:val="auto"/>
                <w:sz w:val="18"/>
                <w:szCs w:val="20"/>
              </w:rPr>
              <w:t>.</w:t>
            </w:r>
            <w:r>
              <w:rPr>
                <w:rFonts w:eastAsia="Times New Roman" w:cs="@Batang"/>
                <w:color w:val="auto"/>
                <w:sz w:val="18"/>
                <w:szCs w:val="20"/>
              </w:rPr>
              <w:t>58</w:t>
            </w:r>
            <w:r w:rsidRPr="00D05BFB">
              <w:rPr>
                <w:rFonts w:eastAsia="Times New Roman" w:cs="@Batang"/>
                <w:color w:val="auto"/>
                <w:sz w:val="18"/>
                <w:szCs w:val="20"/>
              </w:rPr>
              <w:t>% reduction (3.2)</w:t>
            </w:r>
          </w:p>
          <w:p w14:paraId="08AAC91D" w14:textId="0CC96067" w:rsidR="00F01861" w:rsidRPr="00D05BFB"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D05BFB">
              <w:rPr>
                <w:rFonts w:eastAsia="Times New Roman" w:cs="@Batang"/>
                <w:color w:val="auto"/>
                <w:sz w:val="18"/>
                <w:szCs w:val="20"/>
              </w:rPr>
              <w:t>72.75% reduction (3.3)</w:t>
            </w:r>
          </w:p>
        </w:tc>
      </w:tr>
      <w:tr w:rsidR="00F01861" w14:paraId="7FDEA328" w14:textId="77777777" w:rsidTr="007C7C9E">
        <w:trPr>
          <w:trHeight w:val="575"/>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B7C5148" w14:textId="15315125" w:rsidR="00F01861" w:rsidRDefault="00F01861" w:rsidP="00F81A3C">
            <w:pPr>
              <w:rPr>
                <w:rFonts w:eastAsia="Times New Roman" w:cs="@Batang"/>
                <w:sz w:val="18"/>
                <w:szCs w:val="20"/>
              </w:rPr>
            </w:pPr>
            <w:r>
              <w:rPr>
                <w:rFonts w:eastAsia="Times New Roman" w:cs="@Batang"/>
                <w:sz w:val="18"/>
                <w:szCs w:val="20"/>
              </w:rPr>
              <w:t>As above</w:t>
            </w:r>
          </w:p>
        </w:tc>
        <w:tc>
          <w:tcPr>
            <w:tcW w:w="1618" w:type="dxa"/>
            <w:vAlign w:val="center"/>
          </w:tcPr>
          <w:p w14:paraId="3B46DFB1" w14:textId="3B0DCD18" w:rsidR="00F01861" w:rsidRPr="0074420A" w:rsidRDefault="00F01861" w:rsidP="00F81A3C">
            <w:pPr>
              <w:jc w:val="center"/>
              <w:cnfStyle w:val="000000000000" w:firstRow="0" w:lastRow="0" w:firstColumn="0" w:lastColumn="0" w:oddVBand="0" w:evenVBand="0" w:oddHBand="0" w:evenHBand="0" w:firstRowFirstColumn="0" w:firstRowLastColumn="0" w:lastRowFirstColumn="0" w:lastRowLastColumn="0"/>
              <w:rPr>
                <w:rFonts w:eastAsia="Times New Roman" w:cs="@Batang"/>
                <w:sz w:val="18"/>
                <w:szCs w:val="20"/>
              </w:rPr>
            </w:pPr>
            <w:r>
              <w:rPr>
                <w:rFonts w:eastAsia="Times New Roman" w:cs="@Batang"/>
                <w:sz w:val="18"/>
                <w:szCs w:val="20"/>
              </w:rPr>
              <w:t>36 months</w:t>
            </w:r>
          </w:p>
        </w:tc>
        <w:tc>
          <w:tcPr>
            <w:tcW w:w="3187" w:type="dxa"/>
            <w:vAlign w:val="center"/>
          </w:tcPr>
          <w:p w14:paraId="29006D68" w14:textId="2145C1DE" w:rsidR="00F01861" w:rsidRPr="0074420A" w:rsidRDefault="00F01861" w:rsidP="00802138">
            <w:pPr>
              <w:jc w:val="center"/>
              <w:cnfStyle w:val="000000000000" w:firstRow="0" w:lastRow="0" w:firstColumn="0" w:lastColumn="0" w:oddVBand="0" w:evenVBand="0" w:oddHBand="0" w:evenHBand="0" w:firstRowFirstColumn="0" w:firstRowLastColumn="0" w:lastRowFirstColumn="0" w:lastRowLastColumn="0"/>
              <w:rPr>
                <w:rFonts w:eastAsia="Times New Roman" w:cs="@Batang"/>
                <w:sz w:val="18"/>
                <w:szCs w:val="20"/>
              </w:rPr>
            </w:pPr>
            <w:r w:rsidRPr="00802138">
              <w:rPr>
                <w:rFonts w:eastAsia="Times New Roman" w:cs="@Batang"/>
                <w:sz w:val="18"/>
                <w:szCs w:val="20"/>
              </w:rPr>
              <w:t>26% reduction excl. outlier</w:t>
            </w:r>
          </w:p>
        </w:tc>
        <w:tc>
          <w:tcPr>
            <w:tcW w:w="3049" w:type="dxa"/>
            <w:vAlign w:val="center"/>
          </w:tcPr>
          <w:p w14:paraId="76EBA2CF" w14:textId="414E766B" w:rsidR="00F01861" w:rsidRPr="007C7C9E"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53.22% reduction (3.1)</w:t>
            </w:r>
          </w:p>
          <w:p w14:paraId="7EE11291" w14:textId="77777777" w:rsidR="00F01861" w:rsidRPr="007C7C9E"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74.54% reduction (3.2)</w:t>
            </w:r>
          </w:p>
          <w:p w14:paraId="1071FC09" w14:textId="1C76FCEB" w:rsidR="00F01861" w:rsidRPr="007C7C9E"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43.85% reduction (3.3)</w:t>
            </w:r>
          </w:p>
        </w:tc>
      </w:tr>
      <w:tr w:rsidR="00F01861" w14:paraId="38FB6517" w14:textId="77777777" w:rsidTr="007C7C9E">
        <w:trPr>
          <w:trHeight w:val="568"/>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5A404607" w14:textId="317CD38D" w:rsidR="00F01861" w:rsidRDefault="00F01861" w:rsidP="00F81A3C">
            <w:pPr>
              <w:rPr>
                <w:rFonts w:eastAsia="Times New Roman" w:cs="@Batang"/>
                <w:sz w:val="18"/>
                <w:szCs w:val="20"/>
              </w:rPr>
            </w:pPr>
            <w:r>
              <w:rPr>
                <w:rFonts w:eastAsia="Times New Roman" w:cs="@Batang"/>
                <w:sz w:val="18"/>
                <w:szCs w:val="20"/>
              </w:rPr>
              <w:lastRenderedPageBreak/>
              <w:t>As above</w:t>
            </w:r>
          </w:p>
        </w:tc>
        <w:tc>
          <w:tcPr>
            <w:tcW w:w="1618" w:type="dxa"/>
            <w:vAlign w:val="center"/>
          </w:tcPr>
          <w:p w14:paraId="6ECB4FE2" w14:textId="37BEFBB6" w:rsidR="00F01861" w:rsidRPr="0074420A" w:rsidRDefault="00F01861" w:rsidP="00F81A3C">
            <w:pPr>
              <w:jc w:val="center"/>
              <w:cnfStyle w:val="000000000000" w:firstRow="0" w:lastRow="0" w:firstColumn="0" w:lastColumn="0" w:oddVBand="0" w:evenVBand="0" w:oddHBand="0" w:evenHBand="0" w:firstRowFirstColumn="0" w:firstRowLastColumn="0" w:lastRowFirstColumn="0" w:lastRowLastColumn="0"/>
              <w:rPr>
                <w:rFonts w:eastAsia="Times New Roman" w:cs="@Batang"/>
                <w:sz w:val="18"/>
                <w:szCs w:val="20"/>
              </w:rPr>
            </w:pPr>
            <w:r>
              <w:rPr>
                <w:rFonts w:eastAsia="Times New Roman" w:cs="@Batang"/>
                <w:sz w:val="18"/>
                <w:szCs w:val="20"/>
              </w:rPr>
              <w:t>48 months</w:t>
            </w:r>
          </w:p>
        </w:tc>
        <w:tc>
          <w:tcPr>
            <w:tcW w:w="3187" w:type="dxa"/>
            <w:vAlign w:val="center"/>
          </w:tcPr>
          <w:p w14:paraId="08C48D09" w14:textId="7A21AE46" w:rsidR="00F01861" w:rsidRPr="0074420A" w:rsidRDefault="00F01861" w:rsidP="00802138">
            <w:pPr>
              <w:jc w:val="center"/>
              <w:cnfStyle w:val="000000000000" w:firstRow="0" w:lastRow="0" w:firstColumn="0" w:lastColumn="0" w:oddVBand="0" w:evenVBand="0" w:oddHBand="0" w:evenHBand="0" w:firstRowFirstColumn="0" w:firstRowLastColumn="0" w:lastRowFirstColumn="0" w:lastRowLastColumn="0"/>
              <w:rPr>
                <w:rFonts w:eastAsia="Times New Roman" w:cs="@Batang"/>
                <w:sz w:val="18"/>
                <w:szCs w:val="20"/>
              </w:rPr>
            </w:pPr>
            <w:r>
              <w:rPr>
                <w:rFonts w:eastAsia="Times New Roman" w:cs="@Batang"/>
                <w:sz w:val="18"/>
                <w:szCs w:val="20"/>
              </w:rPr>
              <w:t>48% reduction excl. outlier</w:t>
            </w:r>
          </w:p>
        </w:tc>
        <w:tc>
          <w:tcPr>
            <w:tcW w:w="3049" w:type="dxa"/>
            <w:vAlign w:val="center"/>
          </w:tcPr>
          <w:p w14:paraId="386330E8" w14:textId="77777777" w:rsidR="00F01861" w:rsidRPr="007C7C9E"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46.94% reduction (3.1)</w:t>
            </w:r>
          </w:p>
          <w:p w14:paraId="77635687" w14:textId="2507F224" w:rsidR="00F01861" w:rsidRPr="007C7C9E" w:rsidRDefault="00F01861"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60.35% reduction (3.2)</w:t>
            </w:r>
          </w:p>
        </w:tc>
      </w:tr>
      <w:tr w:rsidR="00802138" w14:paraId="15A63C6B" w14:textId="49440B6F" w:rsidTr="007C7C9E">
        <w:trPr>
          <w:trHeight w:val="79"/>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001DAF8E" w14:textId="6633BB9C" w:rsidR="00802138" w:rsidRPr="0074420A" w:rsidRDefault="00802138" w:rsidP="007C7C9E">
            <w:pPr>
              <w:rPr>
                <w:rFonts w:eastAsia="Times New Roman" w:cs="@Batang"/>
                <w:sz w:val="18"/>
                <w:szCs w:val="20"/>
              </w:rPr>
            </w:pPr>
            <w:r>
              <w:rPr>
                <w:rFonts w:eastAsia="Times New Roman" w:cs="@Batang"/>
                <w:sz w:val="18"/>
                <w:szCs w:val="20"/>
              </w:rPr>
              <w:t xml:space="preserve">Stable housing </w:t>
            </w:r>
            <w:r w:rsidR="007C7C9E">
              <w:rPr>
                <w:rFonts w:eastAsia="Times New Roman" w:cs="@Batang"/>
                <w:sz w:val="18"/>
                <w:szCs w:val="20"/>
              </w:rPr>
              <w:br/>
            </w:r>
            <w:r>
              <w:rPr>
                <w:rFonts w:eastAsia="Times New Roman" w:cs="@Batang"/>
                <w:sz w:val="18"/>
                <w:szCs w:val="20"/>
              </w:rPr>
              <w:t xml:space="preserve">(% in stable housing) </w:t>
            </w:r>
          </w:p>
        </w:tc>
        <w:tc>
          <w:tcPr>
            <w:tcW w:w="1618" w:type="dxa"/>
            <w:vAlign w:val="center"/>
          </w:tcPr>
          <w:p w14:paraId="0DE497F5" w14:textId="4902645D" w:rsidR="00802138" w:rsidRPr="0074420A" w:rsidRDefault="00802138" w:rsidP="00802138">
            <w:pPr>
              <w:jc w:val="center"/>
              <w:cnfStyle w:val="000000000000" w:firstRow="0" w:lastRow="0" w:firstColumn="0" w:lastColumn="0" w:oddVBand="0" w:evenVBand="0" w:oddHBand="0" w:evenHBand="0" w:firstRowFirstColumn="0" w:firstRowLastColumn="0" w:lastRowFirstColumn="0" w:lastRowLastColumn="0"/>
              <w:rPr>
                <w:rStyle w:val="contentpasted2"/>
                <w:rFonts w:eastAsia="Times New Roman" w:cs="@Batang"/>
                <w:sz w:val="18"/>
                <w:szCs w:val="20"/>
                <w:shd w:val="clear" w:color="auto" w:fill="FFFFFF"/>
              </w:rPr>
            </w:pPr>
            <w:r>
              <w:rPr>
                <w:rFonts w:eastAsia="Times New Roman" w:cs="@Batang"/>
                <w:sz w:val="18"/>
                <w:szCs w:val="20"/>
              </w:rPr>
              <w:t>24 months</w:t>
            </w:r>
          </w:p>
        </w:tc>
        <w:tc>
          <w:tcPr>
            <w:tcW w:w="3187" w:type="dxa"/>
            <w:vAlign w:val="center"/>
          </w:tcPr>
          <w:p w14:paraId="05A12C9D" w14:textId="670CB369" w:rsidR="00802138" w:rsidRPr="00802138" w:rsidRDefault="00802138" w:rsidP="00802138">
            <w:pPr>
              <w:jc w:val="center"/>
              <w:cnfStyle w:val="000000000000" w:firstRow="0" w:lastRow="0" w:firstColumn="0" w:lastColumn="0" w:oddVBand="0" w:evenVBand="0" w:oddHBand="0" w:evenHBand="0" w:firstRowFirstColumn="0" w:firstRowLastColumn="0" w:lastRowFirstColumn="0" w:lastRowLastColumn="0"/>
              <w:rPr>
                <w:rStyle w:val="contentpasted2"/>
                <w:rFonts w:eastAsia="Times New Roman" w:cs="@Batang"/>
                <w:sz w:val="18"/>
                <w:szCs w:val="18"/>
                <w:shd w:val="clear" w:color="auto" w:fill="FFFFFF"/>
              </w:rPr>
            </w:pPr>
            <w:r w:rsidRPr="00802138">
              <w:rPr>
                <w:sz w:val="18"/>
                <w:szCs w:val="18"/>
              </w:rPr>
              <w:t>66%</w:t>
            </w:r>
            <w:r w:rsidR="00CE4A79">
              <w:rPr>
                <w:sz w:val="18"/>
                <w:szCs w:val="18"/>
              </w:rPr>
              <w:t xml:space="preserve"> in stable housing</w:t>
            </w:r>
          </w:p>
        </w:tc>
        <w:tc>
          <w:tcPr>
            <w:tcW w:w="3049" w:type="dxa"/>
            <w:vAlign w:val="center"/>
          </w:tcPr>
          <w:p w14:paraId="2D84680B" w14:textId="7927B79A" w:rsidR="00802138" w:rsidRPr="007C7C9E" w:rsidRDefault="00802138"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92.</w:t>
            </w:r>
            <w:r w:rsidR="005046BE" w:rsidRPr="007C7C9E">
              <w:rPr>
                <w:rFonts w:eastAsia="Times New Roman" w:cs="@Batang"/>
                <w:color w:val="auto"/>
                <w:sz w:val="18"/>
                <w:szCs w:val="20"/>
              </w:rPr>
              <w:t>86</w:t>
            </w:r>
            <w:r w:rsidRPr="007C7C9E">
              <w:rPr>
                <w:rFonts w:eastAsia="Times New Roman" w:cs="@Batang"/>
                <w:color w:val="auto"/>
                <w:sz w:val="18"/>
                <w:szCs w:val="20"/>
              </w:rPr>
              <w:t xml:space="preserve">% </w:t>
            </w:r>
            <w:r w:rsidR="00CE4A79" w:rsidRPr="007C7C9E">
              <w:rPr>
                <w:rFonts w:eastAsia="Times New Roman" w:cs="@Batang"/>
                <w:color w:val="auto"/>
                <w:sz w:val="18"/>
                <w:szCs w:val="20"/>
              </w:rPr>
              <w:t xml:space="preserve">in stable housing </w:t>
            </w:r>
            <w:r w:rsidRPr="007C7C9E">
              <w:rPr>
                <w:rFonts w:eastAsia="Times New Roman" w:cs="@Batang"/>
                <w:color w:val="auto"/>
                <w:sz w:val="18"/>
                <w:szCs w:val="20"/>
              </w:rPr>
              <w:t>(3.1)</w:t>
            </w:r>
          </w:p>
          <w:p w14:paraId="57581F23" w14:textId="47D86145" w:rsidR="00802138" w:rsidRPr="007C7C9E" w:rsidRDefault="00802138"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80.7</w:t>
            </w:r>
            <w:r w:rsidR="005046BE" w:rsidRPr="007C7C9E">
              <w:rPr>
                <w:rFonts w:eastAsia="Times New Roman" w:cs="@Batang"/>
                <w:color w:val="auto"/>
                <w:sz w:val="18"/>
                <w:szCs w:val="20"/>
              </w:rPr>
              <w:t>0</w:t>
            </w:r>
            <w:r w:rsidRPr="007C7C9E">
              <w:rPr>
                <w:rFonts w:eastAsia="Times New Roman" w:cs="@Batang"/>
                <w:color w:val="auto"/>
                <w:sz w:val="18"/>
                <w:szCs w:val="20"/>
              </w:rPr>
              <w:t>%</w:t>
            </w:r>
            <w:r w:rsidR="00CE4A79" w:rsidRPr="007C7C9E">
              <w:rPr>
                <w:rFonts w:eastAsia="Times New Roman" w:cs="@Batang"/>
                <w:color w:val="auto"/>
                <w:sz w:val="18"/>
                <w:szCs w:val="20"/>
              </w:rPr>
              <w:t xml:space="preserve"> in stable housing</w:t>
            </w:r>
            <w:r w:rsidRPr="007C7C9E">
              <w:rPr>
                <w:rFonts w:eastAsia="Times New Roman" w:cs="@Batang"/>
                <w:color w:val="auto"/>
                <w:sz w:val="18"/>
                <w:szCs w:val="20"/>
              </w:rPr>
              <w:t xml:space="preserve"> (3.2)</w:t>
            </w:r>
          </w:p>
          <w:p w14:paraId="52778368" w14:textId="4A111D59" w:rsidR="00802138" w:rsidRPr="007C7C9E" w:rsidRDefault="00550F7E"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9</w:t>
            </w:r>
            <w:r w:rsidR="00802138" w:rsidRPr="007C7C9E">
              <w:rPr>
                <w:rFonts w:eastAsia="Times New Roman" w:cs="@Batang"/>
                <w:color w:val="auto"/>
                <w:sz w:val="18"/>
                <w:szCs w:val="20"/>
              </w:rPr>
              <w:t>2.</w:t>
            </w:r>
            <w:r w:rsidR="005046BE" w:rsidRPr="007C7C9E">
              <w:rPr>
                <w:rFonts w:eastAsia="Times New Roman" w:cs="@Batang"/>
                <w:color w:val="auto"/>
                <w:sz w:val="18"/>
                <w:szCs w:val="20"/>
              </w:rPr>
              <w:t>86</w:t>
            </w:r>
            <w:r w:rsidR="00802138" w:rsidRPr="007C7C9E">
              <w:rPr>
                <w:rFonts w:eastAsia="Times New Roman" w:cs="@Batang"/>
                <w:color w:val="auto"/>
                <w:sz w:val="18"/>
                <w:szCs w:val="20"/>
              </w:rPr>
              <w:t>%</w:t>
            </w:r>
            <w:r w:rsidR="00CE4A79" w:rsidRPr="007C7C9E">
              <w:rPr>
                <w:rFonts w:eastAsia="Times New Roman" w:cs="@Batang"/>
                <w:color w:val="auto"/>
                <w:sz w:val="18"/>
                <w:szCs w:val="20"/>
              </w:rPr>
              <w:t xml:space="preserve"> in stable housing</w:t>
            </w:r>
            <w:r w:rsidR="00802138" w:rsidRPr="007C7C9E">
              <w:rPr>
                <w:rFonts w:eastAsia="Times New Roman" w:cs="@Batang"/>
                <w:color w:val="auto"/>
                <w:sz w:val="18"/>
                <w:szCs w:val="20"/>
              </w:rPr>
              <w:t xml:space="preserve"> (3.3)</w:t>
            </w:r>
          </w:p>
        </w:tc>
      </w:tr>
      <w:tr w:rsidR="00802138" w14:paraId="7FA1C017" w14:textId="77777777" w:rsidTr="007C7C9E">
        <w:trPr>
          <w:trHeight w:val="355"/>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2CD4D93C" w14:textId="5867D723" w:rsidR="00802138" w:rsidRDefault="00F01861" w:rsidP="00802138">
            <w:pPr>
              <w:rPr>
                <w:rFonts w:eastAsia="Times New Roman" w:cs="@Batang"/>
                <w:sz w:val="18"/>
                <w:szCs w:val="20"/>
              </w:rPr>
            </w:pPr>
            <w:r>
              <w:rPr>
                <w:rFonts w:eastAsia="Times New Roman" w:cs="@Batang"/>
                <w:sz w:val="18"/>
                <w:szCs w:val="20"/>
              </w:rPr>
              <w:t xml:space="preserve">As above </w:t>
            </w:r>
          </w:p>
        </w:tc>
        <w:tc>
          <w:tcPr>
            <w:tcW w:w="1618" w:type="dxa"/>
            <w:vAlign w:val="center"/>
          </w:tcPr>
          <w:p w14:paraId="7C9EABA9" w14:textId="7BD12FC1" w:rsidR="00802138" w:rsidRPr="0074420A" w:rsidRDefault="00802138" w:rsidP="00802138">
            <w:pPr>
              <w:jc w:val="center"/>
              <w:cnfStyle w:val="000000000000" w:firstRow="0" w:lastRow="0" w:firstColumn="0" w:lastColumn="0" w:oddVBand="0" w:evenVBand="0" w:oddHBand="0" w:evenHBand="0" w:firstRowFirstColumn="0" w:firstRowLastColumn="0" w:lastRowFirstColumn="0" w:lastRowLastColumn="0"/>
              <w:rPr>
                <w:rStyle w:val="contentpasted2"/>
                <w:rFonts w:eastAsia="Times New Roman" w:cs="@Batang"/>
                <w:sz w:val="18"/>
                <w:szCs w:val="20"/>
                <w:shd w:val="clear" w:color="auto" w:fill="FFFFFF"/>
              </w:rPr>
            </w:pPr>
            <w:r>
              <w:rPr>
                <w:rFonts w:eastAsia="Times New Roman" w:cs="@Batang"/>
                <w:sz w:val="18"/>
                <w:szCs w:val="20"/>
              </w:rPr>
              <w:t>36 months</w:t>
            </w:r>
          </w:p>
        </w:tc>
        <w:tc>
          <w:tcPr>
            <w:tcW w:w="3187" w:type="dxa"/>
            <w:vAlign w:val="center"/>
          </w:tcPr>
          <w:p w14:paraId="6E2C5C91" w14:textId="7D45FFEE" w:rsidR="00802138" w:rsidRPr="00802138" w:rsidRDefault="00802138" w:rsidP="00802138">
            <w:pPr>
              <w:jc w:val="center"/>
              <w:cnfStyle w:val="000000000000" w:firstRow="0" w:lastRow="0" w:firstColumn="0" w:lastColumn="0" w:oddVBand="0" w:evenVBand="0" w:oddHBand="0" w:evenHBand="0" w:firstRowFirstColumn="0" w:firstRowLastColumn="0" w:lastRowFirstColumn="0" w:lastRowLastColumn="0"/>
              <w:rPr>
                <w:rStyle w:val="contentpasted2"/>
                <w:rFonts w:eastAsia="Times New Roman" w:cs="@Batang"/>
                <w:sz w:val="18"/>
                <w:szCs w:val="18"/>
                <w:shd w:val="clear" w:color="auto" w:fill="FFFFFF"/>
              </w:rPr>
            </w:pPr>
            <w:r w:rsidRPr="00802138">
              <w:rPr>
                <w:sz w:val="18"/>
                <w:szCs w:val="18"/>
              </w:rPr>
              <w:t>62%</w:t>
            </w:r>
            <w:r w:rsidR="00CE4A79">
              <w:rPr>
                <w:sz w:val="18"/>
                <w:szCs w:val="18"/>
              </w:rPr>
              <w:t xml:space="preserve"> in stable housing</w:t>
            </w:r>
          </w:p>
        </w:tc>
        <w:tc>
          <w:tcPr>
            <w:tcW w:w="3049" w:type="dxa"/>
            <w:vAlign w:val="center"/>
          </w:tcPr>
          <w:p w14:paraId="7878937F" w14:textId="4074D532" w:rsidR="00802138" w:rsidRPr="007C7C9E" w:rsidRDefault="00802138"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96.3</w:t>
            </w:r>
            <w:r w:rsidR="005046BE" w:rsidRPr="007C7C9E">
              <w:rPr>
                <w:rFonts w:eastAsia="Times New Roman" w:cs="@Batang"/>
                <w:color w:val="auto"/>
                <w:sz w:val="18"/>
                <w:szCs w:val="20"/>
              </w:rPr>
              <w:t>0</w:t>
            </w:r>
            <w:r w:rsidRPr="007C7C9E">
              <w:rPr>
                <w:rFonts w:eastAsia="Times New Roman" w:cs="@Batang"/>
                <w:color w:val="auto"/>
                <w:sz w:val="18"/>
                <w:szCs w:val="20"/>
              </w:rPr>
              <w:t xml:space="preserve">% </w:t>
            </w:r>
            <w:r w:rsidR="00CE4A79" w:rsidRPr="007C7C9E">
              <w:rPr>
                <w:rFonts w:eastAsia="Times New Roman" w:cs="@Batang"/>
                <w:color w:val="auto"/>
                <w:sz w:val="18"/>
                <w:szCs w:val="20"/>
              </w:rPr>
              <w:t xml:space="preserve">in stable housing </w:t>
            </w:r>
            <w:r w:rsidRPr="007C7C9E">
              <w:rPr>
                <w:rFonts w:eastAsia="Times New Roman" w:cs="@Batang"/>
                <w:color w:val="auto"/>
                <w:sz w:val="18"/>
                <w:szCs w:val="20"/>
              </w:rPr>
              <w:t>(3.1)</w:t>
            </w:r>
          </w:p>
          <w:p w14:paraId="50B95404" w14:textId="0D9FC863" w:rsidR="00802138" w:rsidRPr="007C7C9E" w:rsidRDefault="00802138"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85.</w:t>
            </w:r>
            <w:r w:rsidR="005046BE" w:rsidRPr="007C7C9E">
              <w:rPr>
                <w:rFonts w:eastAsia="Times New Roman" w:cs="@Batang"/>
                <w:color w:val="auto"/>
                <w:sz w:val="18"/>
                <w:szCs w:val="20"/>
              </w:rPr>
              <w:t>18</w:t>
            </w:r>
            <w:r w:rsidRPr="007C7C9E">
              <w:rPr>
                <w:rFonts w:eastAsia="Times New Roman" w:cs="@Batang"/>
                <w:color w:val="auto"/>
                <w:sz w:val="18"/>
                <w:szCs w:val="20"/>
              </w:rPr>
              <w:t xml:space="preserve">% </w:t>
            </w:r>
            <w:r w:rsidR="00CE4A79" w:rsidRPr="007C7C9E">
              <w:rPr>
                <w:rFonts w:eastAsia="Times New Roman" w:cs="@Batang"/>
                <w:color w:val="auto"/>
                <w:sz w:val="18"/>
                <w:szCs w:val="20"/>
              </w:rPr>
              <w:t xml:space="preserve">in stable housing </w:t>
            </w:r>
            <w:r w:rsidRPr="007C7C9E">
              <w:rPr>
                <w:rFonts w:eastAsia="Times New Roman" w:cs="@Batang"/>
                <w:color w:val="auto"/>
                <w:sz w:val="18"/>
                <w:szCs w:val="20"/>
              </w:rPr>
              <w:t>(3.2)</w:t>
            </w:r>
          </w:p>
          <w:p w14:paraId="36E80F5A" w14:textId="45D72467" w:rsidR="00802138" w:rsidRPr="007C7C9E" w:rsidRDefault="00212666"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92.</w:t>
            </w:r>
            <w:r w:rsidR="005046BE" w:rsidRPr="007C7C9E">
              <w:rPr>
                <w:rFonts w:eastAsia="Times New Roman" w:cs="@Batang"/>
                <w:color w:val="auto"/>
                <w:sz w:val="18"/>
                <w:szCs w:val="20"/>
              </w:rPr>
              <w:t>86</w:t>
            </w:r>
            <w:r w:rsidR="00802138" w:rsidRPr="007C7C9E">
              <w:rPr>
                <w:rFonts w:eastAsia="Times New Roman" w:cs="@Batang"/>
                <w:color w:val="auto"/>
                <w:sz w:val="18"/>
                <w:szCs w:val="20"/>
              </w:rPr>
              <w:t>%</w:t>
            </w:r>
            <w:r w:rsidR="00CE4A79" w:rsidRPr="007C7C9E">
              <w:rPr>
                <w:rFonts w:eastAsia="Times New Roman" w:cs="@Batang"/>
                <w:color w:val="auto"/>
                <w:sz w:val="18"/>
                <w:szCs w:val="20"/>
              </w:rPr>
              <w:t xml:space="preserve"> in stable housing</w:t>
            </w:r>
            <w:r w:rsidR="00802138" w:rsidRPr="007C7C9E">
              <w:rPr>
                <w:rFonts w:eastAsia="Times New Roman" w:cs="@Batang"/>
                <w:color w:val="auto"/>
                <w:sz w:val="18"/>
                <w:szCs w:val="20"/>
              </w:rPr>
              <w:t xml:space="preserve"> (3.3)</w:t>
            </w:r>
          </w:p>
        </w:tc>
      </w:tr>
      <w:tr w:rsidR="00F81A3C" w14:paraId="389C8107" w14:textId="77777777" w:rsidTr="007C7C9E">
        <w:trPr>
          <w:trHeight w:val="708"/>
        </w:trPr>
        <w:tc>
          <w:tcPr>
            <w:cnfStyle w:val="001000000000" w:firstRow="0" w:lastRow="0" w:firstColumn="1" w:lastColumn="0" w:oddVBand="0" w:evenVBand="0" w:oddHBand="0" w:evenHBand="0" w:firstRowFirstColumn="0" w:firstRowLastColumn="0" w:lastRowFirstColumn="0" w:lastRowLastColumn="0"/>
            <w:tcW w:w="1985" w:type="dxa"/>
            <w:vAlign w:val="center"/>
          </w:tcPr>
          <w:p w14:paraId="6633A084" w14:textId="577D6838" w:rsidR="00F81A3C" w:rsidRDefault="00F01861" w:rsidP="00F81A3C">
            <w:pPr>
              <w:rPr>
                <w:rFonts w:eastAsia="Times New Roman" w:cs="@Batang"/>
                <w:sz w:val="18"/>
                <w:szCs w:val="20"/>
              </w:rPr>
            </w:pPr>
            <w:r>
              <w:rPr>
                <w:rFonts w:eastAsia="Times New Roman" w:cs="@Batang"/>
                <w:sz w:val="18"/>
                <w:szCs w:val="20"/>
              </w:rPr>
              <w:t>As above</w:t>
            </w:r>
          </w:p>
        </w:tc>
        <w:tc>
          <w:tcPr>
            <w:tcW w:w="1618" w:type="dxa"/>
            <w:vAlign w:val="center"/>
          </w:tcPr>
          <w:p w14:paraId="65A1C370" w14:textId="2321F581" w:rsidR="00F81A3C" w:rsidRPr="0074420A" w:rsidRDefault="00F81A3C" w:rsidP="00F81A3C">
            <w:pPr>
              <w:jc w:val="center"/>
              <w:cnfStyle w:val="000000000000" w:firstRow="0" w:lastRow="0" w:firstColumn="0" w:lastColumn="0" w:oddVBand="0" w:evenVBand="0" w:oddHBand="0" w:evenHBand="0" w:firstRowFirstColumn="0" w:firstRowLastColumn="0" w:lastRowFirstColumn="0" w:lastRowLastColumn="0"/>
              <w:rPr>
                <w:rStyle w:val="contentpasted2"/>
                <w:rFonts w:eastAsia="Times New Roman" w:cs="@Batang"/>
                <w:sz w:val="18"/>
                <w:szCs w:val="20"/>
                <w:shd w:val="clear" w:color="auto" w:fill="FFFFFF"/>
              </w:rPr>
            </w:pPr>
            <w:r>
              <w:rPr>
                <w:rFonts w:eastAsia="Times New Roman" w:cs="@Batang"/>
                <w:sz w:val="18"/>
                <w:szCs w:val="20"/>
              </w:rPr>
              <w:t>48 months</w:t>
            </w:r>
          </w:p>
        </w:tc>
        <w:tc>
          <w:tcPr>
            <w:tcW w:w="3187" w:type="dxa"/>
            <w:vAlign w:val="center"/>
          </w:tcPr>
          <w:p w14:paraId="09D39794" w14:textId="699C6439" w:rsidR="00F81A3C" w:rsidRPr="00802138" w:rsidRDefault="00176812" w:rsidP="00802138">
            <w:pPr>
              <w:jc w:val="center"/>
              <w:cnfStyle w:val="000000000000" w:firstRow="0" w:lastRow="0" w:firstColumn="0" w:lastColumn="0" w:oddVBand="0" w:evenVBand="0" w:oddHBand="0" w:evenHBand="0" w:firstRowFirstColumn="0" w:firstRowLastColumn="0" w:lastRowFirstColumn="0" w:lastRowLastColumn="0"/>
              <w:rPr>
                <w:rStyle w:val="contentpasted2"/>
                <w:rFonts w:eastAsia="Times New Roman" w:cs="@Batang"/>
                <w:sz w:val="18"/>
                <w:szCs w:val="18"/>
                <w:shd w:val="clear" w:color="auto" w:fill="FFFFFF"/>
              </w:rPr>
            </w:pPr>
            <w:r w:rsidRPr="003C67D4">
              <w:rPr>
                <w:szCs w:val="20"/>
              </w:rPr>
              <w:t>6</w:t>
            </w:r>
            <w:r w:rsidRPr="003C67D4">
              <w:rPr>
                <w:rFonts w:eastAsia="Times New Roman" w:cs="@Batang"/>
                <w:sz w:val="18"/>
                <w:szCs w:val="20"/>
              </w:rPr>
              <w:t>4% in stable</w:t>
            </w:r>
            <w:r>
              <w:rPr>
                <w:rStyle w:val="contentpasted2"/>
                <w:szCs w:val="18"/>
                <w:shd w:val="clear" w:color="auto" w:fill="FFFFFF"/>
              </w:rPr>
              <w:t xml:space="preserve"> housing</w:t>
            </w:r>
          </w:p>
        </w:tc>
        <w:tc>
          <w:tcPr>
            <w:tcW w:w="3049" w:type="dxa"/>
            <w:vAlign w:val="center"/>
          </w:tcPr>
          <w:p w14:paraId="717C5120" w14:textId="6D08E821" w:rsidR="00F81A3C" w:rsidRPr="007C7C9E" w:rsidRDefault="00802138"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 xml:space="preserve">92.45% </w:t>
            </w:r>
            <w:r w:rsidR="00CE4A79" w:rsidRPr="007C7C9E">
              <w:rPr>
                <w:rFonts w:eastAsia="Times New Roman" w:cs="@Batang"/>
                <w:color w:val="auto"/>
                <w:sz w:val="18"/>
                <w:szCs w:val="20"/>
              </w:rPr>
              <w:t xml:space="preserve">in stable housing </w:t>
            </w:r>
            <w:r w:rsidRPr="007C7C9E">
              <w:rPr>
                <w:rFonts w:eastAsia="Times New Roman" w:cs="@Batang"/>
                <w:color w:val="auto"/>
                <w:sz w:val="18"/>
                <w:szCs w:val="20"/>
              </w:rPr>
              <w:t>(3.1)</w:t>
            </w:r>
          </w:p>
          <w:p w14:paraId="156AADDC" w14:textId="52CCF721" w:rsidR="00802138" w:rsidRPr="007C7C9E" w:rsidRDefault="00802138" w:rsidP="007C7C9E">
            <w:pPr>
              <w:spacing w:before="80" w:after="80"/>
              <w:jc w:val="center"/>
              <w:cnfStyle w:val="000000000000" w:firstRow="0" w:lastRow="0" w:firstColumn="0" w:lastColumn="0" w:oddVBand="0" w:evenVBand="0" w:oddHBand="0" w:evenHBand="0" w:firstRowFirstColumn="0" w:firstRowLastColumn="0" w:lastRowFirstColumn="0" w:lastRowLastColumn="0"/>
              <w:rPr>
                <w:rFonts w:eastAsia="Times New Roman" w:cs="@Batang"/>
                <w:color w:val="auto"/>
                <w:sz w:val="18"/>
                <w:szCs w:val="20"/>
              </w:rPr>
            </w:pPr>
            <w:r w:rsidRPr="007C7C9E">
              <w:rPr>
                <w:rFonts w:eastAsia="Times New Roman" w:cs="@Batang"/>
                <w:color w:val="auto"/>
                <w:sz w:val="18"/>
                <w:szCs w:val="20"/>
              </w:rPr>
              <w:t>84.3</w:t>
            </w:r>
            <w:r w:rsidR="005046BE" w:rsidRPr="007C7C9E">
              <w:rPr>
                <w:rFonts w:eastAsia="Times New Roman" w:cs="@Batang"/>
                <w:color w:val="auto"/>
                <w:sz w:val="18"/>
                <w:szCs w:val="20"/>
              </w:rPr>
              <w:t>1</w:t>
            </w:r>
            <w:r w:rsidRPr="007C7C9E">
              <w:rPr>
                <w:rFonts w:eastAsia="Times New Roman" w:cs="@Batang"/>
                <w:color w:val="auto"/>
                <w:sz w:val="18"/>
                <w:szCs w:val="20"/>
              </w:rPr>
              <w:t>%</w:t>
            </w:r>
            <w:r w:rsidR="00CE4A79" w:rsidRPr="007C7C9E">
              <w:rPr>
                <w:rFonts w:eastAsia="Times New Roman" w:cs="@Batang"/>
                <w:color w:val="auto"/>
                <w:sz w:val="18"/>
                <w:szCs w:val="20"/>
              </w:rPr>
              <w:t xml:space="preserve"> in stable housing</w:t>
            </w:r>
            <w:r w:rsidRPr="007C7C9E">
              <w:rPr>
                <w:rFonts w:eastAsia="Times New Roman" w:cs="@Batang"/>
                <w:color w:val="auto"/>
                <w:sz w:val="18"/>
                <w:szCs w:val="20"/>
              </w:rPr>
              <w:t xml:space="preserve"> (3.2)</w:t>
            </w:r>
          </w:p>
        </w:tc>
      </w:tr>
    </w:tbl>
    <w:bookmarkStart w:id="90" w:name="_Ref149901602"/>
    <w:p w14:paraId="03C7412A" w14:textId="37C2ED13" w:rsidR="00F01861" w:rsidRPr="003A195B" w:rsidRDefault="00F01861" w:rsidP="00872A8A">
      <w:pPr>
        <w:pStyle w:val="BodyText"/>
        <w:shd w:val="clear" w:color="auto" w:fill="F0F0F0" w:themeFill="background2"/>
        <w:rPr>
          <w:i/>
          <w:iCs/>
        </w:rPr>
      </w:pPr>
      <w:r w:rsidRPr="00657A30">
        <w:rPr>
          <w:i/>
          <w:iCs/>
        </w:rPr>
        <w:fldChar w:fldCharType="begin" w:fldLock="1"/>
      </w:r>
      <w:r w:rsidRPr="00657A30">
        <w:rPr>
          <w:i/>
          <w:iCs/>
        </w:rPr>
        <w:instrText xml:space="preserve"> REF _Ref149131077 \h  \* MERGEFORMAT </w:instrText>
      </w:r>
      <w:r w:rsidRPr="00657A30">
        <w:rPr>
          <w:i/>
          <w:iCs/>
        </w:rPr>
      </w:r>
      <w:r w:rsidRPr="00657A30">
        <w:rPr>
          <w:i/>
          <w:iCs/>
        </w:rPr>
        <w:fldChar w:fldCharType="separate"/>
      </w:r>
      <w:r w:rsidRPr="008D7AA8">
        <w:rPr>
          <w:i/>
        </w:rPr>
        <w:t xml:space="preserve">Table </w:t>
      </w:r>
      <w:r w:rsidR="00872A8A" w:rsidRPr="00872A8A">
        <w:rPr>
          <w:i/>
          <w:iCs/>
          <w:noProof/>
        </w:rPr>
        <w:t>11</w:t>
      </w:r>
      <w:r w:rsidRPr="00657A30">
        <w:rPr>
          <w:i/>
          <w:iCs/>
        </w:rPr>
        <w:fldChar w:fldCharType="end"/>
      </w:r>
      <w:r w:rsidRPr="00657A30">
        <w:rPr>
          <w:i/>
          <w:iCs/>
        </w:rPr>
        <w:t xml:space="preserve"> interpretation note: As described in the interim evaluation report, when comparing payable outcomes between</w:t>
      </w:r>
      <w:r w:rsidRPr="003A195B">
        <w:rPr>
          <w:i/>
          <w:iCs/>
        </w:rPr>
        <w:t xml:space="preserve"> the J2SI </w:t>
      </w:r>
      <w:r>
        <w:rPr>
          <w:i/>
          <w:iCs/>
        </w:rPr>
        <w:t xml:space="preserve">Phase 2 </w:t>
      </w:r>
      <w:r w:rsidRPr="003A195B">
        <w:rPr>
          <w:i/>
          <w:iCs/>
        </w:rPr>
        <w:t xml:space="preserve">RCT and PAD, it should be noted that: </w:t>
      </w:r>
    </w:p>
    <w:p w14:paraId="0E1B92AC" w14:textId="77777777" w:rsidR="00F01861" w:rsidRPr="003A195B" w:rsidRDefault="00F01861" w:rsidP="00F01861">
      <w:pPr>
        <w:pStyle w:val="Bullet1stlevel"/>
        <w:shd w:val="clear" w:color="auto" w:fill="F0F0F0" w:themeFill="background2"/>
      </w:pPr>
      <w:r w:rsidRPr="003A195B">
        <w:t xml:space="preserve">The </w:t>
      </w:r>
      <w:r>
        <w:t xml:space="preserve">published report on the Phase 2 </w:t>
      </w:r>
      <w:r w:rsidRPr="003A195B">
        <w:t>RCT</w:t>
      </w:r>
      <w:r>
        <w:t>,</w:t>
      </w:r>
      <w:r w:rsidRPr="003A195B">
        <w:t xml:space="preserve"> </w:t>
      </w:r>
      <w:r>
        <w:t>released</w:t>
      </w:r>
      <w:r w:rsidRPr="003A195B">
        <w:t xml:space="preserve"> in </w:t>
      </w:r>
      <w:r>
        <w:t>August 2020,</w:t>
      </w:r>
      <w:r w:rsidRPr="003A195B">
        <w:t xml:space="preserve"> considered the housing type at the time of the </w:t>
      </w:r>
      <w:r>
        <w:t>surveys</w:t>
      </w:r>
      <w:r w:rsidRPr="003A195B">
        <w:t xml:space="preserve"> and did not collect data on whether clients accessed crisis accommodation whilst they were in stable housing. The J2SI PAD definition of stable housing excludes clients who accessed crisis accommodation during the year, unless it was for family violence reasons. For the PAD outcome payment calculations, and the information present</w:t>
      </w:r>
      <w:r>
        <w:t>ed</w:t>
      </w:r>
      <w:r w:rsidRPr="003A195B">
        <w:t xml:space="preserve"> </w:t>
      </w:r>
      <w:r>
        <w:t>above</w:t>
      </w:r>
      <w:r w:rsidRPr="003A195B">
        <w:t xml:space="preserve">, the </w:t>
      </w:r>
      <w:r>
        <w:t xml:space="preserve">Phase 2 </w:t>
      </w:r>
      <w:r w:rsidRPr="003A195B">
        <w:t xml:space="preserve">RCT outcomes were re-calculated in line with the PAD definition of stable housing, noting </w:t>
      </w:r>
      <w:r>
        <w:t>that</w:t>
      </w:r>
      <w:r w:rsidRPr="003A195B">
        <w:t xml:space="preserve"> the reasons for access to crisis accommodation in the </w:t>
      </w:r>
      <w:r>
        <w:t xml:space="preserve">Phase 2 </w:t>
      </w:r>
      <w:r w:rsidRPr="003A195B">
        <w:t xml:space="preserve">RCT are not known. </w:t>
      </w:r>
    </w:p>
    <w:p w14:paraId="52D67C9E" w14:textId="77777777" w:rsidR="00F01861" w:rsidRPr="003A195B" w:rsidRDefault="00F01861" w:rsidP="00F01861">
      <w:pPr>
        <w:pStyle w:val="Bullet1stlevel"/>
        <w:shd w:val="clear" w:color="auto" w:fill="F0F0F0" w:themeFill="background2"/>
      </w:pPr>
      <w:r w:rsidRPr="003A195B">
        <w:t xml:space="preserve">Although the J2SI </w:t>
      </w:r>
      <w:r>
        <w:t xml:space="preserve">Phase 2 </w:t>
      </w:r>
      <w:r w:rsidRPr="003A195B">
        <w:t xml:space="preserve">RCT and PAD outcomes compared </w:t>
      </w:r>
      <w:r>
        <w:t>above</w:t>
      </w:r>
      <w:r w:rsidRPr="003A195B">
        <w:t xml:space="preserve"> have been calculated using the same methodology and use Homelessness Integrated Information Program (HiiP) tenancy data as the primary source of data to identify clients in public housing, </w:t>
      </w:r>
      <w:r>
        <w:t xml:space="preserve">Phase 2 </w:t>
      </w:r>
      <w:r w:rsidRPr="003A195B">
        <w:t>RCT outcomes have been calculated using client survey data, while J2SI PAD outcomes have been calculated using:</w:t>
      </w:r>
    </w:p>
    <w:p w14:paraId="097792B7" w14:textId="77777777" w:rsidR="00F01861" w:rsidRPr="003A195B" w:rsidRDefault="00F01861" w:rsidP="00F01861">
      <w:pPr>
        <w:pStyle w:val="Bullet2ndlevel"/>
        <w:shd w:val="clear" w:color="auto" w:fill="F0F0F0" w:themeFill="background2"/>
        <w:rPr>
          <w:i/>
          <w:iCs/>
        </w:rPr>
      </w:pPr>
      <w:r w:rsidRPr="003A195B">
        <w:rPr>
          <w:i/>
          <w:iCs/>
        </w:rPr>
        <w:t>Homelessness Data Collection (HDC) data submitted six monthly by SHM via SRS/SHIP as the secondary source of data; and</w:t>
      </w:r>
    </w:p>
    <w:p w14:paraId="4B443DBD" w14:textId="77777777" w:rsidR="00F01861" w:rsidRPr="003A195B" w:rsidRDefault="00F01861" w:rsidP="00F01861">
      <w:pPr>
        <w:pStyle w:val="Bullet2ndlevel"/>
        <w:shd w:val="clear" w:color="auto" w:fill="F0F0F0" w:themeFill="background2"/>
        <w:rPr>
          <w:i/>
          <w:iCs/>
        </w:rPr>
      </w:pPr>
      <w:r w:rsidRPr="003A195B">
        <w:rPr>
          <w:i/>
          <w:iCs/>
        </w:rPr>
        <w:t>HDC data submitted by other organisations to identify clients who accessed crisis accommodation.</w:t>
      </w:r>
    </w:p>
    <w:p w14:paraId="72E0BFE7" w14:textId="14014B89" w:rsidR="00F01861" w:rsidRDefault="00F01861" w:rsidP="00F01861">
      <w:pPr>
        <w:pStyle w:val="BodyText10"/>
        <w:shd w:val="clear" w:color="auto" w:fill="F0F0F0" w:themeFill="background2"/>
      </w:pPr>
      <w:r w:rsidRPr="003A195B">
        <w:rPr>
          <w:i/>
          <w:iCs/>
        </w:rPr>
        <w:t>Given</w:t>
      </w:r>
      <w:r>
        <w:rPr>
          <w:i/>
          <w:iCs/>
        </w:rPr>
        <w:t xml:space="preserve"> that the Phase 2</w:t>
      </w:r>
      <w:r w:rsidRPr="003A195B">
        <w:rPr>
          <w:i/>
          <w:iCs/>
        </w:rPr>
        <w:t xml:space="preserve"> RCT outcomes are based on survey data alone, interpretation of these results should consider that the </w:t>
      </w:r>
      <w:r>
        <w:rPr>
          <w:i/>
          <w:iCs/>
        </w:rPr>
        <w:t xml:space="preserve">Phase 2 </w:t>
      </w:r>
      <w:r w:rsidRPr="003A195B">
        <w:rPr>
          <w:i/>
          <w:iCs/>
        </w:rPr>
        <w:t>RCT outcomes may be less reliable than the reported J2SI PAD outcomes. Consultations undertaken as part of the interim evaluation noted that J2SI clients may have tended to over</w:t>
      </w:r>
      <w:r>
        <w:rPr>
          <w:i/>
          <w:iCs/>
        </w:rPr>
        <w:noBreakHyphen/>
      </w:r>
      <w:r w:rsidRPr="003A195B">
        <w:rPr>
          <w:i/>
          <w:iCs/>
        </w:rPr>
        <w:t>estimate their positive outcomes in self-reporting, however the direction and degree of error in survey results is not definitively known.</w:t>
      </w:r>
    </w:p>
    <w:p w14:paraId="0887764D" w14:textId="753E521B" w:rsidR="005973F1" w:rsidRDefault="005973F1" w:rsidP="005973F1">
      <w:pPr>
        <w:pStyle w:val="Heading4"/>
      </w:pPr>
      <w:r>
        <w:t xml:space="preserve">Can the </w:t>
      </w:r>
      <w:r w:rsidR="00E92940">
        <w:t xml:space="preserve">client </w:t>
      </w:r>
      <w:r>
        <w:t>outcomes be attributed to the program as a PAD?</w:t>
      </w:r>
      <w:bookmarkEnd w:id="90"/>
    </w:p>
    <w:p w14:paraId="4FD2299C" w14:textId="395137AA" w:rsidR="005973F1" w:rsidRDefault="00BD0CDA" w:rsidP="0047474B">
      <w:pPr>
        <w:pStyle w:val="BodyText"/>
        <w:keepLines/>
      </w:pPr>
      <w:r>
        <w:t>As discussed, improved</w:t>
      </w:r>
      <w:r w:rsidR="00073656">
        <w:t xml:space="preserve"> client outcomes </w:t>
      </w:r>
      <w:r w:rsidR="00160AC2">
        <w:t xml:space="preserve">were demonstrated under previous iterations of the </w:t>
      </w:r>
      <w:r w:rsidR="000167C1">
        <w:t>J2SI program</w:t>
      </w:r>
      <w:r w:rsidR="00B328C7">
        <w:t xml:space="preserve"> (Pilot and </w:t>
      </w:r>
      <w:r w:rsidR="009C7EFD">
        <w:t xml:space="preserve">Phase 2 </w:t>
      </w:r>
      <w:r w:rsidR="00B328C7">
        <w:t>RCT)</w:t>
      </w:r>
      <w:r w:rsidR="007D5AB3">
        <w:t xml:space="preserve">, </w:t>
      </w:r>
      <w:r w:rsidR="00917670">
        <w:t>attributable to</w:t>
      </w:r>
      <w:r w:rsidR="007D5AB3">
        <w:t xml:space="preserve"> the intensive and long</w:t>
      </w:r>
      <w:r w:rsidR="00A205A6">
        <w:t>-</w:t>
      </w:r>
      <w:r w:rsidR="007D5AB3">
        <w:t xml:space="preserve">term support provided by the J2SI model </w:t>
      </w:r>
      <w:r w:rsidR="00917670">
        <w:t>which remained a feature</w:t>
      </w:r>
      <w:r w:rsidR="007D5AB3">
        <w:t xml:space="preserve"> of </w:t>
      </w:r>
      <w:r w:rsidR="00917670">
        <w:t>the program throughout all phases.</w:t>
      </w:r>
      <w:r w:rsidR="007C6CE8">
        <w:t xml:space="preserve"> </w:t>
      </w:r>
      <w:r w:rsidR="00A06A73">
        <w:t>Some stakeholders</w:t>
      </w:r>
      <w:r w:rsidR="0076533C">
        <w:t xml:space="preserve"> noted that the intensive and long-term support</w:t>
      </w:r>
      <w:r w:rsidR="00821A97">
        <w:t xml:space="preserve">, </w:t>
      </w:r>
      <w:r w:rsidR="0076533C">
        <w:t>which are core to the J2SI model</w:t>
      </w:r>
      <w:r w:rsidR="00821A97">
        <w:t xml:space="preserve">, </w:t>
      </w:r>
      <w:r w:rsidR="001553A0">
        <w:t xml:space="preserve">were key </w:t>
      </w:r>
      <w:r w:rsidR="00821A97">
        <w:t>to</w:t>
      </w:r>
      <w:r w:rsidR="001553A0">
        <w:t xml:space="preserve"> achieving improved</w:t>
      </w:r>
      <w:r w:rsidR="0076533C">
        <w:t xml:space="preserve"> </w:t>
      </w:r>
      <w:r w:rsidR="001553A0">
        <w:t xml:space="preserve">client </w:t>
      </w:r>
      <w:r w:rsidR="0076533C">
        <w:t xml:space="preserve">outcomes. </w:t>
      </w:r>
      <w:r w:rsidR="00BE6839">
        <w:t xml:space="preserve">However, head leasing </w:t>
      </w:r>
      <w:r w:rsidR="00786A85">
        <w:t>(a program element specific to the PAD)</w:t>
      </w:r>
      <w:r w:rsidR="00BE6839">
        <w:t xml:space="preserve"> was described as having a </w:t>
      </w:r>
      <w:r w:rsidR="001553A0">
        <w:t xml:space="preserve">particularly </w:t>
      </w:r>
      <w:r w:rsidR="00BE6839">
        <w:t xml:space="preserve">significant impact on the ability of the program to </w:t>
      </w:r>
      <w:r w:rsidR="005C4EF9">
        <w:t>make progress towards improved</w:t>
      </w:r>
      <w:r w:rsidR="00BE6839">
        <w:t xml:space="preserve"> client outcomes </w:t>
      </w:r>
      <w:r w:rsidR="005C4EF9">
        <w:t xml:space="preserve">from </w:t>
      </w:r>
      <w:r w:rsidR="00BE6839">
        <w:t xml:space="preserve">earlier </w:t>
      </w:r>
      <w:r w:rsidR="005C4EF9">
        <w:t>in the client support period</w:t>
      </w:r>
      <w:r w:rsidR="00BE6839">
        <w:t>.</w:t>
      </w:r>
      <w:r w:rsidR="0076533C">
        <w:t xml:space="preserve"> </w:t>
      </w:r>
      <w:r w:rsidR="00555337">
        <w:t xml:space="preserve">This suggests that </w:t>
      </w:r>
      <w:r w:rsidR="00E96B19">
        <w:t>the</w:t>
      </w:r>
      <w:r w:rsidR="00555337">
        <w:t xml:space="preserve"> funding mechanism</w:t>
      </w:r>
      <w:r w:rsidR="00E96B19">
        <w:t xml:space="preserve"> </w:t>
      </w:r>
      <w:r w:rsidR="00DB05A2">
        <w:t>may have</w:t>
      </w:r>
      <w:r w:rsidR="00E96B19">
        <w:t xml:space="preserve"> amplified the effectiveness of the J2SI program design by</w:t>
      </w:r>
      <w:r w:rsidR="00555337">
        <w:t xml:space="preserve"> </w:t>
      </w:r>
      <w:r w:rsidR="007D5AB3">
        <w:t>providing clients with more rapid housing and the opportunity for stability.</w:t>
      </w:r>
    </w:p>
    <w:p w14:paraId="3A982ACE" w14:textId="76258B23" w:rsidR="00657A30" w:rsidRPr="00A20A19" w:rsidRDefault="00657A30" w:rsidP="00A20A19">
      <w:pPr>
        <w:ind w:left="720"/>
        <w:rPr>
          <w:rStyle w:val="IntenseEmphasis"/>
          <w:i/>
          <w:iCs/>
        </w:rPr>
      </w:pPr>
      <w:r w:rsidRPr="00A20A19">
        <w:rPr>
          <w:rStyle w:val="IntenseEmphasis"/>
          <w:i/>
          <w:iCs/>
        </w:rPr>
        <w:t xml:space="preserve">“Housing first is the key success of the program. People who experience homelessness having a roof over their head is an important step. When we didn’t have access to housing in earlier phases </w:t>
      </w:r>
      <w:r w:rsidR="00C837A9" w:rsidRPr="00A20A19">
        <w:rPr>
          <w:rStyle w:val="IntenseEmphasis"/>
          <w:i/>
          <w:iCs/>
        </w:rPr>
        <w:t xml:space="preserve">[prior to </w:t>
      </w:r>
      <w:r w:rsidR="00444796" w:rsidRPr="00A20A19">
        <w:rPr>
          <w:rStyle w:val="IntenseEmphasis"/>
          <w:i/>
          <w:iCs/>
        </w:rPr>
        <w:t xml:space="preserve">introduction of </w:t>
      </w:r>
      <w:r w:rsidR="00C837A9" w:rsidRPr="00A20A19">
        <w:rPr>
          <w:rStyle w:val="IntenseEmphasis"/>
          <w:i/>
          <w:iCs/>
        </w:rPr>
        <w:t xml:space="preserve">head leasing] </w:t>
      </w:r>
      <w:r w:rsidRPr="00A20A19">
        <w:rPr>
          <w:rStyle w:val="IntenseEmphasis"/>
          <w:i/>
          <w:iCs/>
        </w:rPr>
        <w:t xml:space="preserve">it was a struggle.” </w:t>
      </w:r>
      <w:r w:rsidR="007060BA" w:rsidRPr="00A20A19">
        <w:rPr>
          <w:rStyle w:val="IntenseEmphasis"/>
          <w:i/>
          <w:iCs/>
        </w:rPr>
        <w:br/>
      </w:r>
      <w:r w:rsidRPr="00A20A19">
        <w:rPr>
          <w:rStyle w:val="IntenseEmphasis"/>
          <w:i/>
          <w:iCs/>
        </w:rPr>
        <w:t>– SHM service delivery</w:t>
      </w:r>
    </w:p>
    <w:p w14:paraId="793E83B5" w14:textId="32B1EDA7" w:rsidR="005E3263" w:rsidRDefault="00E6794B" w:rsidP="00A72BFD">
      <w:pPr>
        <w:pStyle w:val="BodyText"/>
        <w:spacing w:before="60"/>
      </w:pPr>
      <w:r>
        <w:t>Although</w:t>
      </w:r>
      <w:r w:rsidR="00B701A8">
        <w:t xml:space="preserve"> client</w:t>
      </w:r>
      <w:r>
        <w:t xml:space="preserve"> outcomes cannot </w:t>
      </w:r>
      <w:r w:rsidR="00DA7E35">
        <w:t>solely</w:t>
      </w:r>
      <w:r>
        <w:t xml:space="preserve"> be attributed to the </w:t>
      </w:r>
      <w:r w:rsidR="0088190D">
        <w:t>PAD</w:t>
      </w:r>
      <w:r w:rsidR="00DA7E35">
        <w:t>, as described above,</w:t>
      </w:r>
      <w:r w:rsidR="00780BA4">
        <w:t xml:space="preserve"> </w:t>
      </w:r>
      <w:r w:rsidR="000A572C">
        <w:t xml:space="preserve">stakeholders </w:t>
      </w:r>
      <w:r w:rsidR="00490544">
        <w:t xml:space="preserve">reported that </w:t>
      </w:r>
      <w:r w:rsidR="00A72BFD">
        <w:t>a number of the PAD</w:t>
      </w:r>
      <w:r w:rsidR="00733E98">
        <w:t>’</w:t>
      </w:r>
      <w:r w:rsidR="000A572C">
        <w:t>s</w:t>
      </w:r>
      <w:r w:rsidR="00A72BFD">
        <w:t xml:space="preserve"> features </w:t>
      </w:r>
      <w:r w:rsidR="00B701A8">
        <w:t>helped to support these outcomes</w:t>
      </w:r>
      <w:r w:rsidR="00A72BFD">
        <w:t>.</w:t>
      </w:r>
      <w:r w:rsidR="001167AB">
        <w:t xml:space="preserve"> </w:t>
      </w:r>
      <w:r w:rsidR="00A72BFD">
        <w:t xml:space="preserve">These </w:t>
      </w:r>
      <w:r w:rsidR="005E3263">
        <w:t xml:space="preserve">supporting </w:t>
      </w:r>
      <w:r w:rsidR="00A72BFD">
        <w:t xml:space="preserve">features </w:t>
      </w:r>
      <w:r w:rsidR="006F0245">
        <w:t xml:space="preserve">have gone on to be incorporated into the </w:t>
      </w:r>
      <w:r w:rsidR="00282C65">
        <w:t>PbR</w:t>
      </w:r>
      <w:r w:rsidR="006F0245">
        <w:t xml:space="preserve">, demonstrating the value they add to the program. These features include:  </w:t>
      </w:r>
    </w:p>
    <w:p w14:paraId="58CFFC21" w14:textId="6EA87C4F" w:rsidR="00C903C4" w:rsidRPr="00DA2EC5" w:rsidRDefault="00C903C4" w:rsidP="00632D10">
      <w:pPr>
        <w:pStyle w:val="Bullet1stlevel"/>
      </w:pPr>
      <w:r w:rsidRPr="00DA2EC5">
        <w:t>H</w:t>
      </w:r>
      <w:r w:rsidR="00013943" w:rsidRPr="00DA2EC5">
        <w:t>ead leasing</w:t>
      </w:r>
      <w:r w:rsidRPr="00DA2EC5">
        <w:t>;</w:t>
      </w:r>
    </w:p>
    <w:p w14:paraId="6914D807" w14:textId="77777777" w:rsidR="00BA2AB6" w:rsidRPr="00E52208" w:rsidRDefault="00BA2AB6" w:rsidP="00632D10">
      <w:pPr>
        <w:pStyle w:val="Bullet1stlevel"/>
      </w:pPr>
      <w:r w:rsidRPr="00E52208">
        <w:t xml:space="preserve">Outcomes-based payment mechanism; </w:t>
      </w:r>
    </w:p>
    <w:p w14:paraId="4003456B" w14:textId="2EF55641" w:rsidR="00C903C4" w:rsidRPr="00E52208" w:rsidRDefault="00B74DB5" w:rsidP="00632D10">
      <w:pPr>
        <w:pStyle w:val="Bullet1stlevel"/>
      </w:pPr>
      <w:r w:rsidRPr="00E52208">
        <w:lastRenderedPageBreak/>
        <w:t>Contingency fund</w:t>
      </w:r>
      <w:r w:rsidR="001C7371" w:rsidRPr="00E52208">
        <w:t>ing to ensure supply of housing</w:t>
      </w:r>
      <w:r w:rsidR="00733E98" w:rsidRPr="00E52208">
        <w:t>; and</w:t>
      </w:r>
      <w:r w:rsidR="001C7371" w:rsidRPr="00E52208">
        <w:t xml:space="preserve"> </w:t>
      </w:r>
    </w:p>
    <w:p w14:paraId="2E91E181" w14:textId="12321420" w:rsidR="00C903C4" w:rsidRPr="00E52208" w:rsidRDefault="00C903C4" w:rsidP="00632D10">
      <w:pPr>
        <w:pStyle w:val="Bullet1stlevel"/>
      </w:pPr>
      <w:r w:rsidRPr="00E52208">
        <w:t>C</w:t>
      </w:r>
      <w:r w:rsidR="008D0EAF" w:rsidRPr="00E52208">
        <w:t>ross-agency collaboration</w:t>
      </w:r>
      <w:r w:rsidR="00D71DCE" w:rsidRPr="00E52208">
        <w:t xml:space="preserve"> through continuation of the JWG</w:t>
      </w:r>
      <w:r w:rsidR="00DA2EC5" w:rsidRPr="00E52208">
        <w:t>.</w:t>
      </w:r>
      <w:r w:rsidRPr="00E52208">
        <w:t xml:space="preserve"> </w:t>
      </w:r>
    </w:p>
    <w:p w14:paraId="05CA9EB2" w14:textId="4E20216E" w:rsidR="00A72BFD" w:rsidRPr="00E52208" w:rsidRDefault="00815B37" w:rsidP="00CF73FF">
      <w:pPr>
        <w:pStyle w:val="BodyText"/>
        <w:spacing w:before="60"/>
      </w:pPr>
      <w:r w:rsidRPr="00E52208">
        <w:t xml:space="preserve">While retaining some </w:t>
      </w:r>
      <w:r w:rsidR="00CF73FF" w:rsidRPr="00E52208">
        <w:t xml:space="preserve">features, the </w:t>
      </w:r>
      <w:r w:rsidR="00282C65" w:rsidRPr="00E52208">
        <w:t>PbR</w:t>
      </w:r>
      <w:r w:rsidR="00CF73FF" w:rsidRPr="00E52208">
        <w:t xml:space="preserve"> has </w:t>
      </w:r>
      <w:r w:rsidR="00A72BFD" w:rsidRPr="00E52208">
        <w:t xml:space="preserve">moved </w:t>
      </w:r>
      <w:r w:rsidR="00CF73FF" w:rsidRPr="00E52208">
        <w:t>away from others,</w:t>
      </w:r>
      <w:r w:rsidR="008F5926" w:rsidRPr="00E52208">
        <w:t xml:space="preserve"> largely due to the time and cost burden associated with these features and acknowledgement that they were no longer required</w:t>
      </w:r>
      <w:r w:rsidR="00265DE0" w:rsidRPr="00E52208">
        <w:t xml:space="preserve"> (or presented benefit)</w:t>
      </w:r>
      <w:r w:rsidR="008F5926" w:rsidRPr="00E52208">
        <w:t xml:space="preserve"> in an established</w:t>
      </w:r>
      <w:r w:rsidR="00705434" w:rsidRPr="00E52208">
        <w:t>, well</w:t>
      </w:r>
      <w:r w:rsidR="00733E98" w:rsidRPr="00E52208">
        <w:t>-</w:t>
      </w:r>
      <w:r w:rsidR="00705434" w:rsidRPr="00E52208">
        <w:t>evidenced</w:t>
      </w:r>
      <w:r w:rsidR="008F5926" w:rsidRPr="00E52208">
        <w:t xml:space="preserve"> program.</w:t>
      </w:r>
      <w:r w:rsidR="00265DE0" w:rsidRPr="00E52208">
        <w:t xml:space="preserve"> The key features </w:t>
      </w:r>
      <w:r w:rsidR="00DA2EC5" w:rsidRPr="00E52208">
        <w:t xml:space="preserve">changed or </w:t>
      </w:r>
      <w:r w:rsidR="00265DE0" w:rsidRPr="00E52208">
        <w:t xml:space="preserve">removed between the PAD and </w:t>
      </w:r>
      <w:r w:rsidR="00282C65" w:rsidRPr="00E52208">
        <w:t>PbR</w:t>
      </w:r>
      <w:r w:rsidR="00265DE0" w:rsidRPr="00E52208">
        <w:t xml:space="preserve"> were:</w:t>
      </w:r>
    </w:p>
    <w:p w14:paraId="4936B342" w14:textId="1614D04E" w:rsidR="00A72BFD" w:rsidRPr="00E52208" w:rsidRDefault="00DA2EC5" w:rsidP="00632D10">
      <w:pPr>
        <w:pStyle w:val="Bullet1stlevel"/>
      </w:pPr>
      <w:r w:rsidRPr="00E52208">
        <w:t>Removal of t</w:t>
      </w:r>
      <w:r w:rsidR="00A72BFD" w:rsidRPr="00E52208">
        <w:t xml:space="preserve">he independent certifier of outcomes payments; </w:t>
      </w:r>
    </w:p>
    <w:p w14:paraId="5287C557" w14:textId="0F99659B" w:rsidR="00A72BFD" w:rsidRPr="00E52208" w:rsidRDefault="00DA2EC5" w:rsidP="00632D10">
      <w:pPr>
        <w:pStyle w:val="Bullet1stlevel"/>
      </w:pPr>
      <w:r w:rsidRPr="00E52208">
        <w:t xml:space="preserve">Removal </w:t>
      </w:r>
      <w:r w:rsidR="00A965FE" w:rsidRPr="00E52208">
        <w:t xml:space="preserve">of </w:t>
      </w:r>
      <w:r w:rsidR="00BF5F63" w:rsidRPr="00E52208">
        <w:t>t</w:t>
      </w:r>
      <w:r w:rsidR="00A72BFD" w:rsidRPr="00E52208">
        <w:t xml:space="preserve">he role of </w:t>
      </w:r>
      <w:r w:rsidR="00E36680" w:rsidRPr="00E52208">
        <w:t xml:space="preserve">private </w:t>
      </w:r>
      <w:r w:rsidR="00A72BFD" w:rsidRPr="00E52208">
        <w:t xml:space="preserve">investors; </w:t>
      </w:r>
    </w:p>
    <w:p w14:paraId="422A477D" w14:textId="24303CE6" w:rsidR="00063418" w:rsidRPr="00E52208" w:rsidRDefault="00063418" w:rsidP="00632D10">
      <w:pPr>
        <w:pStyle w:val="Bullet1stlevel"/>
      </w:pPr>
      <w:r w:rsidRPr="00E52208">
        <w:t xml:space="preserve">Changes to outcomes payments, with </w:t>
      </w:r>
      <w:r w:rsidR="00AD1733" w:rsidRPr="00E52208">
        <w:t xml:space="preserve">a </w:t>
      </w:r>
      <w:r w:rsidR="00C466B3" w:rsidRPr="00E52208">
        <w:t xml:space="preserve">reduction in risk </w:t>
      </w:r>
      <w:r w:rsidRPr="00E52208">
        <w:t xml:space="preserve">to the service provider in the event performance targets were not met;  </w:t>
      </w:r>
    </w:p>
    <w:p w14:paraId="34A657E1" w14:textId="00C3D756" w:rsidR="00D14EAE" w:rsidRPr="00E52208" w:rsidRDefault="00D14EAE" w:rsidP="00632D10">
      <w:pPr>
        <w:pStyle w:val="Bullet1stlevel"/>
      </w:pPr>
      <w:r w:rsidRPr="00E52208">
        <w:t xml:space="preserve">Changes to </w:t>
      </w:r>
      <w:r w:rsidR="00D13835">
        <w:t>the amount of funding at risk</w:t>
      </w:r>
      <w:r w:rsidRPr="00E52208">
        <w:t xml:space="preserve"> (</w:t>
      </w:r>
      <w:r w:rsidR="00196566" w:rsidRPr="00E52208">
        <w:t>discussed further on page</w:t>
      </w:r>
      <w:r w:rsidR="001C47DA">
        <w:t xml:space="preserve"> </w:t>
      </w:r>
      <w:r w:rsidR="001C47DA">
        <w:fldChar w:fldCharType="begin"/>
      </w:r>
      <w:r w:rsidR="001C47DA">
        <w:instrText xml:space="preserve"> PAGEREF _Ref152617702 \h </w:instrText>
      </w:r>
      <w:r w:rsidR="001C47DA">
        <w:fldChar w:fldCharType="separate"/>
      </w:r>
      <w:r w:rsidR="005B05CA">
        <w:rPr>
          <w:noProof/>
        </w:rPr>
        <w:t>30</w:t>
      </w:r>
      <w:r w:rsidR="001C47DA">
        <w:fldChar w:fldCharType="end"/>
      </w:r>
      <w:r w:rsidR="00196566" w:rsidRPr="00E52208">
        <w:t xml:space="preserve">); </w:t>
      </w:r>
    </w:p>
    <w:p w14:paraId="0BB534DB" w14:textId="1095DAC4" w:rsidR="00A72BFD" w:rsidRPr="00644243" w:rsidRDefault="00A965FE" w:rsidP="00632D10">
      <w:pPr>
        <w:pStyle w:val="Bullet1stlevel"/>
      </w:pPr>
      <w:r w:rsidRPr="00644243">
        <w:t>Removal of c</w:t>
      </w:r>
      <w:r w:rsidR="00A72BFD" w:rsidRPr="00644243">
        <w:t>ertain contractual liabilities (such as around deaths in the cohort)</w:t>
      </w:r>
      <w:r w:rsidR="00063418">
        <w:t xml:space="preserve">; </w:t>
      </w:r>
      <w:r w:rsidR="00C43DE5">
        <w:t>and</w:t>
      </w:r>
    </w:p>
    <w:p w14:paraId="14E0A7CA" w14:textId="4A6A4548" w:rsidR="009610ED" w:rsidRPr="00644243" w:rsidRDefault="0037663C" w:rsidP="00632D10">
      <w:pPr>
        <w:pStyle w:val="Bullet1stlevel"/>
      </w:pPr>
      <w:r w:rsidRPr="00644243">
        <w:t>T</w:t>
      </w:r>
      <w:r w:rsidR="009610ED" w:rsidRPr="00644243">
        <w:t>imelines and reporting</w:t>
      </w:r>
      <w:r w:rsidR="00C43DE5">
        <w:t xml:space="preserve"> being</w:t>
      </w:r>
      <w:r w:rsidRPr="00644243">
        <w:t xml:space="preserve"> made more flexible to reflect </w:t>
      </w:r>
      <w:r w:rsidR="00BF5F63" w:rsidRPr="00644243">
        <w:t>impact of key dependencies on outcomes analysis timeframes</w:t>
      </w:r>
      <w:r w:rsidR="00C43DE5">
        <w:t>.</w:t>
      </w:r>
    </w:p>
    <w:p w14:paraId="23CC5C4D" w14:textId="657161AA" w:rsidR="00746969" w:rsidRDefault="00746969" w:rsidP="007A2CBF">
      <w:pPr>
        <w:pStyle w:val="Heading3"/>
      </w:pPr>
      <w:bookmarkStart w:id="91" w:name="_Ref150184243"/>
      <w:r>
        <w:t>The PAD has informed subsequent programs and policy</w:t>
      </w:r>
      <w:bookmarkEnd w:id="91"/>
      <w:r>
        <w:t xml:space="preserve"> </w:t>
      </w:r>
    </w:p>
    <w:tbl>
      <w:tblPr>
        <w:tblStyle w:val="KPMGTable"/>
        <w:tblW w:w="9913" w:type="dxa"/>
        <w:tblLook w:val="0420" w:firstRow="1" w:lastRow="0" w:firstColumn="0" w:lastColumn="0" w:noHBand="0" w:noVBand="1"/>
      </w:tblPr>
      <w:tblGrid>
        <w:gridCol w:w="3261"/>
        <w:gridCol w:w="6652"/>
      </w:tblGrid>
      <w:tr w:rsidR="008D2C0F" w:rsidRPr="006E2084" w14:paraId="4EEF6BCE" w14:textId="77777777" w:rsidTr="0050029A">
        <w:trPr>
          <w:cnfStyle w:val="100000000000" w:firstRow="1" w:lastRow="0" w:firstColumn="0" w:lastColumn="0" w:oddVBand="0" w:evenVBand="0" w:oddHBand="0" w:evenHBand="0" w:firstRowFirstColumn="0" w:firstRowLastColumn="0" w:lastRowFirstColumn="0" w:lastRowLastColumn="0"/>
          <w:trHeight w:val="1655"/>
        </w:trPr>
        <w:tc>
          <w:tcPr>
            <w:tcW w:w="0" w:type="dxa"/>
            <w:shd w:val="clear" w:color="auto" w:fill="F2F2F2" w:themeFill="background1" w:themeFillShade="F2"/>
            <w:vAlign w:val="center"/>
            <w:hideMark/>
          </w:tcPr>
          <w:p w14:paraId="6EFF82FD" w14:textId="77777777" w:rsidR="008D2C0F" w:rsidRPr="0009501D" w:rsidRDefault="008D2C0F" w:rsidP="001939CA">
            <w:pPr>
              <w:pStyle w:val="TableTextBLUE"/>
            </w:pPr>
            <w:r w:rsidRPr="0009501D">
              <w:t xml:space="preserve">What were the outcomes of J2SI SII in light of its structure as a SII funding mechanism? </w:t>
            </w:r>
          </w:p>
        </w:tc>
        <w:tc>
          <w:tcPr>
            <w:tcW w:w="0" w:type="dxa"/>
            <w:shd w:val="clear" w:color="auto" w:fill="auto"/>
            <w:vAlign w:val="center"/>
            <w:hideMark/>
          </w:tcPr>
          <w:p w14:paraId="7223868E" w14:textId="7F42DAE3" w:rsidR="00702A42" w:rsidRPr="0009501D" w:rsidRDefault="00702A42" w:rsidP="00733E98">
            <w:pPr>
              <w:pStyle w:val="Tabletext"/>
              <w:rPr>
                <w:color w:val="00338D"/>
                <w:szCs w:val="18"/>
              </w:rPr>
            </w:pPr>
            <w:r w:rsidRPr="0009501D">
              <w:rPr>
                <w:color w:val="00338D"/>
                <w:szCs w:val="18"/>
              </w:rPr>
              <w:t xml:space="preserve">The PAD supported </w:t>
            </w:r>
            <w:r w:rsidR="00AA3312" w:rsidRPr="0009501D">
              <w:rPr>
                <w:color w:val="00338D"/>
                <w:szCs w:val="18"/>
              </w:rPr>
              <w:t>g</w:t>
            </w:r>
            <w:r w:rsidRPr="0009501D">
              <w:rPr>
                <w:color w:val="00338D"/>
                <w:szCs w:val="18"/>
              </w:rPr>
              <w:t>overnment outcomes, informing subsequent programs and policy, including:</w:t>
            </w:r>
          </w:p>
          <w:p w14:paraId="57EDE288" w14:textId="77777777" w:rsidR="00702A42" w:rsidRPr="00D8444F" w:rsidRDefault="00702A42" w:rsidP="00733E98">
            <w:pPr>
              <w:pStyle w:val="Tablebullet1"/>
              <w:rPr>
                <w:color w:val="00338D"/>
              </w:rPr>
            </w:pPr>
            <w:r w:rsidRPr="00D8444F">
              <w:rPr>
                <w:color w:val="00338D"/>
              </w:rPr>
              <w:t>The PADs initiative</w:t>
            </w:r>
          </w:p>
          <w:p w14:paraId="0BD2F4D5" w14:textId="77777777" w:rsidR="0031504F" w:rsidRPr="00D8444F" w:rsidRDefault="0031504F" w:rsidP="0031504F">
            <w:pPr>
              <w:pStyle w:val="Tablebullet1"/>
              <w:rPr>
                <w:color w:val="00338D"/>
              </w:rPr>
            </w:pPr>
            <w:r>
              <w:rPr>
                <w:color w:val="00338D"/>
              </w:rPr>
              <w:t>T</w:t>
            </w:r>
            <w:r w:rsidRPr="00D8444F">
              <w:rPr>
                <w:color w:val="00338D"/>
              </w:rPr>
              <w:t>he EIIF</w:t>
            </w:r>
          </w:p>
          <w:p w14:paraId="0405469A" w14:textId="77777777" w:rsidR="0031504F" w:rsidRDefault="00702A42" w:rsidP="00733E98">
            <w:pPr>
              <w:pStyle w:val="Tablebullet1"/>
              <w:rPr>
                <w:color w:val="00338D"/>
              </w:rPr>
            </w:pPr>
            <w:r w:rsidRPr="00D8444F">
              <w:rPr>
                <w:color w:val="00338D"/>
              </w:rPr>
              <w:t xml:space="preserve">The J2SI </w:t>
            </w:r>
            <w:r w:rsidR="00282C65" w:rsidRPr="00D8444F">
              <w:rPr>
                <w:color w:val="00338D"/>
              </w:rPr>
              <w:t>PbR</w:t>
            </w:r>
            <w:r w:rsidRPr="00D8444F">
              <w:rPr>
                <w:color w:val="00338D"/>
              </w:rPr>
              <w:t xml:space="preserve"> </w:t>
            </w:r>
          </w:p>
          <w:p w14:paraId="5B5109BD" w14:textId="6489A5C5" w:rsidR="008D2C0F" w:rsidRPr="00D8444F" w:rsidRDefault="00702A42" w:rsidP="00733E98">
            <w:pPr>
              <w:pStyle w:val="Tablebullet1"/>
              <w:rPr>
                <w:color w:val="00338D"/>
              </w:rPr>
            </w:pPr>
            <w:r w:rsidRPr="00D8444F">
              <w:rPr>
                <w:color w:val="00338D"/>
              </w:rPr>
              <w:t>Other housing first programs (</w:t>
            </w:r>
            <w:r w:rsidR="00893C15" w:rsidRPr="00D8444F">
              <w:rPr>
                <w:color w:val="00338D"/>
              </w:rPr>
              <w:t>H2H</w:t>
            </w:r>
            <w:r w:rsidRPr="00D8444F">
              <w:rPr>
                <w:color w:val="00338D"/>
              </w:rPr>
              <w:t>)</w:t>
            </w:r>
            <w:r w:rsidR="00A2751F" w:rsidRPr="00D8444F">
              <w:rPr>
                <w:color w:val="00338D"/>
              </w:rPr>
              <w:t>.</w:t>
            </w:r>
          </w:p>
        </w:tc>
      </w:tr>
      <w:tr w:rsidR="008D2C0F" w:rsidRPr="006E2084" w14:paraId="60BA8827" w14:textId="77777777" w:rsidTr="0050029A">
        <w:trPr>
          <w:trHeight w:val="2485"/>
        </w:trPr>
        <w:tc>
          <w:tcPr>
            <w:tcW w:w="0" w:type="dxa"/>
            <w:shd w:val="clear" w:color="auto" w:fill="F2F2F2" w:themeFill="background1" w:themeFillShade="F2"/>
            <w:vAlign w:val="center"/>
            <w:hideMark/>
          </w:tcPr>
          <w:p w14:paraId="0838BAB0" w14:textId="77777777" w:rsidR="008D2C0F" w:rsidRPr="0009501D" w:rsidRDefault="008D2C0F" w:rsidP="00733E98">
            <w:pPr>
              <w:pStyle w:val="Tabletext"/>
              <w:rPr>
                <w:szCs w:val="18"/>
              </w:rPr>
            </w:pPr>
            <w:r w:rsidRPr="0009501D">
              <w:rPr>
                <w:szCs w:val="18"/>
              </w:rPr>
              <w:t>Were the outcomes the same as when the program was implemented differently?</w:t>
            </w:r>
          </w:p>
        </w:tc>
        <w:tc>
          <w:tcPr>
            <w:tcW w:w="0" w:type="dxa"/>
            <w:shd w:val="clear" w:color="auto" w:fill="auto"/>
            <w:vAlign w:val="center"/>
            <w:hideMark/>
          </w:tcPr>
          <w:p w14:paraId="7AD9F73B" w14:textId="77777777" w:rsidR="00911B22" w:rsidRPr="0009501D" w:rsidRDefault="006E3E57" w:rsidP="006E3E57">
            <w:pPr>
              <w:pStyle w:val="Tabletext"/>
              <w:rPr>
                <w:szCs w:val="18"/>
              </w:rPr>
            </w:pPr>
            <w:r w:rsidRPr="0009501D">
              <w:rPr>
                <w:szCs w:val="18"/>
              </w:rPr>
              <w:t xml:space="preserve">The J2SI PAD has had a greater impact on broader government programs and policy, relative to the Pilot and Phase 2 RCT, with the J2SI PAD considered to have paved the way for the development of subsequent PADs, the J2SI PbR, the EIIF, and H2H. </w:t>
            </w:r>
          </w:p>
          <w:p w14:paraId="727F3892" w14:textId="71B5515F" w:rsidR="006E3E57" w:rsidRPr="0009501D" w:rsidRDefault="006E3E57" w:rsidP="006E3E57">
            <w:pPr>
              <w:pStyle w:val="Tabletext"/>
              <w:rPr>
                <w:szCs w:val="18"/>
              </w:rPr>
            </w:pPr>
            <w:r w:rsidRPr="0009501D">
              <w:rPr>
                <w:szCs w:val="18"/>
              </w:rPr>
              <w:t xml:space="preserve">The greater impact of the PAD on programs and policy may, in part, be due to this iteration of the program being the first to receive substantive government funding, with the Pilot receiving no government funding and the Phase 2 RCT receiving a small DHHS grant. </w:t>
            </w:r>
          </w:p>
          <w:p w14:paraId="035EA3B2" w14:textId="18F355A8" w:rsidR="008D2C0F" w:rsidRPr="0009501D" w:rsidRDefault="006E3E57" w:rsidP="006E3E57">
            <w:pPr>
              <w:pStyle w:val="Tabletext"/>
              <w:rPr>
                <w:szCs w:val="18"/>
              </w:rPr>
            </w:pPr>
            <w:r w:rsidRPr="0009501D">
              <w:rPr>
                <w:szCs w:val="18"/>
              </w:rPr>
              <w:t>Policy impacts of J2SI PbR are yet to be seen, given the early stage of the program.</w:t>
            </w:r>
          </w:p>
        </w:tc>
      </w:tr>
      <w:tr w:rsidR="008D2C0F" w:rsidRPr="006E2084" w14:paraId="5453CD29" w14:textId="77777777" w:rsidTr="0050029A">
        <w:trPr>
          <w:trHeight w:val="1319"/>
        </w:trPr>
        <w:tc>
          <w:tcPr>
            <w:tcW w:w="0" w:type="dxa"/>
            <w:shd w:val="clear" w:color="auto" w:fill="F2F2F2" w:themeFill="background1" w:themeFillShade="F2"/>
            <w:vAlign w:val="center"/>
            <w:hideMark/>
          </w:tcPr>
          <w:p w14:paraId="5AC41201" w14:textId="77777777" w:rsidR="008D2C0F" w:rsidRPr="0009501D" w:rsidRDefault="008D2C0F" w:rsidP="00733E98">
            <w:pPr>
              <w:pStyle w:val="Tabletext"/>
              <w:rPr>
                <w:szCs w:val="18"/>
              </w:rPr>
            </w:pPr>
            <w:r w:rsidRPr="0009501D">
              <w:rPr>
                <w:szCs w:val="18"/>
              </w:rPr>
              <w:t xml:space="preserve">Can the outcomes be attributed to the program as a SII? </w:t>
            </w:r>
          </w:p>
        </w:tc>
        <w:tc>
          <w:tcPr>
            <w:tcW w:w="0" w:type="dxa"/>
            <w:shd w:val="clear" w:color="auto" w:fill="auto"/>
            <w:vAlign w:val="center"/>
            <w:hideMark/>
          </w:tcPr>
          <w:p w14:paraId="2EF3A6D4" w14:textId="7350ACBF" w:rsidR="008D2C0F" w:rsidRPr="0009501D" w:rsidRDefault="001F283B" w:rsidP="00733E98">
            <w:pPr>
              <w:pStyle w:val="Tabletext"/>
              <w:rPr>
                <w:szCs w:val="18"/>
              </w:rPr>
            </w:pPr>
            <w:r w:rsidRPr="0009501D">
              <w:rPr>
                <w:szCs w:val="18"/>
              </w:rPr>
              <w:t xml:space="preserve">Stakeholders reported that the J2SI </w:t>
            </w:r>
            <w:r w:rsidR="00282C65" w:rsidRPr="0009501D">
              <w:rPr>
                <w:szCs w:val="18"/>
              </w:rPr>
              <w:t>PbR</w:t>
            </w:r>
            <w:r w:rsidRPr="0009501D">
              <w:rPr>
                <w:szCs w:val="18"/>
              </w:rPr>
              <w:t xml:space="preserve"> would not have been pursued without the J2SI PAD and its learnings. Other PADs, the EIIF and H2H have all drawn from the learnings of the J2SI PAD, although these programs</w:t>
            </w:r>
            <w:r w:rsidR="001A20E1" w:rsidRPr="0009501D">
              <w:rPr>
                <w:szCs w:val="18"/>
              </w:rPr>
              <w:t>/</w:t>
            </w:r>
            <w:r w:rsidRPr="0009501D">
              <w:rPr>
                <w:szCs w:val="18"/>
              </w:rPr>
              <w:t>policy have also been built on other factors, such as an increasing government appetite for SIBs and outcomes based models.</w:t>
            </w:r>
          </w:p>
        </w:tc>
      </w:tr>
      <w:tr w:rsidR="008D2C0F" w:rsidRPr="006E2084" w14:paraId="5A40ED68" w14:textId="77777777" w:rsidTr="00344506">
        <w:trPr>
          <w:trHeight w:val="884"/>
        </w:trPr>
        <w:tc>
          <w:tcPr>
            <w:tcW w:w="3261" w:type="dxa"/>
            <w:shd w:val="clear" w:color="auto" w:fill="F2F2F2" w:themeFill="background1" w:themeFillShade="F2"/>
            <w:vAlign w:val="center"/>
            <w:hideMark/>
          </w:tcPr>
          <w:p w14:paraId="49A33C13" w14:textId="77777777" w:rsidR="008D2C0F" w:rsidRPr="0009501D" w:rsidRDefault="008D2C0F" w:rsidP="00E958DF">
            <w:pPr>
              <w:pStyle w:val="TabletextItalic"/>
            </w:pPr>
            <w:r w:rsidRPr="0009501D">
              <w:t>Has there been a change in findings from interim evaluation?</w:t>
            </w:r>
          </w:p>
        </w:tc>
        <w:tc>
          <w:tcPr>
            <w:tcW w:w="6652" w:type="dxa"/>
            <w:shd w:val="clear" w:color="auto" w:fill="auto"/>
            <w:vAlign w:val="center"/>
            <w:hideMark/>
          </w:tcPr>
          <w:p w14:paraId="16446E1C" w14:textId="398C074F" w:rsidR="008D2C0F" w:rsidRPr="0009501D" w:rsidRDefault="008D2C0F" w:rsidP="00E958DF">
            <w:pPr>
              <w:pStyle w:val="TabletextItalic"/>
            </w:pPr>
            <w:r w:rsidRPr="0009501D">
              <w:t>There has been a more significant effect of the J2SI PAD in terms of driving broader change</w:t>
            </w:r>
            <w:r w:rsidR="0043413C">
              <w:t>,</w:t>
            </w:r>
            <w:r w:rsidRPr="0009501D">
              <w:t xml:space="preserve"> particularly within DTF.</w:t>
            </w:r>
          </w:p>
        </w:tc>
      </w:tr>
    </w:tbl>
    <w:p w14:paraId="71FDCB77" w14:textId="534B8151" w:rsidR="00746969" w:rsidRDefault="00746969" w:rsidP="00FF4759">
      <w:pPr>
        <w:pStyle w:val="BodyText"/>
      </w:pPr>
      <w:r>
        <w:t xml:space="preserve">The J2SI PAD has informed the development of subsequent programs </w:t>
      </w:r>
      <w:r w:rsidR="008049B4">
        <w:t>and policy</w:t>
      </w:r>
      <w:r>
        <w:t xml:space="preserve">. Subsequent programs have </w:t>
      </w:r>
      <w:r w:rsidR="00521D9A">
        <w:t>moved</w:t>
      </w:r>
      <w:r>
        <w:t xml:space="preserve"> away from J2SI PAD features considered as administratively burdensome</w:t>
      </w:r>
      <w:r w:rsidR="00521D9A">
        <w:t xml:space="preserve"> (noted above)</w:t>
      </w:r>
      <w:r>
        <w:t xml:space="preserve">, improving ease of implementation and </w:t>
      </w:r>
      <w:r w:rsidR="002E7EA7">
        <w:t>enabl</w:t>
      </w:r>
      <w:r w:rsidR="00100420">
        <w:t>ing</w:t>
      </w:r>
      <w:r w:rsidR="002E7EA7">
        <w:t xml:space="preserve"> </w:t>
      </w:r>
      <w:r w:rsidR="00D44C34">
        <w:t>the</w:t>
      </w:r>
      <w:r w:rsidR="002E7EA7">
        <w:t xml:space="preserve"> program </w:t>
      </w:r>
      <w:r w:rsidR="00D44C34">
        <w:t>to</w:t>
      </w:r>
      <w:r w:rsidR="002E7EA7">
        <w:t xml:space="preserve"> scal</w:t>
      </w:r>
      <w:r w:rsidR="00D44C34">
        <w:t>e</w:t>
      </w:r>
      <w:r w:rsidR="00EF539D">
        <w:t xml:space="preserve"> up</w:t>
      </w:r>
      <w:r>
        <w:t xml:space="preserve">. </w:t>
      </w:r>
      <w:r w:rsidR="00021740" w:rsidRPr="00021740">
        <w:t>Some</w:t>
      </w:r>
      <w:r>
        <w:t xml:space="preserve"> stakeholders </w:t>
      </w:r>
      <w:r w:rsidR="00021740" w:rsidRPr="00021740">
        <w:t>observed</w:t>
      </w:r>
      <w:r>
        <w:t xml:space="preserve"> that</w:t>
      </w:r>
      <w:r w:rsidR="0043413C">
        <w:t>,</w:t>
      </w:r>
      <w:r w:rsidR="00445505">
        <w:t xml:space="preserve"> </w:t>
      </w:r>
      <w:r w:rsidR="00021740" w:rsidRPr="00021740">
        <w:t xml:space="preserve">when certain program </w:t>
      </w:r>
      <w:r w:rsidR="00445505">
        <w:t xml:space="preserve">features were </w:t>
      </w:r>
      <w:r w:rsidR="00021740" w:rsidRPr="00021740">
        <w:t>incorporated into</w:t>
      </w:r>
      <w:r w:rsidR="00510EE8">
        <w:t xml:space="preserve"> other</w:t>
      </w:r>
      <w:r w:rsidR="00445505">
        <w:t xml:space="preserve"> program</w:t>
      </w:r>
      <w:r w:rsidR="00510EE8">
        <w:t>s</w:t>
      </w:r>
      <w:r w:rsidR="00021740" w:rsidRPr="00021740">
        <w:t>, there</w:t>
      </w:r>
      <w:r w:rsidR="00A715EA">
        <w:t xml:space="preserve"> were instances </w:t>
      </w:r>
      <w:r w:rsidR="00021740" w:rsidRPr="00021740">
        <w:t xml:space="preserve">where </w:t>
      </w:r>
      <w:r w:rsidR="00A715EA">
        <w:t xml:space="preserve">not </w:t>
      </w:r>
      <w:r w:rsidR="005D6A91">
        <w:t>all aspects of the feature</w:t>
      </w:r>
      <w:r w:rsidR="00021740" w:rsidRPr="00021740">
        <w:t xml:space="preserve"> were preserved</w:t>
      </w:r>
      <w:r w:rsidR="00021740">
        <w:t>. This led to, for example, reduced</w:t>
      </w:r>
      <w:r w:rsidR="005D6A91">
        <w:t xml:space="preserve"> intensity of case management</w:t>
      </w:r>
      <w:r w:rsidR="007F65C1">
        <w:t xml:space="preserve"> in H2H, which </w:t>
      </w:r>
      <w:r w:rsidR="0065703C">
        <w:t>derived aspects of its approach from J2SI</w:t>
      </w:r>
      <w:r w:rsidR="005D6A91">
        <w:t>.</w:t>
      </w:r>
      <w:r w:rsidR="00DA42AE">
        <w:t xml:space="preserve"> </w:t>
      </w:r>
      <w:r w:rsidR="006E4748">
        <w:t>It</w:t>
      </w:r>
      <w:r w:rsidR="00DA42AE">
        <w:t xml:space="preserve"> was</w:t>
      </w:r>
      <w:r w:rsidR="00D94D98">
        <w:t xml:space="preserve"> </w:t>
      </w:r>
      <w:r w:rsidR="006E4748">
        <w:t xml:space="preserve">noted that this may have an impact </w:t>
      </w:r>
      <w:r w:rsidR="00D94D98">
        <w:t xml:space="preserve">on the </w:t>
      </w:r>
      <w:r w:rsidR="006E4748">
        <w:t xml:space="preserve">effectiveness of the </w:t>
      </w:r>
      <w:r w:rsidR="00DA42AE">
        <w:t xml:space="preserve">elements </w:t>
      </w:r>
      <w:r w:rsidR="006E4748">
        <w:t>within other</w:t>
      </w:r>
      <w:r w:rsidR="00DA42AE">
        <w:t xml:space="preserve"> programs</w:t>
      </w:r>
      <w:r w:rsidR="006E4748">
        <w:t>.</w:t>
      </w:r>
      <w:r w:rsidR="00DA42AE">
        <w:t xml:space="preserve"> The effectiveness of these </w:t>
      </w:r>
      <w:r w:rsidR="004A7153">
        <w:t>subsequent programs will be explored in future evaluations.</w:t>
      </w:r>
      <w:r>
        <w:t xml:space="preserve"> </w:t>
      </w:r>
    </w:p>
    <w:p w14:paraId="78A76BC0" w14:textId="43B6B65D" w:rsidR="00BE2F02" w:rsidRPr="00405397" w:rsidRDefault="005C4FC2" w:rsidP="009E6052">
      <w:pPr>
        <w:pStyle w:val="Heading4"/>
      </w:pPr>
      <w:r>
        <w:lastRenderedPageBreak/>
        <w:t>Development</w:t>
      </w:r>
      <w:r w:rsidR="00BE2F02" w:rsidRPr="00405397">
        <w:t xml:space="preserve"> of </w:t>
      </w:r>
      <w:r w:rsidR="002E7EA7">
        <w:t>the</w:t>
      </w:r>
      <w:r w:rsidR="00BE2F02">
        <w:t xml:space="preserve"> PAD</w:t>
      </w:r>
      <w:r w:rsidR="002E7EA7">
        <w:t>s initiative</w:t>
      </w:r>
    </w:p>
    <w:p w14:paraId="49DD978A" w14:textId="0EA5F883" w:rsidR="00BE2F02" w:rsidRDefault="00BE2F02" w:rsidP="00BE2F02">
      <w:r w:rsidRPr="00C97095">
        <w:t>The Victorian Government’s PADs initiative</w:t>
      </w:r>
      <w:r w:rsidR="001620C9">
        <w:t xml:space="preserve"> includes five </w:t>
      </w:r>
      <w:r w:rsidRPr="00C97095">
        <w:t xml:space="preserve">social impact investments that </w:t>
      </w:r>
      <w:r w:rsidR="001620C9">
        <w:t xml:space="preserve">seek to </w:t>
      </w:r>
      <w:r w:rsidR="000B4FB3">
        <w:t>challenge</w:t>
      </w:r>
      <w:r w:rsidRPr="00C97095">
        <w:t xml:space="preserve"> complex social issues through outcomes-based partnerships.</w:t>
      </w:r>
      <w:r w:rsidR="00272B50">
        <w:rPr>
          <w:rFonts w:ascii="ZWAdobeF" w:hAnsi="ZWAdobeF" w:cs="ZWAdobeF"/>
          <w:color w:val="auto"/>
          <w:sz w:val="2"/>
          <w:szCs w:val="2"/>
        </w:rPr>
        <w:t>25F</w:t>
      </w:r>
      <w:r w:rsidR="00125CA2">
        <w:rPr>
          <w:rFonts w:ascii="ZWAdobeF" w:hAnsi="ZWAdobeF" w:cs="ZWAdobeF"/>
          <w:color w:val="auto"/>
          <w:sz w:val="2"/>
          <w:szCs w:val="2"/>
        </w:rPr>
        <w:t>25F</w:t>
      </w:r>
      <w:r>
        <w:rPr>
          <w:rStyle w:val="FootnoteReference"/>
        </w:rPr>
        <w:footnoteReference w:id="44"/>
      </w:r>
      <w:r>
        <w:t xml:space="preserve"> PADs are considered a bespoke approach to social impact investment, allowing innovative initiatives to be piloted with payments based on outcomes</w:t>
      </w:r>
      <w:r w:rsidR="00D949A5">
        <w:t xml:space="preserve"> delivered</w:t>
      </w:r>
      <w:r>
        <w:t>.</w:t>
      </w:r>
      <w:r w:rsidRPr="00D74122">
        <w:t xml:space="preserve"> </w:t>
      </w:r>
      <w:r>
        <w:t xml:space="preserve">Since 2016, the Victorian Government has invested </w:t>
      </w:r>
      <w:r w:rsidR="005F2349">
        <w:t xml:space="preserve">over </w:t>
      </w:r>
      <w:r>
        <w:t>$80 million in PAD initiatives.</w:t>
      </w:r>
    </w:p>
    <w:p w14:paraId="550B6D76" w14:textId="0CAD0598" w:rsidR="00BE2F02" w:rsidRDefault="00BE2F02" w:rsidP="00BE2F02">
      <w:r>
        <w:t>J2SI was one of the first PAD</w:t>
      </w:r>
      <w:r w:rsidR="008049B4">
        <w:t>s</w:t>
      </w:r>
      <w:r w:rsidR="0062080C">
        <w:t xml:space="preserve"> </w:t>
      </w:r>
      <w:r>
        <w:t xml:space="preserve">to be established, alongside the COMPASS </w:t>
      </w:r>
      <w:r w:rsidR="001E5972">
        <w:t>PAD</w:t>
      </w:r>
      <w:r>
        <w:t xml:space="preserve">. There was general consensus among consulted stakeholders that J2SI helped to inform the development of the three PADs that have followed: Living Learning, Side by Side and Arc. </w:t>
      </w:r>
    </w:p>
    <w:p w14:paraId="07200013" w14:textId="32F793F2" w:rsidR="00BE2F02" w:rsidRPr="00405397" w:rsidRDefault="00BE2F02" w:rsidP="009E6052">
      <w:pPr>
        <w:pStyle w:val="Heading4"/>
      </w:pPr>
      <w:bookmarkStart w:id="92" w:name="_Ref150409098"/>
      <w:r>
        <w:t>E</w:t>
      </w:r>
      <w:r w:rsidRPr="00405397">
        <w:t>stablishment of the Early Intervention Investment F</w:t>
      </w:r>
      <w:r>
        <w:t>ramework (EIIF)</w:t>
      </w:r>
      <w:bookmarkEnd w:id="92"/>
    </w:p>
    <w:p w14:paraId="71AF8ED9" w14:textId="2F6D9055" w:rsidR="00BE2F02" w:rsidRPr="005670BF" w:rsidRDefault="00BE2F02" w:rsidP="00BE2F02">
      <w:pPr>
        <w:pStyle w:val="BodyText"/>
      </w:pPr>
      <w:r w:rsidRPr="005670BF">
        <w:t>Building on the success of the PADs, the Victorian Government introduced the EIIF in the 2021-22 Budget, making it the first Australian jurisdiction to embed early intervention into its budget process.</w:t>
      </w:r>
      <w:r w:rsidR="00272B50">
        <w:rPr>
          <w:rFonts w:ascii="ZWAdobeF" w:hAnsi="ZWAdobeF" w:cs="ZWAdobeF"/>
          <w:color w:val="auto"/>
          <w:sz w:val="2"/>
          <w:szCs w:val="2"/>
        </w:rPr>
        <w:t>26F</w:t>
      </w:r>
      <w:r w:rsidR="00125CA2">
        <w:rPr>
          <w:rFonts w:ascii="ZWAdobeF" w:hAnsi="ZWAdobeF" w:cs="ZWAdobeF"/>
          <w:color w:val="auto"/>
          <w:sz w:val="2"/>
          <w:szCs w:val="2"/>
        </w:rPr>
        <w:t>26F</w:t>
      </w:r>
      <w:r>
        <w:rPr>
          <w:rStyle w:val="FootnoteReference"/>
        </w:rPr>
        <w:footnoteReference w:id="45"/>
      </w:r>
      <w:r w:rsidRPr="005670BF">
        <w:t xml:space="preserve"> The EIIF calls for departments seeking funding to set both outcome measures and expected outcomes, along with estimating the avoided cost to </w:t>
      </w:r>
      <w:r w:rsidR="00923E2A">
        <w:t>g</w:t>
      </w:r>
      <w:r w:rsidRPr="005670BF">
        <w:t xml:space="preserve">overnment from the reduction in use of acute services as part of the </w:t>
      </w:r>
      <w:r w:rsidR="00126119">
        <w:t>B</w:t>
      </w:r>
      <w:r w:rsidRPr="005670BF">
        <w:t>udget bid. The EIIF builds on the success of the PAD</w:t>
      </w:r>
      <w:r w:rsidR="00923E2A">
        <w:t>’</w:t>
      </w:r>
      <w:r w:rsidRPr="005670BF">
        <w:t xml:space="preserve">s approach of setting outcome measures and avoided costs and provides a centralised approach to early intervention. While PADs provide an opportunity to trial smaller scale initiatives, the EIIF accommodates a range of initiatives, providing a pathway for successful initiatives to be delivered at scale. </w:t>
      </w:r>
    </w:p>
    <w:p w14:paraId="24289A1C" w14:textId="070A4E43" w:rsidR="00356AE0" w:rsidRDefault="00BE2F02" w:rsidP="00BE2F02">
      <w:pPr>
        <w:pStyle w:val="BodyText"/>
      </w:pPr>
      <w:r w:rsidRPr="005670BF">
        <w:t>As one of the first successful PADs, J2SI has helped inform development of the EI</w:t>
      </w:r>
      <w:r w:rsidR="00785EBD">
        <w:t>I</w:t>
      </w:r>
      <w:r w:rsidRPr="005670BF">
        <w:t>F, along with acting as a use case – with J2SI progressing from</w:t>
      </w:r>
      <w:r>
        <w:t xml:space="preserve"> a</w:t>
      </w:r>
      <w:r w:rsidRPr="005670BF">
        <w:t xml:space="preserve"> PAD to being funded under the 2021-22 EI</w:t>
      </w:r>
      <w:r w:rsidR="00785EBD">
        <w:t>I</w:t>
      </w:r>
      <w:r w:rsidRPr="005670BF">
        <w:t xml:space="preserve">F package as the </w:t>
      </w:r>
      <w:r w:rsidR="00282C65">
        <w:t>PbR</w:t>
      </w:r>
      <w:r w:rsidRPr="005670BF">
        <w:t>.</w:t>
      </w:r>
      <w:r w:rsidR="00465CEA">
        <w:t xml:space="preserve"> Stakeholders </w:t>
      </w:r>
      <w:r w:rsidR="008D4F99">
        <w:t>reported</w:t>
      </w:r>
      <w:r w:rsidR="001378F7">
        <w:t xml:space="preserve"> that</w:t>
      </w:r>
      <w:r w:rsidR="00465CEA">
        <w:t xml:space="preserve"> the</w:t>
      </w:r>
      <w:r w:rsidR="00356AE0" w:rsidRPr="00356AE0">
        <w:t xml:space="preserve"> J2SI PAD acts as an exemplar program</w:t>
      </w:r>
      <w:r w:rsidR="00465CEA">
        <w:t xml:space="preserve"> </w:t>
      </w:r>
      <w:r w:rsidR="00923E2A">
        <w:t>from</w:t>
      </w:r>
      <w:r w:rsidR="00923E2A" w:rsidRPr="00356AE0">
        <w:t xml:space="preserve"> </w:t>
      </w:r>
      <w:r w:rsidR="00356AE0" w:rsidRPr="00356AE0">
        <w:t>which the EIIF readily draw</w:t>
      </w:r>
      <w:r w:rsidR="00302CD1">
        <w:t>s</w:t>
      </w:r>
      <w:r w:rsidR="00356AE0" w:rsidRPr="00356AE0">
        <w:t xml:space="preserve"> learnings. </w:t>
      </w:r>
      <w:r w:rsidR="001378F7">
        <w:t>By way of example, stakeholders reported that</w:t>
      </w:r>
      <w:r w:rsidR="00356AE0">
        <w:t xml:space="preserve"> </w:t>
      </w:r>
      <w:r w:rsidR="00465CEA">
        <w:t xml:space="preserve">DTF often looks to the </w:t>
      </w:r>
      <w:r w:rsidR="00356AE0" w:rsidRPr="00356AE0">
        <w:t>J2SI PAD payable outcomes when seeking to increase the statistical validity of its growing library of EIIF outcome measures.</w:t>
      </w:r>
    </w:p>
    <w:p w14:paraId="307377BD" w14:textId="6AABCA91" w:rsidR="00746969" w:rsidRPr="00405397" w:rsidRDefault="00746969" w:rsidP="009E6052">
      <w:pPr>
        <w:pStyle w:val="Heading4"/>
      </w:pPr>
      <w:bookmarkStart w:id="93" w:name="_Ref152617702"/>
      <w:r>
        <w:t>D</w:t>
      </w:r>
      <w:r w:rsidRPr="00405397">
        <w:t xml:space="preserve">evelopment of J2SI </w:t>
      </w:r>
      <w:r w:rsidR="00282C65">
        <w:t>PbR</w:t>
      </w:r>
      <w:bookmarkEnd w:id="93"/>
    </w:p>
    <w:p w14:paraId="52F19A4F" w14:textId="5556D2A0" w:rsidR="00BE2F02" w:rsidRDefault="00746969" w:rsidP="00746969">
      <w:pPr>
        <w:pStyle w:val="BodyText"/>
      </w:pPr>
      <w:r>
        <w:t>The J2SI PAD</w:t>
      </w:r>
      <w:r w:rsidR="009B4605">
        <w:t xml:space="preserve"> </w:t>
      </w:r>
      <w:r>
        <w:t>acted as a proof of concept for outcomes-based funding</w:t>
      </w:r>
      <w:r w:rsidR="004C3676">
        <w:t xml:space="preserve">, </w:t>
      </w:r>
      <w:r>
        <w:t xml:space="preserve">and </w:t>
      </w:r>
      <w:r w:rsidR="004C3676">
        <w:t xml:space="preserve">informed </w:t>
      </w:r>
      <w:r w:rsidR="001C7587">
        <w:t xml:space="preserve">the </w:t>
      </w:r>
      <w:r w:rsidR="004C3676">
        <w:t>development of the J</w:t>
      </w:r>
      <w:r>
        <w:t xml:space="preserve">2SI </w:t>
      </w:r>
      <w:r w:rsidR="00282C65">
        <w:t>PbR</w:t>
      </w:r>
      <w:r>
        <w:t xml:space="preserve">. </w:t>
      </w:r>
      <w:r w:rsidR="004C3676">
        <w:t xml:space="preserve">As described </w:t>
      </w:r>
      <w:r w:rsidR="00BE2F02">
        <w:t xml:space="preserve">on </w:t>
      </w:r>
      <w:r w:rsidR="001F0F8E">
        <w:t>p</w:t>
      </w:r>
      <w:r w:rsidR="002709E8">
        <w:t>age</w:t>
      </w:r>
      <w:r w:rsidR="00BE2F02">
        <w:t xml:space="preserve"> </w:t>
      </w:r>
      <w:r w:rsidR="002709E8">
        <w:fldChar w:fldCharType="begin"/>
      </w:r>
      <w:r w:rsidR="002709E8">
        <w:instrText xml:space="preserve"> PAGEREF _Ref149902900 \h </w:instrText>
      </w:r>
      <w:r w:rsidR="002709E8">
        <w:fldChar w:fldCharType="separate"/>
      </w:r>
      <w:r w:rsidR="005B05CA">
        <w:rPr>
          <w:noProof/>
        </w:rPr>
        <w:t>27</w:t>
      </w:r>
      <w:r w:rsidR="002709E8">
        <w:fldChar w:fldCharType="end"/>
      </w:r>
      <w:r w:rsidR="004C3676">
        <w:t xml:space="preserve">, the </w:t>
      </w:r>
      <w:r w:rsidR="00282C65">
        <w:t>PbR</w:t>
      </w:r>
      <w:r w:rsidR="004C3676">
        <w:t xml:space="preserve"> </w:t>
      </w:r>
      <w:r w:rsidR="001C7587">
        <w:t>has retained many of the value adding elements of the PAD (including head leasing, penalties and outcomes measurement), while moving away from other elements considered as adding unnecessary complexity</w:t>
      </w:r>
      <w:r w:rsidR="00BE2F02">
        <w:t xml:space="preserve"> (</w:t>
      </w:r>
      <w:r w:rsidR="00CA1B0C">
        <w:t xml:space="preserve">such as </w:t>
      </w:r>
      <w:r w:rsidR="006E394D">
        <w:t xml:space="preserve">removal of </w:t>
      </w:r>
      <w:r w:rsidR="00473EA1" w:rsidRPr="00CA1B0C">
        <w:t>independent certifier</w:t>
      </w:r>
      <w:r w:rsidR="00977169">
        <w:t>s</w:t>
      </w:r>
      <w:r w:rsidR="008F1B80">
        <w:t xml:space="preserve"> and </w:t>
      </w:r>
      <w:r w:rsidR="00473EA1" w:rsidRPr="00CA1B0C">
        <w:t>investor</w:t>
      </w:r>
      <w:r w:rsidR="008733BF">
        <w:t>s</w:t>
      </w:r>
      <w:r w:rsidR="00BE2F02">
        <w:t xml:space="preserve"> and </w:t>
      </w:r>
      <w:r w:rsidR="008733BF">
        <w:t>reducing the amount of program cost as risk)</w:t>
      </w:r>
      <w:r w:rsidR="001C7587">
        <w:t xml:space="preserve">. </w:t>
      </w:r>
    </w:p>
    <w:p w14:paraId="76B68E40" w14:textId="404E8DEB" w:rsidR="001C7587" w:rsidRDefault="008049B4" w:rsidP="00746969">
      <w:pPr>
        <w:pStyle w:val="BodyText"/>
      </w:pPr>
      <w:r>
        <w:t>Consistent with the PAD/EIIF pathway, where successful PAD initiatives can progress through to the EIIF, stakeholders</w:t>
      </w:r>
      <w:r w:rsidR="00BE2F02">
        <w:t xml:space="preserve"> noted that</w:t>
      </w:r>
      <w:r>
        <w:t xml:space="preserve"> the </w:t>
      </w:r>
      <w:r w:rsidR="00282C65">
        <w:t>PbR</w:t>
      </w:r>
      <w:r w:rsidR="001C7587">
        <w:t xml:space="preserve"> is able to operate with less complexity, due to the J2SI PAD demonstrating strong results</w:t>
      </w:r>
      <w:r w:rsidR="009610ED">
        <w:t xml:space="preserve">, building confidence in the program and allowing it to run with </w:t>
      </w:r>
      <w:r w:rsidR="001C7587">
        <w:t xml:space="preserve">‘fewer </w:t>
      </w:r>
      <w:r w:rsidR="00C337D5">
        <w:t>strings’</w:t>
      </w:r>
      <w:r w:rsidR="001C7587">
        <w:t xml:space="preserve">. </w:t>
      </w:r>
    </w:p>
    <w:p w14:paraId="5A5A4830" w14:textId="1D01B547" w:rsidR="007E2B78" w:rsidRDefault="00340179" w:rsidP="007E2B78">
      <w:pPr>
        <w:pStyle w:val="BodyText"/>
      </w:pPr>
      <w:r w:rsidRPr="00F943F8">
        <w:t xml:space="preserve">Notably, the </w:t>
      </w:r>
      <w:r w:rsidR="008733BF">
        <w:t>amount of program cost at risk</w:t>
      </w:r>
      <w:r w:rsidRPr="00F943F8">
        <w:t xml:space="preserve"> was reduced between the PAD and </w:t>
      </w:r>
      <w:r w:rsidR="00282C65">
        <w:t>PbR</w:t>
      </w:r>
      <w:r w:rsidRPr="00F943F8">
        <w:t xml:space="preserve">, in response to concerns about the level of financial risk taken on by the service </w:t>
      </w:r>
      <w:r w:rsidRPr="00912AF7">
        <w:t>provider under PAD levels.</w:t>
      </w:r>
      <w:r w:rsidR="007E2B78" w:rsidRPr="00912AF7">
        <w:t xml:space="preserve"> </w:t>
      </w:r>
      <w:r w:rsidRPr="00912AF7">
        <w:t>The</w:t>
      </w:r>
      <w:r w:rsidR="007E2B78" w:rsidRPr="00912AF7">
        <w:t xml:space="preserve"> J2SI PAD included a 50 </w:t>
      </w:r>
      <w:r w:rsidR="00D431DA" w:rsidRPr="00912AF7">
        <w:t>per cent</w:t>
      </w:r>
      <w:r w:rsidR="007E2B78" w:rsidRPr="00912AF7">
        <w:t xml:space="preserve"> contingent funding threshold, </w:t>
      </w:r>
      <w:r w:rsidRPr="00912AF7">
        <w:t xml:space="preserve">reduced to 10 </w:t>
      </w:r>
      <w:r w:rsidR="00D431DA" w:rsidRPr="00912AF7">
        <w:t>per cent</w:t>
      </w:r>
      <w:r w:rsidRPr="00912AF7">
        <w:t xml:space="preserve"> in the </w:t>
      </w:r>
      <w:r w:rsidR="00282C65" w:rsidRPr="00912AF7">
        <w:t>PbR</w:t>
      </w:r>
      <w:r w:rsidRPr="00912AF7">
        <w:t xml:space="preserve">. </w:t>
      </w:r>
      <w:r w:rsidR="007E2B78" w:rsidRPr="00912AF7">
        <w:t>Although SHM management did not experience or perceive th</w:t>
      </w:r>
      <w:r w:rsidRPr="00912AF7">
        <w:t>e higher</w:t>
      </w:r>
      <w:r w:rsidR="007E2B78" w:rsidRPr="00912AF7">
        <w:t xml:space="preserve"> threshold as a barrier to program delivery or innovation, and continued to do both effectively over the course of the PAD, concerns were raised that this level of </w:t>
      </w:r>
      <w:r w:rsidR="00940019" w:rsidRPr="00912AF7">
        <w:t xml:space="preserve">at risk </w:t>
      </w:r>
      <w:r w:rsidR="007E2B78" w:rsidRPr="00912AF7">
        <w:t xml:space="preserve">funding may have the potential to stifle innovation for future service providers engaging in </w:t>
      </w:r>
      <w:r w:rsidR="002B6284" w:rsidRPr="00912AF7">
        <w:t xml:space="preserve">either </w:t>
      </w:r>
      <w:r w:rsidR="007E2B78" w:rsidRPr="00912AF7">
        <w:t>PADs</w:t>
      </w:r>
      <w:r w:rsidR="002B6284" w:rsidRPr="00912AF7">
        <w:t xml:space="preserve"> or</w:t>
      </w:r>
      <w:r w:rsidR="002B6284" w:rsidRPr="00F943F8">
        <w:t xml:space="preserve"> </w:t>
      </w:r>
      <w:r w:rsidR="00282C65">
        <w:t>PbR</w:t>
      </w:r>
      <w:r w:rsidR="002B6284" w:rsidRPr="00F943F8">
        <w:t xml:space="preserve"> programs</w:t>
      </w:r>
      <w:r w:rsidR="007E2B78" w:rsidRPr="00F943F8">
        <w:t xml:space="preserve">. In particular, </w:t>
      </w:r>
      <w:r w:rsidR="002B6284" w:rsidRPr="00F943F8">
        <w:t>the question was raised</w:t>
      </w:r>
      <w:r w:rsidR="007E2B78" w:rsidRPr="00F943F8">
        <w:t xml:space="preserve"> </w:t>
      </w:r>
      <w:r w:rsidR="00940019">
        <w:t>as to whether</w:t>
      </w:r>
      <w:r w:rsidR="007E2B78" w:rsidRPr="00F943F8">
        <w:t xml:space="preserve"> </w:t>
      </w:r>
      <w:r w:rsidR="002B6284" w:rsidRPr="00F943F8">
        <w:t>this</w:t>
      </w:r>
      <w:r w:rsidR="007E2B78" w:rsidRPr="00F943F8">
        <w:t xml:space="preserve"> financial risk could act as a disincentive for future service providers to deliver more innovative programs with </w:t>
      </w:r>
      <w:r w:rsidR="007233F2">
        <w:t>a</w:t>
      </w:r>
      <w:r w:rsidR="007E2B78" w:rsidRPr="00F943F8">
        <w:t xml:space="preserve"> less-established evidence base than </w:t>
      </w:r>
      <w:r w:rsidR="00923CFB">
        <w:t xml:space="preserve">the </w:t>
      </w:r>
      <w:r w:rsidR="007E2B78" w:rsidRPr="00F943F8">
        <w:t xml:space="preserve">J2SI PAD, which had </w:t>
      </w:r>
      <w:r w:rsidR="00923CFB">
        <w:t xml:space="preserve">a </w:t>
      </w:r>
      <w:r w:rsidR="007E2B78" w:rsidRPr="00F943F8">
        <w:t>proof of concept before the PAD was established</w:t>
      </w:r>
      <w:r w:rsidR="002B6284">
        <w:t xml:space="preserve">, or for service providers who were less mature. </w:t>
      </w:r>
    </w:p>
    <w:p w14:paraId="30B6DC1C" w14:textId="5EF38846" w:rsidR="00746969" w:rsidRPr="00405397" w:rsidRDefault="00746969" w:rsidP="009E6052">
      <w:pPr>
        <w:pStyle w:val="Heading4"/>
      </w:pPr>
      <w:r>
        <w:t>B</w:t>
      </w:r>
      <w:r w:rsidRPr="00405397">
        <w:t>roader homelessness program design and delivery</w:t>
      </w:r>
    </w:p>
    <w:p w14:paraId="7226EFFE" w14:textId="1844A11C" w:rsidR="00746969" w:rsidRDefault="00746969" w:rsidP="009572B1">
      <w:pPr>
        <w:pStyle w:val="BodyText"/>
      </w:pPr>
      <w:r>
        <w:t xml:space="preserve">In addition to informing development of the </w:t>
      </w:r>
      <w:r w:rsidR="00C337D5">
        <w:t>PADs</w:t>
      </w:r>
      <w:r w:rsidR="005C1257">
        <w:t xml:space="preserve"> initiative</w:t>
      </w:r>
      <w:r w:rsidR="00C337D5">
        <w:t xml:space="preserve"> and the </w:t>
      </w:r>
      <w:r w:rsidR="00282C65">
        <w:t>PbR</w:t>
      </w:r>
      <w:r>
        <w:t>, the J2SI PAD has influenced other housing programs, notably H2H. The program</w:t>
      </w:r>
      <w:r w:rsidR="00A7323A">
        <w:t xml:space="preserve"> </w:t>
      </w:r>
      <w:r w:rsidR="00FA4F2B">
        <w:t>is informed by</w:t>
      </w:r>
      <w:r w:rsidR="00A7323A">
        <w:t xml:space="preserve"> </w:t>
      </w:r>
      <w:r w:rsidR="00DB01CB">
        <w:t xml:space="preserve">selective elements of </w:t>
      </w:r>
      <w:r>
        <w:t xml:space="preserve">J2SI, </w:t>
      </w:r>
      <w:r w:rsidR="00DB01CB">
        <w:t>such as</w:t>
      </w:r>
      <w:r>
        <w:t xml:space="preserve"> a housing first approach (via head leasing) and three-year client support, but </w:t>
      </w:r>
      <w:r w:rsidR="00FA4F2B">
        <w:t xml:space="preserve">is delivered to </w:t>
      </w:r>
      <w:r>
        <w:t xml:space="preserve">a </w:t>
      </w:r>
      <w:r w:rsidR="00E02388">
        <w:t>larger</w:t>
      </w:r>
      <w:r w:rsidR="00FA4F2B">
        <w:t xml:space="preserve"> </w:t>
      </w:r>
      <w:r>
        <w:t>cohort</w:t>
      </w:r>
      <w:r w:rsidR="00B8019F">
        <w:t xml:space="preserve">, being delivered to </w:t>
      </w:r>
      <w:r w:rsidR="00E049A6">
        <w:t>1,845</w:t>
      </w:r>
      <w:r w:rsidR="00B8019F">
        <w:t xml:space="preserve"> people over </w:t>
      </w:r>
      <w:r w:rsidR="004B73DC">
        <w:t>three</w:t>
      </w:r>
      <w:r w:rsidR="00B8019F">
        <w:t xml:space="preserve"> years</w:t>
      </w:r>
      <w:r>
        <w:t>. The confidence of stakeholders in delivering the program at scale has, in part, been built on the success of the J2SI PAD</w:t>
      </w:r>
      <w:r w:rsidR="000F0D2E">
        <w:t>.</w:t>
      </w:r>
    </w:p>
    <w:p w14:paraId="3332D522" w14:textId="5FA9001C" w:rsidR="000F0D2E" w:rsidRDefault="000F0D2E" w:rsidP="009572B1">
      <w:pPr>
        <w:pStyle w:val="BodyText"/>
      </w:pPr>
      <w:r w:rsidRPr="000F0D2E">
        <w:lastRenderedPageBreak/>
        <w:t>DTF stakeholders also reported that housing first considerations, and consideration of housing availability, are more embedded across DTF-led social impact programs, as a result of the experiences from J2SI PAD and particularly the challenges faced in accessing social housing.</w:t>
      </w:r>
    </w:p>
    <w:p w14:paraId="72DA638D" w14:textId="4258D9D3" w:rsidR="00746969" w:rsidRDefault="00746969" w:rsidP="009572B1">
      <w:pPr>
        <w:pStyle w:val="BodyText"/>
      </w:pPr>
      <w:r>
        <w:t xml:space="preserve">In addition to H2H, </w:t>
      </w:r>
      <w:r w:rsidR="00AF4B54">
        <w:t>stakeholders indicated that</w:t>
      </w:r>
      <w:r>
        <w:t xml:space="preserve"> some specific </w:t>
      </w:r>
      <w:r w:rsidRPr="007F73FF">
        <w:t xml:space="preserve">elements of </w:t>
      </w:r>
      <w:r w:rsidR="00411F83">
        <w:t xml:space="preserve">the </w:t>
      </w:r>
      <w:r w:rsidRPr="007F73FF">
        <w:t>J2SI</w:t>
      </w:r>
      <w:r w:rsidR="00411F83">
        <w:t xml:space="preserve"> PAD</w:t>
      </w:r>
      <w:r w:rsidRPr="007F73FF">
        <w:t xml:space="preserve"> </w:t>
      </w:r>
      <w:r>
        <w:t>are b</w:t>
      </w:r>
      <w:r w:rsidR="00411F83">
        <w:t>e</w:t>
      </w:r>
      <w:r>
        <w:t>ing</w:t>
      </w:r>
      <w:r w:rsidRPr="007F73FF">
        <w:t xml:space="preserve"> </w:t>
      </w:r>
      <w:r>
        <w:t xml:space="preserve">incorporated into </w:t>
      </w:r>
      <w:r w:rsidRPr="007F73FF">
        <w:t xml:space="preserve">other </w:t>
      </w:r>
      <w:r>
        <w:t xml:space="preserve">programs, with </w:t>
      </w:r>
      <w:r w:rsidRPr="007F73FF">
        <w:t xml:space="preserve">Homes Victoria </w:t>
      </w:r>
      <w:r>
        <w:t>adopting the J2SI PAD</w:t>
      </w:r>
      <w:r w:rsidR="001C7F1F">
        <w:t>’</w:t>
      </w:r>
      <w:r>
        <w:t>s approach to client identification into broader service delivery</w:t>
      </w:r>
      <w:r w:rsidR="00AF4B54">
        <w:t>.</w:t>
      </w:r>
    </w:p>
    <w:p w14:paraId="635B429F" w14:textId="3CDE46CE" w:rsidR="00E36D28" w:rsidRPr="00E36D28" w:rsidRDefault="00E36D28" w:rsidP="009E6052">
      <w:pPr>
        <w:pStyle w:val="Heading4"/>
      </w:pPr>
      <w:bookmarkStart w:id="94" w:name="_Ref149840062"/>
      <w:r w:rsidRPr="000877EE">
        <w:rPr>
          <w:rFonts w:eastAsiaTheme="minorHAnsi" w:cstheme="minorBidi"/>
        </w:rPr>
        <w:t xml:space="preserve">Broader </w:t>
      </w:r>
      <w:r w:rsidRPr="00AF4B54">
        <w:rPr>
          <w:rFonts w:eastAsiaTheme="minorHAnsi" w:cstheme="minorBidi"/>
        </w:rPr>
        <w:t>SHM s</w:t>
      </w:r>
      <w:r w:rsidRPr="00AF4B54">
        <w:t>ervice delivery</w:t>
      </w:r>
      <w:bookmarkEnd w:id="94"/>
      <w:r w:rsidRPr="00E36D28">
        <w:t xml:space="preserve"> </w:t>
      </w:r>
    </w:p>
    <w:p w14:paraId="1480388D" w14:textId="30ED7D0B" w:rsidR="00E36D28" w:rsidRDefault="00E36D28" w:rsidP="0077088E">
      <w:pPr>
        <w:pStyle w:val="BodyText"/>
      </w:pPr>
      <w:r w:rsidRPr="0077088E">
        <w:t>SHM has implemented a ‘continuum of care</w:t>
      </w:r>
      <w:r w:rsidR="00B855F9">
        <w:t xml:space="preserve"> </w:t>
      </w:r>
      <w:r w:rsidRPr="0077088E">
        <w:t>model</w:t>
      </w:r>
      <w:r w:rsidR="00B855F9">
        <w:t>’ with the organisation</w:t>
      </w:r>
      <w:r w:rsidR="0043089A">
        <w:t>’</w:t>
      </w:r>
      <w:r w:rsidR="00B855F9">
        <w:t>s tenancy support programs drawing from the J2S</w:t>
      </w:r>
      <w:r w:rsidR="00AB0922">
        <w:t>I</w:t>
      </w:r>
      <w:r w:rsidR="00B855F9">
        <w:t xml:space="preserve"> PAD</w:t>
      </w:r>
      <w:r w:rsidR="0077088E" w:rsidRPr="0077088E">
        <w:t xml:space="preserve">. This model </w:t>
      </w:r>
      <w:r w:rsidR="0077088E">
        <w:t xml:space="preserve">prioritises an </w:t>
      </w:r>
      <w:r w:rsidR="00EC2BAE">
        <w:t>outreach</w:t>
      </w:r>
      <w:r w:rsidR="0077088E">
        <w:t xml:space="preserve"> approach </w:t>
      </w:r>
      <w:r w:rsidR="00EC2BAE">
        <w:t xml:space="preserve">and periods of </w:t>
      </w:r>
      <w:r w:rsidR="00881F26">
        <w:t xml:space="preserve">support </w:t>
      </w:r>
      <w:r w:rsidR="00AB0EE8">
        <w:t>based on individual</w:t>
      </w:r>
      <w:r w:rsidR="00EC2BAE">
        <w:t xml:space="preserve"> client</w:t>
      </w:r>
      <w:r w:rsidR="00AB0EE8">
        <w:t xml:space="preserve"> need</w:t>
      </w:r>
      <w:r w:rsidR="00CC2273">
        <w:t xml:space="preserve">, </w:t>
      </w:r>
      <w:r w:rsidR="00884CFD">
        <w:t xml:space="preserve">from </w:t>
      </w:r>
      <w:r w:rsidR="00CF1A46">
        <w:t>three</w:t>
      </w:r>
      <w:r w:rsidR="00884CFD">
        <w:t xml:space="preserve"> months for those first </w:t>
      </w:r>
      <w:r w:rsidR="00FA4263">
        <w:t xml:space="preserve">experiencing homelessness </w:t>
      </w:r>
      <w:r w:rsidR="00884CFD">
        <w:t>to 24</w:t>
      </w:r>
      <w:r w:rsidR="00B0283C">
        <w:t>-</w:t>
      </w:r>
      <w:r w:rsidR="00884CFD">
        <w:t>month</w:t>
      </w:r>
      <w:r w:rsidR="00D03E03">
        <w:t xml:space="preserve"> support</w:t>
      </w:r>
      <w:r w:rsidR="00884CFD">
        <w:t xml:space="preserve"> for more complex clients.</w:t>
      </w:r>
      <w:r w:rsidR="00CC2273">
        <w:t xml:space="preserve"> </w:t>
      </w:r>
      <w:r w:rsidR="00D03E03">
        <w:t xml:space="preserve">Also drawing from evidence established by </w:t>
      </w:r>
      <w:r w:rsidR="00185F98">
        <w:t xml:space="preserve">the </w:t>
      </w:r>
      <w:r w:rsidR="00D03E03">
        <w:t>J2SI PAD,</w:t>
      </w:r>
      <w:r w:rsidR="00FB6384">
        <w:t xml:space="preserve"> SHM increasingly focuse</w:t>
      </w:r>
      <w:r w:rsidR="00C72175">
        <w:t>d on</w:t>
      </w:r>
      <w:r w:rsidR="00CC2273">
        <w:t xml:space="preserve"> outreach </w:t>
      </w:r>
      <w:r w:rsidR="00C72175">
        <w:t>for tenancy support</w:t>
      </w:r>
      <w:r w:rsidR="004D172A">
        <w:t xml:space="preserve"> rather than </w:t>
      </w:r>
      <w:r w:rsidR="00C72175">
        <w:t xml:space="preserve">a </w:t>
      </w:r>
      <w:r w:rsidR="004D172A">
        <w:t>drop-in model</w:t>
      </w:r>
      <w:r w:rsidR="00EC2BAE">
        <w:t>.</w:t>
      </w:r>
      <w:r w:rsidR="002A18E5">
        <w:t xml:space="preserve"> Post-support follow</w:t>
      </w:r>
      <w:r w:rsidR="00B0283C">
        <w:t>-</w:t>
      </w:r>
      <w:r w:rsidR="002A18E5">
        <w:t>up is routinely incorporated into SHM service delivery in order to establish an evidence base</w:t>
      </w:r>
      <w:r w:rsidR="00C72175">
        <w:t xml:space="preserve"> and </w:t>
      </w:r>
      <w:r w:rsidR="00542390">
        <w:t>continuous improvement processes</w:t>
      </w:r>
      <w:r w:rsidR="00C72175">
        <w:t xml:space="preserve">, </w:t>
      </w:r>
      <w:r w:rsidR="00C67D57">
        <w:t>due to the important role this played in t</w:t>
      </w:r>
      <w:r w:rsidR="00AF4B54">
        <w:t>h</w:t>
      </w:r>
      <w:r w:rsidR="00C67D57">
        <w:t xml:space="preserve">e J2SI PAD. </w:t>
      </w:r>
    </w:p>
    <w:p w14:paraId="6B5AC44F" w14:textId="3FBFCBB5" w:rsidR="00746969" w:rsidRDefault="00746969" w:rsidP="009E6052">
      <w:pPr>
        <w:pStyle w:val="Heading3"/>
      </w:pPr>
      <w:r>
        <w:t xml:space="preserve">Were the </w:t>
      </w:r>
      <w:r w:rsidRPr="00831149">
        <w:t>outcomes</w:t>
      </w:r>
      <w:r>
        <w:t xml:space="preserve"> the same when the program was implemented differently?</w:t>
      </w:r>
      <w:r w:rsidRPr="00A421E2">
        <w:t xml:space="preserve"> </w:t>
      </w:r>
    </w:p>
    <w:p w14:paraId="655F35BE" w14:textId="0541E6DB" w:rsidR="00036358" w:rsidRDefault="00746969" w:rsidP="00746969">
      <w:r>
        <w:t xml:space="preserve">The J2SI PAD has had a greater impact on broader programs and policy, relative to the Pilot or </w:t>
      </w:r>
      <w:r w:rsidR="009C7EFD">
        <w:t xml:space="preserve">Phase 2 </w:t>
      </w:r>
      <w:r>
        <w:t xml:space="preserve">RCT, with the program considered to have paved the way for development of other PADs, the </w:t>
      </w:r>
      <w:r w:rsidR="00282C65">
        <w:t>PbR</w:t>
      </w:r>
      <w:r w:rsidR="005C4FC2">
        <w:t xml:space="preserve"> and</w:t>
      </w:r>
      <w:r>
        <w:t xml:space="preserve"> H2H. </w:t>
      </w:r>
    </w:p>
    <w:p w14:paraId="691E4DD9" w14:textId="04BDF966" w:rsidR="00E3536B" w:rsidRDefault="00E3536B" w:rsidP="00746969">
      <w:r>
        <w:t xml:space="preserve">The greater impact of the PAD on </w:t>
      </w:r>
      <w:r w:rsidR="00036358">
        <w:t xml:space="preserve">broader government </w:t>
      </w:r>
      <w:r>
        <w:t>programs and policy may</w:t>
      </w:r>
      <w:r w:rsidR="00036358">
        <w:t xml:space="preserve"> </w:t>
      </w:r>
      <w:r>
        <w:t xml:space="preserve">be due to this iteration of the program being the first to receive substantive government funding, with the Pilot receiving no government funding and the Phase 2 RCT receiving a small DHHS grant. </w:t>
      </w:r>
      <w:r w:rsidR="00036358">
        <w:t xml:space="preserve">This </w:t>
      </w:r>
      <w:r w:rsidR="00681B6E">
        <w:t xml:space="preserve">likely limited the ability for these iterations to influence government outcomes. </w:t>
      </w:r>
    </w:p>
    <w:p w14:paraId="142A05A9" w14:textId="2C1D54B7" w:rsidR="00746969" w:rsidRDefault="00681B6E" w:rsidP="00746969">
      <w:r>
        <w:t>Further</w:t>
      </w:r>
      <w:r w:rsidR="0043089A">
        <w:t>more</w:t>
      </w:r>
      <w:r>
        <w:t>, i</w:t>
      </w:r>
      <w:r w:rsidR="00746969">
        <w:t>t is acknowledged that previous iterations of J2SI helped to establish the evidence base for housing first programs</w:t>
      </w:r>
      <w:r w:rsidR="0078762F">
        <w:t xml:space="preserve"> in Victoria</w:t>
      </w:r>
      <w:r w:rsidR="00746969">
        <w:t>, which was an important underpinning of the J2SI PAD, and other housing first programs that have followed (</w:t>
      </w:r>
      <w:r w:rsidR="00282C65">
        <w:t>PbR</w:t>
      </w:r>
      <w:r w:rsidR="00746969">
        <w:t xml:space="preserve">, H2H). At this stage, it is too early to report on the </w:t>
      </w:r>
      <w:r w:rsidR="00282C65">
        <w:t>PbR</w:t>
      </w:r>
      <w:r w:rsidR="002C0E89">
        <w:t>’</w:t>
      </w:r>
      <w:r w:rsidR="00746969">
        <w:t xml:space="preserve">s impact on broader government programs and policy. </w:t>
      </w:r>
    </w:p>
    <w:p w14:paraId="2B27DAB8" w14:textId="3BF6B645" w:rsidR="00746969" w:rsidRDefault="00746969" w:rsidP="008C71A8">
      <w:pPr>
        <w:pStyle w:val="Heading3"/>
      </w:pPr>
      <w:r>
        <w:t>Can the outcomes be attributed to the program as a PAD?</w:t>
      </w:r>
    </w:p>
    <w:p w14:paraId="21EE3090" w14:textId="6825E1F3" w:rsidR="00CF13C8" w:rsidRDefault="00976869" w:rsidP="00D55280">
      <w:pPr>
        <w:pStyle w:val="BodyText"/>
        <w:spacing w:before="60"/>
      </w:pPr>
      <w:r>
        <w:t>As stated, the J2SI PAD helped to inform</w:t>
      </w:r>
      <w:r w:rsidR="009118AE">
        <w:t xml:space="preserve"> the</w:t>
      </w:r>
      <w:r>
        <w:t xml:space="preserve"> development of </w:t>
      </w:r>
      <w:r w:rsidR="003D095B">
        <w:t xml:space="preserve">the broader </w:t>
      </w:r>
      <w:r w:rsidR="0060235A">
        <w:t>PAD</w:t>
      </w:r>
      <w:r w:rsidR="006D1940">
        <w:t>s</w:t>
      </w:r>
      <w:r w:rsidR="003D095B">
        <w:t xml:space="preserve"> initiative</w:t>
      </w:r>
      <w:r w:rsidR="00D55280">
        <w:t xml:space="preserve"> and the EIIF,</w:t>
      </w:r>
      <w:r w:rsidR="006D1940">
        <w:t xml:space="preserve"> however </w:t>
      </w:r>
      <w:r w:rsidR="00944CB8">
        <w:t xml:space="preserve">this </w:t>
      </w:r>
      <w:r w:rsidR="00D55280">
        <w:t>has</w:t>
      </w:r>
      <w:r w:rsidR="00944CB8">
        <w:t xml:space="preserve"> </w:t>
      </w:r>
      <w:r w:rsidR="001E65D8">
        <w:t xml:space="preserve">also </w:t>
      </w:r>
      <w:r w:rsidR="00D55280">
        <w:t xml:space="preserve">been </w:t>
      </w:r>
      <w:r w:rsidR="00944CB8">
        <w:t xml:space="preserve">driven by </w:t>
      </w:r>
      <w:r w:rsidR="00D55280">
        <w:t>other factors</w:t>
      </w:r>
      <w:r w:rsidR="00180179">
        <w:t xml:space="preserve">. </w:t>
      </w:r>
      <w:r w:rsidR="00242BD9">
        <w:t>Other factors</w:t>
      </w:r>
      <w:r w:rsidR="00180179">
        <w:t xml:space="preserve"> include </w:t>
      </w:r>
      <w:r w:rsidR="007C6579">
        <w:t>government</w:t>
      </w:r>
      <w:r w:rsidR="008F223A">
        <w:t>’</w:t>
      </w:r>
      <w:r w:rsidR="007C6579">
        <w:t xml:space="preserve">s increased interest in </w:t>
      </w:r>
      <w:r w:rsidR="00B27274">
        <w:t xml:space="preserve">social impact </w:t>
      </w:r>
      <w:r w:rsidR="007C1C61">
        <w:t>investing</w:t>
      </w:r>
      <w:r w:rsidR="0059618A">
        <w:t xml:space="preserve">, outcomes </w:t>
      </w:r>
      <w:r w:rsidR="00CF13C8">
        <w:t xml:space="preserve">based funding and avoided costs, </w:t>
      </w:r>
      <w:r w:rsidR="0078033A">
        <w:t xml:space="preserve">all </w:t>
      </w:r>
      <w:r w:rsidR="00180179">
        <w:t>focused on</w:t>
      </w:r>
      <w:r w:rsidR="00CF13C8">
        <w:t xml:space="preserve"> driving better </w:t>
      </w:r>
      <w:r w:rsidR="0059618A">
        <w:t xml:space="preserve">outcomes </w:t>
      </w:r>
      <w:r w:rsidR="00B27274">
        <w:t>for people experiencing social disadvantage.</w:t>
      </w:r>
      <w:r w:rsidR="00944CB8">
        <w:t xml:space="preserve"> </w:t>
      </w:r>
    </w:p>
    <w:p w14:paraId="1927892A" w14:textId="5F37E1E6" w:rsidR="008F2700" w:rsidRDefault="007E36D9" w:rsidP="008F2700">
      <w:pPr>
        <w:pStyle w:val="BodyText"/>
        <w:spacing w:before="60"/>
      </w:pPr>
      <w:r>
        <w:t xml:space="preserve">When considering the J2SI </w:t>
      </w:r>
      <w:r w:rsidR="00282C65">
        <w:t>PbR</w:t>
      </w:r>
      <w:r>
        <w:t>, there was consensus</w:t>
      </w:r>
      <w:r w:rsidR="002C61B5">
        <w:t xml:space="preserve"> amongst stakeholders</w:t>
      </w:r>
      <w:r>
        <w:t xml:space="preserve"> that the program</w:t>
      </w:r>
      <w:r w:rsidR="00746969" w:rsidRPr="0062282D">
        <w:t xml:space="preserve"> would not have been pursued </w:t>
      </w:r>
      <w:r w:rsidR="00746969">
        <w:t>without the</w:t>
      </w:r>
      <w:r w:rsidR="00746969" w:rsidRPr="0062282D">
        <w:t xml:space="preserve"> </w:t>
      </w:r>
      <w:r w:rsidR="007C6579">
        <w:t xml:space="preserve">success of the J2SI </w:t>
      </w:r>
      <w:r w:rsidR="00746969" w:rsidRPr="0062282D">
        <w:t>PAD</w:t>
      </w:r>
      <w:r w:rsidR="007C6579">
        <w:t>.</w:t>
      </w:r>
      <w:r w:rsidR="008F2700">
        <w:t xml:space="preserve"> </w:t>
      </w:r>
    </w:p>
    <w:p w14:paraId="63971CC6" w14:textId="0C7E4C84" w:rsidR="001E65D8" w:rsidRDefault="00746969" w:rsidP="008F2700">
      <w:pPr>
        <w:pStyle w:val="BodyText"/>
        <w:spacing w:before="60"/>
      </w:pPr>
      <w:r>
        <w:t>The impact of the J2SI PAD on other homelessness programs, particularly H2H, is partly attributable to the PAD</w:t>
      </w:r>
      <w:r w:rsidR="008F2700">
        <w:t>, with program elements drawing directly fr</w:t>
      </w:r>
      <w:r w:rsidR="00777FF7">
        <w:t>o</w:t>
      </w:r>
      <w:r w:rsidR="008F2700">
        <w:t>m the J2SI PAD</w:t>
      </w:r>
      <w:r w:rsidR="00104AEC">
        <w:t xml:space="preserve"> (particularly use of head leasing to achieve ‘housing first’ principles)</w:t>
      </w:r>
      <w:r w:rsidR="008F2700">
        <w:t xml:space="preserve">. </w:t>
      </w:r>
      <w:r w:rsidR="001E65D8">
        <w:t>However, not all program features are associated with the PAD, and are instead associated with the J2SI model (</w:t>
      </w:r>
      <w:r w:rsidR="00104AEC">
        <w:t>the ‘</w:t>
      </w:r>
      <w:r w:rsidR="001E65D8">
        <w:t>housing first</w:t>
      </w:r>
      <w:r w:rsidR="00104AEC">
        <w:t>’ principle</w:t>
      </w:r>
      <w:r w:rsidR="001E65D8">
        <w:t xml:space="preserve"> and three years of support).</w:t>
      </w:r>
    </w:p>
    <w:p w14:paraId="0D3666F2" w14:textId="54B22650" w:rsidR="00C67D57" w:rsidRDefault="00C67D57" w:rsidP="008F2700">
      <w:pPr>
        <w:pStyle w:val="BodyText"/>
        <w:spacing w:before="60"/>
      </w:pPr>
      <w:r>
        <w:t xml:space="preserve">The J2SI PAD was described as directly contributing to the </w:t>
      </w:r>
      <w:r w:rsidR="002C41B9">
        <w:t xml:space="preserve">new model of care implemented within SHM, particularly the tenancy support program approach and </w:t>
      </w:r>
      <w:r w:rsidR="00542390">
        <w:t>embedded</w:t>
      </w:r>
      <w:r w:rsidR="002C41B9">
        <w:t xml:space="preserve"> </w:t>
      </w:r>
      <w:r w:rsidR="00542390">
        <w:t>continuous improvement processes</w:t>
      </w:r>
      <w:r w:rsidR="002C41B9">
        <w:t>.</w:t>
      </w:r>
    </w:p>
    <w:p w14:paraId="510021B0" w14:textId="2763F761" w:rsidR="00C07AE5" w:rsidRDefault="00C07AE5" w:rsidP="007A2CBF">
      <w:pPr>
        <w:pStyle w:val="Heading3"/>
      </w:pPr>
      <w:bookmarkStart w:id="95" w:name="_Ref150183975"/>
      <w:bookmarkStart w:id="96" w:name="_Ref147765355"/>
      <w:r>
        <w:t xml:space="preserve">The </w:t>
      </w:r>
      <w:r w:rsidR="003F0811">
        <w:t>PAD</w:t>
      </w:r>
      <w:r>
        <w:t xml:space="preserve"> </w:t>
      </w:r>
      <w:r w:rsidR="00CF34AE">
        <w:t>drove accountability</w:t>
      </w:r>
      <w:r w:rsidR="001B01D6">
        <w:t xml:space="preserve"> and</w:t>
      </w:r>
      <w:r w:rsidR="00CF34AE">
        <w:t xml:space="preserve"> rigour</w:t>
      </w:r>
      <w:bookmarkEnd w:id="95"/>
      <w:r w:rsidR="00CF34AE">
        <w:t xml:space="preserve"> </w:t>
      </w:r>
      <w:bookmarkEnd w:id="96"/>
    </w:p>
    <w:tbl>
      <w:tblPr>
        <w:tblStyle w:val="KPMGTable"/>
        <w:tblW w:w="10038" w:type="dxa"/>
        <w:tblLook w:val="0420" w:firstRow="1" w:lastRow="0" w:firstColumn="0" w:lastColumn="0" w:noHBand="0" w:noVBand="1"/>
      </w:tblPr>
      <w:tblGrid>
        <w:gridCol w:w="2977"/>
        <w:gridCol w:w="7061"/>
      </w:tblGrid>
      <w:tr w:rsidR="00FF4815" w:rsidRPr="006E2084" w14:paraId="37023F59" w14:textId="77777777" w:rsidTr="00344506">
        <w:trPr>
          <w:cnfStyle w:val="100000000000" w:firstRow="1" w:lastRow="0" w:firstColumn="0" w:lastColumn="0" w:oddVBand="0" w:evenVBand="0" w:oddHBand="0" w:evenHBand="0" w:firstRowFirstColumn="0" w:firstRowLastColumn="0" w:lastRowFirstColumn="0" w:lastRowLastColumn="0"/>
          <w:trHeight w:val="1610"/>
        </w:trPr>
        <w:tc>
          <w:tcPr>
            <w:tcW w:w="2977" w:type="dxa"/>
            <w:shd w:val="clear" w:color="auto" w:fill="F2F2F2" w:themeFill="background1" w:themeFillShade="F2"/>
            <w:vAlign w:val="center"/>
            <w:hideMark/>
          </w:tcPr>
          <w:p w14:paraId="50C037F6" w14:textId="77777777" w:rsidR="00FF4815" w:rsidRPr="005008AD" w:rsidRDefault="00FF4815" w:rsidP="001939CA">
            <w:pPr>
              <w:pStyle w:val="TableTextBLUE"/>
            </w:pPr>
            <w:r w:rsidRPr="005008AD">
              <w:t xml:space="preserve">What were the outcomes of J2SI SII in light of its structure as a SII funding mechanism? </w:t>
            </w:r>
          </w:p>
        </w:tc>
        <w:tc>
          <w:tcPr>
            <w:tcW w:w="7061" w:type="dxa"/>
            <w:vAlign w:val="center"/>
          </w:tcPr>
          <w:p w14:paraId="7014AC0E" w14:textId="77777777" w:rsidR="001F283B" w:rsidRPr="005008AD" w:rsidRDefault="001F283B" w:rsidP="001939CA">
            <w:pPr>
              <w:pStyle w:val="TableTextBLUE"/>
            </w:pPr>
            <w:r w:rsidRPr="005008AD">
              <w:t>The J2SI PAD drove greater accountability and rigour, in areas relating to:</w:t>
            </w:r>
          </w:p>
          <w:p w14:paraId="64198241" w14:textId="77777777" w:rsidR="001F283B" w:rsidRPr="005008AD" w:rsidRDefault="001F283B" w:rsidP="00F2085E">
            <w:pPr>
              <w:pStyle w:val="Tablebullet1BLUE"/>
              <w:rPr>
                <w:szCs w:val="18"/>
              </w:rPr>
            </w:pPr>
            <w:r w:rsidRPr="005008AD">
              <w:t>Governance</w:t>
            </w:r>
          </w:p>
          <w:p w14:paraId="41A6EA7B" w14:textId="77777777" w:rsidR="001F283B" w:rsidRPr="005008AD" w:rsidRDefault="001F283B" w:rsidP="00F2085E">
            <w:pPr>
              <w:pStyle w:val="Tablebullet1BLUE"/>
              <w:rPr>
                <w:szCs w:val="18"/>
              </w:rPr>
            </w:pPr>
            <w:r w:rsidRPr="005008AD">
              <w:t>Provision of social housing</w:t>
            </w:r>
          </w:p>
          <w:p w14:paraId="72E0D100" w14:textId="77777777" w:rsidR="001F283B" w:rsidRPr="005008AD" w:rsidRDefault="001F283B" w:rsidP="00F2085E">
            <w:pPr>
              <w:pStyle w:val="Tablebullet1BLUE"/>
              <w:rPr>
                <w:szCs w:val="18"/>
              </w:rPr>
            </w:pPr>
            <w:r w:rsidRPr="005008AD">
              <w:t>Program data collection and analysis</w:t>
            </w:r>
          </w:p>
          <w:p w14:paraId="792FBA12" w14:textId="0039F924" w:rsidR="00FF4815" w:rsidRPr="005008AD" w:rsidRDefault="001F283B" w:rsidP="00F2085E">
            <w:pPr>
              <w:pStyle w:val="Tablebullet1BLUE"/>
            </w:pPr>
            <w:r w:rsidRPr="005008AD">
              <w:t>Program monitoring, delivery and reporting</w:t>
            </w:r>
            <w:r w:rsidR="006966AF" w:rsidRPr="005008AD">
              <w:t>.</w:t>
            </w:r>
          </w:p>
        </w:tc>
      </w:tr>
      <w:tr w:rsidR="00FF4815" w:rsidRPr="006E2084" w14:paraId="5FAC5D31" w14:textId="77777777" w:rsidTr="00344506">
        <w:trPr>
          <w:trHeight w:val="848"/>
        </w:trPr>
        <w:tc>
          <w:tcPr>
            <w:tcW w:w="2977" w:type="dxa"/>
            <w:shd w:val="clear" w:color="auto" w:fill="F2F2F2" w:themeFill="background1" w:themeFillShade="F2"/>
            <w:vAlign w:val="center"/>
            <w:hideMark/>
          </w:tcPr>
          <w:p w14:paraId="2F53E3CC" w14:textId="77777777" w:rsidR="00FF4815" w:rsidRPr="005008AD" w:rsidRDefault="00FF4815" w:rsidP="001939CA">
            <w:pPr>
              <w:pStyle w:val="Tabletext"/>
            </w:pPr>
            <w:r w:rsidRPr="005008AD">
              <w:t>Were the outcomes the same as when the program was implemented differently?</w:t>
            </w:r>
          </w:p>
        </w:tc>
        <w:tc>
          <w:tcPr>
            <w:tcW w:w="7061" w:type="dxa"/>
            <w:vAlign w:val="center"/>
          </w:tcPr>
          <w:p w14:paraId="1F2D09A2" w14:textId="6788053F" w:rsidR="00354DAB" w:rsidRPr="005008AD" w:rsidRDefault="001F283B" w:rsidP="001939CA">
            <w:pPr>
              <w:pStyle w:val="Tabletext"/>
              <w:rPr>
                <w:szCs w:val="18"/>
              </w:rPr>
            </w:pPr>
            <w:r w:rsidRPr="005008AD">
              <w:t xml:space="preserve">The J2SI PAD introduced an increased level of accountability to collaboratively work through problems and provide suitable social housing offers, relative to previous program iterations, and has continued in the </w:t>
            </w:r>
            <w:r w:rsidR="00282C65" w:rsidRPr="005008AD">
              <w:rPr>
                <w:szCs w:val="18"/>
              </w:rPr>
              <w:t>PbR</w:t>
            </w:r>
            <w:r w:rsidRPr="005008AD">
              <w:rPr>
                <w:szCs w:val="18"/>
              </w:rPr>
              <w:t xml:space="preserve">. </w:t>
            </w:r>
          </w:p>
          <w:p w14:paraId="4D080807" w14:textId="1178A890" w:rsidR="008F34D5" w:rsidRPr="005008AD" w:rsidRDefault="008F34D5" w:rsidP="001939CA">
            <w:pPr>
              <w:pStyle w:val="Tabletext"/>
              <w:rPr>
                <w:szCs w:val="18"/>
              </w:rPr>
            </w:pPr>
            <w:r w:rsidRPr="005008AD">
              <w:t xml:space="preserve">The </w:t>
            </w:r>
            <w:r w:rsidRPr="005008AD">
              <w:rPr>
                <w:szCs w:val="18"/>
              </w:rPr>
              <w:t>PAD built on the approach taken to data analysis in the Phase 2 RCT, by introducing new data sources and analytical methods.</w:t>
            </w:r>
          </w:p>
          <w:p w14:paraId="1E00456A" w14:textId="763C19EA" w:rsidR="00354DAB" w:rsidRPr="005008AD" w:rsidRDefault="001F283B" w:rsidP="001939CA">
            <w:pPr>
              <w:pStyle w:val="Tabletext"/>
              <w:rPr>
                <w:szCs w:val="18"/>
              </w:rPr>
            </w:pPr>
            <w:r w:rsidRPr="005008AD">
              <w:lastRenderedPageBreak/>
              <w:t>The PAD also introduced new program monitoring and reporting elements that further increased rigour</w:t>
            </w:r>
            <w:r w:rsidR="004D5119" w:rsidRPr="005008AD">
              <w:rPr>
                <w:szCs w:val="18"/>
              </w:rPr>
              <w:t>.</w:t>
            </w:r>
          </w:p>
          <w:p w14:paraId="4056DEC1" w14:textId="32A635A3" w:rsidR="00FF4815" w:rsidRPr="005008AD" w:rsidRDefault="001F283B" w:rsidP="001939CA">
            <w:pPr>
              <w:pStyle w:val="Tabletext"/>
            </w:pPr>
            <w:r w:rsidRPr="005008AD">
              <w:t xml:space="preserve">These elements have continued as part of the </w:t>
            </w:r>
            <w:r w:rsidR="00282C65" w:rsidRPr="005008AD">
              <w:t>PbR</w:t>
            </w:r>
            <w:r w:rsidRPr="005008AD">
              <w:t>.</w:t>
            </w:r>
          </w:p>
        </w:tc>
      </w:tr>
      <w:tr w:rsidR="00FF4815" w:rsidRPr="006E2084" w14:paraId="5A41E135" w14:textId="77777777" w:rsidTr="00344506">
        <w:trPr>
          <w:trHeight w:val="974"/>
        </w:trPr>
        <w:tc>
          <w:tcPr>
            <w:tcW w:w="2977" w:type="dxa"/>
            <w:shd w:val="clear" w:color="auto" w:fill="F2F2F2" w:themeFill="background1" w:themeFillShade="F2"/>
            <w:vAlign w:val="center"/>
            <w:hideMark/>
          </w:tcPr>
          <w:p w14:paraId="32C4F6FE" w14:textId="77777777" w:rsidR="00FF4815" w:rsidRPr="005008AD" w:rsidRDefault="00FF4815" w:rsidP="001939CA">
            <w:pPr>
              <w:pStyle w:val="Tabletext"/>
            </w:pPr>
            <w:r w:rsidRPr="005008AD">
              <w:lastRenderedPageBreak/>
              <w:t xml:space="preserve">Can the outcomes be attributed to the program as a SII? </w:t>
            </w:r>
          </w:p>
        </w:tc>
        <w:tc>
          <w:tcPr>
            <w:tcW w:w="7061" w:type="dxa"/>
            <w:vAlign w:val="center"/>
          </w:tcPr>
          <w:p w14:paraId="1D31FEB2" w14:textId="44EFB221" w:rsidR="00422B69" w:rsidRPr="005008AD" w:rsidRDefault="00422B69" w:rsidP="001939CA">
            <w:pPr>
              <w:pStyle w:val="Tabletext"/>
              <w:rPr>
                <w:szCs w:val="18"/>
              </w:rPr>
            </w:pPr>
            <w:r w:rsidRPr="005008AD">
              <w:t>The joint accountability of stakeholders to work through program challenges was strengthened by the J2SI PAD through its JWG, and can</w:t>
            </w:r>
            <w:r w:rsidR="00AA3312" w:rsidRPr="005008AD">
              <w:rPr>
                <w:szCs w:val="18"/>
              </w:rPr>
              <w:t>,</w:t>
            </w:r>
            <w:r w:rsidRPr="005008AD">
              <w:rPr>
                <w:szCs w:val="18"/>
              </w:rPr>
              <w:t xml:space="preserve"> in part</w:t>
            </w:r>
            <w:r w:rsidR="00AA3312" w:rsidRPr="005008AD">
              <w:rPr>
                <w:szCs w:val="18"/>
              </w:rPr>
              <w:t>,</w:t>
            </w:r>
            <w:r w:rsidRPr="005008AD">
              <w:rPr>
                <w:szCs w:val="18"/>
              </w:rPr>
              <w:t xml:space="preserve"> be attributed to the PAD mechanism. </w:t>
            </w:r>
          </w:p>
          <w:p w14:paraId="2C1AEE90" w14:textId="52AB9701" w:rsidR="00422B69" w:rsidRPr="005008AD" w:rsidRDefault="00422B69" w:rsidP="001939CA">
            <w:pPr>
              <w:pStyle w:val="Tabletext"/>
              <w:rPr>
                <w:szCs w:val="18"/>
              </w:rPr>
            </w:pPr>
            <w:r w:rsidRPr="005008AD">
              <w:t>In addition, the increased level of accountability to provide suitable social housing can be attributed to the PAD, as it stemmed from the PAD</w:t>
            </w:r>
            <w:r w:rsidR="00AA3312" w:rsidRPr="005008AD">
              <w:t>’</w:t>
            </w:r>
            <w:r w:rsidRPr="005008AD">
              <w:t>s financial penalties and cross</w:t>
            </w:r>
            <w:r w:rsidR="00E958DF">
              <w:noBreakHyphen/>
            </w:r>
            <w:r w:rsidRPr="005008AD">
              <w:t xml:space="preserve">agency collaboration. </w:t>
            </w:r>
          </w:p>
          <w:p w14:paraId="49443F6C" w14:textId="1384427C" w:rsidR="00FF4815" w:rsidRPr="005008AD" w:rsidRDefault="00422B69" w:rsidP="001939CA">
            <w:pPr>
              <w:pStyle w:val="Tabletext"/>
            </w:pPr>
            <w:r w:rsidRPr="005008AD">
              <w:t xml:space="preserve">The rigorous approach to data collection and analysis, in addition to program monitoring, delivery and reporting, was seen under previous iterations of J2SI, but was seen to have been </w:t>
            </w:r>
            <w:r w:rsidR="00044CED">
              <w:t>enhanced</w:t>
            </w:r>
            <w:r w:rsidRPr="005008AD">
              <w:t xml:space="preserve"> as a result of the J2SI PAD.</w:t>
            </w:r>
          </w:p>
        </w:tc>
      </w:tr>
      <w:tr w:rsidR="00FF4815" w:rsidRPr="006E2084" w14:paraId="68E7B2B4" w14:textId="77777777" w:rsidTr="00344506">
        <w:trPr>
          <w:trHeight w:val="974"/>
        </w:trPr>
        <w:tc>
          <w:tcPr>
            <w:tcW w:w="2977" w:type="dxa"/>
            <w:shd w:val="clear" w:color="auto" w:fill="F2F2F2" w:themeFill="background1" w:themeFillShade="F2"/>
            <w:vAlign w:val="center"/>
            <w:hideMark/>
          </w:tcPr>
          <w:p w14:paraId="6A2BF4A5" w14:textId="77777777" w:rsidR="00FF4815" w:rsidRPr="00E958DF" w:rsidRDefault="00FF4815" w:rsidP="00E958DF">
            <w:pPr>
              <w:pStyle w:val="TabletextItalic"/>
            </w:pPr>
            <w:r w:rsidRPr="00E958DF">
              <w:t>Has there been a change in findings from interim evaluation?</w:t>
            </w:r>
          </w:p>
        </w:tc>
        <w:tc>
          <w:tcPr>
            <w:tcW w:w="7061" w:type="dxa"/>
            <w:vAlign w:val="center"/>
          </w:tcPr>
          <w:p w14:paraId="33554292" w14:textId="384130C9" w:rsidR="00FF4815" w:rsidRPr="00E958DF" w:rsidRDefault="00FF4815" w:rsidP="00E958DF">
            <w:pPr>
              <w:pStyle w:val="TabletextItalic"/>
            </w:pPr>
            <w:r w:rsidRPr="00E958DF">
              <w:t>Strong collaboration</w:t>
            </w:r>
            <w:r w:rsidR="005340E2" w:rsidRPr="00E958DF">
              <w:t xml:space="preserve">, </w:t>
            </w:r>
            <w:r w:rsidRPr="00E958DF">
              <w:t xml:space="preserve">accountability </w:t>
            </w:r>
            <w:r w:rsidR="005340E2" w:rsidRPr="00E958DF">
              <w:t xml:space="preserve">and rigour </w:t>
            </w:r>
            <w:r w:rsidRPr="00E958DF">
              <w:t xml:space="preserve">remain consistent with interim evaluation findings. Role clarity in relation to joint governance procedures was observed to improve over time. </w:t>
            </w:r>
          </w:p>
        </w:tc>
      </w:tr>
    </w:tbl>
    <w:p w14:paraId="70D4B762" w14:textId="6AD292E5" w:rsidR="00D94EA0" w:rsidRPr="009572B1" w:rsidRDefault="00185C99" w:rsidP="009572B1">
      <w:pPr>
        <w:pStyle w:val="BodyText"/>
      </w:pPr>
      <w:r w:rsidRPr="009572B1">
        <w:t xml:space="preserve">Stakeholders noted that the PAD drove greater accountability </w:t>
      </w:r>
      <w:r w:rsidR="000A4BAB" w:rsidRPr="009572B1">
        <w:t>in areas of governance and the</w:t>
      </w:r>
      <w:r w:rsidRPr="009572B1">
        <w:t xml:space="preserve"> </w:t>
      </w:r>
      <w:r w:rsidR="000A4BAB" w:rsidRPr="009572B1">
        <w:t>provision of</w:t>
      </w:r>
      <w:r w:rsidRPr="009572B1">
        <w:t xml:space="preserve"> social housing, strengthened the rigour of data collection and analysis and strengthen</w:t>
      </w:r>
      <w:r w:rsidR="0096648D" w:rsidRPr="009572B1">
        <w:t>ed</w:t>
      </w:r>
      <w:r w:rsidRPr="009572B1">
        <w:t xml:space="preserve"> program monitoring and reporting, over and above </w:t>
      </w:r>
      <w:r w:rsidR="00B066D0" w:rsidRPr="009572B1">
        <w:t>business-as-usual</w:t>
      </w:r>
      <w:r w:rsidR="00C67AC3" w:rsidRPr="009572B1">
        <w:t xml:space="preserve"> (BAU)</w:t>
      </w:r>
      <w:r w:rsidRPr="009572B1">
        <w:t>. In most cases, increased accountability and rigour w</w:t>
      </w:r>
      <w:r w:rsidR="00DA6A7D" w:rsidRPr="009572B1">
        <w:t>ere</w:t>
      </w:r>
      <w:r w:rsidRPr="009572B1">
        <w:t xml:space="preserve"> considered a positive impact of the </w:t>
      </w:r>
      <w:r w:rsidR="0082495D" w:rsidRPr="009572B1">
        <w:t xml:space="preserve">J2SI </w:t>
      </w:r>
      <w:r w:rsidRPr="009572B1">
        <w:t xml:space="preserve">PAD, </w:t>
      </w:r>
      <w:r w:rsidR="00DB2074" w:rsidRPr="009572B1">
        <w:t>being in line with a broader government shift towards outcomes funding and promoting learnings about how to do this in a rigorous</w:t>
      </w:r>
      <w:r w:rsidR="00AA3312" w:rsidRPr="009572B1">
        <w:t>,</w:t>
      </w:r>
      <w:r w:rsidR="00DB2074" w:rsidRPr="009572B1">
        <w:t xml:space="preserve"> yet efficient</w:t>
      </w:r>
      <w:r w:rsidR="00AA3312" w:rsidRPr="009572B1">
        <w:t>,</w:t>
      </w:r>
      <w:r w:rsidR="00DB2074" w:rsidRPr="009572B1">
        <w:t xml:space="preserve"> way. </w:t>
      </w:r>
      <w:r w:rsidR="00DA6A7D" w:rsidRPr="009572B1">
        <w:t>How</w:t>
      </w:r>
      <w:r w:rsidRPr="009572B1">
        <w:t xml:space="preserve">ever, in some cases, </w:t>
      </w:r>
      <w:r w:rsidR="00DA6A7D" w:rsidRPr="009572B1">
        <w:t>processes which promoted accountability and rigour were</w:t>
      </w:r>
      <w:r w:rsidRPr="009572B1">
        <w:t xml:space="preserve"> considered </w:t>
      </w:r>
      <w:r w:rsidR="00CD7B4A" w:rsidRPr="009572B1">
        <w:t xml:space="preserve">as administratively burdensome. </w:t>
      </w:r>
      <w:r w:rsidR="00740C76" w:rsidRPr="009572B1">
        <w:t>Further detail is provided below.</w:t>
      </w:r>
    </w:p>
    <w:p w14:paraId="61E4242F" w14:textId="1119BA8F" w:rsidR="00251418" w:rsidRPr="00E958DF" w:rsidRDefault="00251418" w:rsidP="008C71A8">
      <w:pPr>
        <w:pStyle w:val="Heading4"/>
      </w:pPr>
      <w:r w:rsidRPr="00880982">
        <w:t>Governance</w:t>
      </w:r>
      <w:r w:rsidR="007873A8" w:rsidRPr="00E958DF">
        <w:t xml:space="preserve"> and accountability </w:t>
      </w:r>
    </w:p>
    <w:p w14:paraId="4C991BC1" w14:textId="6D805DD2" w:rsidR="00251418" w:rsidRDefault="00251418" w:rsidP="007E1193">
      <w:pPr>
        <w:pStyle w:val="BodyText"/>
        <w:keepLines/>
        <w:spacing w:before="60"/>
      </w:pPr>
      <w:r w:rsidRPr="00251418">
        <w:t>The J2SI PAD</w:t>
      </w:r>
      <w:r w:rsidR="00AA3312">
        <w:t>’</w:t>
      </w:r>
      <w:r w:rsidR="00C67AC3">
        <w:t>s</w:t>
      </w:r>
      <w:r w:rsidRPr="00251418">
        <w:t xml:space="preserve"> </w:t>
      </w:r>
      <w:r w:rsidR="00767EE0">
        <w:t>J</w:t>
      </w:r>
      <w:r w:rsidRPr="00251418">
        <w:t xml:space="preserve">WG was established to provide advice and guidance across the duration of the program, and </w:t>
      </w:r>
      <w:r w:rsidR="00767EE0">
        <w:t>included</w:t>
      </w:r>
      <w:r w:rsidRPr="00251418">
        <w:t xml:space="preserve"> representatives from across SHM, DTF and DFFH/Homes Vic</w:t>
      </w:r>
      <w:r w:rsidR="00767EE0">
        <w:t>toria</w:t>
      </w:r>
      <w:r w:rsidRPr="00251418">
        <w:t>. Stakeholders noted that the JWG helped to turn program challenges into ‘problems shared’, which drove joint responsibility and accountability for their solutions. The interim evaluation found that</w:t>
      </w:r>
      <w:r w:rsidR="00AA3312">
        <w:t>,</w:t>
      </w:r>
      <w:r w:rsidR="00AA3312" w:rsidRPr="00AA3312">
        <w:t xml:space="preserve"> </w:t>
      </w:r>
      <w:r w:rsidR="00AA3312">
        <w:t>initially,</w:t>
      </w:r>
      <w:r w:rsidRPr="00251418">
        <w:t xml:space="preserve"> there </w:t>
      </w:r>
      <w:r w:rsidR="00767EE0">
        <w:t xml:space="preserve">was a lack of clarity in terms </w:t>
      </w:r>
      <w:r w:rsidR="00C71737">
        <w:t xml:space="preserve">of </w:t>
      </w:r>
      <w:r w:rsidR="00767EE0">
        <w:t>role clari</w:t>
      </w:r>
      <w:r w:rsidR="00C71737">
        <w:t>t</w:t>
      </w:r>
      <w:r w:rsidR="00767EE0">
        <w:t>y and responsibility</w:t>
      </w:r>
      <w:r w:rsidR="00AA3312">
        <w:t>;</w:t>
      </w:r>
      <w:r w:rsidR="00767EE0">
        <w:t xml:space="preserve"> </w:t>
      </w:r>
      <w:r w:rsidR="004F7FE3">
        <w:t>however,</w:t>
      </w:r>
      <w:r w:rsidR="00767EE0">
        <w:t xml:space="preserve"> </w:t>
      </w:r>
      <w:r w:rsidR="004F7FE3">
        <w:t>this was</w:t>
      </w:r>
      <w:r w:rsidR="00767EE0">
        <w:t xml:space="preserve"> </w:t>
      </w:r>
      <w:r w:rsidRPr="00251418">
        <w:t>reported to have improved over time, and it was not considered as being an issue beyond the early</w:t>
      </w:r>
      <w:r w:rsidR="00B8396B">
        <w:t>/implementation</w:t>
      </w:r>
      <w:r w:rsidRPr="00251418">
        <w:t xml:space="preserve"> stages of the PAD.</w:t>
      </w:r>
      <w:r>
        <w:t xml:space="preserve"> </w:t>
      </w:r>
    </w:p>
    <w:p w14:paraId="18CF90F1" w14:textId="2014EC95" w:rsidR="00A13F1D" w:rsidRPr="00CF34AE" w:rsidRDefault="00530708" w:rsidP="008C71A8">
      <w:pPr>
        <w:pStyle w:val="Heading4"/>
      </w:pPr>
      <w:r>
        <w:t>Provision of</w:t>
      </w:r>
      <w:r w:rsidR="00285E6C">
        <w:t xml:space="preserve"> </w:t>
      </w:r>
      <w:r w:rsidR="00B721F4" w:rsidRPr="00CF34AE">
        <w:t xml:space="preserve">social housing </w:t>
      </w:r>
    </w:p>
    <w:p w14:paraId="28BB1CAD" w14:textId="35E2EC5F" w:rsidR="00B721F4" w:rsidRPr="00E5084F" w:rsidRDefault="00257655" w:rsidP="00B721F4">
      <w:pPr>
        <w:pStyle w:val="BodyText"/>
      </w:pPr>
      <w:r>
        <w:t>The</w:t>
      </w:r>
      <w:r w:rsidR="006C42F4">
        <w:t xml:space="preserve"> PAD increased </w:t>
      </w:r>
      <w:r w:rsidR="004F7FE3">
        <w:t>g</w:t>
      </w:r>
      <w:r w:rsidR="006C42F4">
        <w:t xml:space="preserve">overnment </w:t>
      </w:r>
      <w:r w:rsidR="00F13256">
        <w:t xml:space="preserve">accountability to </w:t>
      </w:r>
      <w:r w:rsidR="003E629D">
        <w:t xml:space="preserve">provide suitable </w:t>
      </w:r>
      <w:r w:rsidR="00F13256">
        <w:t>social housing</w:t>
      </w:r>
      <w:r w:rsidR="00542BFA">
        <w:t xml:space="preserve"> </w:t>
      </w:r>
      <w:r w:rsidR="003E629D">
        <w:t xml:space="preserve">to clients </w:t>
      </w:r>
      <w:r w:rsidR="00542BFA">
        <w:t xml:space="preserve">through </w:t>
      </w:r>
      <w:r w:rsidR="00767EE0">
        <w:t>its</w:t>
      </w:r>
      <w:r w:rsidR="00542BFA">
        <w:t xml:space="preserve"> financial penalties and cross-agency collaboration. </w:t>
      </w:r>
      <w:r w:rsidR="00F747D2">
        <w:t>This is discussed in detail on</w:t>
      </w:r>
      <w:r w:rsidRPr="00F747D2">
        <w:t xml:space="preserve"> </w:t>
      </w:r>
      <w:r w:rsidR="00AA3312">
        <w:t>p</w:t>
      </w:r>
      <w:r w:rsidRPr="00F747D2">
        <w:t xml:space="preserve">age </w:t>
      </w:r>
      <w:r w:rsidR="00F747D2" w:rsidRPr="00F747D2">
        <w:fldChar w:fldCharType="begin"/>
      </w:r>
      <w:r w:rsidR="00F747D2" w:rsidRPr="00F747D2">
        <w:instrText xml:space="preserve"> PAGEREF _Ref149842008 \h </w:instrText>
      </w:r>
      <w:r w:rsidR="00F747D2" w:rsidRPr="00F747D2">
        <w:fldChar w:fldCharType="separate"/>
      </w:r>
      <w:r w:rsidR="005B05CA">
        <w:rPr>
          <w:noProof/>
        </w:rPr>
        <w:t>26</w:t>
      </w:r>
      <w:r w:rsidR="00F747D2" w:rsidRPr="00F747D2">
        <w:fldChar w:fldCharType="end"/>
      </w:r>
      <w:r>
        <w:t xml:space="preserve">. </w:t>
      </w:r>
    </w:p>
    <w:p w14:paraId="78E1DE3F" w14:textId="0C06804B" w:rsidR="0027313F" w:rsidRPr="00880BD0" w:rsidRDefault="00530708" w:rsidP="008C71A8">
      <w:pPr>
        <w:pStyle w:val="Heading4"/>
      </w:pPr>
      <w:r>
        <w:t>P</w:t>
      </w:r>
      <w:r w:rsidR="00600A4D">
        <w:t>rogram data collection and analysi</w:t>
      </w:r>
      <w:r w:rsidR="009E24FC">
        <w:t>s</w:t>
      </w:r>
    </w:p>
    <w:p w14:paraId="2913BF4A" w14:textId="06D5874C" w:rsidR="00186B70" w:rsidRDefault="00665CD1" w:rsidP="0027313F">
      <w:pPr>
        <w:pStyle w:val="BodyText"/>
      </w:pPr>
      <w:r>
        <w:t>T</w:t>
      </w:r>
      <w:r w:rsidRPr="0093592E">
        <w:t>he</w:t>
      </w:r>
      <w:r>
        <w:t xml:space="preserve"> link between the outcome payments and the measurement of the</w:t>
      </w:r>
      <w:r w:rsidR="00542BFA">
        <w:t xml:space="preserve"> two</w:t>
      </w:r>
      <w:r>
        <w:t xml:space="preserve"> </w:t>
      </w:r>
      <w:r w:rsidRPr="0093592E">
        <w:t xml:space="preserve">payable outcomes drove a rigorous approach to </w:t>
      </w:r>
      <w:r w:rsidR="006C64D7">
        <w:t xml:space="preserve">data </w:t>
      </w:r>
      <w:r>
        <w:t xml:space="preserve">collection and reporting, with the </w:t>
      </w:r>
      <w:r w:rsidRPr="00E92940">
        <w:t xml:space="preserve">SHM and </w:t>
      </w:r>
      <w:r w:rsidR="00C74527" w:rsidRPr="00E92940">
        <w:t>g</w:t>
      </w:r>
      <w:r w:rsidR="00F619E8" w:rsidRPr="00E92940">
        <w:t>overnment</w:t>
      </w:r>
      <w:r w:rsidRPr="00E92940">
        <w:t xml:space="preserve"> analytics teams </w:t>
      </w:r>
      <w:r>
        <w:t xml:space="preserve">spending time manually reviewing data to ensure accuracy. Although </w:t>
      </w:r>
      <w:r w:rsidR="00186B70">
        <w:t>the</w:t>
      </w:r>
      <w:r w:rsidR="00F619E8">
        <w:t xml:space="preserve"> approach </w:t>
      </w:r>
      <w:r w:rsidR="00CD7B4A">
        <w:t xml:space="preserve">taken </w:t>
      </w:r>
      <w:r w:rsidR="00F619E8">
        <w:t xml:space="preserve">to ensure data accuracy was considered </w:t>
      </w:r>
      <w:r w:rsidR="00CD7B4A">
        <w:t xml:space="preserve">a positive consequence by some </w:t>
      </w:r>
      <w:r w:rsidR="00F619E8">
        <w:t xml:space="preserve">stakeholders, it was also </w:t>
      </w:r>
      <w:r w:rsidR="004224EE">
        <w:t>observed to</w:t>
      </w:r>
      <w:r w:rsidR="00CD7B4A">
        <w:t xml:space="preserve"> </w:t>
      </w:r>
      <w:r w:rsidR="004224EE">
        <w:t>require</w:t>
      </w:r>
      <w:r w:rsidR="00B906FB">
        <w:t xml:space="preserve"> an investment of stakeholder time</w:t>
      </w:r>
      <w:r w:rsidR="00F619E8">
        <w:t>,</w:t>
      </w:r>
      <w:r w:rsidR="00B906FB">
        <w:t xml:space="preserve"> </w:t>
      </w:r>
      <w:r w:rsidR="00AA3312">
        <w:t>in addition to</w:t>
      </w:r>
      <w:r w:rsidR="00B906FB">
        <w:t xml:space="preserve"> program data and reporting requirements that were already labour intensive. </w:t>
      </w:r>
      <w:r w:rsidR="009B0EAB">
        <w:t xml:space="preserve">This was due to the high degree of data quality needed to calculate outcomes payments and </w:t>
      </w:r>
      <w:r w:rsidR="00CC2D13">
        <w:t xml:space="preserve">the inherent challenges in collecting data </w:t>
      </w:r>
      <w:r w:rsidR="00022431">
        <w:t>of</w:t>
      </w:r>
      <w:r w:rsidR="00CC2D13">
        <w:t xml:space="preserve"> this quality.</w:t>
      </w:r>
      <w:r w:rsidR="00B906FB">
        <w:t xml:space="preserve"> </w:t>
      </w:r>
    </w:p>
    <w:p w14:paraId="61418BEC" w14:textId="09C9E1D5" w:rsidR="00363520" w:rsidRDefault="0027313F" w:rsidP="00186B70">
      <w:pPr>
        <w:pStyle w:val="BodyText"/>
      </w:pPr>
      <w:r>
        <w:t>The complexity of</w:t>
      </w:r>
      <w:r w:rsidR="00186B70">
        <w:t xml:space="preserve"> the PAD</w:t>
      </w:r>
      <w:r w:rsidR="00AA3312">
        <w:t>’</w:t>
      </w:r>
      <w:r w:rsidR="007824CC">
        <w:t>s</w:t>
      </w:r>
      <w:r>
        <w:t xml:space="preserve"> data collection</w:t>
      </w:r>
      <w:r w:rsidR="00623D6C">
        <w:t xml:space="preserve"> and analytical</w:t>
      </w:r>
      <w:r>
        <w:t xml:space="preserve"> </w:t>
      </w:r>
      <w:r w:rsidR="00186B70">
        <w:t xml:space="preserve">requirements </w:t>
      </w:r>
      <w:r w:rsidR="00161163">
        <w:t>was</w:t>
      </w:r>
      <w:r w:rsidR="00863A4A">
        <w:t xml:space="preserve"> </w:t>
      </w:r>
      <w:r w:rsidR="00363520">
        <w:t>felt</w:t>
      </w:r>
      <w:r w:rsidR="00863A4A">
        <w:t xml:space="preserve"> </w:t>
      </w:r>
      <w:r w:rsidR="00363520">
        <w:t>for</w:t>
      </w:r>
      <w:r w:rsidR="00863A4A">
        <w:t xml:space="preserve"> the duration of </w:t>
      </w:r>
      <w:r>
        <w:t>the program</w:t>
      </w:r>
      <w:r w:rsidR="00186B70">
        <w:t xml:space="preserve">, </w:t>
      </w:r>
      <w:r w:rsidR="00657C58">
        <w:t xml:space="preserve">as data quality challenges </w:t>
      </w:r>
      <w:r w:rsidR="00161163">
        <w:t>persisted</w:t>
      </w:r>
      <w:r w:rsidR="00657C58">
        <w:t xml:space="preserve"> </w:t>
      </w:r>
      <w:r w:rsidR="00161163">
        <w:t>for the duration of the program</w:t>
      </w:r>
      <w:r w:rsidR="00657C58">
        <w:t>. However,</w:t>
      </w:r>
      <w:r w:rsidR="00186B70">
        <w:t xml:space="preserve"> it was noted that </w:t>
      </w:r>
      <w:r w:rsidR="00623D6C">
        <w:t xml:space="preserve">effective </w:t>
      </w:r>
      <w:r w:rsidR="00186B70">
        <w:t xml:space="preserve">collaboration </w:t>
      </w:r>
      <w:r w:rsidR="00186B70" w:rsidRPr="00E92940">
        <w:t xml:space="preserve">between SHM and </w:t>
      </w:r>
      <w:r w:rsidR="00E92940" w:rsidRPr="00E92940">
        <w:t xml:space="preserve">government </w:t>
      </w:r>
      <w:r w:rsidR="00186B70" w:rsidRPr="00E92940">
        <w:t>data stakeholders</w:t>
      </w:r>
      <w:r w:rsidR="00186B70">
        <w:t xml:space="preserve"> meant some efficiency was gained over time</w:t>
      </w:r>
      <w:r w:rsidR="00657C58">
        <w:t xml:space="preserve">, particularly as relationships and understanding between involved stakeholders </w:t>
      </w:r>
      <w:r w:rsidR="009A2CF7">
        <w:t>developed</w:t>
      </w:r>
      <w:r>
        <w:t xml:space="preserve">. </w:t>
      </w:r>
    </w:p>
    <w:p w14:paraId="5D8B3CB8" w14:textId="55DED942" w:rsidR="00693A3C" w:rsidRDefault="0027313F" w:rsidP="00AA3312">
      <w:pPr>
        <w:pStyle w:val="BodyTextkeepwithnext"/>
      </w:pPr>
      <w:r w:rsidRPr="004858A1">
        <w:t xml:space="preserve">Stable housing data was </w:t>
      </w:r>
      <w:r>
        <w:t xml:space="preserve">described as </w:t>
      </w:r>
      <w:r w:rsidR="00186B70">
        <w:t xml:space="preserve">being </w:t>
      </w:r>
      <w:r w:rsidRPr="004858A1">
        <w:t xml:space="preserve">particularly challenging to interpret </w:t>
      </w:r>
      <w:r>
        <w:t>and analyse</w:t>
      </w:r>
      <w:r w:rsidR="00693A3C">
        <w:t xml:space="preserve"> due to: </w:t>
      </w:r>
    </w:p>
    <w:p w14:paraId="63A9BDFE" w14:textId="1F72CEAC" w:rsidR="00693A3C" w:rsidRDefault="00693A3C" w:rsidP="00632D10">
      <w:pPr>
        <w:pStyle w:val="Bullet1stlevel"/>
      </w:pPr>
      <w:r>
        <w:t>I</w:t>
      </w:r>
      <w:r w:rsidR="0027313F" w:rsidRPr="004858A1">
        <w:t>t</w:t>
      </w:r>
      <w:r>
        <w:t>s reliance</w:t>
      </w:r>
      <w:r w:rsidR="0027313F" w:rsidRPr="004858A1">
        <w:t xml:space="preserve"> on administrative data</w:t>
      </w:r>
      <w:r w:rsidR="0027313F">
        <w:t>sets collected for non-research purpose</w:t>
      </w:r>
      <w:r>
        <w:t xml:space="preserve">s; </w:t>
      </w:r>
    </w:p>
    <w:p w14:paraId="7C2801F6" w14:textId="2AA1B97F" w:rsidR="00492513" w:rsidRDefault="00693A3C" w:rsidP="00632D10">
      <w:pPr>
        <w:pStyle w:val="Bullet1stlevel"/>
      </w:pPr>
      <w:r>
        <w:t xml:space="preserve">Gaps in housing data </w:t>
      </w:r>
      <w:r w:rsidR="00E87042">
        <w:t>due to i</w:t>
      </w:r>
      <w:r w:rsidR="00186B70">
        <w:t>nconsistent sector practices</w:t>
      </w:r>
      <w:r w:rsidR="00492513">
        <w:t>; and</w:t>
      </w:r>
    </w:p>
    <w:p w14:paraId="0486BAC6" w14:textId="52431569" w:rsidR="00693A3C" w:rsidRDefault="00657C58" w:rsidP="00632D10">
      <w:pPr>
        <w:pStyle w:val="Bullet1stlevel"/>
      </w:pPr>
      <w:r>
        <w:t>Non-mandatory data collection fields (i.e. h</w:t>
      </w:r>
      <w:r w:rsidR="00363520">
        <w:t>ousing providers not being required to collect client data once a person is in housing</w:t>
      </w:r>
      <w:r>
        <w:t>)</w:t>
      </w:r>
      <w:r w:rsidR="00363520">
        <w:t xml:space="preserve">. </w:t>
      </w:r>
    </w:p>
    <w:p w14:paraId="111E376B" w14:textId="371E540C" w:rsidR="0027313F" w:rsidRDefault="00186B70" w:rsidP="00FE514C">
      <w:pPr>
        <w:pStyle w:val="BodyText"/>
        <w:spacing w:before="60"/>
      </w:pPr>
      <w:r>
        <w:t>Stakeholders</w:t>
      </w:r>
      <w:r w:rsidR="0027313F" w:rsidRPr="00B629F8">
        <w:t xml:space="preserve"> noted that greater involvement of the data linkage unit during </w:t>
      </w:r>
      <w:r>
        <w:t xml:space="preserve">the </w:t>
      </w:r>
      <w:r w:rsidR="0027313F">
        <w:t>J2SI PAD</w:t>
      </w:r>
      <w:r w:rsidR="00AA3312">
        <w:t>’</w:t>
      </w:r>
      <w:r>
        <w:t>s establishment</w:t>
      </w:r>
      <w:r w:rsidR="0027313F" w:rsidRPr="00B629F8">
        <w:t xml:space="preserve"> would have been advantageous, and may have reduced some </w:t>
      </w:r>
      <w:r w:rsidR="00623D6C">
        <w:t>of the challenges</w:t>
      </w:r>
      <w:r w:rsidR="0027313F" w:rsidRPr="00B629F8">
        <w:t xml:space="preserve"> </w:t>
      </w:r>
      <w:r w:rsidR="00623D6C">
        <w:t>faced</w:t>
      </w:r>
      <w:r w:rsidR="0027313F" w:rsidRPr="00B629F8">
        <w:t xml:space="preserve"> during linkage and analysis.</w:t>
      </w:r>
    </w:p>
    <w:p w14:paraId="0CD25F0F" w14:textId="5CE7479F" w:rsidR="001F7C08" w:rsidRPr="007E1193" w:rsidRDefault="000B6A6C" w:rsidP="001F7C08">
      <w:pPr>
        <w:rPr>
          <w:spacing w:val="-4"/>
        </w:rPr>
      </w:pPr>
      <w:r w:rsidRPr="007E1193">
        <w:rPr>
          <w:spacing w:val="-4"/>
        </w:rPr>
        <w:lastRenderedPageBreak/>
        <w:t>The consistent use of the TICSPOT survey</w:t>
      </w:r>
      <w:r w:rsidR="00034A13" w:rsidRPr="007E1193">
        <w:rPr>
          <w:spacing w:val="-4"/>
        </w:rPr>
        <w:t xml:space="preserve"> </w:t>
      </w:r>
      <w:r w:rsidR="00941B3B" w:rsidRPr="007E1193">
        <w:rPr>
          <w:spacing w:val="-4"/>
        </w:rPr>
        <w:t>also demonstrates program</w:t>
      </w:r>
      <w:r w:rsidR="00034A13" w:rsidRPr="007E1193">
        <w:rPr>
          <w:spacing w:val="-4"/>
        </w:rPr>
        <w:t xml:space="preserve"> accountability and rigour</w:t>
      </w:r>
      <w:r w:rsidR="00CA5EED" w:rsidRPr="007E1193">
        <w:rPr>
          <w:spacing w:val="-4"/>
        </w:rPr>
        <w:t xml:space="preserve">. </w:t>
      </w:r>
      <w:r w:rsidR="00BD0B8D" w:rsidRPr="007E1193">
        <w:rPr>
          <w:spacing w:val="-4"/>
        </w:rPr>
        <w:t xml:space="preserve">Although the survey was initially introduced under the J2SI </w:t>
      </w:r>
      <w:r w:rsidR="009C7EFD" w:rsidRPr="007E1193">
        <w:rPr>
          <w:spacing w:val="-4"/>
        </w:rPr>
        <w:t xml:space="preserve">Phase 2 </w:t>
      </w:r>
      <w:r w:rsidR="00BD0B8D" w:rsidRPr="007E1193">
        <w:rPr>
          <w:spacing w:val="-4"/>
        </w:rPr>
        <w:t>RCT, it underwent an upgrade</w:t>
      </w:r>
      <w:r w:rsidR="00272B50" w:rsidRPr="007E1193">
        <w:rPr>
          <w:rFonts w:ascii="ZWAdobeF" w:hAnsi="ZWAdobeF" w:cs="ZWAdobeF"/>
          <w:color w:val="auto"/>
          <w:spacing w:val="-4"/>
          <w:sz w:val="2"/>
          <w:szCs w:val="2"/>
        </w:rPr>
        <w:t>27F</w:t>
      </w:r>
      <w:r w:rsidR="00125CA2" w:rsidRPr="007E1193">
        <w:rPr>
          <w:rFonts w:ascii="ZWAdobeF" w:hAnsi="ZWAdobeF" w:cs="ZWAdobeF"/>
          <w:color w:val="auto"/>
          <w:spacing w:val="-4"/>
          <w:sz w:val="2"/>
          <w:szCs w:val="2"/>
        </w:rPr>
        <w:t>27F</w:t>
      </w:r>
      <w:r w:rsidR="00C265D8" w:rsidRPr="007E1193">
        <w:rPr>
          <w:rStyle w:val="FootnoteReference"/>
          <w:spacing w:val="-4"/>
        </w:rPr>
        <w:footnoteReference w:id="46"/>
      </w:r>
      <w:r w:rsidR="00BD0B8D" w:rsidRPr="007E1193">
        <w:rPr>
          <w:spacing w:val="-4"/>
        </w:rPr>
        <w:t xml:space="preserve"> </w:t>
      </w:r>
      <w:r w:rsidR="00AA3312" w:rsidRPr="007E1193">
        <w:rPr>
          <w:spacing w:val="-4"/>
        </w:rPr>
        <w:t>prior to</w:t>
      </w:r>
      <w:r w:rsidR="00FE2EC1" w:rsidRPr="007E1193">
        <w:rPr>
          <w:spacing w:val="-4"/>
        </w:rPr>
        <w:t xml:space="preserve"> the commencement</w:t>
      </w:r>
      <w:r w:rsidR="00257776" w:rsidRPr="007E1193">
        <w:rPr>
          <w:spacing w:val="-4"/>
        </w:rPr>
        <w:t xml:space="preserve"> of the PAD</w:t>
      </w:r>
      <w:r w:rsidR="00FE2EC1" w:rsidRPr="007E1193">
        <w:rPr>
          <w:spacing w:val="-4"/>
        </w:rPr>
        <w:t xml:space="preserve">, and has continued to be used in the </w:t>
      </w:r>
      <w:r w:rsidR="00282C65" w:rsidRPr="007E1193">
        <w:rPr>
          <w:spacing w:val="-4"/>
        </w:rPr>
        <w:t>PbR</w:t>
      </w:r>
      <w:r w:rsidR="00FE2EC1" w:rsidRPr="007E1193">
        <w:rPr>
          <w:spacing w:val="-4"/>
        </w:rPr>
        <w:t xml:space="preserve"> as </w:t>
      </w:r>
      <w:r w:rsidR="000F1B22" w:rsidRPr="007E1193">
        <w:rPr>
          <w:spacing w:val="-4"/>
        </w:rPr>
        <w:t>a</w:t>
      </w:r>
      <w:r w:rsidR="00FE2EC1" w:rsidRPr="007E1193">
        <w:rPr>
          <w:spacing w:val="-4"/>
        </w:rPr>
        <w:t xml:space="preserve"> source </w:t>
      </w:r>
      <w:r w:rsidR="00F47489" w:rsidRPr="007E1193">
        <w:rPr>
          <w:spacing w:val="-4"/>
        </w:rPr>
        <w:t xml:space="preserve">of </w:t>
      </w:r>
      <w:r w:rsidR="00FE2EC1" w:rsidRPr="007E1193">
        <w:rPr>
          <w:spacing w:val="-4"/>
        </w:rPr>
        <w:t>client outcomes data.</w:t>
      </w:r>
      <w:r w:rsidR="00B92D68" w:rsidRPr="007E1193">
        <w:rPr>
          <w:spacing w:val="-4"/>
        </w:rPr>
        <w:t xml:space="preserve"> </w:t>
      </w:r>
      <w:r w:rsidR="00035C44" w:rsidRPr="007E1193">
        <w:rPr>
          <w:spacing w:val="-4"/>
        </w:rPr>
        <w:t>Stakeholder views of TIC</w:t>
      </w:r>
      <w:r w:rsidR="00362A8E" w:rsidRPr="007E1193">
        <w:rPr>
          <w:spacing w:val="-4"/>
        </w:rPr>
        <w:t>S</w:t>
      </w:r>
      <w:r w:rsidR="00035C44" w:rsidRPr="007E1193">
        <w:rPr>
          <w:spacing w:val="-4"/>
        </w:rPr>
        <w:t xml:space="preserve">POT when reflecting on the </w:t>
      </w:r>
      <w:r w:rsidR="009C7EFD" w:rsidRPr="007E1193">
        <w:rPr>
          <w:spacing w:val="-4"/>
        </w:rPr>
        <w:t xml:space="preserve">Phase 2 </w:t>
      </w:r>
      <w:r w:rsidR="00035C44" w:rsidRPr="007E1193">
        <w:rPr>
          <w:spacing w:val="-4"/>
        </w:rPr>
        <w:t xml:space="preserve">RCT and the PAD were largely positive, citing that the survey </w:t>
      </w:r>
      <w:r w:rsidR="000F1B22" w:rsidRPr="007E1193">
        <w:rPr>
          <w:spacing w:val="-4"/>
        </w:rPr>
        <w:t>provided</w:t>
      </w:r>
      <w:r w:rsidR="00035C44" w:rsidRPr="007E1193">
        <w:rPr>
          <w:spacing w:val="-4"/>
        </w:rPr>
        <w:t xml:space="preserve"> a consistent approach to outcomes </w:t>
      </w:r>
      <w:r w:rsidR="000F1B22" w:rsidRPr="007E1193">
        <w:rPr>
          <w:spacing w:val="-4"/>
        </w:rPr>
        <w:t xml:space="preserve">data </w:t>
      </w:r>
      <w:r w:rsidR="00035C44" w:rsidRPr="007E1193">
        <w:rPr>
          <w:spacing w:val="-4"/>
        </w:rPr>
        <w:t>collection and reporting across key areas of housing, health and wellbeing, independence, social inclusion and economic participation</w:t>
      </w:r>
      <w:r w:rsidR="000F1B22" w:rsidRPr="007E1193">
        <w:rPr>
          <w:spacing w:val="-4"/>
        </w:rPr>
        <w:t>, and w</w:t>
      </w:r>
      <w:r w:rsidR="000E32D7" w:rsidRPr="007E1193">
        <w:rPr>
          <w:spacing w:val="-4"/>
        </w:rPr>
        <w:t>as</w:t>
      </w:r>
      <w:r w:rsidR="00CC73E8" w:rsidRPr="007E1193">
        <w:rPr>
          <w:spacing w:val="-4"/>
        </w:rPr>
        <w:t xml:space="preserve"> a</w:t>
      </w:r>
      <w:r w:rsidR="00035C44" w:rsidRPr="007E1193">
        <w:rPr>
          <w:spacing w:val="-4"/>
        </w:rPr>
        <w:t xml:space="preserve"> useful framework for </w:t>
      </w:r>
      <w:r w:rsidR="00CC73E8" w:rsidRPr="007E1193">
        <w:rPr>
          <w:spacing w:val="-4"/>
        </w:rPr>
        <w:t>client goal setting</w:t>
      </w:r>
      <w:r w:rsidR="00022423" w:rsidRPr="007E1193">
        <w:rPr>
          <w:spacing w:val="-4"/>
        </w:rPr>
        <w:t xml:space="preserve"> and support focus</w:t>
      </w:r>
      <w:r w:rsidR="00CC73E8" w:rsidRPr="007E1193">
        <w:rPr>
          <w:spacing w:val="-4"/>
        </w:rPr>
        <w:t xml:space="preserve">. </w:t>
      </w:r>
      <w:r w:rsidR="001F7C08" w:rsidRPr="007E1193">
        <w:rPr>
          <w:spacing w:val="-4"/>
        </w:rPr>
        <w:t>Service delivery workers observed that</w:t>
      </w:r>
      <w:r w:rsidR="00AA3312" w:rsidRPr="007E1193">
        <w:rPr>
          <w:spacing w:val="-4"/>
        </w:rPr>
        <w:t>,</w:t>
      </w:r>
      <w:r w:rsidR="001F7C08" w:rsidRPr="007E1193">
        <w:rPr>
          <w:spacing w:val="-4"/>
        </w:rPr>
        <w:t xml:space="preserve"> under this arrangement, they felt able to focus their time and efforts on the specific client goals within these outcomes which would go on to positively impact the two payable outcome measures</w:t>
      </w:r>
      <w:r w:rsidR="00AA3312" w:rsidRPr="007E1193">
        <w:rPr>
          <w:spacing w:val="-4"/>
        </w:rPr>
        <w:t>,</w:t>
      </w:r>
      <w:r w:rsidR="00894F5B" w:rsidRPr="007E1193">
        <w:rPr>
          <w:spacing w:val="-4"/>
        </w:rPr>
        <w:t xml:space="preserve"> and</w:t>
      </w:r>
      <w:r w:rsidR="001F7C08" w:rsidRPr="007E1193">
        <w:rPr>
          <w:spacing w:val="-4"/>
        </w:rPr>
        <w:t xml:space="preserve"> spoke positively of the balance of rigour and flexibility enabled by the PAD structure in this sense. </w:t>
      </w:r>
    </w:p>
    <w:p w14:paraId="0E872750" w14:textId="5CEFFCC1" w:rsidR="009E24FC" w:rsidRPr="009E24FC" w:rsidRDefault="00530708" w:rsidP="008C71A8">
      <w:pPr>
        <w:pStyle w:val="Heading4"/>
      </w:pPr>
      <w:r>
        <w:t>P</w:t>
      </w:r>
      <w:r w:rsidR="009E24FC">
        <w:t>rogram monitoring</w:t>
      </w:r>
      <w:r w:rsidR="00CA5EED">
        <w:t>, delivery and reporting</w:t>
      </w:r>
    </w:p>
    <w:p w14:paraId="6CD7904E" w14:textId="6246B344" w:rsidR="0027313F" w:rsidRDefault="00A20F8B" w:rsidP="0027313F">
      <w:pPr>
        <w:pStyle w:val="BodyText"/>
      </w:pPr>
      <w:r>
        <w:t>The</w:t>
      </w:r>
      <w:r w:rsidR="009F1E4F">
        <w:t xml:space="preserve"> approach</w:t>
      </w:r>
      <w:r>
        <w:t xml:space="preserve"> SHM took</w:t>
      </w:r>
      <w:r w:rsidR="009F1E4F">
        <w:t xml:space="preserve"> to </w:t>
      </w:r>
      <w:r w:rsidR="004F7FE3">
        <w:t xml:space="preserve">J2SI PAD </w:t>
      </w:r>
      <w:r w:rsidR="009F1E4F">
        <w:t xml:space="preserve">program monitoring and reporting was </w:t>
      </w:r>
      <w:r w:rsidR="00C84D20">
        <w:t xml:space="preserve">considered </w:t>
      </w:r>
      <w:r w:rsidR="009F1E4F">
        <w:t xml:space="preserve">more rigorous than </w:t>
      </w:r>
      <w:r w:rsidR="001917F2">
        <w:t>BAU</w:t>
      </w:r>
      <w:r w:rsidR="009F1E4F">
        <w:t xml:space="preserve"> approaches. This was due to the importance of ensuring accurate and complete client records, as they fed into the outcome measurement described above. As noted o</w:t>
      </w:r>
      <w:r w:rsidR="00C84D20">
        <w:t>n</w:t>
      </w:r>
      <w:r w:rsidR="009F1E4F">
        <w:t xml:space="preserve"> </w:t>
      </w:r>
      <w:r w:rsidR="00AA3312">
        <w:t>p</w:t>
      </w:r>
      <w:r w:rsidR="009F1E4F">
        <w:t xml:space="preserve">age </w:t>
      </w:r>
      <w:r w:rsidR="007E25AA">
        <w:fldChar w:fldCharType="begin"/>
      </w:r>
      <w:r w:rsidR="007E25AA">
        <w:instrText xml:space="preserve"> PAGEREF _Ref149898116 \h </w:instrText>
      </w:r>
      <w:r w:rsidR="007E25AA">
        <w:fldChar w:fldCharType="separate"/>
      </w:r>
      <w:r w:rsidR="005B05CA">
        <w:rPr>
          <w:noProof/>
        </w:rPr>
        <w:t>26</w:t>
      </w:r>
      <w:r w:rsidR="007E25AA">
        <w:fldChar w:fldCharType="end"/>
      </w:r>
      <w:r w:rsidR="009F1E4F">
        <w:t xml:space="preserve">, consulted stakeholders indicated that the </w:t>
      </w:r>
      <w:r w:rsidR="0027313F">
        <w:t>tr</w:t>
      </w:r>
      <w:r w:rsidR="0027313F" w:rsidRPr="00163AAB">
        <w:t xml:space="preserve">acking of payable outcomes </w:t>
      </w:r>
      <w:r w:rsidR="00105EAC">
        <w:t>contributed to</w:t>
      </w:r>
      <w:r w:rsidR="0027313F" w:rsidRPr="00163AAB">
        <w:t xml:space="preserve"> a reinforcement loop, </w:t>
      </w:r>
      <w:r w:rsidR="00C84D20">
        <w:t>where</w:t>
      </w:r>
      <w:r w:rsidR="009F1E4F">
        <w:t xml:space="preserve"> case workers were able to see client progress, which </w:t>
      </w:r>
      <w:r w:rsidR="00740C76">
        <w:t xml:space="preserve">may have </w:t>
      </w:r>
      <w:r w:rsidR="009F1E4F">
        <w:t xml:space="preserve">acted as a motivator for the continued provision of </w:t>
      </w:r>
      <w:r w:rsidR="0027313F" w:rsidRPr="00163AAB">
        <w:t>high</w:t>
      </w:r>
      <w:r w:rsidR="00AA3312">
        <w:t>-</w:t>
      </w:r>
      <w:r w:rsidR="0027313F" w:rsidRPr="00163AAB">
        <w:t>quality service delivery</w:t>
      </w:r>
      <w:r w:rsidR="0027313F">
        <w:t>.</w:t>
      </w:r>
      <w:r w:rsidR="0011774D">
        <w:t xml:space="preserve"> </w:t>
      </w:r>
      <w:r w:rsidR="00686DC8">
        <w:t xml:space="preserve">It is noted that this was </w:t>
      </w:r>
      <w:r w:rsidR="00AA3312">
        <w:t xml:space="preserve">an </w:t>
      </w:r>
      <w:r w:rsidR="00686DC8">
        <w:t xml:space="preserve">embedded practice across SHM prior to the establishment of </w:t>
      </w:r>
      <w:r w:rsidR="00AA3312">
        <w:t xml:space="preserve">the </w:t>
      </w:r>
      <w:r w:rsidR="00686DC8">
        <w:t>J2SI PAD, and that the program has served to reinforce this approach organisation-wide.</w:t>
      </w:r>
    </w:p>
    <w:p w14:paraId="250C365D" w14:textId="00A18E3E" w:rsidR="0027313F" w:rsidRPr="00163AAB" w:rsidRDefault="00652A4B" w:rsidP="00C84D20">
      <w:pPr>
        <w:pStyle w:val="BodyText"/>
      </w:pPr>
      <w:r>
        <w:t>Some service delivery stakeholders reported more rigorous use of the</w:t>
      </w:r>
      <w:r w:rsidR="00861CA5">
        <w:t xml:space="preserve"> SHM</w:t>
      </w:r>
      <w:r w:rsidR="0027313F" w:rsidRPr="006C7329">
        <w:t xml:space="preserve"> </w:t>
      </w:r>
      <w:r w:rsidR="009F1E4F">
        <w:t xml:space="preserve">client </w:t>
      </w:r>
      <w:r w:rsidR="0027313F" w:rsidRPr="006C7329">
        <w:t>monitoring tool</w:t>
      </w:r>
      <w:r w:rsidR="009F1E4F">
        <w:t xml:space="preserve"> </w:t>
      </w:r>
      <w:r w:rsidR="00A91FD8">
        <w:t>(</w:t>
      </w:r>
      <w:r w:rsidR="009F1E4F">
        <w:t xml:space="preserve">introduced </w:t>
      </w:r>
      <w:r>
        <w:t>during the J</w:t>
      </w:r>
      <w:r w:rsidR="00AA6F98">
        <w:t xml:space="preserve">2SI </w:t>
      </w:r>
      <w:r w:rsidR="009C7EFD">
        <w:t xml:space="preserve">Phase 2 </w:t>
      </w:r>
      <w:r w:rsidR="00AA6F98">
        <w:t>RCT</w:t>
      </w:r>
      <w:r w:rsidR="00A91FD8">
        <w:t>)</w:t>
      </w:r>
      <w:r w:rsidR="00AA6F98">
        <w:t xml:space="preserve"> during the </w:t>
      </w:r>
      <w:r w:rsidR="00282C65">
        <w:t>PbR</w:t>
      </w:r>
      <w:r w:rsidR="00AA6F98">
        <w:t xml:space="preserve"> compared to previous phases, </w:t>
      </w:r>
      <w:r w:rsidR="00A01897">
        <w:t>suggesting</w:t>
      </w:r>
      <w:r w:rsidR="009F1E4F">
        <w:t xml:space="preserve"> program monitoring </w:t>
      </w:r>
      <w:r w:rsidR="00AA6F98">
        <w:t xml:space="preserve">may have </w:t>
      </w:r>
      <w:r w:rsidR="006D68BE">
        <w:t xml:space="preserve">further </w:t>
      </w:r>
      <w:r w:rsidR="00A01897">
        <w:t>strengthened</w:t>
      </w:r>
      <w:r w:rsidR="006D68BE">
        <w:t xml:space="preserve"> following the PAD.</w:t>
      </w:r>
      <w:r w:rsidR="009F1E4F">
        <w:t xml:space="preserve"> The tool tracks </w:t>
      </w:r>
      <w:r w:rsidR="0027313F">
        <w:t>client engagement from the point of referral</w:t>
      </w:r>
      <w:r w:rsidR="0027313F" w:rsidRPr="006C7329">
        <w:t xml:space="preserve">, </w:t>
      </w:r>
      <w:r w:rsidR="009F1E4F">
        <w:t xml:space="preserve">and is continuing to be used in the </w:t>
      </w:r>
      <w:r w:rsidR="00282C65">
        <w:t>PbR</w:t>
      </w:r>
      <w:r w:rsidR="009F1E4F">
        <w:t>.</w:t>
      </w:r>
      <w:r w:rsidR="0027313F">
        <w:t xml:space="preserve"> </w:t>
      </w:r>
      <w:r w:rsidR="009F1E4F">
        <w:t xml:space="preserve">The tool </w:t>
      </w:r>
      <w:r w:rsidR="0027313F">
        <w:t>is intended to monitor how clients engage in the initial 90</w:t>
      </w:r>
      <w:r w:rsidR="007937D1">
        <w:t>-</w:t>
      </w:r>
      <w:r w:rsidR="0027313F">
        <w:t xml:space="preserve">day engagement window, </w:t>
      </w:r>
      <w:r w:rsidR="00C84D20">
        <w:t>to</w:t>
      </w:r>
      <w:r w:rsidR="0027313F">
        <w:t xml:space="preserve"> inform decisions </w:t>
      </w:r>
      <w:r w:rsidR="00C84D20">
        <w:t>regarding</w:t>
      </w:r>
      <w:r w:rsidR="0027313F">
        <w:t xml:space="preserve"> the need for assertive engagement techniques (or, potentially, the need to close the referral after 6-7 weeks of non-engagement). Some service delivery stakeholders expressed a view that the tool </w:t>
      </w:r>
      <w:r w:rsidR="00C84D20">
        <w:t>may have</w:t>
      </w:r>
      <w:r w:rsidR="0027313F">
        <w:t xml:space="preserve"> been used to ‘screen out’ non-engaging</w:t>
      </w:r>
      <w:r w:rsidR="000664BD">
        <w:t>,</w:t>
      </w:r>
      <w:r w:rsidR="0027313F">
        <w:t xml:space="preserve"> potential clients in the J2SI </w:t>
      </w:r>
      <w:r w:rsidR="00282C65">
        <w:t>PbR</w:t>
      </w:r>
      <w:r w:rsidR="0027313F">
        <w:t xml:space="preserve">, </w:t>
      </w:r>
      <w:r w:rsidR="00C84D20">
        <w:t xml:space="preserve">however </w:t>
      </w:r>
      <w:r w:rsidR="0027313F">
        <w:t xml:space="preserve">there is no evidence of </w:t>
      </w:r>
      <w:r w:rsidR="00C84D20">
        <w:t xml:space="preserve">this occurring in practice. </w:t>
      </w:r>
      <w:r w:rsidR="0027313F">
        <w:t>SHM management indicate</w:t>
      </w:r>
      <w:r w:rsidR="00C84D20">
        <w:t>d</w:t>
      </w:r>
      <w:r w:rsidR="0027313F">
        <w:t xml:space="preserve"> </w:t>
      </w:r>
      <w:r w:rsidR="00C84D20">
        <w:t>the</w:t>
      </w:r>
      <w:r w:rsidR="0027313F">
        <w:t xml:space="preserve"> tool</w:t>
      </w:r>
      <w:r w:rsidR="00C84D20">
        <w:t xml:space="preserve"> is designed</w:t>
      </w:r>
      <w:r w:rsidR="0027313F">
        <w:t xml:space="preserve"> to support increased oversight and rigour in decision-making around client engagement and referrals, and </w:t>
      </w:r>
      <w:r w:rsidR="00C84D20">
        <w:t>has been</w:t>
      </w:r>
      <w:r w:rsidR="0027313F">
        <w:t xml:space="preserve"> applied </w:t>
      </w:r>
      <w:r w:rsidR="007D77CC">
        <w:t>consistently</w:t>
      </w:r>
      <w:r w:rsidR="0027313F">
        <w:t xml:space="preserve"> </w:t>
      </w:r>
      <w:r w:rsidR="00C84D20">
        <w:t>since its introduction.</w:t>
      </w:r>
      <w:r w:rsidR="0027313F">
        <w:t xml:space="preserve"> </w:t>
      </w:r>
    </w:p>
    <w:p w14:paraId="608E6633" w14:textId="488E7D2F" w:rsidR="0027313F" w:rsidRPr="007E1193" w:rsidRDefault="0027313F" w:rsidP="0027313F">
      <w:pPr>
        <w:pStyle w:val="BodyText"/>
        <w:rPr>
          <w:spacing w:val="-4"/>
        </w:rPr>
      </w:pPr>
      <w:r w:rsidRPr="007E1193">
        <w:rPr>
          <w:spacing w:val="-4"/>
        </w:rPr>
        <w:t xml:space="preserve">Based on learnings from the J2SI PAD, SHM </w:t>
      </w:r>
      <w:r w:rsidR="00C84D20" w:rsidRPr="007E1193">
        <w:rPr>
          <w:spacing w:val="-4"/>
        </w:rPr>
        <w:t>has implemented</w:t>
      </w:r>
      <w:r w:rsidRPr="007E1193">
        <w:rPr>
          <w:spacing w:val="-4"/>
        </w:rPr>
        <w:t xml:space="preserve"> a new organisational ‘continuum of care’ model in which the length of support </w:t>
      </w:r>
      <w:r w:rsidR="006966AF" w:rsidRPr="007E1193">
        <w:rPr>
          <w:spacing w:val="-4"/>
        </w:rPr>
        <w:t xml:space="preserve">time </w:t>
      </w:r>
      <w:r w:rsidRPr="007E1193">
        <w:rPr>
          <w:spacing w:val="-4"/>
        </w:rPr>
        <w:t xml:space="preserve">and period of follow-up is based on individual client needs. </w:t>
      </w:r>
      <w:r w:rsidR="00C84D20" w:rsidRPr="007E1193">
        <w:rPr>
          <w:spacing w:val="-4"/>
        </w:rPr>
        <w:t xml:space="preserve">See </w:t>
      </w:r>
      <w:r w:rsidR="006966AF" w:rsidRPr="007E1193">
        <w:rPr>
          <w:spacing w:val="-4"/>
        </w:rPr>
        <w:t>p</w:t>
      </w:r>
      <w:r w:rsidR="00C84D20" w:rsidRPr="007E1193">
        <w:rPr>
          <w:spacing w:val="-4"/>
        </w:rPr>
        <w:t xml:space="preserve">age </w:t>
      </w:r>
      <w:r w:rsidR="000877EE" w:rsidRPr="007E1193">
        <w:rPr>
          <w:spacing w:val="-4"/>
        </w:rPr>
        <w:fldChar w:fldCharType="begin"/>
      </w:r>
      <w:r w:rsidR="000877EE" w:rsidRPr="007E1193">
        <w:rPr>
          <w:spacing w:val="-4"/>
        </w:rPr>
        <w:instrText xml:space="preserve"> PAGEREF _Ref149840062 \h </w:instrText>
      </w:r>
      <w:r w:rsidR="000877EE" w:rsidRPr="007E1193">
        <w:rPr>
          <w:spacing w:val="-4"/>
        </w:rPr>
      </w:r>
      <w:r w:rsidR="000877EE" w:rsidRPr="007E1193">
        <w:rPr>
          <w:spacing w:val="-4"/>
        </w:rPr>
        <w:fldChar w:fldCharType="separate"/>
      </w:r>
      <w:r w:rsidR="005B05CA" w:rsidRPr="007E1193">
        <w:rPr>
          <w:spacing w:val="-4"/>
        </w:rPr>
        <w:t>30</w:t>
      </w:r>
      <w:r w:rsidR="000877EE" w:rsidRPr="007E1193">
        <w:rPr>
          <w:spacing w:val="-4"/>
        </w:rPr>
        <w:fldChar w:fldCharType="end"/>
      </w:r>
      <w:r w:rsidR="000877EE" w:rsidRPr="007E1193">
        <w:rPr>
          <w:spacing w:val="-4"/>
        </w:rPr>
        <w:t xml:space="preserve"> for more detail</w:t>
      </w:r>
      <w:r w:rsidR="00C84D20" w:rsidRPr="007E1193">
        <w:rPr>
          <w:spacing w:val="-4"/>
        </w:rPr>
        <w:t xml:space="preserve">. </w:t>
      </w:r>
    </w:p>
    <w:p w14:paraId="4D58842F" w14:textId="30D895C6" w:rsidR="00D60BD1" w:rsidRDefault="00D60BD1" w:rsidP="008C71A8">
      <w:pPr>
        <w:pStyle w:val="Heading3"/>
      </w:pPr>
      <w:r>
        <w:t xml:space="preserve">Were </w:t>
      </w:r>
      <w:r w:rsidR="0070190C">
        <w:t>accountability and rigour</w:t>
      </w:r>
      <w:r>
        <w:t xml:space="preserve"> the same </w:t>
      </w:r>
      <w:r w:rsidR="0070190C">
        <w:t xml:space="preserve">as </w:t>
      </w:r>
      <w:r>
        <w:t>when the program was implemented differently?</w:t>
      </w:r>
      <w:r w:rsidRPr="00A421E2">
        <w:t xml:space="preserve"> </w:t>
      </w:r>
    </w:p>
    <w:p w14:paraId="4307EC44" w14:textId="02DC1039" w:rsidR="00A34C27" w:rsidRPr="00C42178" w:rsidRDefault="00A34C27" w:rsidP="008C71A8">
      <w:pPr>
        <w:pStyle w:val="Heading4"/>
      </w:pPr>
      <w:bookmarkStart w:id="97" w:name="_Ref149900870"/>
      <w:r w:rsidRPr="00C42178">
        <w:t>Governance and accountability</w:t>
      </w:r>
      <w:bookmarkEnd w:id="97"/>
      <w:r w:rsidRPr="00C42178">
        <w:t xml:space="preserve"> </w:t>
      </w:r>
    </w:p>
    <w:p w14:paraId="3063A40B" w14:textId="6D148F3F" w:rsidR="00D50ABD" w:rsidRDefault="00D50ABD" w:rsidP="00FF38D9">
      <w:r>
        <w:t xml:space="preserve">The </w:t>
      </w:r>
      <w:r w:rsidR="0007533F">
        <w:t>joint responsibility</w:t>
      </w:r>
      <w:r w:rsidR="00BA5020">
        <w:t xml:space="preserve"> and accountability</w:t>
      </w:r>
      <w:r w:rsidR="0007533F">
        <w:t xml:space="preserve"> across DTF, SHM and DFFH/Homes Vic</w:t>
      </w:r>
      <w:r w:rsidR="00674562">
        <w:t>toria</w:t>
      </w:r>
      <w:r w:rsidR="0007533F">
        <w:t xml:space="preserve"> to work through program challenges </w:t>
      </w:r>
      <w:r w:rsidR="00AE5635">
        <w:t xml:space="preserve">was new to the PAD, </w:t>
      </w:r>
      <w:r w:rsidR="00674562">
        <w:t>enabled by the JWG,</w:t>
      </w:r>
      <w:r w:rsidR="001B69AB">
        <w:t xml:space="preserve"> and has continued into the </w:t>
      </w:r>
      <w:r w:rsidR="00282C65">
        <w:t>PbR</w:t>
      </w:r>
      <w:r w:rsidR="001B69AB">
        <w:t xml:space="preserve">. </w:t>
      </w:r>
    </w:p>
    <w:p w14:paraId="3A15309D" w14:textId="659AAEB0" w:rsidR="00087517" w:rsidRDefault="00FC6B40" w:rsidP="00FF38D9">
      <w:r>
        <w:t xml:space="preserve">The high level of </w:t>
      </w:r>
      <w:r w:rsidR="00AA3312">
        <w:t>g</w:t>
      </w:r>
      <w:r>
        <w:t xml:space="preserve">overnment accountability to provide social housing into the J2SI PAD was not seen </w:t>
      </w:r>
      <w:r w:rsidR="009F0411">
        <w:t>in p</w:t>
      </w:r>
      <w:r w:rsidR="00BD1406">
        <w:t>re</w:t>
      </w:r>
      <w:r w:rsidR="009F0411">
        <w:t xml:space="preserve">vious iterations of </w:t>
      </w:r>
      <w:r w:rsidR="000D4E68">
        <w:t>the program</w:t>
      </w:r>
      <w:r w:rsidR="009F0411">
        <w:t xml:space="preserve"> (Pilot or RCT)</w:t>
      </w:r>
      <w:r w:rsidR="00BE4399">
        <w:t xml:space="preserve">. </w:t>
      </w:r>
      <w:r w:rsidR="000D4E68">
        <w:t xml:space="preserve">The </w:t>
      </w:r>
      <w:r w:rsidR="00BE4399">
        <w:t xml:space="preserve">PAD features that helped to drive </w:t>
      </w:r>
      <w:r w:rsidR="000D4E68">
        <w:t xml:space="preserve">the increased level of accountability, </w:t>
      </w:r>
      <w:r w:rsidR="004E38CF">
        <w:t>particularly</w:t>
      </w:r>
      <w:r w:rsidR="000D4E68">
        <w:t xml:space="preserve"> cross-agency collaboration</w:t>
      </w:r>
      <w:r w:rsidR="00F921A8">
        <w:t>, outcomes-based funding, and</w:t>
      </w:r>
      <w:r w:rsidR="008C7B0D">
        <w:t xml:space="preserve"> a </w:t>
      </w:r>
      <w:r w:rsidR="00F921A8">
        <w:t>contingency fund</w:t>
      </w:r>
      <w:r w:rsidR="008C7B0D">
        <w:t xml:space="preserve">, </w:t>
      </w:r>
      <w:r w:rsidR="007244E9">
        <w:t xml:space="preserve">have been retained as part of the </w:t>
      </w:r>
      <w:r w:rsidR="00282C65">
        <w:t>PbR</w:t>
      </w:r>
      <w:r w:rsidR="007244E9">
        <w:t>.</w:t>
      </w:r>
      <w:r w:rsidR="008C7B0D">
        <w:t xml:space="preserve"> </w:t>
      </w:r>
    </w:p>
    <w:p w14:paraId="59F6B7FF" w14:textId="50D86DC9" w:rsidR="00087517" w:rsidRPr="00644243" w:rsidRDefault="00196566" w:rsidP="00632D10">
      <w:pPr>
        <w:pStyle w:val="Bullet1stlevel"/>
        <w:numPr>
          <w:ilvl w:val="0"/>
          <w:numId w:val="0"/>
        </w:numPr>
      </w:pPr>
      <w:r>
        <w:t xml:space="preserve">As highlighted on </w:t>
      </w:r>
      <w:r w:rsidR="006966AF">
        <w:t>p</w:t>
      </w:r>
      <w:r>
        <w:t xml:space="preserve">age </w:t>
      </w:r>
      <w:r w:rsidR="00953112">
        <w:fldChar w:fldCharType="begin"/>
      </w:r>
      <w:r w:rsidR="00953112">
        <w:instrText xml:space="preserve"> PAGEREF _Ref149901602 \h </w:instrText>
      </w:r>
      <w:r w:rsidR="00953112">
        <w:fldChar w:fldCharType="separate"/>
      </w:r>
      <w:r w:rsidR="005B05CA">
        <w:rPr>
          <w:noProof/>
        </w:rPr>
        <w:t>28</w:t>
      </w:r>
      <w:r w:rsidR="00953112">
        <w:fldChar w:fldCharType="end"/>
      </w:r>
      <w:r w:rsidR="00953112">
        <w:t xml:space="preserve">, </w:t>
      </w:r>
      <w:r w:rsidR="00087517" w:rsidRPr="00644243">
        <w:t>a change to contingency funding was made</w:t>
      </w:r>
      <w:r w:rsidR="00087517">
        <w:t xml:space="preserve"> in the </w:t>
      </w:r>
      <w:r w:rsidR="00282C65">
        <w:t>PbR</w:t>
      </w:r>
      <w:r w:rsidR="00953112" w:rsidRPr="00953112">
        <w:t xml:space="preserve"> </w:t>
      </w:r>
      <w:r w:rsidR="00953112">
        <w:t>i</w:t>
      </w:r>
      <w:r w:rsidR="00953112" w:rsidRPr="00644243">
        <w:t>n</w:t>
      </w:r>
      <w:r w:rsidR="00087517" w:rsidRPr="00644243">
        <w:t xml:space="preserve"> recognition </w:t>
      </w:r>
      <w:r w:rsidR="00776E53">
        <w:t>of</w:t>
      </w:r>
      <w:r w:rsidR="006966AF" w:rsidRPr="00644243">
        <w:t xml:space="preserve"> </w:t>
      </w:r>
      <w:r w:rsidR="00087517" w:rsidRPr="00644243">
        <w:t xml:space="preserve">the role </w:t>
      </w:r>
      <w:r w:rsidR="00776E53">
        <w:t>that</w:t>
      </w:r>
      <w:r w:rsidR="00087517" w:rsidRPr="00644243">
        <w:t xml:space="preserve"> head leasing plays in strengthening program delivery.</w:t>
      </w:r>
      <w:r w:rsidR="00087517">
        <w:rPr>
          <w:color w:val="auto"/>
        </w:rPr>
        <w:t xml:space="preserve"> To further support supply of public housing, </w:t>
      </w:r>
      <w:r w:rsidR="00087517" w:rsidRPr="00063418">
        <w:rPr>
          <w:color w:val="auto"/>
        </w:rPr>
        <w:t xml:space="preserve">additional processes </w:t>
      </w:r>
      <w:r w:rsidR="00087517">
        <w:rPr>
          <w:color w:val="auto"/>
        </w:rPr>
        <w:t xml:space="preserve">were also put </w:t>
      </w:r>
      <w:r w:rsidR="00087517" w:rsidRPr="00063418">
        <w:rPr>
          <w:color w:val="auto"/>
        </w:rPr>
        <w:t xml:space="preserve">in place to </w:t>
      </w:r>
      <w:r w:rsidR="00087517">
        <w:rPr>
          <w:color w:val="auto"/>
        </w:rPr>
        <w:t>require</w:t>
      </w:r>
      <w:r w:rsidR="00087517" w:rsidRPr="00063418">
        <w:rPr>
          <w:color w:val="auto"/>
        </w:rPr>
        <w:t xml:space="preserve"> all available policy/communication options</w:t>
      </w:r>
      <w:r w:rsidR="00087517">
        <w:rPr>
          <w:color w:val="auto"/>
        </w:rPr>
        <w:t xml:space="preserve"> to be pursued before accessing the contingency</w:t>
      </w:r>
      <w:r w:rsidR="002F09DF">
        <w:rPr>
          <w:color w:val="auto"/>
        </w:rPr>
        <w:t>. N</w:t>
      </w:r>
      <w:r w:rsidR="00087517" w:rsidRPr="00063418">
        <w:rPr>
          <w:color w:val="auto"/>
        </w:rPr>
        <w:t xml:space="preserve">ew </w:t>
      </w:r>
      <w:r w:rsidR="00087517">
        <w:rPr>
          <w:color w:val="auto"/>
        </w:rPr>
        <w:t xml:space="preserve">social housing flow and </w:t>
      </w:r>
      <w:r w:rsidR="00087517" w:rsidRPr="00063418">
        <w:rPr>
          <w:color w:val="auto"/>
        </w:rPr>
        <w:t>trigger points</w:t>
      </w:r>
      <w:r w:rsidR="00087517">
        <w:rPr>
          <w:color w:val="auto"/>
        </w:rPr>
        <w:t xml:space="preserve"> were introduced</w:t>
      </w:r>
      <w:r w:rsidR="00087517" w:rsidRPr="00063418">
        <w:rPr>
          <w:color w:val="auto"/>
        </w:rPr>
        <w:t xml:space="preserve"> </w:t>
      </w:r>
      <w:r w:rsidR="00087517">
        <w:rPr>
          <w:color w:val="auto"/>
        </w:rPr>
        <w:t>to determine appropriate supply and</w:t>
      </w:r>
      <w:r w:rsidR="00087517" w:rsidRPr="00063418">
        <w:rPr>
          <w:color w:val="auto"/>
        </w:rPr>
        <w:t xml:space="preserve"> under</w:t>
      </w:r>
      <w:r w:rsidR="006966AF">
        <w:rPr>
          <w:color w:val="auto"/>
        </w:rPr>
        <w:t>-</w:t>
      </w:r>
      <w:r w:rsidR="00087517" w:rsidRPr="00063418">
        <w:rPr>
          <w:color w:val="auto"/>
        </w:rPr>
        <w:t>supply of social housing</w:t>
      </w:r>
      <w:r w:rsidR="00087517">
        <w:rPr>
          <w:color w:val="auto"/>
        </w:rPr>
        <w:t xml:space="preserve"> to J2SI clients. </w:t>
      </w:r>
      <w:r w:rsidR="00087517" w:rsidRPr="00644243">
        <w:t>This</w:t>
      </w:r>
      <w:r w:rsidR="002F09DF">
        <w:t xml:space="preserve"> change</w:t>
      </w:r>
      <w:r w:rsidR="00087517" w:rsidRPr="00644243">
        <w:t xml:space="preserve"> was seen as </w:t>
      </w:r>
      <w:r w:rsidR="00F912D6">
        <w:t>being</w:t>
      </w:r>
      <w:r w:rsidR="00087517" w:rsidRPr="00644243">
        <w:t xml:space="preserve"> required to </w:t>
      </w:r>
      <w:r w:rsidR="00E945CF">
        <w:t xml:space="preserve">maintain </w:t>
      </w:r>
      <w:r w:rsidR="00AA3312">
        <w:t>g</w:t>
      </w:r>
      <w:r w:rsidR="00E945CF">
        <w:t>overnment accountability to</w:t>
      </w:r>
      <w:r w:rsidR="00087517" w:rsidRPr="00644243">
        <w:t xml:space="preserve"> </w:t>
      </w:r>
      <w:r w:rsidR="00E945CF">
        <w:t>deliver social</w:t>
      </w:r>
      <w:r w:rsidR="00087517" w:rsidRPr="00644243">
        <w:t xml:space="preserve"> housing into the program, </w:t>
      </w:r>
      <w:r w:rsidR="00E945CF">
        <w:t>while</w:t>
      </w:r>
      <w:r w:rsidR="00087517" w:rsidRPr="00644243">
        <w:t xml:space="preserve"> reducing dependencies on social housing</w:t>
      </w:r>
      <w:r w:rsidR="008D780A">
        <w:t xml:space="preserve"> </w:t>
      </w:r>
      <w:r w:rsidR="00E945CF">
        <w:t>offers being available</w:t>
      </w:r>
      <w:r w:rsidR="008D780A">
        <w:t xml:space="preserve"> in the first year of client support</w:t>
      </w:r>
      <w:r w:rsidR="00087517" w:rsidRPr="00644243">
        <w:t>.</w:t>
      </w:r>
    </w:p>
    <w:p w14:paraId="02318295" w14:textId="7028B4C8" w:rsidR="00D60BD1" w:rsidRDefault="009F0411" w:rsidP="00FF38D9">
      <w:r>
        <w:t xml:space="preserve">Similarly, the </w:t>
      </w:r>
      <w:r w:rsidR="005538B5">
        <w:t xml:space="preserve">collaborative approach </w:t>
      </w:r>
      <w:r w:rsidR="00571A0B">
        <w:t>taken</w:t>
      </w:r>
      <w:r w:rsidR="00F603E7">
        <w:t xml:space="preserve"> by SHM and housing </w:t>
      </w:r>
      <w:r w:rsidR="00982D81">
        <w:t>offices</w:t>
      </w:r>
      <w:r w:rsidR="00571A0B">
        <w:t xml:space="preserve"> to identify and </w:t>
      </w:r>
      <w:r w:rsidR="006C00E2">
        <w:t>assist</w:t>
      </w:r>
      <w:r>
        <w:t xml:space="preserve"> clients </w:t>
      </w:r>
      <w:r w:rsidR="00571A0B">
        <w:t>maintain</w:t>
      </w:r>
      <w:r w:rsidR="00552172">
        <w:t xml:space="preserve"> </w:t>
      </w:r>
      <w:r w:rsidR="00571A0B">
        <w:t xml:space="preserve">social housing </w:t>
      </w:r>
      <w:r w:rsidR="000F6544">
        <w:t xml:space="preserve">(discussed on </w:t>
      </w:r>
      <w:r w:rsidR="006966AF">
        <w:t>p</w:t>
      </w:r>
      <w:r w:rsidR="000F6544">
        <w:t xml:space="preserve">age </w:t>
      </w:r>
      <w:r w:rsidR="000F6544">
        <w:fldChar w:fldCharType="begin"/>
      </w:r>
      <w:r w:rsidR="000F6544">
        <w:instrText xml:space="preserve"> PAGEREF _Ref149901768 \h </w:instrText>
      </w:r>
      <w:r w:rsidR="000F6544">
        <w:fldChar w:fldCharType="separate"/>
      </w:r>
      <w:r w:rsidR="005B05CA">
        <w:rPr>
          <w:noProof/>
        </w:rPr>
        <w:t>26</w:t>
      </w:r>
      <w:r w:rsidR="000F6544">
        <w:fldChar w:fldCharType="end"/>
      </w:r>
      <w:r w:rsidR="000F6544">
        <w:t xml:space="preserve">) </w:t>
      </w:r>
      <w:r w:rsidR="00A83515">
        <w:t>was not considered by stakeholders to have</w:t>
      </w:r>
      <w:r w:rsidR="00967A29">
        <w:t xml:space="preserve"> </w:t>
      </w:r>
      <w:r w:rsidR="00A83515">
        <w:t>occurred</w:t>
      </w:r>
      <w:r w:rsidR="00967A29">
        <w:t xml:space="preserve"> to the same extent</w:t>
      </w:r>
      <w:r w:rsidR="008B32B5">
        <w:t xml:space="preserve"> in previous iterations of the program</w:t>
      </w:r>
      <w:r w:rsidR="007244E9">
        <w:t>.</w:t>
      </w:r>
      <w:r w:rsidR="00967A29">
        <w:t xml:space="preserve"> </w:t>
      </w:r>
      <w:r w:rsidR="007244E9">
        <w:t xml:space="preserve">This collaboration and focus on matching clients with suitable stable housing has continued into the </w:t>
      </w:r>
      <w:r w:rsidR="00282C65">
        <w:t>PbR</w:t>
      </w:r>
      <w:r w:rsidR="007244E9">
        <w:t>.</w:t>
      </w:r>
    </w:p>
    <w:p w14:paraId="6EDF1F0D" w14:textId="69E2B997" w:rsidR="005D6CA5" w:rsidRDefault="005D6CA5" w:rsidP="008C71A8">
      <w:pPr>
        <w:pStyle w:val="Heading4"/>
      </w:pPr>
      <w:r>
        <w:lastRenderedPageBreak/>
        <w:t xml:space="preserve">Program data collection and analysis </w:t>
      </w:r>
    </w:p>
    <w:p w14:paraId="6C58971F" w14:textId="3213EB9A" w:rsidR="00FB3ECB" w:rsidRDefault="00FB3ECB" w:rsidP="00FB3ECB">
      <w:r>
        <w:t xml:space="preserve">Both the </w:t>
      </w:r>
      <w:r w:rsidR="002D0EC3">
        <w:t xml:space="preserve">Phase 2 </w:t>
      </w:r>
      <w:r>
        <w:t>RCT and PAD had similar levels of data collection</w:t>
      </w:r>
      <w:r w:rsidR="00AC7945">
        <w:t xml:space="preserve"> and</w:t>
      </w:r>
      <w:r>
        <w:t xml:space="preserve"> analytical and reporting requirements, driven by the RCT needing to establish a robust evidence base, and the accuracy of the PAD</w:t>
      </w:r>
      <w:r w:rsidR="006966AF">
        <w:t>’</w:t>
      </w:r>
      <w:r>
        <w:t xml:space="preserve">s outcomes determining payments. With the evidence base established, the </w:t>
      </w:r>
      <w:r w:rsidR="00282C65">
        <w:t>PbR</w:t>
      </w:r>
      <w:r>
        <w:t xml:space="preserve"> has simplified some program elements relating to data, including removal of the control group, investors and the independent certifier, in addition to being more flexible in </w:t>
      </w:r>
      <w:r w:rsidRPr="009F1574">
        <w:t xml:space="preserve">terms of </w:t>
      </w:r>
      <w:r>
        <w:t xml:space="preserve">reporting </w:t>
      </w:r>
      <w:r w:rsidRPr="009F1574">
        <w:t>timelines.</w:t>
      </w:r>
      <w:r>
        <w:t xml:space="preserve"> </w:t>
      </w:r>
    </w:p>
    <w:p w14:paraId="221CA4C0" w14:textId="2FB37827" w:rsidR="002E76A5" w:rsidRPr="007E1193" w:rsidRDefault="00250C1A" w:rsidP="007E1193">
      <w:pPr>
        <w:spacing w:after="60"/>
        <w:rPr>
          <w:spacing w:val="-4"/>
        </w:rPr>
      </w:pPr>
      <w:r w:rsidRPr="007E1193">
        <w:rPr>
          <w:spacing w:val="-4"/>
        </w:rPr>
        <w:t>While simplifying some elements, t</w:t>
      </w:r>
      <w:r w:rsidR="009B576A" w:rsidRPr="007E1193">
        <w:rPr>
          <w:spacing w:val="-4"/>
        </w:rPr>
        <w:t>he</w:t>
      </w:r>
      <w:r w:rsidR="00BC52D2" w:rsidRPr="007E1193">
        <w:rPr>
          <w:spacing w:val="-4"/>
        </w:rPr>
        <w:t xml:space="preserve"> </w:t>
      </w:r>
      <w:r w:rsidR="00282C65" w:rsidRPr="007E1193">
        <w:rPr>
          <w:spacing w:val="-4"/>
        </w:rPr>
        <w:t>PbR</w:t>
      </w:r>
      <w:r w:rsidR="0016195F" w:rsidRPr="007E1193">
        <w:rPr>
          <w:spacing w:val="-4"/>
        </w:rPr>
        <w:t xml:space="preserve"> </w:t>
      </w:r>
      <w:r w:rsidR="001F1570" w:rsidRPr="007E1193">
        <w:rPr>
          <w:spacing w:val="-4"/>
        </w:rPr>
        <w:t>has expanded the number of program</w:t>
      </w:r>
      <w:r w:rsidR="0016195F" w:rsidRPr="007E1193">
        <w:rPr>
          <w:spacing w:val="-4"/>
        </w:rPr>
        <w:t xml:space="preserve"> outcomes</w:t>
      </w:r>
      <w:r w:rsidR="00BC52D2" w:rsidRPr="007E1193">
        <w:rPr>
          <w:spacing w:val="-4"/>
        </w:rPr>
        <w:t xml:space="preserve"> to </w:t>
      </w:r>
      <w:r w:rsidR="00DE5795" w:rsidRPr="007E1193">
        <w:rPr>
          <w:spacing w:val="-4"/>
        </w:rPr>
        <w:t>seven</w:t>
      </w:r>
      <w:r w:rsidR="001F1570" w:rsidRPr="007E1193">
        <w:rPr>
          <w:spacing w:val="-4"/>
        </w:rPr>
        <w:t xml:space="preserve">, </w:t>
      </w:r>
      <w:r w:rsidR="008D33E7" w:rsidRPr="007E1193">
        <w:rPr>
          <w:spacing w:val="-4"/>
        </w:rPr>
        <w:t xml:space="preserve">including two </w:t>
      </w:r>
      <w:r w:rsidR="001F1570" w:rsidRPr="007E1193">
        <w:rPr>
          <w:spacing w:val="-4"/>
        </w:rPr>
        <w:t>collected via</w:t>
      </w:r>
      <w:r w:rsidR="0016195F" w:rsidRPr="007E1193">
        <w:rPr>
          <w:spacing w:val="-4"/>
        </w:rPr>
        <w:t xml:space="preserve"> the TICSPOT survey, </w:t>
      </w:r>
      <w:r w:rsidR="004D5F12" w:rsidRPr="007E1193">
        <w:rPr>
          <w:spacing w:val="-4"/>
        </w:rPr>
        <w:t>increasing</w:t>
      </w:r>
      <w:r w:rsidR="007F387F" w:rsidRPr="007E1193">
        <w:rPr>
          <w:spacing w:val="-4"/>
        </w:rPr>
        <w:t xml:space="preserve"> the </w:t>
      </w:r>
      <w:r w:rsidR="004D5F12" w:rsidRPr="007E1193">
        <w:rPr>
          <w:spacing w:val="-4"/>
        </w:rPr>
        <w:t>importance</w:t>
      </w:r>
      <w:r w:rsidR="007F387F" w:rsidRPr="007E1193">
        <w:rPr>
          <w:spacing w:val="-4"/>
        </w:rPr>
        <w:t xml:space="preserve"> of </w:t>
      </w:r>
      <w:r w:rsidR="004D5F12" w:rsidRPr="007E1193">
        <w:rPr>
          <w:spacing w:val="-4"/>
        </w:rPr>
        <w:t>high survey completion rates</w:t>
      </w:r>
      <w:r w:rsidR="00BC52D2" w:rsidRPr="007E1193">
        <w:rPr>
          <w:spacing w:val="-4"/>
        </w:rPr>
        <w:t>.</w:t>
      </w:r>
      <w:r w:rsidR="00272B50" w:rsidRPr="007E1193">
        <w:rPr>
          <w:rFonts w:ascii="ZWAdobeF" w:hAnsi="ZWAdobeF" w:cs="ZWAdobeF"/>
          <w:color w:val="auto"/>
          <w:spacing w:val="-4"/>
          <w:sz w:val="2"/>
          <w:szCs w:val="2"/>
        </w:rPr>
        <w:t>28F</w:t>
      </w:r>
      <w:r w:rsidR="00125CA2" w:rsidRPr="007E1193">
        <w:rPr>
          <w:rFonts w:ascii="ZWAdobeF" w:hAnsi="ZWAdobeF" w:cs="ZWAdobeF"/>
          <w:color w:val="auto"/>
          <w:spacing w:val="-4"/>
          <w:sz w:val="2"/>
          <w:szCs w:val="2"/>
        </w:rPr>
        <w:t>28F</w:t>
      </w:r>
      <w:r w:rsidR="00E0660D" w:rsidRPr="007E1193">
        <w:rPr>
          <w:rStyle w:val="FootnoteReference"/>
          <w:spacing w:val="-4"/>
        </w:rPr>
        <w:footnoteReference w:id="47"/>
      </w:r>
      <w:r w:rsidR="00A02B36" w:rsidRPr="007E1193">
        <w:rPr>
          <w:spacing w:val="-4"/>
        </w:rPr>
        <w:t xml:space="preserve"> </w:t>
      </w:r>
      <w:r w:rsidR="002E76A5" w:rsidRPr="007E1193">
        <w:rPr>
          <w:spacing w:val="-4"/>
        </w:rPr>
        <w:t xml:space="preserve">The </w:t>
      </w:r>
      <w:r w:rsidR="00A02B36" w:rsidRPr="007E1193">
        <w:rPr>
          <w:spacing w:val="-4"/>
        </w:rPr>
        <w:t xml:space="preserve">PbR </w:t>
      </w:r>
      <w:r w:rsidR="002E76A5" w:rsidRPr="007E1193">
        <w:rPr>
          <w:spacing w:val="-4"/>
        </w:rPr>
        <w:t xml:space="preserve">outcomes are: </w:t>
      </w:r>
    </w:p>
    <w:p w14:paraId="4E615727" w14:textId="29EC1729" w:rsidR="002E76A5" w:rsidRDefault="002E76A5" w:rsidP="007E1193">
      <w:pPr>
        <w:pStyle w:val="Bullet1stlevel"/>
        <w:spacing w:before="60" w:after="60"/>
      </w:pPr>
      <w:r>
        <w:t>I</w:t>
      </w:r>
      <w:r w:rsidRPr="007A2619">
        <w:t>ncreased stable housing</w:t>
      </w:r>
      <w:r>
        <w:t>;</w:t>
      </w:r>
    </w:p>
    <w:p w14:paraId="0287CCCA" w14:textId="614139AA" w:rsidR="002E76A5" w:rsidRDefault="002E76A5" w:rsidP="007E1193">
      <w:pPr>
        <w:pStyle w:val="Bullet1stlevel"/>
        <w:spacing w:before="60" w:after="60"/>
      </w:pPr>
      <w:r>
        <w:t>Re</w:t>
      </w:r>
      <w:r w:rsidRPr="007A2619">
        <w:t>duced hospital bed days</w:t>
      </w:r>
      <w:r>
        <w:t>;</w:t>
      </w:r>
    </w:p>
    <w:p w14:paraId="69339498" w14:textId="1E4E0A53" w:rsidR="002E76A5" w:rsidRDefault="002E76A5" w:rsidP="007E1193">
      <w:pPr>
        <w:pStyle w:val="Bullet1stlevel"/>
        <w:spacing w:before="60" w:after="60"/>
      </w:pPr>
      <w:r>
        <w:t>R</w:t>
      </w:r>
      <w:r w:rsidRPr="007A2619">
        <w:t>educed rough sleeping episodes</w:t>
      </w:r>
      <w:r>
        <w:t>;</w:t>
      </w:r>
    </w:p>
    <w:p w14:paraId="0886654A" w14:textId="32EEC448" w:rsidR="002E76A5" w:rsidRDefault="002E76A5" w:rsidP="007E1193">
      <w:pPr>
        <w:pStyle w:val="Bullet1stlevel"/>
        <w:spacing w:before="60" w:after="60"/>
      </w:pPr>
      <w:r>
        <w:t>R</w:t>
      </w:r>
      <w:r w:rsidRPr="007A2619">
        <w:t>educed ED presentations</w:t>
      </w:r>
      <w:r>
        <w:t>;</w:t>
      </w:r>
    </w:p>
    <w:p w14:paraId="0A7F7932" w14:textId="0CECC57E" w:rsidR="002E76A5" w:rsidRDefault="002E76A5" w:rsidP="007E1193">
      <w:pPr>
        <w:pStyle w:val="Bullet1stlevel"/>
        <w:spacing w:before="60" w:after="60"/>
      </w:pPr>
      <w:r>
        <w:t>R</w:t>
      </w:r>
      <w:r w:rsidRPr="007A2619">
        <w:t>educed police interactions</w:t>
      </w:r>
      <w:r>
        <w:t>;</w:t>
      </w:r>
    </w:p>
    <w:p w14:paraId="2886209D" w14:textId="6B9BA9B4" w:rsidR="002E76A5" w:rsidRDefault="002E76A5" w:rsidP="007E1193">
      <w:pPr>
        <w:pStyle w:val="Bullet1stlevel"/>
        <w:spacing w:before="60" w:after="60"/>
      </w:pPr>
      <w:r>
        <w:t>I</w:t>
      </w:r>
      <w:r w:rsidRPr="007A2619">
        <w:t>ncreased independence</w:t>
      </w:r>
      <w:r w:rsidR="00307C17">
        <w:t xml:space="preserve"> (collected via TICSPOT)</w:t>
      </w:r>
      <w:r>
        <w:t>; and</w:t>
      </w:r>
    </w:p>
    <w:p w14:paraId="420D4904" w14:textId="037AD402" w:rsidR="002E76A5" w:rsidRPr="007A2619" w:rsidRDefault="002E76A5" w:rsidP="007E1193">
      <w:pPr>
        <w:pStyle w:val="Bullet1stlevel"/>
        <w:spacing w:before="60"/>
      </w:pPr>
      <w:r>
        <w:t>I</w:t>
      </w:r>
      <w:r w:rsidRPr="007A2619">
        <w:t xml:space="preserve">ncreased social </w:t>
      </w:r>
      <w:r>
        <w:t>connectedness</w:t>
      </w:r>
      <w:r w:rsidR="00307C17">
        <w:t xml:space="preserve"> (collected via TICSPOT)</w:t>
      </w:r>
      <w:r>
        <w:t>.</w:t>
      </w:r>
    </w:p>
    <w:p w14:paraId="267EAA6A" w14:textId="529A06BE" w:rsidR="00D029BC" w:rsidRDefault="00BC52D2" w:rsidP="008E63AD">
      <w:r w:rsidRPr="00683577">
        <w:t>Consulted data stakeholders</w:t>
      </w:r>
      <w:r>
        <w:t xml:space="preserve"> noted that </w:t>
      </w:r>
      <w:r w:rsidR="00D32E58">
        <w:t>the statistical validity of these outcome</w:t>
      </w:r>
      <w:r w:rsidR="009E6E98">
        <w:t xml:space="preserve"> measures </w:t>
      </w:r>
      <w:r w:rsidR="00EA6612">
        <w:t xml:space="preserve">is not yet known, </w:t>
      </w:r>
      <w:r w:rsidR="001F1570">
        <w:t xml:space="preserve">and their accurate and reliable measurement may face barriers </w:t>
      </w:r>
      <w:r w:rsidR="00250C1A">
        <w:t xml:space="preserve">unseen in the </w:t>
      </w:r>
      <w:r w:rsidR="00950109">
        <w:t xml:space="preserve">Phase 2 </w:t>
      </w:r>
      <w:r w:rsidR="001F1570">
        <w:t xml:space="preserve">RCT </w:t>
      </w:r>
      <w:r w:rsidR="00250C1A">
        <w:t>and</w:t>
      </w:r>
      <w:r w:rsidR="001F1570">
        <w:t xml:space="preserve"> PAD.</w:t>
      </w:r>
      <w:r w:rsidR="0063008B">
        <w:t xml:space="preserve"> </w:t>
      </w:r>
      <w:r w:rsidR="00667DF5">
        <w:t>C</w:t>
      </w:r>
      <w:r w:rsidR="00071FA8">
        <w:t xml:space="preserve">ase workers </w:t>
      </w:r>
      <w:r w:rsidR="00250C1A">
        <w:t xml:space="preserve">also raised concerns regarding the </w:t>
      </w:r>
      <w:r w:rsidR="00980774">
        <w:t xml:space="preserve">highly encouraged </w:t>
      </w:r>
      <w:r w:rsidR="00250C1A">
        <w:t xml:space="preserve">use of TICSPOT, in instances where </w:t>
      </w:r>
      <w:r w:rsidR="008E63AD" w:rsidRPr="00A26EAE">
        <w:t>the survey is not well</w:t>
      </w:r>
      <w:r w:rsidR="006547E4">
        <w:noBreakHyphen/>
      </w:r>
      <w:r w:rsidR="008E63AD" w:rsidRPr="00A26EAE">
        <w:t>understood by clients due to survey length and/or barriers to literacy</w:t>
      </w:r>
      <w:r w:rsidR="00BB34B3">
        <w:t xml:space="preserve"> (as</w:t>
      </w:r>
      <w:r w:rsidR="00667DF5">
        <w:t xml:space="preserve"> noted </w:t>
      </w:r>
      <w:r w:rsidR="00BB34B3">
        <w:t>in the interim evaluation report</w:t>
      </w:r>
      <w:r w:rsidR="00C253D5">
        <w:t>, client survey completion rates were consistently below 100</w:t>
      </w:r>
      <w:r w:rsidR="00BB34B3">
        <w:t xml:space="preserve"> </w:t>
      </w:r>
      <w:r w:rsidR="00D431DA">
        <w:t>per cent</w:t>
      </w:r>
      <w:r w:rsidR="00BB34B3">
        <w:t xml:space="preserve"> during the J2SI PAD). However, on balance, the </w:t>
      </w:r>
      <w:r w:rsidR="00E0660D">
        <w:t>revised approach to</w:t>
      </w:r>
      <w:r w:rsidR="00BB34B3">
        <w:t xml:space="preserve"> </w:t>
      </w:r>
      <w:r w:rsidR="00C72B75">
        <w:t>include</w:t>
      </w:r>
      <w:r w:rsidR="00250C1A">
        <w:t xml:space="preserve"> broader outcome measures</w:t>
      </w:r>
      <w:r w:rsidR="00C72B75">
        <w:t xml:space="preserve"> in</w:t>
      </w:r>
      <w:r w:rsidR="00BB34B3">
        <w:t xml:space="preserve"> formal </w:t>
      </w:r>
      <w:r w:rsidR="004D5F12">
        <w:t xml:space="preserve">outcomes </w:t>
      </w:r>
      <w:r w:rsidR="00250C1A">
        <w:t xml:space="preserve">collection and </w:t>
      </w:r>
      <w:r w:rsidR="004D5F12">
        <w:t xml:space="preserve">reporting was </w:t>
      </w:r>
      <w:r w:rsidR="00BB34B3">
        <w:t>seen as positive to capture</w:t>
      </w:r>
      <w:r w:rsidR="004D5F12">
        <w:t xml:space="preserve"> a more complete picture of wellbeing</w:t>
      </w:r>
      <w:r w:rsidR="00E0660D">
        <w:t>.</w:t>
      </w:r>
    </w:p>
    <w:p w14:paraId="69724776" w14:textId="4B278164" w:rsidR="00B54C9C" w:rsidRPr="006C3A07" w:rsidRDefault="00164EE0" w:rsidP="008C71A8">
      <w:pPr>
        <w:pStyle w:val="Heading4"/>
      </w:pPr>
      <w:r w:rsidRPr="006C3A07">
        <w:t>Program monitoring, delivery and reporting</w:t>
      </w:r>
    </w:p>
    <w:p w14:paraId="7F0D631F" w14:textId="53F74C6A" w:rsidR="00164EE0" w:rsidRPr="00164EE0" w:rsidRDefault="00164EE0" w:rsidP="00164EE0">
      <w:r>
        <w:t xml:space="preserve">Program monitoring, delivery and reporting has been rigorous under previous iterations of the J2SI program; however the PAD did introduce some additional elements that further increased its rigour, notably the increased importance of accurate client records and </w:t>
      </w:r>
      <w:r w:rsidR="00987E03">
        <w:t>consistent approach to</w:t>
      </w:r>
      <w:r w:rsidR="00AA7207">
        <w:t xml:space="preserve"> evidence</w:t>
      </w:r>
      <w:r w:rsidR="006966AF">
        <w:t xml:space="preserve"> </w:t>
      </w:r>
      <w:r w:rsidR="00AA7207">
        <w:t>gathering</w:t>
      </w:r>
      <w:r w:rsidR="00E252A8">
        <w:t>, including the continuum of care model</w:t>
      </w:r>
      <w:r>
        <w:t xml:space="preserve">. </w:t>
      </w:r>
      <w:r w:rsidR="00595240">
        <w:t xml:space="preserve">The </w:t>
      </w:r>
      <w:r w:rsidR="00090579">
        <w:t xml:space="preserve">J2SI PAD was seen to have </w:t>
      </w:r>
      <w:r w:rsidR="00044CED">
        <w:t>enhanced</w:t>
      </w:r>
      <w:r w:rsidR="00BC79E2">
        <w:t xml:space="preserve"> these </w:t>
      </w:r>
      <w:r w:rsidR="0048081B">
        <w:t xml:space="preserve">processes, which </w:t>
      </w:r>
      <w:r>
        <w:t xml:space="preserve">have continued as part of the </w:t>
      </w:r>
      <w:r w:rsidR="00282C65">
        <w:t>PbR</w:t>
      </w:r>
      <w:r w:rsidR="0048081B">
        <w:t>, and catalysed their continued use across the organisation</w:t>
      </w:r>
      <w:r>
        <w:t xml:space="preserve">. </w:t>
      </w:r>
    </w:p>
    <w:p w14:paraId="779C7F00" w14:textId="030F8835" w:rsidR="00D60BD1" w:rsidRDefault="00D60BD1" w:rsidP="008C71A8">
      <w:pPr>
        <w:pStyle w:val="Heading3"/>
      </w:pPr>
      <w:r>
        <w:t xml:space="preserve">Can </w:t>
      </w:r>
      <w:r w:rsidR="0070190C">
        <w:t>accountability and rigour</w:t>
      </w:r>
      <w:r>
        <w:t xml:space="preserve"> be attributed to the program as a </w:t>
      </w:r>
      <w:r w:rsidR="00DD4B74">
        <w:t>PAD</w:t>
      </w:r>
      <w:r>
        <w:t>?</w:t>
      </w:r>
    </w:p>
    <w:p w14:paraId="2161DC9B" w14:textId="2814CDEF" w:rsidR="00251FE5" w:rsidRDefault="005B7B1E" w:rsidP="006547E4">
      <w:pPr>
        <w:pStyle w:val="BodyTextkeepwithnext"/>
      </w:pPr>
      <w:r>
        <w:t xml:space="preserve">The </w:t>
      </w:r>
      <w:r w:rsidR="00BA5020">
        <w:t>joint accountability</w:t>
      </w:r>
      <w:r w:rsidR="00B96DB9">
        <w:t xml:space="preserve"> </w:t>
      </w:r>
      <w:r w:rsidR="00B868F9">
        <w:t xml:space="preserve">of stakeholders to work through program challenges was </w:t>
      </w:r>
      <w:r w:rsidR="000D557B">
        <w:t xml:space="preserve">strengthened by </w:t>
      </w:r>
      <w:r w:rsidR="00656EE1">
        <w:t xml:space="preserve">the </w:t>
      </w:r>
      <w:r w:rsidR="000D557B">
        <w:t>JWG</w:t>
      </w:r>
      <w:r w:rsidR="005177D6">
        <w:t xml:space="preserve">, which can, in part, be </w:t>
      </w:r>
      <w:r w:rsidR="00195A21">
        <w:t>attributed to the PAD.</w:t>
      </w:r>
    </w:p>
    <w:p w14:paraId="282B7668" w14:textId="4142401F" w:rsidR="00602DF5" w:rsidRDefault="00A45111" w:rsidP="002C1CF0">
      <w:pPr>
        <w:pStyle w:val="BodyText"/>
        <w:spacing w:before="60"/>
      </w:pPr>
      <w:r>
        <w:t>Similarly, t</w:t>
      </w:r>
      <w:r w:rsidR="00DD4B74">
        <w:t xml:space="preserve">he increased accountability to provide social housing </w:t>
      </w:r>
      <w:r w:rsidR="00BE615C">
        <w:t>can</w:t>
      </w:r>
      <w:r w:rsidR="006966AF">
        <w:t>,</w:t>
      </w:r>
      <w:r w:rsidR="00FE514C">
        <w:t xml:space="preserve"> in part</w:t>
      </w:r>
      <w:r w:rsidR="006966AF">
        <w:t>,</w:t>
      </w:r>
      <w:r w:rsidR="00BE615C">
        <w:t xml:space="preserve"> be attributed to the PAD. As stated, the key driver</w:t>
      </w:r>
      <w:r w:rsidR="00A14DF1">
        <w:t>s</w:t>
      </w:r>
      <w:r w:rsidR="00BE615C">
        <w:t xml:space="preserve"> of this accountability, the financial </w:t>
      </w:r>
      <w:r w:rsidR="00A14DF1">
        <w:t>penalties and cross-agency collaboration</w:t>
      </w:r>
      <w:r w:rsidR="00BE615C">
        <w:t xml:space="preserve"> w</w:t>
      </w:r>
      <w:r w:rsidR="00A14DF1">
        <w:t>ere</w:t>
      </w:r>
      <w:r w:rsidR="00BE615C">
        <w:t xml:space="preserve"> introduced </w:t>
      </w:r>
      <w:r w:rsidR="00285E6C">
        <w:t xml:space="preserve">with the PAD, and </w:t>
      </w:r>
      <w:r w:rsidR="00A14DF1">
        <w:t>have</w:t>
      </w:r>
      <w:r w:rsidR="00285E6C">
        <w:t xml:space="preserve"> been maintained in the </w:t>
      </w:r>
      <w:r w:rsidR="00282C65">
        <w:t>PbR</w:t>
      </w:r>
      <w:r w:rsidR="00285E6C">
        <w:t>.</w:t>
      </w:r>
      <w:r w:rsidR="003E629D">
        <w:t xml:space="preserve"> </w:t>
      </w:r>
      <w:r w:rsidR="00A95AF0">
        <w:t>Further</w:t>
      </w:r>
      <w:r w:rsidR="006966AF">
        <w:t>more</w:t>
      </w:r>
      <w:r w:rsidR="00A95AF0">
        <w:t xml:space="preserve">, </w:t>
      </w:r>
      <w:r w:rsidR="003E629D">
        <w:t xml:space="preserve">the collaborative approach taken by SHM and housing </w:t>
      </w:r>
      <w:r w:rsidR="00A95AF0">
        <w:t>offices</w:t>
      </w:r>
      <w:r w:rsidR="003E629D">
        <w:t xml:space="preserve"> to identify and </w:t>
      </w:r>
      <w:r w:rsidR="00BE3E00">
        <w:t>assist</w:t>
      </w:r>
      <w:r w:rsidR="003E629D">
        <w:t xml:space="preserve"> clients maintain social housing </w:t>
      </w:r>
      <w:r w:rsidR="00A95AF0">
        <w:t>did not occur to the</w:t>
      </w:r>
      <w:r w:rsidR="003E629D">
        <w:t xml:space="preserve"> same extent in previous iterations of the program, </w:t>
      </w:r>
      <w:r w:rsidR="00A95AF0">
        <w:t xml:space="preserve">and </w:t>
      </w:r>
      <w:r w:rsidR="00C72B75">
        <w:t>are likely</w:t>
      </w:r>
      <w:r w:rsidR="00A95AF0">
        <w:t xml:space="preserve"> </w:t>
      </w:r>
      <w:r w:rsidR="00B31FC5">
        <w:t xml:space="preserve">largely </w:t>
      </w:r>
      <w:r w:rsidR="00A95AF0">
        <w:t xml:space="preserve">attributed to the PAD. </w:t>
      </w:r>
      <w:r w:rsidR="00AA7257">
        <w:t>I</w:t>
      </w:r>
      <w:r w:rsidR="00A26EB1" w:rsidRPr="003C33E3">
        <w:t>t</w:t>
      </w:r>
      <w:r w:rsidR="00A26EB1">
        <w:t xml:space="preserve"> is </w:t>
      </w:r>
      <w:r w:rsidR="000C52BF">
        <w:t>possible</w:t>
      </w:r>
      <w:r w:rsidR="00A26EB1">
        <w:t xml:space="preserve"> that</w:t>
      </w:r>
      <w:r w:rsidR="006650DA">
        <w:t xml:space="preserve"> </w:t>
      </w:r>
      <w:r w:rsidR="006650DA" w:rsidRPr="003C33E3">
        <w:t>housing offices</w:t>
      </w:r>
      <w:r w:rsidR="006650DA">
        <w:t xml:space="preserve"> were better able to provide suitable housing compared to previous </w:t>
      </w:r>
      <w:r w:rsidR="00F55457">
        <w:t>iterations</w:t>
      </w:r>
      <w:r w:rsidR="006650DA">
        <w:t xml:space="preserve"> </w:t>
      </w:r>
      <w:r w:rsidR="00A95AF0">
        <w:t>due to</w:t>
      </w:r>
      <w:r w:rsidR="006650DA">
        <w:t xml:space="preserve"> the presence of head leasing and the safety net this offered </w:t>
      </w:r>
      <w:r w:rsidR="00F55457">
        <w:t xml:space="preserve">in the case </w:t>
      </w:r>
      <w:r w:rsidR="006966AF">
        <w:t xml:space="preserve">where </w:t>
      </w:r>
      <w:r w:rsidR="00F55457">
        <w:t>an available</w:t>
      </w:r>
      <w:r w:rsidR="00BE3E00">
        <w:t>,</w:t>
      </w:r>
      <w:r w:rsidR="00F55457">
        <w:t xml:space="preserve"> social housing </w:t>
      </w:r>
      <w:r w:rsidR="00F55457" w:rsidRPr="0086253C">
        <w:t>placement was unsuitable.</w:t>
      </w:r>
      <w:r w:rsidR="00A26EB1" w:rsidRPr="0086253C">
        <w:t xml:space="preserve"> </w:t>
      </w:r>
      <w:r w:rsidR="0088105F">
        <w:t xml:space="preserve">Strengthened relationships between </w:t>
      </w:r>
      <w:r w:rsidR="000913DC">
        <w:t xml:space="preserve">SHM </w:t>
      </w:r>
      <w:r w:rsidR="0088105F">
        <w:t>service delivery staff and clients, and detailed</w:t>
      </w:r>
      <w:r w:rsidR="000913DC">
        <w:t xml:space="preserve"> internal</w:t>
      </w:r>
      <w:r w:rsidR="0088105F">
        <w:t xml:space="preserve"> da</w:t>
      </w:r>
      <w:r w:rsidR="000913DC">
        <w:t xml:space="preserve">ta they kept on client needs, likely also contributed to appropriate matching. </w:t>
      </w:r>
    </w:p>
    <w:p w14:paraId="2C075D65" w14:textId="69630408" w:rsidR="00941468" w:rsidRDefault="009B7C7F" w:rsidP="002C1CF0">
      <w:pPr>
        <w:pStyle w:val="BodyText"/>
        <w:spacing w:before="60"/>
      </w:pPr>
      <w:r>
        <w:t xml:space="preserve">Although the J2SI PAD had unique data collection and analytical requirements, </w:t>
      </w:r>
      <w:r w:rsidR="00ED27C3">
        <w:t xml:space="preserve">and its link to outcome payments strengthened </w:t>
      </w:r>
      <w:r w:rsidR="00AA784B">
        <w:t>its rigour to</w:t>
      </w:r>
      <w:r w:rsidR="00FA05D7">
        <w:t xml:space="preserve"> some degree, </w:t>
      </w:r>
      <w:r w:rsidR="007C4D6E">
        <w:t xml:space="preserve">a similarly </w:t>
      </w:r>
      <w:r w:rsidR="00AA784B">
        <w:t>robust</w:t>
      </w:r>
      <w:r w:rsidR="007C4D6E">
        <w:t xml:space="preserve"> approach </w:t>
      </w:r>
      <w:r w:rsidR="00AA784B">
        <w:t>is seen in all iterations of J2SI</w:t>
      </w:r>
      <w:r w:rsidR="007F7AC6">
        <w:t xml:space="preserve">, suggesting this outcome is more linked to the </w:t>
      </w:r>
      <w:r w:rsidR="00715447">
        <w:t>focus</w:t>
      </w:r>
      <w:r w:rsidR="007F7AC6">
        <w:t xml:space="preserve"> </w:t>
      </w:r>
      <w:r w:rsidR="00715447">
        <w:t>the J2SI program has on accurate outcomes measurement</w:t>
      </w:r>
      <w:r w:rsidR="00837196">
        <w:t>, as opposed to the PAD mechanism</w:t>
      </w:r>
      <w:r w:rsidR="00715447">
        <w:t xml:space="preserve">. </w:t>
      </w:r>
    </w:p>
    <w:p w14:paraId="671001C8" w14:textId="25A2C28D" w:rsidR="0073675A" w:rsidRDefault="001F4A28" w:rsidP="001F4A28">
      <w:pPr>
        <w:pStyle w:val="BodyText"/>
      </w:pPr>
      <w:r>
        <w:t>Similarly, the robust approach to program monitoring and reporting was driven</w:t>
      </w:r>
      <w:r w:rsidR="00BD2E92">
        <w:t>,</w:t>
      </w:r>
      <w:r>
        <w:t xml:space="preserve"> in </w:t>
      </w:r>
      <w:r w:rsidR="00AC546E">
        <w:t>some instances</w:t>
      </w:r>
      <w:r w:rsidR="00BD2E92">
        <w:t>,</w:t>
      </w:r>
      <w:r w:rsidR="00AC546E">
        <w:t xml:space="preserve"> </w:t>
      </w:r>
      <w:r>
        <w:t xml:space="preserve">by the PAD, </w:t>
      </w:r>
      <w:r w:rsidR="005F7DB8">
        <w:t>particularly</w:t>
      </w:r>
      <w:r>
        <w:t xml:space="preserve"> the requirement for </w:t>
      </w:r>
      <w:r w:rsidR="005F7DB8">
        <w:t xml:space="preserve">accurate and complete client records to feed into outcome measurement. </w:t>
      </w:r>
      <w:r w:rsidR="005A5811">
        <w:t xml:space="preserve">Weekly reporting on social housing offers being made to J2SI clients </w:t>
      </w:r>
      <w:r w:rsidR="00851CE9">
        <w:t xml:space="preserve">was also introduced during the PAD, both as a result of </w:t>
      </w:r>
      <w:r w:rsidR="007B2868">
        <w:t>declining</w:t>
      </w:r>
      <w:r w:rsidR="00851CE9">
        <w:t xml:space="preserve"> housing offers</w:t>
      </w:r>
      <w:r w:rsidR="008E1237">
        <w:t xml:space="preserve"> and in the interests of enabling stable housing targets to be met</w:t>
      </w:r>
      <w:r w:rsidR="008973BD">
        <w:t>. With consideration of th</w:t>
      </w:r>
      <w:r w:rsidR="008029AD">
        <w:t>e</w:t>
      </w:r>
      <w:r w:rsidR="008973BD">
        <w:t xml:space="preserve"> latter, </w:t>
      </w:r>
      <w:r w:rsidR="00236F95">
        <w:t xml:space="preserve">weekly reporting can </w:t>
      </w:r>
      <w:r w:rsidR="008E1237">
        <w:t xml:space="preserve">partly </w:t>
      </w:r>
      <w:r w:rsidR="007B2868">
        <w:t xml:space="preserve">be </w:t>
      </w:r>
      <w:r w:rsidR="008E1237">
        <w:t>attributable to the PAD</w:t>
      </w:r>
      <w:r w:rsidR="00A926E8">
        <w:t xml:space="preserve"> mechanism.</w:t>
      </w:r>
      <w:r w:rsidR="005A5811">
        <w:t xml:space="preserve"> </w:t>
      </w:r>
      <w:r w:rsidR="00AC546E">
        <w:t>However</w:t>
      </w:r>
      <w:r w:rsidR="007B2868">
        <w:t>,</w:t>
      </w:r>
      <w:r w:rsidR="00AC546E">
        <w:t xml:space="preserve"> other factors, such as the </w:t>
      </w:r>
      <w:r w:rsidR="007F6956" w:rsidRPr="007F6956">
        <w:lastRenderedPageBreak/>
        <w:t>improvements to the client monitoring tool</w:t>
      </w:r>
      <w:r w:rsidR="007B2868">
        <w:t>,</w:t>
      </w:r>
      <w:r w:rsidR="007F6956" w:rsidRPr="007F6956">
        <w:t xml:space="preserve"> may be more linked to the program learnings as opposed to the funding mechanism, as evidence</w:t>
      </w:r>
      <w:r w:rsidR="003C5A7B">
        <w:t xml:space="preserve">d by </w:t>
      </w:r>
      <w:r w:rsidR="007F6956" w:rsidRPr="007F6956">
        <w:t>their incorporation in the ‘continuum of care’ model</w:t>
      </w:r>
      <w:r w:rsidR="007F6956">
        <w:t>.</w:t>
      </w:r>
    </w:p>
    <w:p w14:paraId="0D193CC6" w14:textId="6BCFDBFD" w:rsidR="00C07AE5" w:rsidRDefault="00C07AE5" w:rsidP="007A2CBF">
      <w:pPr>
        <w:pStyle w:val="Heading3"/>
      </w:pPr>
      <w:bookmarkStart w:id="98" w:name="_Ref150183985"/>
      <w:r>
        <w:t>The</w:t>
      </w:r>
      <w:r w:rsidR="00094ED4">
        <w:t xml:space="preserve"> PAD led to</w:t>
      </w:r>
      <w:r w:rsidR="00C10AEA">
        <w:t xml:space="preserve"> new ways</w:t>
      </w:r>
      <w:r w:rsidR="00EB231C">
        <w:t xml:space="preserve"> of working </w:t>
      </w:r>
      <w:r w:rsidR="00887D90">
        <w:t>and</w:t>
      </w:r>
      <w:r w:rsidR="00094ED4">
        <w:t xml:space="preserve"> capability uplift</w:t>
      </w:r>
      <w:bookmarkEnd w:id="98"/>
      <w:r w:rsidR="00094ED4">
        <w:t xml:space="preserve"> </w:t>
      </w:r>
    </w:p>
    <w:tbl>
      <w:tblPr>
        <w:tblStyle w:val="KPMGTable"/>
        <w:tblW w:w="10091" w:type="dxa"/>
        <w:tblLook w:val="0420" w:firstRow="1" w:lastRow="0" w:firstColumn="0" w:lastColumn="0" w:noHBand="0" w:noVBand="1"/>
      </w:tblPr>
      <w:tblGrid>
        <w:gridCol w:w="2552"/>
        <w:gridCol w:w="7539"/>
      </w:tblGrid>
      <w:tr w:rsidR="00D775AE" w:rsidRPr="006E2084" w14:paraId="6164C72A" w14:textId="77777777" w:rsidTr="00344506">
        <w:trPr>
          <w:cnfStyle w:val="100000000000" w:firstRow="1" w:lastRow="0" w:firstColumn="0" w:lastColumn="0" w:oddVBand="0" w:evenVBand="0" w:oddHBand="0" w:evenHBand="0" w:firstRowFirstColumn="0" w:firstRowLastColumn="0" w:lastRowFirstColumn="0" w:lastRowLastColumn="0"/>
          <w:cantSplit/>
          <w:trHeight w:val="1912"/>
        </w:trPr>
        <w:tc>
          <w:tcPr>
            <w:tcW w:w="2552" w:type="dxa"/>
            <w:shd w:val="clear" w:color="auto" w:fill="F2F2F2" w:themeFill="background1" w:themeFillShade="F2"/>
            <w:vAlign w:val="center"/>
            <w:hideMark/>
          </w:tcPr>
          <w:p w14:paraId="36075C88" w14:textId="77777777" w:rsidR="00D775AE" w:rsidRPr="005008AD" w:rsidRDefault="00D775AE" w:rsidP="007B2868">
            <w:pPr>
              <w:pStyle w:val="TableTextBLUE"/>
            </w:pPr>
            <w:r w:rsidRPr="005008AD">
              <w:t xml:space="preserve">What were the outcomes of J2SI SII in light of its structure as a SII funding mechanism? </w:t>
            </w:r>
          </w:p>
        </w:tc>
        <w:tc>
          <w:tcPr>
            <w:tcW w:w="7539" w:type="dxa"/>
            <w:vAlign w:val="center"/>
          </w:tcPr>
          <w:p w14:paraId="4C7D7152" w14:textId="77777777" w:rsidR="00422B69" w:rsidRPr="005008AD" w:rsidRDefault="00422B69" w:rsidP="007B2868">
            <w:pPr>
              <w:pStyle w:val="TableTextBLUE"/>
            </w:pPr>
            <w:r w:rsidRPr="005008AD">
              <w:t>The PAD resulted in new ways of working and capability uplift for J2SI government stakeholders, in areas relating to:</w:t>
            </w:r>
          </w:p>
          <w:p w14:paraId="03713068" w14:textId="77777777" w:rsidR="00422B69" w:rsidRPr="005008AD" w:rsidRDefault="00422B69" w:rsidP="007E1193">
            <w:pPr>
              <w:pStyle w:val="Tablebullet1BLUE"/>
              <w:rPr>
                <w:szCs w:val="18"/>
              </w:rPr>
            </w:pPr>
            <w:r w:rsidRPr="005008AD">
              <w:t xml:space="preserve">Social impact investing and outcomes funding </w:t>
            </w:r>
          </w:p>
          <w:p w14:paraId="285AC28D" w14:textId="77777777" w:rsidR="00422B69" w:rsidRPr="005008AD" w:rsidRDefault="00422B69" w:rsidP="007E1193">
            <w:pPr>
              <w:pStyle w:val="Tablebullet1BLUE"/>
              <w:rPr>
                <w:szCs w:val="18"/>
              </w:rPr>
            </w:pPr>
            <w:r w:rsidRPr="005008AD">
              <w:t>Contracts</w:t>
            </w:r>
          </w:p>
          <w:p w14:paraId="3CE65A9D" w14:textId="77777777" w:rsidR="00422B69" w:rsidRPr="005008AD" w:rsidRDefault="00422B69" w:rsidP="007E1193">
            <w:pPr>
              <w:pStyle w:val="Tablebullet1BLUE"/>
              <w:rPr>
                <w:szCs w:val="18"/>
              </w:rPr>
            </w:pPr>
            <w:r w:rsidRPr="005008AD">
              <w:t>Evaluation</w:t>
            </w:r>
          </w:p>
          <w:p w14:paraId="02A802BF" w14:textId="77777777" w:rsidR="00422B69" w:rsidRPr="005008AD" w:rsidRDefault="00422B69" w:rsidP="007E1193">
            <w:pPr>
              <w:pStyle w:val="Tablebullet1BLUE"/>
              <w:rPr>
                <w:szCs w:val="18"/>
              </w:rPr>
            </w:pPr>
            <w:r w:rsidRPr="005008AD">
              <w:t xml:space="preserve">Internal analytical capability </w:t>
            </w:r>
          </w:p>
          <w:p w14:paraId="53759869" w14:textId="7D8B891F" w:rsidR="00D775AE" w:rsidRPr="005008AD" w:rsidRDefault="00422B69" w:rsidP="007E1193">
            <w:pPr>
              <w:pStyle w:val="Tablebullet1BLUE"/>
            </w:pPr>
            <w:r w:rsidRPr="005008AD">
              <w:t>Long term client support</w:t>
            </w:r>
            <w:r w:rsidR="006966AF" w:rsidRPr="005008AD">
              <w:t>.</w:t>
            </w:r>
          </w:p>
        </w:tc>
      </w:tr>
      <w:tr w:rsidR="00D775AE" w:rsidRPr="006E2084" w14:paraId="68A59F38" w14:textId="77777777" w:rsidTr="00344506">
        <w:trPr>
          <w:cantSplit/>
          <w:trHeight w:val="557"/>
        </w:trPr>
        <w:tc>
          <w:tcPr>
            <w:tcW w:w="2552" w:type="dxa"/>
            <w:shd w:val="clear" w:color="auto" w:fill="F2F2F2" w:themeFill="background1" w:themeFillShade="F2"/>
            <w:vAlign w:val="center"/>
            <w:hideMark/>
          </w:tcPr>
          <w:p w14:paraId="723979FC" w14:textId="77777777" w:rsidR="00D775AE" w:rsidRPr="005008AD" w:rsidRDefault="00D775AE" w:rsidP="007B2868">
            <w:pPr>
              <w:pStyle w:val="Tabletext"/>
            </w:pPr>
            <w:r w:rsidRPr="005008AD">
              <w:t>Were the outcomes the same as when the program was implemented differently?</w:t>
            </w:r>
          </w:p>
        </w:tc>
        <w:tc>
          <w:tcPr>
            <w:tcW w:w="7539" w:type="dxa"/>
            <w:vAlign w:val="center"/>
          </w:tcPr>
          <w:p w14:paraId="2209AFAF" w14:textId="73B9C442" w:rsidR="00D775AE" w:rsidRPr="005008AD" w:rsidRDefault="00422B69" w:rsidP="007B2868">
            <w:pPr>
              <w:pStyle w:val="Tabletext"/>
            </w:pPr>
            <w:r w:rsidRPr="005008AD">
              <w:t>The J2SI PAD introduced several value adding ways of working, which result</w:t>
            </w:r>
            <w:r w:rsidR="006966AF" w:rsidRPr="005008AD">
              <w:t>ed</w:t>
            </w:r>
            <w:r w:rsidRPr="005008AD">
              <w:t xml:space="preserve"> in capability uplift, that have continued to be developed/refined in the </w:t>
            </w:r>
            <w:r w:rsidR="00282C65" w:rsidRPr="005008AD">
              <w:t>PbR</w:t>
            </w:r>
            <w:r w:rsidRPr="005008AD">
              <w:t xml:space="preserve">, other PADs, housing first programs and the EIIF. This includes avoided cost modelling, linked data analysis, </w:t>
            </w:r>
            <w:r w:rsidR="00D92174" w:rsidRPr="005008AD">
              <w:t>rigorous</w:t>
            </w:r>
            <w:r w:rsidRPr="005008AD">
              <w:t xml:space="preserve"> approaches to program evaluation, and exposure to working with </w:t>
            </w:r>
            <w:r w:rsidR="009523F0" w:rsidRPr="005008AD">
              <w:t>clients</w:t>
            </w:r>
            <w:r>
              <w:t xml:space="preserve"> </w:t>
            </w:r>
            <w:r w:rsidR="007B2868">
              <w:t>in the</w:t>
            </w:r>
            <w:r w:rsidRPr="005008AD">
              <w:t xml:space="preserve"> long term.</w:t>
            </w:r>
          </w:p>
        </w:tc>
      </w:tr>
      <w:tr w:rsidR="00D775AE" w:rsidRPr="006E2084" w14:paraId="302C3835" w14:textId="77777777" w:rsidTr="00344506">
        <w:trPr>
          <w:cantSplit/>
          <w:trHeight w:val="21"/>
        </w:trPr>
        <w:tc>
          <w:tcPr>
            <w:tcW w:w="2552" w:type="dxa"/>
            <w:shd w:val="clear" w:color="auto" w:fill="F2F2F2" w:themeFill="background1" w:themeFillShade="F2"/>
            <w:vAlign w:val="center"/>
            <w:hideMark/>
          </w:tcPr>
          <w:p w14:paraId="34DA0E99" w14:textId="77777777" w:rsidR="00D775AE" w:rsidRPr="005008AD" w:rsidRDefault="00D775AE" w:rsidP="007B2868">
            <w:pPr>
              <w:pStyle w:val="Tabletext"/>
            </w:pPr>
            <w:r w:rsidRPr="005008AD">
              <w:t xml:space="preserve">Can the outcomes be attributed to the program as a SII? </w:t>
            </w:r>
          </w:p>
        </w:tc>
        <w:tc>
          <w:tcPr>
            <w:tcW w:w="7539" w:type="dxa"/>
            <w:vAlign w:val="center"/>
          </w:tcPr>
          <w:p w14:paraId="62707723" w14:textId="77777777" w:rsidR="00422B69" w:rsidRPr="005008AD" w:rsidRDefault="00422B69" w:rsidP="007B2868">
            <w:pPr>
              <w:pStyle w:val="Tabletext"/>
              <w:rPr>
                <w:szCs w:val="18"/>
              </w:rPr>
            </w:pPr>
            <w:r w:rsidRPr="005008AD">
              <w:t xml:space="preserve">DTF capability uplift can partly be attributed to delivery of the J2SI PAD, but it is noted that this sits within the broader PADs initiative. </w:t>
            </w:r>
          </w:p>
          <w:p w14:paraId="76BCD4EC" w14:textId="286B9757" w:rsidR="00CD09F3" w:rsidRPr="005008AD" w:rsidRDefault="00422B69" w:rsidP="007B2868">
            <w:pPr>
              <w:pStyle w:val="Tabletext"/>
              <w:rPr>
                <w:szCs w:val="18"/>
              </w:rPr>
            </w:pPr>
            <w:r w:rsidRPr="005008AD">
              <w:t xml:space="preserve">SHM internal capability uplift can also partly be attributed to the PAD, as it prompted a need for analytical capability and impact </w:t>
            </w:r>
            <w:r w:rsidR="005D16D6">
              <w:t xml:space="preserve">on </w:t>
            </w:r>
            <w:r w:rsidRPr="005008AD">
              <w:t>investing resourcing</w:t>
            </w:r>
            <w:r w:rsidR="00CD09F3" w:rsidRPr="005008AD">
              <w:t>, with a</w:t>
            </w:r>
            <w:r w:rsidRPr="005008AD">
              <w:t xml:space="preserve"> focus on these areas </w:t>
            </w:r>
            <w:r w:rsidR="00CD09F3" w:rsidRPr="005008AD">
              <w:t>pre</w:t>
            </w:r>
            <w:r w:rsidR="005D16D6">
              <w:noBreakHyphen/>
            </w:r>
            <w:r w:rsidR="00CD09F3" w:rsidRPr="005008AD">
              <w:t>dating</w:t>
            </w:r>
            <w:r w:rsidRPr="005008AD">
              <w:t xml:space="preserve"> the J2SI PAD. </w:t>
            </w:r>
          </w:p>
          <w:p w14:paraId="2C6EC299" w14:textId="6AB32C71" w:rsidR="00D775AE" w:rsidRPr="005008AD" w:rsidRDefault="00422B69" w:rsidP="007B2868">
            <w:pPr>
              <w:pStyle w:val="Tabletext"/>
            </w:pPr>
            <w:r w:rsidRPr="005008AD">
              <w:t>There is the potential to more fully embed learnings and processes associated with the J2SI PAD in departments outside of DTF.</w:t>
            </w:r>
          </w:p>
        </w:tc>
      </w:tr>
      <w:tr w:rsidR="00D775AE" w:rsidRPr="006E2084" w14:paraId="408059C5" w14:textId="77777777" w:rsidTr="00344506">
        <w:trPr>
          <w:cantSplit/>
          <w:trHeight w:val="1164"/>
        </w:trPr>
        <w:tc>
          <w:tcPr>
            <w:tcW w:w="2552" w:type="dxa"/>
            <w:shd w:val="clear" w:color="auto" w:fill="F2F2F2" w:themeFill="background1" w:themeFillShade="F2"/>
            <w:vAlign w:val="center"/>
            <w:hideMark/>
          </w:tcPr>
          <w:p w14:paraId="2B750DD1" w14:textId="4650E6E5" w:rsidR="00D775AE" w:rsidRPr="005008AD" w:rsidRDefault="00D775AE" w:rsidP="007B2868">
            <w:pPr>
              <w:pStyle w:val="TabletextItalic"/>
            </w:pPr>
            <w:r w:rsidRPr="005008AD">
              <w:t>Has there been a change in findings from</w:t>
            </w:r>
            <w:r>
              <w:t xml:space="preserve"> </w:t>
            </w:r>
            <w:r w:rsidR="007B2868">
              <w:t>the</w:t>
            </w:r>
            <w:r w:rsidRPr="005008AD">
              <w:t xml:space="preserve"> interim evaluation?</w:t>
            </w:r>
          </w:p>
        </w:tc>
        <w:tc>
          <w:tcPr>
            <w:tcW w:w="7539" w:type="dxa"/>
            <w:vAlign w:val="center"/>
          </w:tcPr>
          <w:p w14:paraId="449FC61F" w14:textId="58143B99" w:rsidR="00D775AE" w:rsidRPr="005008AD" w:rsidRDefault="00D775AE" w:rsidP="007B2868">
            <w:pPr>
              <w:pStyle w:val="TabletextItalic"/>
            </w:pPr>
            <w:r w:rsidRPr="005008AD">
              <w:t>Strong collaboration remain</w:t>
            </w:r>
            <w:r w:rsidR="00CD09F3" w:rsidRPr="005008AD">
              <w:t>s</w:t>
            </w:r>
            <w:r w:rsidRPr="005008AD">
              <w:t xml:space="preserve"> consistent with interim evaluation findings. Role clarity in relation to joint governance procedures was observed to improve over time. </w:t>
            </w:r>
            <w:r w:rsidR="001C689C" w:rsidRPr="005008AD">
              <w:t>Findings of capability uplift are consistent with the interim evaluation, with the current evaluation raising evidence of further capability uplift</w:t>
            </w:r>
            <w:r w:rsidR="00CD09F3" w:rsidRPr="005008AD">
              <w:t>.</w:t>
            </w:r>
          </w:p>
        </w:tc>
      </w:tr>
    </w:tbl>
    <w:p w14:paraId="57B36BD5" w14:textId="65CA438B" w:rsidR="00887D90" w:rsidRDefault="00D77DCF" w:rsidP="007E1193">
      <w:pPr>
        <w:pStyle w:val="BodyText"/>
      </w:pPr>
      <w:r>
        <w:t>T</w:t>
      </w:r>
      <w:r w:rsidR="000F7EEB">
        <w:t xml:space="preserve">he PAD introduced </w:t>
      </w:r>
      <w:r w:rsidR="00991809">
        <w:t xml:space="preserve">program </w:t>
      </w:r>
      <w:r w:rsidR="002C642D">
        <w:t>features</w:t>
      </w:r>
      <w:r w:rsidR="00991809">
        <w:t xml:space="preserve"> not typically seen </w:t>
      </w:r>
      <w:r w:rsidR="00A27C0A">
        <w:t>as part of BAU</w:t>
      </w:r>
      <w:r w:rsidR="00F35F8E">
        <w:t xml:space="preserve">, </w:t>
      </w:r>
      <w:r w:rsidR="00A27C0A">
        <w:t xml:space="preserve">which </w:t>
      </w:r>
      <w:r w:rsidR="00DB46F4">
        <w:t>led to</w:t>
      </w:r>
      <w:r w:rsidR="00514C31">
        <w:t xml:space="preserve"> </w:t>
      </w:r>
      <w:r w:rsidR="0076797D">
        <w:t>new ways of working</w:t>
      </w:r>
      <w:r w:rsidR="00FA0D47">
        <w:t xml:space="preserve"> and associated capability uplift. </w:t>
      </w:r>
    </w:p>
    <w:p w14:paraId="05E12A67" w14:textId="22DE4D9B" w:rsidR="00C627A9" w:rsidRDefault="00C627A9" w:rsidP="008C71A8">
      <w:pPr>
        <w:pStyle w:val="Heading4"/>
      </w:pPr>
      <w:bookmarkStart w:id="99" w:name="_Ref149901078"/>
      <w:r>
        <w:t xml:space="preserve">Department of Treasury and </w:t>
      </w:r>
      <w:r w:rsidR="0099690A">
        <w:t>Finance</w:t>
      </w:r>
      <w:bookmarkEnd w:id="99"/>
    </w:p>
    <w:p w14:paraId="49F8E4C1" w14:textId="048F1F98" w:rsidR="00887D90" w:rsidRDefault="00887D90" w:rsidP="00887D90">
      <w:pPr>
        <w:pStyle w:val="BodyText"/>
        <w:spacing w:before="60"/>
      </w:pPr>
      <w:r>
        <w:t xml:space="preserve">For DTF, </w:t>
      </w:r>
      <w:r w:rsidR="00653265">
        <w:t>the J2SI P</w:t>
      </w:r>
      <w:r w:rsidR="00BB7321">
        <w:t>AD</w:t>
      </w:r>
      <w:r w:rsidR="00653265">
        <w:t xml:space="preserve"> introduced new ways of working</w:t>
      </w:r>
      <w:r w:rsidR="00BB7321">
        <w:t xml:space="preserve"> through its </w:t>
      </w:r>
      <w:r w:rsidR="000420CC" w:rsidRPr="00A21D21">
        <w:t xml:space="preserve">direct involvement with service providers, </w:t>
      </w:r>
      <w:r w:rsidR="004A6FF4">
        <w:t>exposure</w:t>
      </w:r>
      <w:r w:rsidR="00CE0EB0">
        <w:t xml:space="preserve"> </w:t>
      </w:r>
      <w:r w:rsidR="006C604B">
        <w:t>to</w:t>
      </w:r>
      <w:r w:rsidR="00CE0EB0">
        <w:t xml:space="preserve"> </w:t>
      </w:r>
      <w:r w:rsidR="00511B3A">
        <w:t xml:space="preserve">avoided cost modelling and </w:t>
      </w:r>
      <w:r w:rsidR="00CE0EB0">
        <w:t xml:space="preserve">the impact </w:t>
      </w:r>
      <w:r w:rsidR="00511B3A">
        <w:t>investing</w:t>
      </w:r>
      <w:r w:rsidR="00CE0EB0">
        <w:t xml:space="preserve"> space, </w:t>
      </w:r>
      <w:r w:rsidR="00BB7321">
        <w:t>t</w:t>
      </w:r>
      <w:r w:rsidR="002C255E">
        <w:t xml:space="preserve">he focus on </w:t>
      </w:r>
      <w:r w:rsidR="000420CC" w:rsidRPr="00A21D21">
        <w:t>outcome metrics</w:t>
      </w:r>
      <w:r w:rsidR="00CF1A24">
        <w:t xml:space="preserve"> and data linkage,</w:t>
      </w:r>
      <w:r w:rsidR="00BB7321">
        <w:t xml:space="preserve"> in addition to </w:t>
      </w:r>
      <w:r w:rsidR="00F12EAC">
        <w:t>being exposed to more rigorous program evaluation requirements</w:t>
      </w:r>
      <w:r>
        <w:t>.</w:t>
      </w:r>
      <w:r w:rsidR="00653265">
        <w:t xml:space="preserve"> </w:t>
      </w:r>
      <w:r w:rsidR="009B6EE6">
        <w:t xml:space="preserve">When considering avoided cost modelling, </w:t>
      </w:r>
      <w:r>
        <w:t>DTF stakeholders described that</w:t>
      </w:r>
      <w:r w:rsidR="006966AF">
        <w:t>,</w:t>
      </w:r>
      <w:r>
        <w:t xml:space="preserve"> through delivery of the J2SI PAD, and the PADs </w:t>
      </w:r>
      <w:r w:rsidR="00A45111">
        <w:t>initiative</w:t>
      </w:r>
      <w:r w:rsidR="00653265">
        <w:t xml:space="preserve"> more broadly</w:t>
      </w:r>
      <w:r w:rsidR="00272B50">
        <w:rPr>
          <w:rFonts w:ascii="ZWAdobeF" w:hAnsi="ZWAdobeF" w:cs="ZWAdobeF"/>
          <w:color w:val="auto"/>
          <w:sz w:val="2"/>
          <w:szCs w:val="2"/>
        </w:rPr>
        <w:t>29F</w:t>
      </w:r>
      <w:r w:rsidR="00125CA2">
        <w:rPr>
          <w:rFonts w:ascii="ZWAdobeF" w:hAnsi="ZWAdobeF" w:cs="ZWAdobeF"/>
          <w:color w:val="auto"/>
          <w:sz w:val="2"/>
          <w:szCs w:val="2"/>
        </w:rPr>
        <w:t>29F</w:t>
      </w:r>
      <w:r>
        <w:rPr>
          <w:rStyle w:val="FootnoteReference"/>
        </w:rPr>
        <w:footnoteReference w:id="48"/>
      </w:r>
      <w:r>
        <w:t xml:space="preserve">, </w:t>
      </w:r>
      <w:r w:rsidR="009B6EE6">
        <w:t xml:space="preserve">exposure to this type of analysis </w:t>
      </w:r>
      <w:r w:rsidR="000C53E1">
        <w:t>has resulted</w:t>
      </w:r>
      <w:r w:rsidR="00511B3A">
        <w:t xml:space="preserve"> in</w:t>
      </w:r>
      <w:r>
        <w:t xml:space="preserve"> an uplift in </w:t>
      </w:r>
      <w:r w:rsidR="00511B3A">
        <w:t xml:space="preserve">internal </w:t>
      </w:r>
      <w:r>
        <w:t xml:space="preserve">capability </w:t>
      </w:r>
      <w:r w:rsidR="009C7A86">
        <w:t xml:space="preserve">and the </w:t>
      </w:r>
      <w:r>
        <w:t>establishment of an in-house</w:t>
      </w:r>
      <w:r w:rsidR="006966AF">
        <w:t>,</w:t>
      </w:r>
      <w:r>
        <w:t xml:space="preserve"> avoided cost modelling tool attached to the EIIF. The development of this tool and the associated skills has enabled some DTF stakeholders to </w:t>
      </w:r>
      <w:r w:rsidRPr="009A0238">
        <w:t xml:space="preserve">act as </w:t>
      </w:r>
      <w:r>
        <w:t xml:space="preserve">internal </w:t>
      </w:r>
      <w:r w:rsidRPr="009A0238">
        <w:t xml:space="preserve">consultants, </w:t>
      </w:r>
      <w:r w:rsidR="009C7A86">
        <w:t xml:space="preserve">uplifting capability more broadly across </w:t>
      </w:r>
      <w:r w:rsidR="0019215E">
        <w:t>government</w:t>
      </w:r>
      <w:r w:rsidR="009C7A86">
        <w:t>.</w:t>
      </w:r>
      <w:r w:rsidR="00807F39">
        <w:t xml:space="preserve"> This indicates a strengthened ability of </w:t>
      </w:r>
      <w:r w:rsidR="006966AF">
        <w:t>DTF</w:t>
      </w:r>
      <w:r w:rsidR="00807F39">
        <w:t xml:space="preserve"> to engage in </w:t>
      </w:r>
      <w:r w:rsidR="006C54DC">
        <w:t>program outcomes</w:t>
      </w:r>
      <w:r w:rsidR="00807F39">
        <w:t xml:space="preserve"> </w:t>
      </w:r>
      <w:r w:rsidR="006C54DC">
        <w:t>and their relationship with program costs.</w:t>
      </w:r>
    </w:p>
    <w:p w14:paraId="5554FB74" w14:textId="090C3BD0" w:rsidR="0007694E" w:rsidRPr="008F5863" w:rsidRDefault="0007694E" w:rsidP="000A5A5D">
      <w:pPr>
        <w:rPr>
          <w:rStyle w:val="IntenseEmphasis"/>
        </w:rPr>
      </w:pPr>
      <w:r w:rsidRPr="008F5863">
        <w:rPr>
          <w:rStyle w:val="IntenseEmphasis"/>
        </w:rPr>
        <w:t xml:space="preserve">“J2SI and other PADs have exposed DTF to avoided cost modelling and social service linked data, which has led to our team's upskilling. This has made us leaders in these areas in the department and across government.” </w:t>
      </w:r>
      <w:r w:rsidR="00030E5D" w:rsidRPr="008F5863">
        <w:rPr>
          <w:rStyle w:val="IntenseEmphasis"/>
        </w:rPr>
        <w:br/>
        <w:t xml:space="preserve">– </w:t>
      </w:r>
      <w:r w:rsidRPr="008F5863">
        <w:rPr>
          <w:rStyle w:val="IntenseEmphasis"/>
        </w:rPr>
        <w:t>DTF</w:t>
      </w:r>
    </w:p>
    <w:p w14:paraId="3BB81354" w14:textId="57C2707B" w:rsidR="001547C5" w:rsidRPr="009572B1" w:rsidRDefault="001547C5" w:rsidP="001547C5">
      <w:pPr>
        <w:pStyle w:val="BodyText"/>
        <w:spacing w:before="60"/>
      </w:pPr>
      <w:r>
        <w:t xml:space="preserve">DTF stakeholders also noted that the J2SI PAD had a role in driving a culture shift in the department with regards to transparency. </w:t>
      </w:r>
      <w:r w:rsidR="0019215E">
        <w:t>One</w:t>
      </w:r>
      <w:r>
        <w:t xml:space="preserve"> example of this includes </w:t>
      </w:r>
      <w:r w:rsidR="00F97FB4">
        <w:t>the department</w:t>
      </w:r>
      <w:r w:rsidR="006966AF">
        <w:t>’</w:t>
      </w:r>
      <w:r w:rsidR="0019215E">
        <w:t>s</w:t>
      </w:r>
      <w:r w:rsidR="00F97FB4">
        <w:t xml:space="preserve"> shift towards </w:t>
      </w:r>
      <w:r>
        <w:t xml:space="preserve">the publication of program outcomes on public websites. Stakeholders observed that this shift is </w:t>
      </w:r>
      <w:r w:rsidR="00F97FB4">
        <w:t>representative</w:t>
      </w:r>
      <w:r>
        <w:t xml:space="preserve"> of the broader value of social impact investing in a policy context. </w:t>
      </w:r>
    </w:p>
    <w:p w14:paraId="665E622A" w14:textId="242FD791" w:rsidR="00C627A9" w:rsidRDefault="00C627A9" w:rsidP="008C71A8">
      <w:pPr>
        <w:pStyle w:val="Heading4"/>
      </w:pPr>
      <w:bookmarkStart w:id="100" w:name="_Ref150183408"/>
      <w:r>
        <w:t>Sacred Heart Mission</w:t>
      </w:r>
      <w:bookmarkEnd w:id="100"/>
      <w:r>
        <w:t xml:space="preserve"> </w:t>
      </w:r>
    </w:p>
    <w:p w14:paraId="0D6779CF" w14:textId="7288D8F3" w:rsidR="001641DE" w:rsidRDefault="00733A7C" w:rsidP="009572B1">
      <w:pPr>
        <w:pStyle w:val="BodyText"/>
      </w:pPr>
      <w:r>
        <w:t>Similar</w:t>
      </w:r>
      <w:r w:rsidR="000C4B54">
        <w:t xml:space="preserve"> to DTF, SHM was exposed to greater cross-agency collaboration through the J2SI PAD, </w:t>
      </w:r>
      <w:r w:rsidR="00376455">
        <w:t>a</w:t>
      </w:r>
      <w:r w:rsidR="000C4B54">
        <w:t xml:space="preserve"> </w:t>
      </w:r>
      <w:r>
        <w:t>focus</w:t>
      </w:r>
      <w:r w:rsidR="000C4B54">
        <w:t xml:space="preserve"> on </w:t>
      </w:r>
      <w:r w:rsidR="00376455">
        <w:t xml:space="preserve">client </w:t>
      </w:r>
      <w:r w:rsidR="000C4B54">
        <w:t xml:space="preserve">outcomes measurement, and </w:t>
      </w:r>
      <w:r>
        <w:t>working</w:t>
      </w:r>
      <w:r w:rsidR="00DE020D">
        <w:t xml:space="preserve"> </w:t>
      </w:r>
      <w:r>
        <w:t xml:space="preserve">with </w:t>
      </w:r>
      <w:r w:rsidR="00DE020D">
        <w:t>clients over a longer period of time</w:t>
      </w:r>
      <w:r>
        <w:t xml:space="preserve">. This exposure </w:t>
      </w:r>
      <w:r w:rsidR="00415034">
        <w:t>resulted</w:t>
      </w:r>
      <w:r>
        <w:t xml:space="preserve"> in </w:t>
      </w:r>
      <w:r w:rsidR="00415034">
        <w:t>a</w:t>
      </w:r>
      <w:r w:rsidR="00C627A9">
        <w:t>n</w:t>
      </w:r>
      <w:r w:rsidR="00415034">
        <w:t xml:space="preserve"> increased focus by the organisation </w:t>
      </w:r>
      <w:r w:rsidR="000A06E6">
        <w:t xml:space="preserve">to </w:t>
      </w:r>
      <w:r w:rsidR="00376455">
        <w:t>bringing</w:t>
      </w:r>
      <w:r w:rsidR="00415034">
        <w:t xml:space="preserve"> analytical capabilities in</w:t>
      </w:r>
      <w:r w:rsidR="000A06E6">
        <w:t>-</w:t>
      </w:r>
      <w:r w:rsidR="00415034">
        <w:t xml:space="preserve">house to ensure SHM can continue delivering outcomes-based </w:t>
      </w:r>
      <w:r w:rsidR="00376455">
        <w:t>models</w:t>
      </w:r>
      <w:r w:rsidR="00415034">
        <w:t>, along</w:t>
      </w:r>
      <w:r w:rsidR="00376455">
        <w:t xml:space="preserve"> with</w:t>
      </w:r>
      <w:r w:rsidR="00415034">
        <w:t xml:space="preserve"> </w:t>
      </w:r>
      <w:r w:rsidR="00376455">
        <w:t xml:space="preserve">developing its capability to therapeutically support </w:t>
      </w:r>
      <w:r w:rsidR="00542C5A">
        <w:t>clients</w:t>
      </w:r>
      <w:r w:rsidR="00376455">
        <w:t xml:space="preserve"> </w:t>
      </w:r>
      <w:r w:rsidR="000A06E6">
        <w:t xml:space="preserve">in the </w:t>
      </w:r>
      <w:r w:rsidR="00376455">
        <w:t xml:space="preserve">long term. </w:t>
      </w:r>
      <w:r w:rsidR="00F31E15">
        <w:t>Further</w:t>
      </w:r>
      <w:r w:rsidR="000A06E6">
        <w:t>more</w:t>
      </w:r>
      <w:r w:rsidR="00F31E15">
        <w:t xml:space="preserve">, SHM initiated a </w:t>
      </w:r>
      <w:r w:rsidR="00FD1B62">
        <w:t xml:space="preserve">deliberate shift in </w:t>
      </w:r>
      <w:r w:rsidR="0040273F">
        <w:t xml:space="preserve">its </w:t>
      </w:r>
      <w:r w:rsidR="00FD1B62">
        <w:t xml:space="preserve">recruitment approach </w:t>
      </w:r>
      <w:r w:rsidR="00AE0139">
        <w:t>by having</w:t>
      </w:r>
      <w:r w:rsidR="00FD1B62">
        <w:t xml:space="preserve"> experienced staff </w:t>
      </w:r>
      <w:r w:rsidR="00AE0139">
        <w:t xml:space="preserve">work </w:t>
      </w:r>
      <w:r w:rsidR="00AE0139">
        <w:lastRenderedPageBreak/>
        <w:t>with</w:t>
      </w:r>
      <w:r w:rsidR="00FD1B62">
        <w:t xml:space="preserve"> newer staff from outside the</w:t>
      </w:r>
      <w:r w:rsidR="00CA052C">
        <w:t xml:space="preserve"> homelessness</w:t>
      </w:r>
      <w:r w:rsidR="00FD1B62">
        <w:t xml:space="preserve"> </w:t>
      </w:r>
      <w:r w:rsidR="00A519FD">
        <w:t>crisis management sector</w:t>
      </w:r>
      <w:r w:rsidR="00AE0139">
        <w:t xml:space="preserve"> t</w:t>
      </w:r>
      <w:r w:rsidR="00363017">
        <w:t>o</w:t>
      </w:r>
      <w:r w:rsidR="00AE0139">
        <w:t xml:space="preserve"> improve their capabilities</w:t>
      </w:r>
      <w:r w:rsidR="00A519FD">
        <w:t xml:space="preserve">. </w:t>
      </w:r>
      <w:r w:rsidR="0040273F">
        <w:t>T</w:t>
      </w:r>
      <w:r w:rsidR="00A519FD">
        <w:t xml:space="preserve">his approach enabled a balance of continuity, skill mix and new skills. </w:t>
      </w:r>
    </w:p>
    <w:p w14:paraId="7F4B71F7" w14:textId="0C6011C3" w:rsidR="0007694E" w:rsidRPr="00030E5D" w:rsidRDefault="0007694E" w:rsidP="000A5A5D">
      <w:pPr>
        <w:pStyle w:val="Bullet1stlevel"/>
        <w:numPr>
          <w:ilvl w:val="0"/>
          <w:numId w:val="0"/>
        </w:numPr>
        <w:rPr>
          <w:b/>
          <w:bCs/>
        </w:rPr>
      </w:pPr>
      <w:r w:rsidRPr="009572B1">
        <w:rPr>
          <w:rStyle w:val="IntenseEmphasis"/>
        </w:rPr>
        <w:t>“We looked to resource internally and our J2SI governance personnel are a key positive outcome for us. Having skills internally puts us in a strong position for future funding and also adds rigour to what we do, it means we can now cascade that rigour through our client services.”</w:t>
      </w:r>
      <w:r w:rsidRPr="009572B1">
        <w:rPr>
          <w:color w:val="00338D" w:themeColor="text2"/>
        </w:rPr>
        <w:t xml:space="preserve"> – SHM Management</w:t>
      </w:r>
    </w:p>
    <w:p w14:paraId="7D56A9EC" w14:textId="37B640F7" w:rsidR="00DE4EF2" w:rsidRDefault="00CD56D9" w:rsidP="008234A3">
      <w:pPr>
        <w:pStyle w:val="BodyText"/>
        <w:spacing w:before="60"/>
      </w:pPr>
      <w:r>
        <w:t>T</w:t>
      </w:r>
      <w:r w:rsidR="00DE4EF2">
        <w:t>he J2SI PAD</w:t>
      </w:r>
      <w:r>
        <w:t xml:space="preserve"> also</w:t>
      </w:r>
      <w:r w:rsidR="00DE4EF2">
        <w:t xml:space="preserve"> helped SHM to develop capability in the impact investing space</w:t>
      </w:r>
      <w:r w:rsidR="00840657">
        <w:t xml:space="preserve">, with the organisation establishing the </w:t>
      </w:r>
      <w:r w:rsidR="00DE4EF2" w:rsidRPr="001641DE">
        <w:t>Manager for Social Impact and Growth</w:t>
      </w:r>
      <w:r w:rsidR="00840657">
        <w:t xml:space="preserve"> </w:t>
      </w:r>
      <w:r w:rsidR="00BD4CBC">
        <w:t xml:space="preserve">position, a role established to </w:t>
      </w:r>
      <w:r w:rsidR="00526A92">
        <w:t>deliver</w:t>
      </w:r>
      <w:r w:rsidR="00BD4CBC">
        <w:t xml:space="preserve"> the J2SI PAD</w:t>
      </w:r>
      <w:r w:rsidR="00526A92">
        <w:t xml:space="preserve">, which has continued in the </w:t>
      </w:r>
      <w:r w:rsidR="00282C65">
        <w:t>PbR</w:t>
      </w:r>
      <w:r w:rsidR="00526A92">
        <w:t xml:space="preserve">. </w:t>
      </w:r>
    </w:p>
    <w:p w14:paraId="3D213E8F" w14:textId="5E0BD0E1" w:rsidR="00A4577C" w:rsidRDefault="00A4577C" w:rsidP="008C71A8">
      <w:pPr>
        <w:pStyle w:val="Heading4"/>
      </w:pPr>
      <w:bookmarkStart w:id="101" w:name="_Ref150342349"/>
      <w:r>
        <w:t>Homes Victoria and Department of Families Fairness and Housing</w:t>
      </w:r>
      <w:bookmarkEnd w:id="101"/>
    </w:p>
    <w:p w14:paraId="085686E7" w14:textId="407C57D0" w:rsidR="008234A3" w:rsidRDefault="00C93742" w:rsidP="007E1193">
      <w:pPr>
        <w:pStyle w:val="BodyText"/>
        <w:keepLines/>
        <w:spacing w:before="60"/>
      </w:pPr>
      <w:r>
        <w:t xml:space="preserve">The J2SI PAD </w:t>
      </w:r>
      <w:r w:rsidR="00793DBB">
        <w:t xml:space="preserve">exposed </w:t>
      </w:r>
      <w:r w:rsidR="005A36A3">
        <w:t>Homes Vic</w:t>
      </w:r>
      <w:r w:rsidR="009B6EE6">
        <w:t>toria/DFFH</w:t>
      </w:r>
      <w:r w:rsidR="005A36A3">
        <w:t xml:space="preserve"> </w:t>
      </w:r>
      <w:r w:rsidR="00793DBB">
        <w:t xml:space="preserve">to new ways of working. </w:t>
      </w:r>
      <w:r w:rsidR="00CA7F31">
        <w:t>I</w:t>
      </w:r>
      <w:r w:rsidR="00CD56D9">
        <w:t>n</w:t>
      </w:r>
      <w:r w:rsidR="00CA7F31">
        <w:t xml:space="preserve"> addition to the new ways of working described on </w:t>
      </w:r>
      <w:r w:rsidR="00CD6867">
        <w:t xml:space="preserve">page </w:t>
      </w:r>
      <w:r w:rsidR="00CD6867">
        <w:fldChar w:fldCharType="begin"/>
      </w:r>
      <w:r w:rsidR="00CD6867">
        <w:instrText xml:space="preserve"> PAGEREF _Ref149901768 \h </w:instrText>
      </w:r>
      <w:r w:rsidR="00CD6867">
        <w:fldChar w:fldCharType="separate"/>
      </w:r>
      <w:r w:rsidR="005B05CA">
        <w:rPr>
          <w:noProof/>
        </w:rPr>
        <w:t>26</w:t>
      </w:r>
      <w:r w:rsidR="00CD6867">
        <w:fldChar w:fldCharType="end"/>
      </w:r>
      <w:r w:rsidR="00CA7F31">
        <w:t xml:space="preserve">, another example is </w:t>
      </w:r>
      <w:r w:rsidR="00383F12">
        <w:t xml:space="preserve">seen when considering the approach taken to </w:t>
      </w:r>
      <w:r w:rsidR="00092546">
        <w:t xml:space="preserve">ensure J2SI PAD clients </w:t>
      </w:r>
      <w:r w:rsidR="00680A6A">
        <w:t xml:space="preserve">did not </w:t>
      </w:r>
      <w:r w:rsidR="00092546">
        <w:t xml:space="preserve">lose their place on the VHR when they were in a head leased property. </w:t>
      </w:r>
      <w:r w:rsidR="00357260">
        <w:t>Traditionally</w:t>
      </w:r>
      <w:r w:rsidR="008234A3">
        <w:t>, a head leasing allocation would result in a J2SI client lo</w:t>
      </w:r>
      <w:r w:rsidR="00332480">
        <w:t>s</w:t>
      </w:r>
      <w:r w:rsidR="008234A3">
        <w:t>ing their place on the VHR, impacting the provision of timely social housing offers. To address this,</w:t>
      </w:r>
      <w:r w:rsidR="0054214D">
        <w:t xml:space="preserve"> as part of the joint development phase</w:t>
      </w:r>
      <w:r w:rsidR="00310F2D">
        <w:t>,</w:t>
      </w:r>
      <w:r w:rsidR="0054214D">
        <w:t xml:space="preserve"> it was agreed that J2S</w:t>
      </w:r>
      <w:r w:rsidR="00323944">
        <w:t>I</w:t>
      </w:r>
      <w:r w:rsidR="0054214D">
        <w:t xml:space="preserve"> clients would remain on the VHR. In addition,</w:t>
      </w:r>
      <w:r w:rsidR="008234A3">
        <w:t xml:space="preserve"> Homes Victoria organised program resourcing into a centralised agency, which became the touchpoint for stakeholders engaging in the housing allocation process</w:t>
      </w:r>
      <w:r w:rsidR="00B6533A">
        <w:t xml:space="preserve"> – a </w:t>
      </w:r>
      <w:r w:rsidR="00197634">
        <w:t>decision made</w:t>
      </w:r>
      <w:r w:rsidR="00B6533A">
        <w:t xml:space="preserve"> during the joint development phase of the program</w:t>
      </w:r>
      <w:r w:rsidR="008234A3">
        <w:t xml:space="preserve">. This central role fast </w:t>
      </w:r>
      <w:r w:rsidR="00092546">
        <w:t>tracked</w:t>
      </w:r>
      <w:r w:rsidR="008234A3">
        <w:t xml:space="preserve"> updates, </w:t>
      </w:r>
      <w:r w:rsidR="00092546">
        <w:t>managed</w:t>
      </w:r>
      <w:r w:rsidR="008234A3">
        <w:t xml:space="preserve"> relationships with the Housing Call Centre, and support</w:t>
      </w:r>
      <w:r w:rsidR="00A60D32">
        <w:t>ed</w:t>
      </w:r>
      <w:r w:rsidR="008234A3">
        <w:t xml:space="preserve"> consistency of processes across the regional housing offices. Homes Victoria also introduced an additional barrier requiring housing offices to request all reclassification of J2SI </w:t>
      </w:r>
      <w:r w:rsidR="00092546">
        <w:t xml:space="preserve">PAD </w:t>
      </w:r>
      <w:r w:rsidR="008234A3">
        <w:t xml:space="preserve">clients via this centralised agency. File note alerts were added to inform housing offices of J2SI clients’ status and the additional processes which applied to them. The effect of these changes was to maintain J2SI clients’ priority status on the VHR, to align with </w:t>
      </w:r>
      <w:r w:rsidR="00AA3312">
        <w:t xml:space="preserve">the </w:t>
      </w:r>
      <w:r w:rsidR="008234A3">
        <w:t xml:space="preserve">broader </w:t>
      </w:r>
      <w:r w:rsidR="00AA3312">
        <w:t>g</w:t>
      </w:r>
      <w:r w:rsidR="008234A3">
        <w:t xml:space="preserve">overnment directive </w:t>
      </w:r>
      <w:r w:rsidR="00680A6A">
        <w:t xml:space="preserve">in accordance with </w:t>
      </w:r>
      <w:r w:rsidR="008234A3">
        <w:t>the Public Housing Allocations operational guideline.</w:t>
      </w:r>
    </w:p>
    <w:p w14:paraId="358CBF95" w14:textId="77777777" w:rsidR="0007694E" w:rsidRPr="008F5863" w:rsidRDefault="0007694E" w:rsidP="000A5A5D">
      <w:pPr>
        <w:rPr>
          <w:rStyle w:val="IntenseEmphasis"/>
        </w:rPr>
      </w:pPr>
      <w:r w:rsidRPr="008F5863">
        <w:rPr>
          <w:rStyle w:val="IntenseEmphasis"/>
        </w:rPr>
        <w:t>“Instead of going to 17 different areas, they came to one centralised and contained area. We all understood the delegation, reporting and oversight. SHM had a defined reporting and monitoring role, who we were able to give fast-tracked updates on applications processes.” – Government (housing)</w:t>
      </w:r>
    </w:p>
    <w:p w14:paraId="28613DCE" w14:textId="2F331A8C" w:rsidR="0007694E" w:rsidRPr="008F5863" w:rsidRDefault="0007694E" w:rsidP="000A5A5D">
      <w:pPr>
        <w:rPr>
          <w:rStyle w:val="IntenseEmphasis"/>
        </w:rPr>
      </w:pPr>
      <w:r w:rsidRPr="008F5863">
        <w:rPr>
          <w:rStyle w:val="IntenseEmphasis"/>
        </w:rPr>
        <w:t>“Having housing offices engage with SHM, not via</w:t>
      </w:r>
      <w:r w:rsidR="00423DAA" w:rsidRPr="008F5863">
        <w:rPr>
          <w:rStyle w:val="IntenseEmphasis"/>
        </w:rPr>
        <w:t xml:space="preserve"> </w:t>
      </w:r>
      <w:r w:rsidRPr="008F5863">
        <w:rPr>
          <w:rStyle w:val="IntenseEmphasis"/>
        </w:rPr>
        <w:t xml:space="preserve">the client, has helped a lot. The file note says to contact </w:t>
      </w:r>
      <w:proofErr w:type="gramStart"/>
      <w:r w:rsidRPr="008F5863">
        <w:rPr>
          <w:rStyle w:val="IntenseEmphasis"/>
        </w:rPr>
        <w:t>us</w:t>
      </w:r>
      <w:proofErr w:type="gramEnd"/>
      <w:r w:rsidRPr="008F5863">
        <w:rPr>
          <w:rStyle w:val="IntenseEmphasis"/>
        </w:rPr>
        <w:t xml:space="preserve"> so we’re notified of all offers. Previously we had to wait for offers whereas now we can intervene on a case-by-case basis.” – SHM Management</w:t>
      </w:r>
    </w:p>
    <w:p w14:paraId="5A8BEC46" w14:textId="4499657F" w:rsidR="00E027C5" w:rsidRDefault="00EC435F" w:rsidP="00EC435F">
      <w:pPr>
        <w:pStyle w:val="BodyText"/>
        <w:spacing w:before="60"/>
      </w:pPr>
      <w:r>
        <w:t>Although Homes Victoria</w:t>
      </w:r>
      <w:r w:rsidR="009B6EE6">
        <w:t xml:space="preserve">/DFFH </w:t>
      </w:r>
      <w:r>
        <w:t xml:space="preserve">were exposed to new ways of working, consultation </w:t>
      </w:r>
      <w:r w:rsidR="00D11CF7">
        <w:t>did not</w:t>
      </w:r>
      <w:r>
        <w:t xml:space="preserve"> find that this led to a</w:t>
      </w:r>
      <w:r w:rsidR="00061532">
        <w:t xml:space="preserve"> broad</w:t>
      </w:r>
      <w:r>
        <w:t xml:space="preserve"> uplift in capability</w:t>
      </w:r>
      <w:r w:rsidR="00D11CF7">
        <w:t xml:space="preserve"> outside of those individuals who were directly involved with the J2SI PAD</w:t>
      </w:r>
      <w:r>
        <w:t>.</w:t>
      </w:r>
      <w:r w:rsidR="00B82AFD">
        <w:rPr>
          <w:rStyle w:val="FootnoteReference"/>
        </w:rPr>
        <w:footnoteReference w:id="49"/>
      </w:r>
      <w:r>
        <w:t xml:space="preserve"> </w:t>
      </w:r>
      <w:r w:rsidR="004F0E19">
        <w:t>Consulted stakeholders</w:t>
      </w:r>
      <w:r w:rsidR="008124AD">
        <w:t xml:space="preserve"> noted that, despite efforts made by the </w:t>
      </w:r>
      <w:r w:rsidR="00E027C5">
        <w:t>GCM</w:t>
      </w:r>
      <w:r w:rsidR="008124AD">
        <w:t xml:space="preserve"> to promote </w:t>
      </w:r>
      <w:r w:rsidR="00E027C5">
        <w:t>outcomes-based programs and social impact investing</w:t>
      </w:r>
      <w:r>
        <w:t xml:space="preserve"> across the department</w:t>
      </w:r>
      <w:r w:rsidR="009B6EE6">
        <w:t>s</w:t>
      </w:r>
      <w:r w:rsidR="00E027C5">
        <w:t>, there was no evidence</w:t>
      </w:r>
      <w:r w:rsidR="00E027C5" w:rsidRPr="00A0152E">
        <w:t xml:space="preserve"> </w:t>
      </w:r>
      <w:r w:rsidR="00E027C5">
        <w:t xml:space="preserve">to suggest this uplift was felt at executive levels, and stakeholders </w:t>
      </w:r>
      <w:r w:rsidR="00310F2D">
        <w:t>were</w:t>
      </w:r>
      <w:r w:rsidR="00E027C5">
        <w:t xml:space="preserve"> not </w:t>
      </w:r>
      <w:r w:rsidR="00310F2D">
        <w:t>aware</w:t>
      </w:r>
      <w:r w:rsidR="00E027C5">
        <w:t xml:space="preserve"> of any permanent processes in place to support broader departmental uplift in knowledge/capability in the impact investing space, required to embed lasting change. </w:t>
      </w:r>
    </w:p>
    <w:p w14:paraId="754A7BC0" w14:textId="1E68C66F" w:rsidR="00C9494A" w:rsidRDefault="00C9494A" w:rsidP="00C9494A">
      <w:pPr>
        <w:pStyle w:val="BodyText"/>
      </w:pPr>
      <w:r w:rsidRPr="0006731D">
        <w:t>Efficiencies in outcomes payment calculation processes may have been achieved via stability of key personnel and building of program-specific expertise over time. It was observed that, particularly in the initial phases of PAD outcomes calculations, some data analysis stakeholders also performed tasks outside their role description, and continued to perform these roles over the course of the PAD. This is evidence of increased skills, experience and commitment to program delivery among data analysis stakeholders.</w:t>
      </w:r>
    </w:p>
    <w:p w14:paraId="0A2E7479" w14:textId="7A714EC4" w:rsidR="00D60BD1" w:rsidRDefault="00D60BD1" w:rsidP="008C71A8">
      <w:pPr>
        <w:pStyle w:val="Heading3"/>
      </w:pPr>
      <w:r>
        <w:t xml:space="preserve">Were the </w:t>
      </w:r>
      <w:r w:rsidR="002D41BD">
        <w:t>ways of working and capability uplift</w:t>
      </w:r>
      <w:r>
        <w:t xml:space="preserve"> the same </w:t>
      </w:r>
      <w:r w:rsidR="002D41BD">
        <w:t>as</w:t>
      </w:r>
      <w:r>
        <w:t xml:space="preserve"> when the program was implemented differently?</w:t>
      </w:r>
      <w:r w:rsidRPr="00A421E2">
        <w:t xml:space="preserve"> </w:t>
      </w:r>
    </w:p>
    <w:p w14:paraId="0E46C0A9" w14:textId="3BACFA38" w:rsidR="001A1BBC" w:rsidRPr="005D1FC1" w:rsidRDefault="003D3CCD" w:rsidP="00716844">
      <w:pPr>
        <w:pStyle w:val="BodyText"/>
        <w:spacing w:before="60"/>
        <w:rPr>
          <w:highlight w:val="green"/>
        </w:rPr>
      </w:pPr>
      <w:r>
        <w:t>The</w:t>
      </w:r>
      <w:r w:rsidR="00800577">
        <w:t xml:space="preserve"> PAD introduced new ways of working</w:t>
      </w:r>
      <w:r w:rsidR="00C416F0">
        <w:t xml:space="preserve">, including processes relating to </w:t>
      </w:r>
      <w:r w:rsidR="006C4F93">
        <w:t>securing suitable and stable housing</w:t>
      </w:r>
      <w:r w:rsidR="00716844">
        <w:t xml:space="preserve">, </w:t>
      </w:r>
      <w:r w:rsidR="00C416F0">
        <w:t>outcomes</w:t>
      </w:r>
      <w:r w:rsidR="00716844">
        <w:t xml:space="preserve"> measurement</w:t>
      </w:r>
      <w:r w:rsidR="006C4F93">
        <w:t xml:space="preserve">, </w:t>
      </w:r>
      <w:r w:rsidR="00C416F0">
        <w:t>avoided cost modelling</w:t>
      </w:r>
      <w:r w:rsidR="006C4F93">
        <w:t xml:space="preserve"> and the use of head leasing</w:t>
      </w:r>
      <w:r w:rsidR="00800577">
        <w:t xml:space="preserve">, with many of these processes </w:t>
      </w:r>
      <w:r w:rsidR="004438A3">
        <w:t>contin</w:t>
      </w:r>
      <w:r w:rsidR="00716844">
        <w:t xml:space="preserve">uing as part of the J2SI </w:t>
      </w:r>
      <w:r w:rsidR="00282C65">
        <w:t>PbR</w:t>
      </w:r>
      <w:r w:rsidR="00716844">
        <w:t>.</w:t>
      </w:r>
    </w:p>
    <w:p w14:paraId="3DC80DD5" w14:textId="537048AC" w:rsidR="00416F0B" w:rsidRDefault="00D948C5" w:rsidP="009572B1">
      <w:pPr>
        <w:pStyle w:val="BodyText"/>
      </w:pPr>
      <w:r>
        <w:t>As described, s</w:t>
      </w:r>
      <w:r w:rsidR="00877162">
        <w:t xml:space="preserve">ome of the new ways </w:t>
      </w:r>
      <w:r>
        <w:t xml:space="preserve">of working </w:t>
      </w:r>
      <w:r w:rsidR="00555CE9">
        <w:t>result</w:t>
      </w:r>
      <w:r>
        <w:t>ed</w:t>
      </w:r>
      <w:r w:rsidR="00555CE9">
        <w:t xml:space="preserve"> in </w:t>
      </w:r>
      <w:r w:rsidR="00877162">
        <w:t xml:space="preserve">capability uplift </w:t>
      </w:r>
      <w:r w:rsidR="001C30B0">
        <w:t>across DTF and SHM</w:t>
      </w:r>
      <w:r w:rsidR="00856AC8">
        <w:t>.</w:t>
      </w:r>
    </w:p>
    <w:p w14:paraId="3580EF4C" w14:textId="62782653" w:rsidR="00055DF0" w:rsidRPr="00CE71CB" w:rsidRDefault="00055DF0" w:rsidP="009572B1">
      <w:pPr>
        <w:pStyle w:val="BodyText"/>
      </w:pPr>
      <w:r>
        <w:t xml:space="preserve">For DTF, the uplift in the </w:t>
      </w:r>
      <w:r w:rsidR="00D948C5">
        <w:t>department’s</w:t>
      </w:r>
      <w:r>
        <w:t xml:space="preserve"> skills and capabilities in </w:t>
      </w:r>
      <w:r w:rsidRPr="00CE71CB">
        <w:t xml:space="preserve">avoided cost modelling and social impact investing </w:t>
      </w:r>
      <w:r w:rsidR="00FD60E0">
        <w:t>were</w:t>
      </w:r>
      <w:r w:rsidRPr="00CE71CB">
        <w:t xml:space="preserve"> described</w:t>
      </w:r>
      <w:r w:rsidR="00DB2EBB">
        <w:t xml:space="preserve"> as</w:t>
      </w:r>
      <w:r w:rsidRPr="00CE71CB">
        <w:t xml:space="preserve"> unprecedented compared to BAU and previous iterations of J2SI (in which DTF was involved to a </w:t>
      </w:r>
      <w:r w:rsidR="0005098E">
        <w:t>lesser</w:t>
      </w:r>
      <w:r w:rsidR="0005098E" w:rsidRPr="00CE71CB">
        <w:t xml:space="preserve"> </w:t>
      </w:r>
      <w:r w:rsidRPr="00CE71CB">
        <w:t xml:space="preserve">extent). The </w:t>
      </w:r>
      <w:r w:rsidR="00282C65">
        <w:t>PbR</w:t>
      </w:r>
      <w:r w:rsidRPr="00CE71CB">
        <w:t>,</w:t>
      </w:r>
      <w:r w:rsidR="00FD60E0">
        <w:t xml:space="preserve"> al</w:t>
      </w:r>
      <w:r w:rsidR="00256DBD">
        <w:t>ong</w:t>
      </w:r>
      <w:r w:rsidR="00FD60E0">
        <w:t xml:space="preserve"> with the PADs </w:t>
      </w:r>
      <w:r w:rsidR="00256DBD">
        <w:t>initiative</w:t>
      </w:r>
      <w:r w:rsidR="00FD60E0">
        <w:t xml:space="preserve"> an</w:t>
      </w:r>
      <w:r w:rsidR="00256DBD">
        <w:t>d</w:t>
      </w:r>
      <w:r w:rsidRPr="00CE71CB">
        <w:t xml:space="preserve"> </w:t>
      </w:r>
      <w:r w:rsidR="003F4DE7">
        <w:t>EIIF</w:t>
      </w:r>
      <w:r w:rsidRPr="00CE71CB">
        <w:t xml:space="preserve">, </w:t>
      </w:r>
      <w:r w:rsidR="00FD60E0">
        <w:t>have</w:t>
      </w:r>
      <w:r w:rsidRPr="00CE71CB">
        <w:t xml:space="preserve"> allowed DTF to continue building capability in </w:t>
      </w:r>
      <w:r>
        <w:t>this</w:t>
      </w:r>
      <w:r w:rsidRPr="00CE71CB">
        <w:t xml:space="preserve"> space.</w:t>
      </w:r>
    </w:p>
    <w:p w14:paraId="3A09D282" w14:textId="09CBB084" w:rsidR="00416F0B" w:rsidRDefault="00416F0B" w:rsidP="009572B1">
      <w:pPr>
        <w:pStyle w:val="BodyText"/>
      </w:pPr>
      <w:r>
        <w:lastRenderedPageBreak/>
        <w:t>Similarly, the</w:t>
      </w:r>
      <w:r w:rsidRPr="00CE71CB">
        <w:t xml:space="preserve"> PAD was an important factor in SHM’s efforts to bring </w:t>
      </w:r>
      <w:r w:rsidR="00FD60E0">
        <w:t>some</w:t>
      </w:r>
      <w:r w:rsidRPr="00CE71CB">
        <w:t xml:space="preserve"> capabilities in-house, </w:t>
      </w:r>
      <w:r w:rsidR="00FD60E0">
        <w:t>including</w:t>
      </w:r>
      <w:r w:rsidRPr="00CE71CB">
        <w:t xml:space="preserve"> </w:t>
      </w:r>
      <w:r w:rsidR="00FD60E0">
        <w:t>those</w:t>
      </w:r>
      <w:r>
        <w:t xml:space="preserve"> relate</w:t>
      </w:r>
      <w:r w:rsidR="0005098E">
        <w:t>d</w:t>
      </w:r>
      <w:r>
        <w:t xml:space="preserve"> to</w:t>
      </w:r>
      <w:r w:rsidRPr="00CE71CB">
        <w:t xml:space="preserve"> outcomes measurement</w:t>
      </w:r>
      <w:r>
        <w:t xml:space="preserve"> </w:t>
      </w:r>
      <w:r w:rsidRPr="00CE71CB">
        <w:t xml:space="preserve">and impact investing. </w:t>
      </w:r>
      <w:r w:rsidR="00487527">
        <w:t>Similar to</w:t>
      </w:r>
      <w:r>
        <w:t xml:space="preserve"> DTF, these capabilities </w:t>
      </w:r>
      <w:r w:rsidRPr="00CE71CB">
        <w:t>have continued to be refined in SHM</w:t>
      </w:r>
      <w:r w:rsidR="001A03C6">
        <w:t>’</w:t>
      </w:r>
      <w:r w:rsidRPr="00CE71CB">
        <w:t xml:space="preserve">s ongoing delivery of the </w:t>
      </w:r>
      <w:r w:rsidR="00282C65">
        <w:t>PbR</w:t>
      </w:r>
      <w:r>
        <w:t>.</w:t>
      </w:r>
    </w:p>
    <w:p w14:paraId="25DD8777" w14:textId="3C4DF247" w:rsidR="00416F0B" w:rsidRDefault="003D3CCD" w:rsidP="00416F0B">
      <w:pPr>
        <w:pStyle w:val="BodyText"/>
        <w:spacing w:before="60"/>
      </w:pPr>
      <w:r>
        <w:t>A</w:t>
      </w:r>
      <w:r w:rsidR="00416F0B">
        <w:t xml:space="preserve">lthough </w:t>
      </w:r>
      <w:r w:rsidR="001A03C6">
        <w:t xml:space="preserve">broader </w:t>
      </w:r>
      <w:r w:rsidR="00416F0B">
        <w:t>capability uplift in Homes Victoria/DFFH was not reported as a result of the J2SI PAD,</w:t>
      </w:r>
      <w:r w:rsidR="001A03C6">
        <w:t xml:space="preserve"> outside of those who engaged directly with the program</w:t>
      </w:r>
      <w:r w:rsidR="00416F0B">
        <w:t xml:space="preserve">, it is anticipated that their continued involvement in the </w:t>
      </w:r>
      <w:r w:rsidR="00282C65">
        <w:t>PbR</w:t>
      </w:r>
      <w:r w:rsidR="001A03C6">
        <w:t xml:space="preserve"> (</w:t>
      </w:r>
      <w:r w:rsidR="00416F0B">
        <w:t>and the EIIF process more broadly</w:t>
      </w:r>
      <w:r w:rsidR="001A03C6">
        <w:t>)</w:t>
      </w:r>
      <w:r w:rsidR="00416F0B">
        <w:t xml:space="preserve"> may result in </w:t>
      </w:r>
      <w:r w:rsidR="00FD60E0">
        <w:t>an</w:t>
      </w:r>
      <w:r w:rsidR="00416F0B">
        <w:t xml:space="preserve"> uplift </w:t>
      </w:r>
      <w:r w:rsidR="00FD60E0">
        <w:t>over</w:t>
      </w:r>
      <w:r w:rsidR="00416F0B">
        <w:t xml:space="preserve"> time.</w:t>
      </w:r>
    </w:p>
    <w:p w14:paraId="60425B07" w14:textId="791E7BFC" w:rsidR="00D60BD1" w:rsidRPr="00DF4542" w:rsidRDefault="00D60BD1" w:rsidP="008C71A8">
      <w:pPr>
        <w:pStyle w:val="Heading3"/>
      </w:pPr>
      <w:r w:rsidRPr="00DF4542">
        <w:t xml:space="preserve">Can the </w:t>
      </w:r>
      <w:r w:rsidR="002D41BD">
        <w:t xml:space="preserve">new ways of working and capability uplift </w:t>
      </w:r>
      <w:r w:rsidRPr="00DF4542">
        <w:t xml:space="preserve">outcomes be attributed to the program as a </w:t>
      </w:r>
      <w:r w:rsidR="004D4628" w:rsidRPr="00DF4542">
        <w:t>PAD</w:t>
      </w:r>
      <w:r w:rsidRPr="00DF4542">
        <w:t>?</w:t>
      </w:r>
    </w:p>
    <w:p w14:paraId="7AF350D9" w14:textId="290882EC" w:rsidR="009F7247" w:rsidRDefault="00F23756" w:rsidP="00F55404">
      <w:pPr>
        <w:pStyle w:val="BodyText"/>
        <w:spacing w:before="60"/>
      </w:pPr>
      <w:r w:rsidRPr="00DF4542">
        <w:t xml:space="preserve">The new ways of working introduced by the PAD can be attributed to the </w:t>
      </w:r>
      <w:r w:rsidR="00B428F5">
        <w:t xml:space="preserve">funding </w:t>
      </w:r>
      <w:r w:rsidRPr="00DF4542">
        <w:t>mechanism</w:t>
      </w:r>
      <w:r w:rsidR="009F7247">
        <w:t xml:space="preserve">. </w:t>
      </w:r>
    </w:p>
    <w:p w14:paraId="4A8F567F" w14:textId="022CBE90" w:rsidR="00094ED4" w:rsidRDefault="00F5014D" w:rsidP="00B40295">
      <w:pPr>
        <w:pStyle w:val="BodyText"/>
        <w:spacing w:before="60"/>
      </w:pPr>
      <w:r>
        <w:t xml:space="preserve">Although </w:t>
      </w:r>
      <w:r w:rsidR="00C8128A">
        <w:t xml:space="preserve">the subsequent </w:t>
      </w:r>
      <w:r>
        <w:t>capability uplift across DTF and SHM can</w:t>
      </w:r>
      <w:r w:rsidR="0005098E">
        <w:t>,</w:t>
      </w:r>
      <w:r>
        <w:t xml:space="preserve"> in part</w:t>
      </w:r>
      <w:r w:rsidR="0005098E">
        <w:t>,</w:t>
      </w:r>
      <w:r>
        <w:t xml:space="preserve"> be attributed to the PAD, i</w:t>
      </w:r>
      <w:r w:rsidR="009F7247">
        <w:t xml:space="preserve">t is noted that </w:t>
      </w:r>
      <w:r w:rsidR="0005098E">
        <w:t xml:space="preserve">there were </w:t>
      </w:r>
      <w:r w:rsidR="009F7247">
        <w:t xml:space="preserve">other </w:t>
      </w:r>
      <w:r w:rsidR="0005098E">
        <w:t xml:space="preserve">contributing </w:t>
      </w:r>
      <w:r w:rsidR="009F7247">
        <w:t xml:space="preserve">factors. </w:t>
      </w:r>
      <w:r w:rsidR="00B40295">
        <w:t xml:space="preserve">For DTF, this includes the broader PADs initiative and the EIIF. For SHM, </w:t>
      </w:r>
      <w:r w:rsidR="00572C7A">
        <w:t>this includes an organisation</w:t>
      </w:r>
      <w:r w:rsidR="00C8128A">
        <w:t>al</w:t>
      </w:r>
      <w:r w:rsidR="00572C7A">
        <w:t xml:space="preserve"> focus on outcomes measurement and social impact investing prior to development of the J2SI PAD</w:t>
      </w:r>
      <w:r w:rsidR="008A4BA0">
        <w:t xml:space="preserve">. In this instance, the J2SI PAD may have had a role in refining internal capability uplift as opposed to creating it. </w:t>
      </w:r>
    </w:p>
    <w:p w14:paraId="5B520252" w14:textId="4102885E" w:rsidR="00D10D87" w:rsidRDefault="00C07AE5" w:rsidP="00D60BD1">
      <w:pPr>
        <w:pStyle w:val="Heading2"/>
      </w:pPr>
      <w:bookmarkStart w:id="102" w:name="_Toc178064011"/>
      <w:r w:rsidRPr="00AB3795">
        <w:t xml:space="preserve">What </w:t>
      </w:r>
      <w:r>
        <w:t xml:space="preserve">other </w:t>
      </w:r>
      <w:r w:rsidRPr="00AB3795">
        <w:t>factors impacted outcomes?</w:t>
      </w:r>
      <w:bookmarkEnd w:id="102"/>
    </w:p>
    <w:p w14:paraId="7073D7F6" w14:textId="77777777" w:rsidR="00AA4B4E" w:rsidRDefault="00AA4B4E" w:rsidP="00AA4B4E">
      <w:pPr>
        <w:rPr>
          <w:b/>
        </w:rPr>
      </w:pPr>
      <w:r w:rsidRPr="00AA4B4E">
        <w:t>After consulting with stakeholders, various factors surfaced that contributed to the successful delivery of the program, while certain factors also emerged that posed challenges. These identified factors are outlined below.</w:t>
      </w:r>
    </w:p>
    <w:p w14:paraId="3ED78BFF" w14:textId="662F3ADF" w:rsidR="00EB2686" w:rsidRPr="00EB2686" w:rsidRDefault="00256385" w:rsidP="007A2CBF">
      <w:pPr>
        <w:pStyle w:val="Heading3"/>
      </w:pPr>
      <w:r>
        <w:t>Enabling factors</w:t>
      </w:r>
      <w:r w:rsidR="00C8128A">
        <w:t xml:space="preserve"> </w:t>
      </w:r>
    </w:p>
    <w:p w14:paraId="0CCF3808" w14:textId="1A1055AF" w:rsidR="009700D8" w:rsidRPr="009700D8" w:rsidRDefault="002F6C2D" w:rsidP="007E1193">
      <w:pPr>
        <w:pStyle w:val="Heading4"/>
      </w:pPr>
      <w:r w:rsidRPr="009700D8">
        <w:t>Re</w:t>
      </w:r>
      <w:r w:rsidR="000A271C">
        <w:t>s</w:t>
      </w:r>
      <w:r w:rsidRPr="009700D8">
        <w:t>our</w:t>
      </w:r>
      <w:r w:rsidR="000A271C">
        <w:t>c</w:t>
      </w:r>
      <w:r w:rsidRPr="009700D8">
        <w:t>e continuity</w:t>
      </w:r>
    </w:p>
    <w:p w14:paraId="72A14354" w14:textId="0D1F45C0" w:rsidR="00446765" w:rsidRDefault="00AD03EE" w:rsidP="002C1D6C">
      <w:pPr>
        <w:pStyle w:val="BodyText"/>
        <w:spacing w:before="60"/>
      </w:pPr>
      <w:r>
        <w:t xml:space="preserve">Effective </w:t>
      </w:r>
      <w:r w:rsidR="003D2682">
        <w:t xml:space="preserve">delivery of the J2SI PAD required </w:t>
      </w:r>
      <w:r w:rsidR="00446765">
        <w:t xml:space="preserve">active and intensive </w:t>
      </w:r>
      <w:r w:rsidR="00704460">
        <w:t>engagement</w:t>
      </w:r>
      <w:r w:rsidR="00446765">
        <w:t xml:space="preserve"> </w:t>
      </w:r>
      <w:r>
        <w:t>from resources across SHM and government</w:t>
      </w:r>
      <w:r w:rsidR="00446765">
        <w:t xml:space="preserve">. </w:t>
      </w:r>
      <w:r w:rsidR="00704460">
        <w:t>A critical enabler</w:t>
      </w:r>
      <w:r w:rsidR="00C37F25">
        <w:t xml:space="preserve"> of </w:t>
      </w:r>
      <w:r w:rsidR="003D2682">
        <w:t xml:space="preserve">this </w:t>
      </w:r>
      <w:r w:rsidR="00C37F25">
        <w:t xml:space="preserve">was the </w:t>
      </w:r>
      <w:r w:rsidR="00C37F25" w:rsidRPr="00C37F25">
        <w:t>continuity of key resources</w:t>
      </w:r>
      <w:r w:rsidR="00C37F25">
        <w:t xml:space="preserve">, which </w:t>
      </w:r>
      <w:r w:rsidR="00C37F25" w:rsidRPr="00C37F25">
        <w:t xml:space="preserve">meant working partnerships, collaboration and collective knowledge </w:t>
      </w:r>
      <w:r w:rsidR="00C37F25">
        <w:t>were</w:t>
      </w:r>
      <w:r w:rsidR="00C37F25" w:rsidRPr="00C37F25">
        <w:t xml:space="preserve"> built over time.</w:t>
      </w:r>
    </w:p>
    <w:p w14:paraId="03C39C10" w14:textId="71A0D4B6" w:rsidR="00384B89" w:rsidRPr="00384B89" w:rsidRDefault="00384B89" w:rsidP="007E1193">
      <w:pPr>
        <w:pStyle w:val="Heading4"/>
      </w:pPr>
      <w:r w:rsidRPr="00384B89">
        <w:t>Role of the GCM</w:t>
      </w:r>
    </w:p>
    <w:p w14:paraId="32F3CF5E" w14:textId="5547A3B5" w:rsidR="00AB6AE1" w:rsidRDefault="007E11F9" w:rsidP="00446765">
      <w:pPr>
        <w:pStyle w:val="BodyText"/>
      </w:pPr>
      <w:r>
        <w:t>Within Homes Victoria</w:t>
      </w:r>
      <w:r w:rsidR="0068432A">
        <w:t xml:space="preserve">, </w:t>
      </w:r>
      <w:r w:rsidR="000D1175">
        <w:t>the GCM</w:t>
      </w:r>
      <w:r w:rsidR="0068432A">
        <w:t xml:space="preserve"> </w:t>
      </w:r>
      <w:r w:rsidR="00BA214C">
        <w:t xml:space="preserve">role </w:t>
      </w:r>
      <w:r w:rsidR="003315BC">
        <w:t>w</w:t>
      </w:r>
      <w:r w:rsidR="00BA214C">
        <w:t xml:space="preserve">as an important enabler of the </w:t>
      </w:r>
      <w:r w:rsidR="00555418">
        <w:t>J2SI PAD</w:t>
      </w:r>
      <w:r w:rsidR="00BA214C">
        <w:t xml:space="preserve">, with the role </w:t>
      </w:r>
      <w:r w:rsidR="004D13DA">
        <w:t>taking on program ownership and promotion.</w:t>
      </w:r>
      <w:r w:rsidR="00D9764A">
        <w:t xml:space="preserve"> </w:t>
      </w:r>
      <w:r w:rsidR="005D7376">
        <w:t xml:space="preserve">The GCM role </w:t>
      </w:r>
      <w:r w:rsidR="00813DB4">
        <w:t xml:space="preserve">shifted from DFFH to Homes Victoria in </w:t>
      </w:r>
      <w:r w:rsidR="00B066D0">
        <w:t>January 2023</w:t>
      </w:r>
      <w:r w:rsidR="00C4574C">
        <w:t xml:space="preserve">. Despite this shift, role continuity </w:t>
      </w:r>
      <w:r w:rsidR="00AB6AE1">
        <w:t xml:space="preserve">remained, </w:t>
      </w:r>
      <w:r w:rsidR="00677B81">
        <w:t xml:space="preserve">and </w:t>
      </w:r>
      <w:r w:rsidR="009E02BD" w:rsidRPr="009E02BD">
        <w:t>the GCM has been an important advocate for social housing</w:t>
      </w:r>
      <w:r w:rsidR="00257B9C">
        <w:t xml:space="preserve"> in </w:t>
      </w:r>
      <w:r w:rsidR="009E02BD" w:rsidRPr="009E02BD">
        <w:t>2023</w:t>
      </w:r>
      <w:r w:rsidR="009E02BD">
        <w:t>.</w:t>
      </w:r>
    </w:p>
    <w:p w14:paraId="606E41D6" w14:textId="29700320" w:rsidR="00D9764A" w:rsidRPr="00D9764A" w:rsidRDefault="00D9764A" w:rsidP="007E1193">
      <w:pPr>
        <w:pStyle w:val="Heading4"/>
      </w:pPr>
      <w:r w:rsidRPr="00D9764A">
        <w:t>SHM service delivery staff</w:t>
      </w:r>
    </w:p>
    <w:p w14:paraId="1A8371D9" w14:textId="4B680FF7" w:rsidR="00614A5E" w:rsidRDefault="005D677C" w:rsidP="003F2EC9">
      <w:pPr>
        <w:pStyle w:val="BodyText"/>
      </w:pPr>
      <w:r>
        <w:t xml:space="preserve">SHM service delivery staff were described as having </w:t>
      </w:r>
      <w:r w:rsidR="00736A67">
        <w:t>the right</w:t>
      </w:r>
      <w:r>
        <w:t xml:space="preserve"> skills, experience and dedication to deliver the program, over and above what would be expected of a service provider.</w:t>
      </w:r>
      <w:r w:rsidR="005C7B44">
        <w:t xml:space="preserve"> While the PAD governance structure enforced some level of ongoing engagement with the program, </w:t>
      </w:r>
      <w:r w:rsidR="00357C43">
        <w:t>SHM stakeholders appear to have gone above</w:t>
      </w:r>
      <w:r w:rsidR="004E4FF4">
        <w:t xml:space="preserve"> and beyond</w:t>
      </w:r>
      <w:r w:rsidR="005642EF">
        <w:t xml:space="preserve">, for example working actively with housing offices to ensure housing offers were appropriate, </w:t>
      </w:r>
      <w:r w:rsidR="00D031B8">
        <w:t>and consistently following up with clients to ensure head leasing placements were successful.</w:t>
      </w:r>
      <w:r w:rsidR="000E06D8">
        <w:t xml:space="preserve"> </w:t>
      </w:r>
      <w:r w:rsidR="007D0697">
        <w:t>For this reason, t</w:t>
      </w:r>
      <w:r w:rsidR="000E06D8">
        <w:t>he SHM</w:t>
      </w:r>
      <w:r w:rsidR="00A548FF">
        <w:t xml:space="preserve"> was described as </w:t>
      </w:r>
      <w:r w:rsidR="007A1EE9">
        <w:t xml:space="preserve">building an even stronger reputation with </w:t>
      </w:r>
      <w:r w:rsidR="0003524C">
        <w:t>g</w:t>
      </w:r>
      <w:r w:rsidR="007A1EE9">
        <w:t>overnment housing and other stakeholders</w:t>
      </w:r>
      <w:r w:rsidR="00A548FF">
        <w:t xml:space="preserve"> o</w:t>
      </w:r>
      <w:r w:rsidR="000E06D8">
        <w:t>ver time</w:t>
      </w:r>
      <w:r w:rsidR="00A548FF">
        <w:t>.</w:t>
      </w:r>
      <w:r w:rsidR="000E06D8">
        <w:t xml:space="preserve"> </w:t>
      </w:r>
    </w:p>
    <w:p w14:paraId="4451EF0C" w14:textId="10D313BE" w:rsidR="00E57EE7" w:rsidRPr="00E57EE7" w:rsidRDefault="00E57EE7" w:rsidP="007E1193">
      <w:pPr>
        <w:pStyle w:val="Heading4"/>
        <w:rPr>
          <w:i/>
        </w:rPr>
      </w:pPr>
      <w:r w:rsidRPr="00E57EE7">
        <w:t>Innovative approach to resourcing</w:t>
      </w:r>
    </w:p>
    <w:p w14:paraId="4338B98E" w14:textId="20295575" w:rsidR="003F2EC9" w:rsidRDefault="00A22B30" w:rsidP="003F2EC9">
      <w:pPr>
        <w:pStyle w:val="BodyText"/>
      </w:pPr>
      <w:r>
        <w:t xml:space="preserve">SHM management </w:t>
      </w:r>
      <w:r w:rsidR="001A03C6">
        <w:t xml:space="preserve">indicated that a purposeful shift in </w:t>
      </w:r>
      <w:r w:rsidR="00627C4D">
        <w:t xml:space="preserve">its </w:t>
      </w:r>
      <w:r w:rsidR="001A03C6">
        <w:t>recruitment approach had taken place over the course of the J2SI PAD. They</w:t>
      </w:r>
      <w:r>
        <w:t xml:space="preserve"> observed </w:t>
      </w:r>
      <w:r w:rsidR="00EE7F6A">
        <w:t xml:space="preserve">that </w:t>
      </w:r>
      <w:r w:rsidR="00DB72B9">
        <w:t xml:space="preserve">there were perceived benefits in recruiting </w:t>
      </w:r>
      <w:r w:rsidR="00EE7F6A">
        <w:t xml:space="preserve">new </w:t>
      </w:r>
      <w:r w:rsidR="00C91230">
        <w:t xml:space="preserve">staff </w:t>
      </w:r>
      <w:r w:rsidR="00D13293">
        <w:t xml:space="preserve">who did </w:t>
      </w:r>
      <w:r w:rsidR="00EE7F6A">
        <w:t>not come from a</w:t>
      </w:r>
      <w:r w:rsidR="00D13293">
        <w:t xml:space="preserve"> crisis management </w:t>
      </w:r>
      <w:r w:rsidR="00EE7F6A">
        <w:t>background</w:t>
      </w:r>
      <w:r w:rsidR="00D13293">
        <w:t>, because the J2SI program involved a fundamentally different style of long</w:t>
      </w:r>
      <w:r w:rsidR="00C91230">
        <w:noBreakHyphen/>
      </w:r>
      <w:r w:rsidR="00D13293">
        <w:t xml:space="preserve">term, </w:t>
      </w:r>
      <w:r w:rsidR="00590692">
        <w:t xml:space="preserve">therapeutic support. To enable skill development among </w:t>
      </w:r>
      <w:r w:rsidR="005E35DC">
        <w:t>new</w:t>
      </w:r>
      <w:r w:rsidR="00590692">
        <w:t xml:space="preserve"> recruits</w:t>
      </w:r>
      <w:r w:rsidR="005E35DC">
        <w:t xml:space="preserve"> from outside the sector</w:t>
      </w:r>
      <w:r w:rsidR="00590692">
        <w:t xml:space="preserve">, SHM </w:t>
      </w:r>
      <w:r w:rsidR="005E35DC" w:rsidRPr="005E35DC">
        <w:t xml:space="preserve">leveraged </w:t>
      </w:r>
      <w:r w:rsidR="005E35DC">
        <w:t>existing staff members with J2SI-specific</w:t>
      </w:r>
      <w:r w:rsidR="00210C6C">
        <w:t xml:space="preserve"> experience</w:t>
      </w:r>
      <w:r w:rsidR="005E35DC">
        <w:t xml:space="preserve"> to </w:t>
      </w:r>
      <w:r w:rsidR="00F83949">
        <w:t xml:space="preserve">support training. SHM also strategically repositioned experienced service delivery staff </w:t>
      </w:r>
      <w:r w:rsidR="00011BDB">
        <w:t>across different cohorts over the course of the program, ensuring knowledge was shared throughout the delivery team.</w:t>
      </w:r>
      <w:r w:rsidR="009A440E">
        <w:t xml:space="preserve"> </w:t>
      </w:r>
    </w:p>
    <w:p w14:paraId="6D5CF6B7" w14:textId="0843682C" w:rsidR="00256385" w:rsidRDefault="00256385" w:rsidP="007A2CBF">
      <w:pPr>
        <w:pStyle w:val="Heading3"/>
      </w:pPr>
      <w:r>
        <w:t>Challenges</w:t>
      </w:r>
    </w:p>
    <w:p w14:paraId="2CCC3669" w14:textId="4FBAFF08" w:rsidR="0059476D" w:rsidRPr="0059476D" w:rsidRDefault="0059476D" w:rsidP="007E1193">
      <w:pPr>
        <w:pStyle w:val="Heading4"/>
      </w:pPr>
      <w:r w:rsidRPr="0059476D">
        <w:t>COVID-19</w:t>
      </w:r>
    </w:p>
    <w:p w14:paraId="611372CC" w14:textId="663F5BD7" w:rsidR="0086166E" w:rsidRDefault="00205771" w:rsidP="002C1D6C">
      <w:pPr>
        <w:pStyle w:val="BodyText"/>
        <w:spacing w:before="60"/>
      </w:pPr>
      <w:r>
        <w:t xml:space="preserve">Stakeholders </w:t>
      </w:r>
      <w:r w:rsidR="000610A3">
        <w:t>reported</w:t>
      </w:r>
      <w:r>
        <w:t xml:space="preserve"> that COVID-19 </w:t>
      </w:r>
      <w:r w:rsidR="002B2587">
        <w:t xml:space="preserve">likely </w:t>
      </w:r>
      <w:r w:rsidR="000610A3">
        <w:t xml:space="preserve">had an impact on the outcomes. </w:t>
      </w:r>
      <w:r w:rsidR="00371BB6">
        <w:t xml:space="preserve">The COVID-19 pandemic, and lockdowns </w:t>
      </w:r>
      <w:r w:rsidR="00412CF3">
        <w:t xml:space="preserve">enacted across Victoria through 2020 and 2021, presented </w:t>
      </w:r>
      <w:r w:rsidR="00E90307">
        <w:t xml:space="preserve">an </w:t>
      </w:r>
      <w:r w:rsidR="00412CF3">
        <w:t>additional stressor and</w:t>
      </w:r>
      <w:r w:rsidR="00C91230">
        <w:t>,</w:t>
      </w:r>
      <w:r w:rsidR="00C91230" w:rsidRPr="00C91230">
        <w:t xml:space="preserve"> </w:t>
      </w:r>
      <w:r w:rsidR="00C91230">
        <w:t>in many cases,</w:t>
      </w:r>
      <w:r w:rsidR="00412CF3">
        <w:t xml:space="preserve"> </w:t>
      </w:r>
      <w:r w:rsidR="00412CF3">
        <w:lastRenderedPageBreak/>
        <w:t xml:space="preserve">were likely destabilising for clients. </w:t>
      </w:r>
      <w:r w:rsidR="00E254D0">
        <w:t xml:space="preserve">Clients impacted by lockdowns or </w:t>
      </w:r>
      <w:r w:rsidR="00714660">
        <w:t xml:space="preserve">self-isolation practices </w:t>
      </w:r>
      <w:r w:rsidR="00E254D0">
        <w:t>were restricted in their</w:t>
      </w:r>
      <w:r w:rsidR="00714660">
        <w:t xml:space="preserve"> ability to meet social participation goals</w:t>
      </w:r>
      <w:r w:rsidR="00A33647">
        <w:t>, while</w:t>
      </w:r>
      <w:r w:rsidR="00E90307">
        <w:t xml:space="preserve"> the</w:t>
      </w:r>
      <w:r w:rsidR="00714660">
        <w:t xml:space="preserve"> broader </w:t>
      </w:r>
      <w:r w:rsidR="00AA2256">
        <w:t xml:space="preserve">labour market downturn due to lockdown </w:t>
      </w:r>
      <w:r w:rsidR="00DE3A61">
        <w:t xml:space="preserve">decreased economic participation opportunities for J2SI clients. </w:t>
      </w:r>
      <w:r w:rsidR="00065217">
        <w:t xml:space="preserve">For this reason, </w:t>
      </w:r>
      <w:r w:rsidR="0033318D">
        <w:t>in March 2021</w:t>
      </w:r>
      <w:r w:rsidR="00065217">
        <w:t xml:space="preserve">, an additional 3-6 months of support in Year 4 was requested for 20-30 </w:t>
      </w:r>
      <w:r w:rsidR="00301E20">
        <w:t>C</w:t>
      </w:r>
      <w:r w:rsidR="00065217">
        <w:t>ohort 3.1 clients.</w:t>
      </w:r>
    </w:p>
    <w:p w14:paraId="3810F084" w14:textId="27B34789" w:rsidR="002C5305" w:rsidRDefault="0086166E" w:rsidP="007E1193">
      <w:pPr>
        <w:pStyle w:val="BodyText"/>
        <w:keepLines/>
        <w:spacing w:before="60"/>
      </w:pPr>
      <w:r>
        <w:t>A</w:t>
      </w:r>
      <w:r w:rsidR="00412CF3">
        <w:t xml:space="preserve">s noted in the interim evaluation report, client engagement broadly continued as </w:t>
      </w:r>
      <w:r w:rsidR="00E06D68">
        <w:t>agreed throughout</w:t>
      </w:r>
      <w:r>
        <w:t xml:space="preserve"> the pandemic, although</w:t>
      </w:r>
      <w:r w:rsidR="00C91230">
        <w:t>,</w:t>
      </w:r>
      <w:r>
        <w:t xml:space="preserve"> in</w:t>
      </w:r>
      <w:r w:rsidR="00CB0D97">
        <w:t xml:space="preserve"> some cases, service delivery staff were prevented from engaging with clients </w:t>
      </w:r>
      <w:r w:rsidR="00252A9F">
        <w:t>to the same extent</w:t>
      </w:r>
      <w:r w:rsidR="00CB0D97">
        <w:t xml:space="preserve"> during lockdowns.</w:t>
      </w:r>
      <w:r w:rsidR="00B70221">
        <w:t xml:space="preserve"> </w:t>
      </w:r>
      <w:r w:rsidR="00854E1A">
        <w:t>In these circumstances</w:t>
      </w:r>
      <w:r w:rsidR="00C91230">
        <w:t>, it</w:t>
      </w:r>
      <w:r w:rsidR="00854E1A">
        <w:t xml:space="preserve"> is noteworthy that SHM </w:t>
      </w:r>
      <w:r w:rsidR="0033318D">
        <w:t>was</w:t>
      </w:r>
      <w:r w:rsidR="00854E1A">
        <w:t xml:space="preserve"> able to consistently achieve their payable</w:t>
      </w:r>
      <w:r w:rsidR="00726DDF">
        <w:t xml:space="preserve"> outcomes targets across all </w:t>
      </w:r>
      <w:r w:rsidR="00B007C1">
        <w:t>cohorts</w:t>
      </w:r>
      <w:r w:rsidR="00854E1A">
        <w:t xml:space="preserve">. </w:t>
      </w:r>
      <w:r w:rsidR="00C91230">
        <w:t>As previously discussed, r</w:t>
      </w:r>
      <w:r w:rsidR="00603838">
        <w:t xml:space="preserve">elatively lower client outcomes in </w:t>
      </w:r>
      <w:r w:rsidR="000A1E02">
        <w:t>C</w:t>
      </w:r>
      <w:r w:rsidR="00603838">
        <w:t xml:space="preserve">ohort 3.3 (who entered the </w:t>
      </w:r>
      <w:r w:rsidR="00E06D68">
        <w:t>program</w:t>
      </w:r>
      <w:r w:rsidR="00603838">
        <w:t xml:space="preserve"> during the pandemic) may be partia</w:t>
      </w:r>
      <w:r w:rsidR="00794C0E">
        <w:t>lly attributable to COVID-19</w:t>
      </w:r>
      <w:r w:rsidR="009B2309">
        <w:t xml:space="preserve">, through the combined effect of lockdown-era disruptions and </w:t>
      </w:r>
      <w:r w:rsidR="006E57F0">
        <w:t>policy responses which restricted availability of social housing</w:t>
      </w:r>
      <w:r w:rsidR="00794C0E">
        <w:t>.</w:t>
      </w:r>
      <w:r w:rsidR="00B70221">
        <w:t xml:space="preserve"> </w:t>
      </w:r>
      <w:r w:rsidR="009553C1">
        <w:t>SHM management commented that J2SI clients who</w:t>
      </w:r>
      <w:r w:rsidR="00C70DB9">
        <w:t xml:space="preserve"> had participated during the COVID-19 lockdowns were more often referred on</w:t>
      </w:r>
      <w:r w:rsidR="00C91230">
        <w:t xml:space="preserve"> </w:t>
      </w:r>
      <w:r w:rsidR="00C70DB9">
        <w:t xml:space="preserve">to other support programs to </w:t>
      </w:r>
      <w:r w:rsidR="005B605C">
        <w:t>enable</w:t>
      </w:r>
      <w:r w:rsidR="00844609">
        <w:t xml:space="preserve"> their ongoing</w:t>
      </w:r>
      <w:r w:rsidR="00C70DB9">
        <w:t xml:space="preserve"> stability after exiting </w:t>
      </w:r>
      <w:r w:rsidR="00844609">
        <w:t xml:space="preserve">J2SI. </w:t>
      </w:r>
    </w:p>
    <w:p w14:paraId="6618DD3B" w14:textId="2315E508" w:rsidR="00720553" w:rsidRPr="008F5863" w:rsidRDefault="00720553" w:rsidP="000A5A5D">
      <w:pPr>
        <w:rPr>
          <w:rStyle w:val="IntenseEmphasis"/>
        </w:rPr>
      </w:pPr>
      <w:r w:rsidRPr="008F5863">
        <w:rPr>
          <w:rStyle w:val="IntenseEmphasis"/>
        </w:rPr>
        <w:t>“Cohorts who were operational during COVID didn’t have as much support as normally, although they still received some support. It meant at the end we needed to refer to someone else just to ensure their stability.” – SHM Management</w:t>
      </w:r>
    </w:p>
    <w:p w14:paraId="0C6AEA9D" w14:textId="44E5B3B2" w:rsidR="008E715A" w:rsidRDefault="00A1397A" w:rsidP="00DD0128">
      <w:pPr>
        <w:pStyle w:val="BodyText"/>
        <w:spacing w:before="60"/>
      </w:pPr>
      <w:r>
        <w:t xml:space="preserve">More broadly across government, COVID-19 was seen as temporarily de-prioritising the J2SI PAD and broader social impact investment program as </w:t>
      </w:r>
      <w:r w:rsidR="006204B1">
        <w:t>g</w:t>
      </w:r>
      <w:r w:rsidR="006860A4">
        <w:t xml:space="preserve">overnment stakeholders were diverted to elements of pandemic response. </w:t>
      </w:r>
      <w:r>
        <w:t xml:space="preserve">COVID-19 also led to the introduction of the H2H program, which reduced the supply of social housing offers into </w:t>
      </w:r>
      <w:r w:rsidR="007C5D3A">
        <w:t>J2SI PAD</w:t>
      </w:r>
      <w:r w:rsidR="00C052C7">
        <w:t xml:space="preserve">. This </w:t>
      </w:r>
      <w:r>
        <w:t xml:space="preserve">impacted </w:t>
      </w:r>
      <w:r w:rsidR="00C052C7">
        <w:t xml:space="preserve">J2SI PAD </w:t>
      </w:r>
      <w:r>
        <w:t xml:space="preserve">clients’ </w:t>
      </w:r>
      <w:r w:rsidR="00ED1EB5">
        <w:t xml:space="preserve">offers of social housing </w:t>
      </w:r>
      <w:r>
        <w:t xml:space="preserve">until </w:t>
      </w:r>
      <w:r w:rsidR="00ED1EB5">
        <w:t>additional</w:t>
      </w:r>
      <w:r>
        <w:t xml:space="preserve"> head leasing </w:t>
      </w:r>
      <w:r w:rsidR="009275BE">
        <w:t xml:space="preserve">arrangements </w:t>
      </w:r>
      <w:r w:rsidR="00ED1EB5">
        <w:t>were procured within the head leasing budget</w:t>
      </w:r>
      <w:r w:rsidR="005644A2">
        <w:t>.</w:t>
      </w:r>
      <w:r>
        <w:t xml:space="preserve"> </w:t>
      </w:r>
      <w:r w:rsidR="007C5D3A">
        <w:t xml:space="preserve">The </w:t>
      </w:r>
      <w:r w:rsidR="002E577F">
        <w:t>relative de-prioritisation of J2SI PAD</w:t>
      </w:r>
      <w:r w:rsidR="006860A4">
        <w:t xml:space="preserve"> appears to have </w:t>
      </w:r>
      <w:r w:rsidR="00E42384">
        <w:t>recovered</w:t>
      </w:r>
      <w:r w:rsidR="006860A4">
        <w:t xml:space="preserve"> since the end of the </w:t>
      </w:r>
      <w:r w:rsidR="00AF203D">
        <w:t>COVID-19 State of Emergency, as evidenced by the expansion of the PADs program and EIIF across DTF</w:t>
      </w:r>
      <w:r w:rsidR="005D0186">
        <w:t>, DFFH and Homes Victoria</w:t>
      </w:r>
      <w:r w:rsidR="002E577F">
        <w:t xml:space="preserve">, and the reinstatement of </w:t>
      </w:r>
      <w:r w:rsidR="002F67F1">
        <w:t>J2SI PAD as a highest-priority category on the VHR as recently as October 2022.</w:t>
      </w:r>
      <w:r w:rsidR="00275C5D">
        <w:t xml:space="preserve"> However, it is noted that the flow of social housing into the H2H program has continued to affect </w:t>
      </w:r>
      <w:r w:rsidR="009A0B2A">
        <w:t>social housing offers to J2SI clients beyond October 2022, due to the movement of H2H clients from head leasing into social housing.</w:t>
      </w:r>
      <w:r w:rsidR="008D6F05">
        <w:t xml:space="preserve"> This has had the continued effect of limiting supply of social housing to J2SI clients. </w:t>
      </w:r>
    </w:p>
    <w:p w14:paraId="4FCC765D" w14:textId="0E65B3DA" w:rsidR="000A63DF" w:rsidRDefault="00A405C8" w:rsidP="003F2EC9">
      <w:pPr>
        <w:pStyle w:val="BodyText"/>
        <w:sectPr w:rsidR="000A63DF" w:rsidSect="005B0986">
          <w:pgSz w:w="11906" w:h="16838"/>
          <w:pgMar w:top="851" w:right="851" w:bottom="851" w:left="851" w:header="567" w:footer="283" w:gutter="0"/>
          <w:cols w:space="708"/>
          <w:docGrid w:linePitch="360"/>
        </w:sectPr>
      </w:pPr>
      <w:r>
        <w:t xml:space="preserve">COVID-19 was also observed to present some </w:t>
      </w:r>
      <w:r w:rsidR="00AC0CE1">
        <w:t>potential</w:t>
      </w:r>
      <w:r>
        <w:t xml:space="preserve"> complexity in interpreting payable outcomes, particularly as the </w:t>
      </w:r>
      <w:r w:rsidR="000174BC">
        <w:t xml:space="preserve">control </w:t>
      </w:r>
      <w:r w:rsidR="009B7398">
        <w:t>group</w:t>
      </w:r>
      <w:r>
        <w:t xml:space="preserve"> was captured pre-COVID. </w:t>
      </w:r>
      <w:r w:rsidR="008126E8">
        <w:t xml:space="preserve">It was agreed </w:t>
      </w:r>
      <w:r w:rsidR="002A7EAE">
        <w:t>that</w:t>
      </w:r>
      <w:r w:rsidR="008126E8">
        <w:t xml:space="preserve"> the </w:t>
      </w:r>
      <w:r w:rsidR="00C3118C" w:rsidRPr="00C3118C">
        <w:t xml:space="preserve">outcome payment measurement </w:t>
      </w:r>
      <w:r w:rsidR="008126E8">
        <w:t xml:space="preserve">would exclude COVID-19 </w:t>
      </w:r>
      <w:r w:rsidR="00C3118C">
        <w:t xml:space="preserve">related </w:t>
      </w:r>
      <w:r w:rsidR="00C3118C" w:rsidRPr="00C3118C">
        <w:t>death</w:t>
      </w:r>
      <w:r w:rsidR="00C3118C">
        <w:t>s</w:t>
      </w:r>
      <w:r w:rsidR="00C3118C" w:rsidRPr="00C3118C">
        <w:t xml:space="preserve"> and </w:t>
      </w:r>
      <w:r w:rsidR="00C3118C">
        <w:t>hospital bed days</w:t>
      </w:r>
      <w:r w:rsidR="00FE1EFF">
        <w:t xml:space="preserve">, although </w:t>
      </w:r>
      <w:r w:rsidR="008720D3">
        <w:t xml:space="preserve">neither of </w:t>
      </w:r>
      <w:r w:rsidR="00FE1EFF">
        <w:t xml:space="preserve">these </w:t>
      </w:r>
      <w:r w:rsidR="008720D3">
        <w:t xml:space="preserve">actually </w:t>
      </w:r>
      <w:r w:rsidR="00C83281">
        <w:t>occurred.</w:t>
      </w:r>
      <w:r>
        <w:t xml:space="preserve"> </w:t>
      </w:r>
      <w:r w:rsidR="00D066DF">
        <w:t>Further</w:t>
      </w:r>
      <w:r w:rsidR="00680A6A">
        <w:t>more</w:t>
      </w:r>
      <w:r w:rsidR="00D066DF">
        <w:t>, SHM management note that</w:t>
      </w:r>
      <w:r w:rsidR="00E42384">
        <w:t>,</w:t>
      </w:r>
      <w:r w:rsidR="00D066DF">
        <w:t xml:space="preserve"> if </w:t>
      </w:r>
      <w:r w:rsidR="00311420">
        <w:t xml:space="preserve">significant barriers had been observed to meeting </w:t>
      </w:r>
      <w:r w:rsidR="00D066DF">
        <w:t xml:space="preserve">performance targets </w:t>
      </w:r>
      <w:r w:rsidR="00311420">
        <w:t xml:space="preserve">due to COVID-19, </w:t>
      </w:r>
      <w:r w:rsidR="00FC1799">
        <w:t xml:space="preserve">the relationship with government was such that performance targets or outcome measures could have been </w:t>
      </w:r>
      <w:r w:rsidR="00E42384">
        <w:t xml:space="preserve">further </w:t>
      </w:r>
      <w:r w:rsidR="00FC1799">
        <w:t>negotiated.</w:t>
      </w:r>
      <w:r w:rsidR="00794C0E">
        <w:t xml:space="preserve"> </w:t>
      </w:r>
    </w:p>
    <w:p w14:paraId="1F600538" w14:textId="5E516EA2" w:rsidR="00A974AD" w:rsidRDefault="008D057D" w:rsidP="00261B12">
      <w:pPr>
        <w:pStyle w:val="Heading1"/>
      </w:pPr>
      <w:bookmarkStart w:id="103" w:name="_Cost_benefit_analysis"/>
      <w:bookmarkStart w:id="104" w:name="_Ref150499048"/>
      <w:bookmarkStart w:id="105" w:name="_Toc178064012"/>
      <w:bookmarkEnd w:id="103"/>
      <w:r>
        <w:lastRenderedPageBreak/>
        <w:t>Cost benefit analysis</w:t>
      </w:r>
      <w:r w:rsidR="00B9204F">
        <w:t xml:space="preserve"> (CBA)</w:t>
      </w:r>
      <w:bookmarkEnd w:id="104"/>
      <w:bookmarkEnd w:id="105"/>
    </w:p>
    <w:tbl>
      <w:tblPr>
        <w:tblStyle w:val="TableGrid"/>
        <w:tblW w:w="0" w:type="auto"/>
        <w:tblLook w:val="04A0" w:firstRow="1" w:lastRow="0" w:firstColumn="1" w:lastColumn="0" w:noHBand="0" w:noVBand="1"/>
      </w:tblPr>
      <w:tblGrid>
        <w:gridCol w:w="10204"/>
      </w:tblGrid>
      <w:tr w:rsidR="00B372A7" w14:paraId="1CB8AA41" w14:textId="77777777" w:rsidTr="007E2D2A">
        <w:trPr>
          <w:trHeight w:val="1611"/>
        </w:trPr>
        <w:tc>
          <w:tcPr>
            <w:tcW w:w="10204" w:type="dxa"/>
            <w:tcBorders>
              <w:top w:val="nil"/>
              <w:bottom w:val="nil"/>
            </w:tcBorders>
            <w:shd w:val="clear" w:color="auto" w:fill="E2D0F1" w:themeFill="accent6" w:themeFillTint="33"/>
          </w:tcPr>
          <w:p w14:paraId="7B6F8C07" w14:textId="215D7EE1" w:rsidR="00B372A7" w:rsidRPr="008F5863" w:rsidRDefault="00B372A7">
            <w:pPr>
              <w:ind w:left="0" w:right="0"/>
              <w:jc w:val="left"/>
              <w:rPr>
                <w:b/>
                <w:bCs/>
                <w:i w:val="0"/>
                <w:iCs/>
                <w:color w:val="auto"/>
              </w:rPr>
            </w:pPr>
            <w:r w:rsidRPr="00D65E76">
              <w:rPr>
                <w:b/>
                <w:bCs/>
                <w:i w:val="0"/>
                <w:iCs/>
                <w:color w:val="auto"/>
              </w:rPr>
              <w:t xml:space="preserve">Key evaluation questions guiding the </w:t>
            </w:r>
            <w:r w:rsidR="001F55BE">
              <w:rPr>
                <w:b/>
                <w:bCs/>
                <w:i w:val="0"/>
                <w:iCs/>
                <w:color w:val="auto"/>
              </w:rPr>
              <w:t>CBA</w:t>
            </w:r>
            <w:r w:rsidRPr="00D65E76">
              <w:rPr>
                <w:b/>
                <w:bCs/>
                <w:i w:val="0"/>
                <w:iCs/>
                <w:color w:val="auto"/>
              </w:rPr>
              <w:t>:</w:t>
            </w:r>
          </w:p>
          <w:p w14:paraId="38FAA1B7" w14:textId="77777777" w:rsidR="00FA5029" w:rsidRPr="008F5863" w:rsidRDefault="00FA5029" w:rsidP="008F5863">
            <w:pPr>
              <w:pStyle w:val="Bullet1stlevel"/>
              <w:numPr>
                <w:ilvl w:val="0"/>
                <w:numId w:val="12"/>
              </w:numPr>
              <w:jc w:val="left"/>
              <w:rPr>
                <w:i w:val="0"/>
                <w:iCs/>
              </w:rPr>
            </w:pPr>
            <w:r w:rsidRPr="008F5863">
              <w:rPr>
                <w:i w:val="0"/>
                <w:iCs/>
              </w:rPr>
              <w:t>What was the economic and social impact of the J2SI PAD?</w:t>
            </w:r>
            <w:r w:rsidRPr="008F5863">
              <w:rPr>
                <w:i w:val="0"/>
                <w:iCs/>
              </w:rPr>
              <w:tab/>
            </w:r>
          </w:p>
          <w:p w14:paraId="630BA478" w14:textId="6C1C0FFB" w:rsidR="00FA5029" w:rsidRPr="008F5863" w:rsidRDefault="00FA5029" w:rsidP="008F5863">
            <w:pPr>
              <w:pStyle w:val="Bullet1stlevel"/>
              <w:numPr>
                <w:ilvl w:val="0"/>
                <w:numId w:val="17"/>
              </w:numPr>
              <w:jc w:val="left"/>
              <w:rPr>
                <w:i w:val="0"/>
                <w:iCs/>
              </w:rPr>
            </w:pPr>
            <w:r w:rsidRPr="008F5863">
              <w:rPr>
                <w:i w:val="0"/>
                <w:iCs/>
              </w:rPr>
              <w:t xml:space="preserve">What was the cost of implementing J2SI SII </w:t>
            </w:r>
            <w:r w:rsidR="00373DB5" w:rsidRPr="008F5863">
              <w:rPr>
                <w:i w:val="0"/>
                <w:iCs/>
              </w:rPr>
              <w:t>and c</w:t>
            </w:r>
            <w:r w:rsidRPr="008F5863">
              <w:rPr>
                <w:i w:val="0"/>
                <w:iCs/>
              </w:rPr>
              <w:t>an the outcomes be attributed to the program as a PAD?</w:t>
            </w:r>
          </w:p>
          <w:p w14:paraId="205FF7F8" w14:textId="71BE05C5" w:rsidR="00B372A7" w:rsidRPr="00FA5029" w:rsidRDefault="00FA5029" w:rsidP="008F5863">
            <w:pPr>
              <w:pStyle w:val="Bullet1stlevel"/>
              <w:numPr>
                <w:ilvl w:val="0"/>
                <w:numId w:val="17"/>
              </w:numPr>
              <w:jc w:val="left"/>
            </w:pPr>
            <w:r w:rsidRPr="008F5863">
              <w:rPr>
                <w:i w:val="0"/>
                <w:iCs/>
              </w:rPr>
              <w:t xml:space="preserve">What are the direct and indirect economic and social benefits of implementing </w:t>
            </w:r>
            <w:r w:rsidR="00FA053C" w:rsidRPr="008F5863">
              <w:rPr>
                <w:i w:val="0"/>
                <w:iCs/>
              </w:rPr>
              <w:t xml:space="preserve">the </w:t>
            </w:r>
            <w:r w:rsidRPr="008F5863">
              <w:rPr>
                <w:i w:val="0"/>
                <w:iCs/>
              </w:rPr>
              <w:t>J2SI PAD?</w:t>
            </w:r>
          </w:p>
        </w:tc>
      </w:tr>
    </w:tbl>
    <w:p w14:paraId="39850079" w14:textId="5E2D531D" w:rsidR="0011642C" w:rsidRPr="00393BCC" w:rsidRDefault="00A831E0" w:rsidP="00933E87">
      <w:pPr>
        <w:rPr>
          <w:spacing w:val="-6"/>
        </w:rPr>
      </w:pPr>
      <w:r w:rsidRPr="00393BCC">
        <w:rPr>
          <w:spacing w:val="-6"/>
        </w:rPr>
        <w:t>T</w:t>
      </w:r>
      <w:r w:rsidR="005754B4" w:rsidRPr="00393BCC">
        <w:rPr>
          <w:spacing w:val="-6"/>
        </w:rPr>
        <w:t xml:space="preserve">he outcomes evaluation has demonstrated that the </w:t>
      </w:r>
      <w:r w:rsidR="003F1DC8" w:rsidRPr="00393BCC">
        <w:rPr>
          <w:spacing w:val="-6"/>
        </w:rPr>
        <w:t xml:space="preserve">J2SI </w:t>
      </w:r>
      <w:r w:rsidR="005754B4" w:rsidRPr="00393BCC">
        <w:rPr>
          <w:spacing w:val="-6"/>
        </w:rPr>
        <w:t xml:space="preserve">PAD </w:t>
      </w:r>
      <w:r w:rsidR="003F1DC8" w:rsidRPr="00393BCC">
        <w:rPr>
          <w:spacing w:val="-6"/>
        </w:rPr>
        <w:t xml:space="preserve">resulted in improved outcomes for clients, across </w:t>
      </w:r>
      <w:r w:rsidR="00256F0F" w:rsidRPr="00393BCC">
        <w:rPr>
          <w:spacing w:val="-6"/>
        </w:rPr>
        <w:t xml:space="preserve">areas of </w:t>
      </w:r>
      <w:r w:rsidR="003F1DC8" w:rsidRPr="00393BCC">
        <w:rPr>
          <w:spacing w:val="-6"/>
        </w:rPr>
        <w:t xml:space="preserve">stable housing, health and wellbeing, economic participation, increased social </w:t>
      </w:r>
      <w:r w:rsidR="00256F0F" w:rsidRPr="00393BCC">
        <w:rPr>
          <w:spacing w:val="-6"/>
        </w:rPr>
        <w:t xml:space="preserve">participation and increased independence. </w:t>
      </w:r>
      <w:r w:rsidR="0011642C" w:rsidRPr="00393BCC">
        <w:rPr>
          <w:spacing w:val="-6"/>
        </w:rPr>
        <w:t xml:space="preserve">The CBA </w:t>
      </w:r>
      <w:r w:rsidR="00C42F78" w:rsidRPr="00393BCC">
        <w:rPr>
          <w:spacing w:val="-6"/>
        </w:rPr>
        <w:t xml:space="preserve">builds </w:t>
      </w:r>
      <w:r w:rsidR="00DD7D3A" w:rsidRPr="00393BCC">
        <w:rPr>
          <w:spacing w:val="-6"/>
        </w:rPr>
        <w:t>on these findings,</w:t>
      </w:r>
      <w:r w:rsidR="009F0A31" w:rsidRPr="00393BCC">
        <w:rPr>
          <w:spacing w:val="-6"/>
        </w:rPr>
        <w:t xml:space="preserve"> </w:t>
      </w:r>
      <w:r w:rsidR="00C42F78" w:rsidRPr="00393BCC">
        <w:rPr>
          <w:spacing w:val="-6"/>
        </w:rPr>
        <w:t xml:space="preserve">by linking </w:t>
      </w:r>
      <w:r w:rsidR="007D74A2" w:rsidRPr="00393BCC">
        <w:rPr>
          <w:spacing w:val="-6"/>
        </w:rPr>
        <w:t xml:space="preserve">outcomes with associated </w:t>
      </w:r>
      <w:r w:rsidR="00104E39" w:rsidRPr="00393BCC">
        <w:rPr>
          <w:spacing w:val="-6"/>
        </w:rPr>
        <w:t xml:space="preserve">economic </w:t>
      </w:r>
      <w:r w:rsidR="007D74A2" w:rsidRPr="00393BCC">
        <w:rPr>
          <w:color w:val="auto"/>
          <w:spacing w:val="-6"/>
        </w:rPr>
        <w:t>benefits</w:t>
      </w:r>
      <w:r w:rsidR="00112C30" w:rsidRPr="00393BCC">
        <w:rPr>
          <w:color w:val="auto"/>
          <w:spacing w:val="-6"/>
        </w:rPr>
        <w:t xml:space="preserve"> (</w:t>
      </w:r>
      <w:r w:rsidR="002A7EAE" w:rsidRPr="00393BCC">
        <w:rPr>
          <w:color w:val="auto"/>
          <w:spacing w:val="-6"/>
        </w:rPr>
        <w:t xml:space="preserve">see </w:t>
      </w:r>
      <w:r w:rsidR="0035096E" w:rsidRPr="00393BCC">
        <w:rPr>
          <w:color w:val="auto"/>
          <w:spacing w:val="-6"/>
        </w:rPr>
        <w:fldChar w:fldCharType="begin"/>
      </w:r>
      <w:r w:rsidR="0035096E" w:rsidRPr="00393BCC">
        <w:rPr>
          <w:color w:val="auto"/>
          <w:spacing w:val="-6"/>
        </w:rPr>
        <w:instrText xml:space="preserve"> REF _Ref150413930 \h </w:instrText>
      </w:r>
      <w:r w:rsidR="00393BCC" w:rsidRPr="00393BCC">
        <w:rPr>
          <w:color w:val="auto"/>
          <w:spacing w:val="-6"/>
        </w:rPr>
        <w:instrText xml:space="preserve"> \* MERGEFORMAT </w:instrText>
      </w:r>
      <w:r w:rsidR="0035096E" w:rsidRPr="00393BCC">
        <w:rPr>
          <w:color w:val="auto"/>
          <w:spacing w:val="-6"/>
        </w:rPr>
      </w:r>
      <w:r w:rsidR="0035096E" w:rsidRPr="00393BCC">
        <w:rPr>
          <w:color w:val="auto"/>
          <w:spacing w:val="-6"/>
        </w:rPr>
        <w:fldChar w:fldCharType="separate"/>
      </w:r>
      <w:r w:rsidR="00ED0DF7" w:rsidRPr="00393BCC">
        <w:rPr>
          <w:spacing w:val="-6"/>
        </w:rPr>
        <w:t xml:space="preserve">Figure </w:t>
      </w:r>
      <w:r w:rsidR="00ED0DF7" w:rsidRPr="00393BCC">
        <w:rPr>
          <w:noProof/>
          <w:spacing w:val="-6"/>
        </w:rPr>
        <w:t>16</w:t>
      </w:r>
      <w:r w:rsidR="0035096E" w:rsidRPr="00393BCC">
        <w:rPr>
          <w:color w:val="auto"/>
          <w:spacing w:val="-6"/>
        </w:rPr>
        <w:fldChar w:fldCharType="end"/>
      </w:r>
      <w:r w:rsidR="00131C8C" w:rsidRPr="00393BCC">
        <w:rPr>
          <w:color w:val="auto"/>
          <w:spacing w:val="-6"/>
        </w:rPr>
        <w:fldChar w:fldCharType="begin" w:fldLock="1"/>
      </w:r>
      <w:r w:rsidR="00131C8C" w:rsidRPr="00131C8C">
        <w:rPr>
          <w:color w:val="auto"/>
        </w:rPr>
        <w:instrText xml:space="preserve"> REF _Ref150413930 </w:instrText>
      </w:r>
      <w:r w:rsidR="00933E87">
        <w:rPr>
          <w:color w:val="auto"/>
        </w:rPr>
        <w:instrText xml:space="preserve"> \* MERGEFORMAT </w:instrText>
      </w:r>
      <w:r w:rsidR="0061017C">
        <w:rPr>
          <w:color w:val="auto"/>
          <w:spacing w:val="-6"/>
        </w:rPr>
        <w:fldChar w:fldCharType="separate"/>
      </w:r>
      <w:r w:rsidR="00131C8C" w:rsidRPr="00393BCC">
        <w:rPr>
          <w:color w:val="auto"/>
          <w:spacing w:val="-6"/>
        </w:rPr>
        <w:fldChar w:fldCharType="end"/>
      </w:r>
      <w:r w:rsidR="00933E87" w:rsidRPr="00393BCC">
        <w:rPr>
          <w:color w:val="auto"/>
          <w:spacing w:val="-6"/>
        </w:rPr>
        <w:t>)</w:t>
      </w:r>
      <w:r w:rsidR="00131C8C" w:rsidRPr="00393BCC">
        <w:rPr>
          <w:color w:val="auto"/>
          <w:spacing w:val="-6"/>
        </w:rPr>
        <w:t>.</w:t>
      </w:r>
    </w:p>
    <w:p w14:paraId="3011C53A" w14:textId="7F23185F" w:rsidR="00686ECA" w:rsidRDefault="00686ECA" w:rsidP="00134FF5">
      <w:pPr>
        <w:pStyle w:val="Caption"/>
      </w:pPr>
      <w:bookmarkStart w:id="106" w:name="_Ref150413930"/>
      <w:bookmarkStart w:id="107" w:name="_Toc174547301"/>
      <w:r w:rsidRPr="00AD0465">
        <w:t xml:space="preserve">Figure </w:t>
      </w:r>
      <w:r>
        <w:fldChar w:fldCharType="begin"/>
      </w:r>
      <w:r>
        <w:instrText xml:space="preserve"> SEQ Figure \* ARABIC </w:instrText>
      </w:r>
      <w:r>
        <w:fldChar w:fldCharType="separate"/>
      </w:r>
      <w:r w:rsidR="000A505B">
        <w:rPr>
          <w:noProof/>
        </w:rPr>
        <w:t>16</w:t>
      </w:r>
      <w:r>
        <w:rPr>
          <w:noProof/>
        </w:rPr>
        <w:fldChar w:fldCharType="end"/>
      </w:r>
      <w:bookmarkEnd w:id="106"/>
      <w:r w:rsidRPr="00AD0465">
        <w:t xml:space="preserve">: J2SI PAD </w:t>
      </w:r>
      <w:r w:rsidR="00937369" w:rsidRPr="00AD0465">
        <w:t>– outcomes evaluation and CBA linkage</w:t>
      </w:r>
      <w:bookmarkEnd w:id="107"/>
    </w:p>
    <w:p w14:paraId="006AE92E" w14:textId="20803625" w:rsidR="001D304F" w:rsidRPr="001D304F" w:rsidRDefault="001D304F" w:rsidP="00393BCC">
      <w:pPr>
        <w:spacing w:after="360"/>
      </w:pPr>
      <w:r w:rsidRPr="005B05CA">
        <w:rPr>
          <w:noProof/>
        </w:rPr>
        <w:drawing>
          <wp:inline distT="0" distB="0" distL="0" distR="0" wp14:anchorId="71A9F844" wp14:editId="5F27379E">
            <wp:extent cx="6479540" cy="3088005"/>
            <wp:effectExtent l="0" t="0" r="0" b="0"/>
            <wp:docPr id="6" name="Picture 6" descr="This figure depicts the program outcomes that contribute to the two evaluation components. The outcomes evaluation examines stable housing, health and wellbeing, economic participation, social participation, and independence. The cost benefit analysis examines changes in service use and improved quality of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is figure depicts the program outcomes that contribute to the two evaluation components. The outcomes evaluation examines stable housing, health and wellbeing, economic participation, social participation, and independence. The cost benefit analysis examines changes in service use and improved quality of life.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9540" cy="3088005"/>
                    </a:xfrm>
                    <a:prstGeom prst="rect">
                      <a:avLst/>
                    </a:prstGeom>
                    <a:noFill/>
                    <a:ln>
                      <a:noFill/>
                    </a:ln>
                  </pic:spPr>
                </pic:pic>
              </a:graphicData>
            </a:graphic>
          </wp:inline>
        </w:drawing>
      </w:r>
    </w:p>
    <w:tbl>
      <w:tblPr>
        <w:tblStyle w:val="TableGrid"/>
        <w:tblW w:w="0" w:type="auto"/>
        <w:tblBorders>
          <w:top w:val="single" w:sz="4" w:space="0" w:color="1E49E2" w:themeColor="accent1"/>
          <w:bottom w:val="single" w:sz="4" w:space="0" w:color="1E49E2" w:themeColor="accent1"/>
        </w:tblBorders>
        <w:tblLook w:val="04A0" w:firstRow="1" w:lastRow="0" w:firstColumn="1" w:lastColumn="0" w:noHBand="0" w:noVBand="1"/>
      </w:tblPr>
      <w:tblGrid>
        <w:gridCol w:w="10204"/>
      </w:tblGrid>
      <w:tr w:rsidR="0075127D" w:rsidRPr="00AB7357" w14:paraId="55F97300" w14:textId="77777777" w:rsidTr="0075127D">
        <w:trPr>
          <w:trHeight w:val="429"/>
        </w:trPr>
        <w:tc>
          <w:tcPr>
            <w:tcW w:w="10204" w:type="dxa"/>
          </w:tcPr>
          <w:p w14:paraId="5F7CE8BD" w14:textId="35AA394C" w:rsidR="0075127D" w:rsidRPr="00AB7357" w:rsidRDefault="0075127D" w:rsidP="00FA3F26">
            <w:pPr>
              <w:pStyle w:val="BodyText"/>
              <w:spacing w:before="0" w:after="0"/>
              <w:ind w:left="-113"/>
              <w:jc w:val="left"/>
              <w:rPr>
                <w:b/>
                <w:bCs/>
                <w:i w:val="0"/>
                <w:iCs/>
              </w:rPr>
            </w:pPr>
            <w:r>
              <w:rPr>
                <w:b/>
                <w:bCs/>
                <w:i w:val="0"/>
                <w:iCs/>
              </w:rPr>
              <w:t xml:space="preserve">Key findings from the CBA </w:t>
            </w:r>
          </w:p>
        </w:tc>
      </w:tr>
      <w:tr w:rsidR="0075127D" w:rsidRPr="00CD1B11" w14:paraId="7A4B17D1" w14:textId="77777777" w:rsidTr="008F5863">
        <w:tblPrEx>
          <w:tblBorders>
            <w:top w:val="single" w:sz="12" w:space="0" w:color="1E49E2" w:themeColor="accent1"/>
            <w:bottom w:val="single" w:sz="12" w:space="0" w:color="1E49E2" w:themeColor="accent1"/>
          </w:tblBorders>
        </w:tblPrEx>
        <w:trPr>
          <w:trHeight w:val="70"/>
        </w:trPr>
        <w:tc>
          <w:tcPr>
            <w:tcW w:w="10204" w:type="dxa"/>
            <w:tcBorders>
              <w:top w:val="single" w:sz="12" w:space="0" w:color="1E49E2" w:themeColor="accent1"/>
              <w:bottom w:val="nil"/>
            </w:tcBorders>
            <w:shd w:val="clear" w:color="auto" w:fill="CAF1FF" w:themeFill="accent2" w:themeFillTint="33"/>
          </w:tcPr>
          <w:p w14:paraId="1C672D0B" w14:textId="66DC910D" w:rsidR="005F1562" w:rsidRPr="008F5863" w:rsidRDefault="005F1562" w:rsidP="00393BCC">
            <w:pPr>
              <w:pStyle w:val="BodyText10"/>
              <w:spacing w:before="60" w:after="60"/>
              <w:ind w:left="42"/>
              <w:jc w:val="left"/>
              <w:rPr>
                <w:i w:val="0"/>
                <w:iCs/>
              </w:rPr>
            </w:pPr>
            <w:r w:rsidRPr="008F5863">
              <w:rPr>
                <w:i w:val="0"/>
                <w:iCs/>
              </w:rPr>
              <w:t xml:space="preserve">In addition to improved outcomes, results from the CBA indicate that the J2SI PAD represented ‘value for money’ with a BCR of </w:t>
            </w:r>
            <w:r w:rsidR="00987AB5" w:rsidRPr="008F5863">
              <w:rPr>
                <w:i w:val="0"/>
                <w:iCs/>
              </w:rPr>
              <w:t>2.</w:t>
            </w:r>
            <w:r w:rsidR="00C020A1" w:rsidRPr="008F5863">
              <w:rPr>
                <w:i w:val="0"/>
                <w:iCs/>
              </w:rPr>
              <w:t>20</w:t>
            </w:r>
            <w:r w:rsidRPr="008F5863">
              <w:rPr>
                <w:i w:val="0"/>
                <w:iCs/>
              </w:rPr>
              <w:t xml:space="preserve"> and an NPV of $</w:t>
            </w:r>
            <w:r w:rsidR="00987AB5" w:rsidRPr="008F5863">
              <w:rPr>
                <w:i w:val="0"/>
                <w:iCs/>
              </w:rPr>
              <w:t>18.</w:t>
            </w:r>
            <w:r w:rsidR="00850160" w:rsidRPr="008F5863">
              <w:rPr>
                <w:i w:val="0"/>
                <w:iCs/>
              </w:rPr>
              <w:t>68</w:t>
            </w:r>
            <w:r w:rsidR="002A7EAE" w:rsidRPr="008F5863">
              <w:rPr>
                <w:i w:val="0"/>
                <w:iCs/>
              </w:rPr>
              <w:t xml:space="preserve"> </w:t>
            </w:r>
            <w:r w:rsidRPr="008F5863">
              <w:rPr>
                <w:i w:val="0"/>
                <w:iCs/>
              </w:rPr>
              <w:t>m</w:t>
            </w:r>
            <w:r w:rsidR="002A7EAE" w:rsidRPr="008F5863">
              <w:rPr>
                <w:i w:val="0"/>
                <w:iCs/>
              </w:rPr>
              <w:t>illion</w:t>
            </w:r>
            <w:r w:rsidRPr="008F5863">
              <w:rPr>
                <w:i w:val="0"/>
                <w:iCs/>
              </w:rPr>
              <w:t xml:space="preserve"> over the analysis period.</w:t>
            </w:r>
          </w:p>
          <w:p w14:paraId="07180E6D" w14:textId="77777777" w:rsidR="0075127D" w:rsidRPr="008F5863" w:rsidRDefault="0075127D" w:rsidP="00393BCC">
            <w:pPr>
              <w:pStyle w:val="BodyText10"/>
              <w:spacing w:before="60" w:after="60"/>
              <w:ind w:left="42"/>
              <w:jc w:val="left"/>
              <w:rPr>
                <w:i w:val="0"/>
                <w:iCs/>
              </w:rPr>
            </w:pPr>
            <w:r w:rsidRPr="008F5863">
              <w:rPr>
                <w:i w:val="0"/>
                <w:iCs/>
              </w:rPr>
              <w:t xml:space="preserve">Drivers of the positive BCR and NPV include:  </w:t>
            </w:r>
          </w:p>
          <w:p w14:paraId="40EE2B83" w14:textId="56A0E1B9" w:rsidR="0075127D" w:rsidRPr="008F5863" w:rsidRDefault="0075127D" w:rsidP="00393BCC">
            <w:pPr>
              <w:pStyle w:val="Bullet1stlevel"/>
              <w:spacing w:before="60" w:after="60"/>
              <w:jc w:val="left"/>
              <w:rPr>
                <w:i w:val="0"/>
                <w:iCs/>
              </w:rPr>
            </w:pPr>
            <w:r w:rsidRPr="008F5863">
              <w:rPr>
                <w:i w:val="0"/>
                <w:iCs/>
              </w:rPr>
              <w:t>A reduction in clients</w:t>
            </w:r>
            <w:r w:rsidR="00E42384" w:rsidRPr="008F5863">
              <w:rPr>
                <w:i w:val="0"/>
                <w:iCs/>
              </w:rPr>
              <w:t>’</w:t>
            </w:r>
            <w:r w:rsidRPr="008F5863">
              <w:rPr>
                <w:i w:val="0"/>
                <w:iCs/>
              </w:rPr>
              <w:t xml:space="preserve"> monthly use of clinical mental health services across all service types analysed, resulting in a</w:t>
            </w:r>
            <w:r w:rsidR="008E5FC5" w:rsidRPr="008F5863">
              <w:rPr>
                <w:i w:val="0"/>
                <w:iCs/>
              </w:rPr>
              <w:t>n avoided</w:t>
            </w:r>
            <w:r w:rsidRPr="008F5863">
              <w:rPr>
                <w:i w:val="0"/>
                <w:iCs/>
              </w:rPr>
              <w:t xml:space="preserve"> cost of $3.</w:t>
            </w:r>
            <w:r w:rsidR="00850160" w:rsidRPr="008F5863">
              <w:rPr>
                <w:i w:val="0"/>
                <w:iCs/>
              </w:rPr>
              <w:t>6</w:t>
            </w:r>
            <w:r w:rsidR="002A7EAE" w:rsidRPr="008F5863">
              <w:rPr>
                <w:i w:val="0"/>
                <w:iCs/>
              </w:rPr>
              <w:t xml:space="preserve"> </w:t>
            </w:r>
            <w:r w:rsidRPr="008F5863">
              <w:rPr>
                <w:i w:val="0"/>
                <w:iCs/>
              </w:rPr>
              <w:t>m</w:t>
            </w:r>
            <w:r w:rsidR="002A7EAE" w:rsidRPr="008F5863">
              <w:rPr>
                <w:i w:val="0"/>
                <w:iCs/>
              </w:rPr>
              <w:t>illion</w:t>
            </w:r>
            <w:r w:rsidRPr="008F5863">
              <w:rPr>
                <w:i w:val="0"/>
                <w:iCs/>
              </w:rPr>
              <w:t xml:space="preserve"> across the analysis period;</w:t>
            </w:r>
          </w:p>
          <w:p w14:paraId="0C08181C" w14:textId="182D0A41" w:rsidR="0075127D" w:rsidRPr="008F5863" w:rsidRDefault="0075127D" w:rsidP="00393BCC">
            <w:pPr>
              <w:pStyle w:val="Bullet1stlevel"/>
              <w:spacing w:before="60" w:after="60"/>
              <w:jc w:val="left"/>
              <w:rPr>
                <w:i w:val="0"/>
                <w:iCs/>
              </w:rPr>
            </w:pPr>
            <w:r w:rsidRPr="008F5863">
              <w:rPr>
                <w:i w:val="0"/>
                <w:iCs/>
              </w:rPr>
              <w:t>A reduction in clients</w:t>
            </w:r>
            <w:r w:rsidR="00056DE1" w:rsidRPr="008F5863">
              <w:rPr>
                <w:i w:val="0"/>
                <w:iCs/>
              </w:rPr>
              <w:t>’</w:t>
            </w:r>
            <w:r w:rsidRPr="008F5863">
              <w:rPr>
                <w:i w:val="0"/>
                <w:iCs/>
              </w:rPr>
              <w:t xml:space="preserve"> monthly use of </w:t>
            </w:r>
            <w:r w:rsidR="00426890" w:rsidRPr="008F5863">
              <w:rPr>
                <w:i w:val="0"/>
                <w:iCs/>
              </w:rPr>
              <w:t xml:space="preserve">homelessness </w:t>
            </w:r>
            <w:r w:rsidRPr="008F5863">
              <w:rPr>
                <w:i w:val="0"/>
                <w:iCs/>
              </w:rPr>
              <w:t>services across all service types analysed, resulting in a</w:t>
            </w:r>
            <w:r w:rsidR="008E5FC5" w:rsidRPr="008F5863">
              <w:rPr>
                <w:i w:val="0"/>
                <w:iCs/>
              </w:rPr>
              <w:t>n avoided</w:t>
            </w:r>
            <w:r w:rsidRPr="008F5863">
              <w:rPr>
                <w:i w:val="0"/>
                <w:iCs/>
              </w:rPr>
              <w:t xml:space="preserve"> cost of $8.</w:t>
            </w:r>
            <w:r w:rsidR="00437F0C" w:rsidRPr="008F5863">
              <w:rPr>
                <w:i w:val="0"/>
                <w:iCs/>
              </w:rPr>
              <w:t>8</w:t>
            </w:r>
            <w:r w:rsidR="002A7EAE" w:rsidRPr="008F5863">
              <w:rPr>
                <w:i w:val="0"/>
                <w:iCs/>
              </w:rPr>
              <w:t xml:space="preserve"> </w:t>
            </w:r>
            <w:r w:rsidRPr="008F5863">
              <w:rPr>
                <w:i w:val="0"/>
                <w:iCs/>
              </w:rPr>
              <w:t>m</w:t>
            </w:r>
            <w:r w:rsidR="002A7EAE" w:rsidRPr="008F5863">
              <w:rPr>
                <w:i w:val="0"/>
                <w:iCs/>
              </w:rPr>
              <w:t>illion</w:t>
            </w:r>
            <w:r w:rsidRPr="008F5863">
              <w:rPr>
                <w:i w:val="0"/>
                <w:iCs/>
              </w:rPr>
              <w:t xml:space="preserve"> across the analysis period; </w:t>
            </w:r>
          </w:p>
          <w:p w14:paraId="2D91A3A5" w14:textId="0AA311FD" w:rsidR="0075127D" w:rsidRPr="008F5863" w:rsidRDefault="0075127D" w:rsidP="00393BCC">
            <w:pPr>
              <w:pStyle w:val="Bullet1stlevel"/>
              <w:spacing w:before="60" w:after="60"/>
              <w:jc w:val="left"/>
              <w:rPr>
                <w:i w:val="0"/>
                <w:iCs/>
              </w:rPr>
            </w:pPr>
            <w:r w:rsidRPr="008F5863">
              <w:rPr>
                <w:i w:val="0"/>
                <w:iCs/>
              </w:rPr>
              <w:t>A reduction in clients</w:t>
            </w:r>
            <w:r w:rsidR="00056DE1" w:rsidRPr="008F5863">
              <w:rPr>
                <w:i w:val="0"/>
                <w:iCs/>
              </w:rPr>
              <w:t>’</w:t>
            </w:r>
            <w:r w:rsidRPr="008F5863">
              <w:rPr>
                <w:i w:val="0"/>
                <w:iCs/>
              </w:rPr>
              <w:t xml:space="preserve"> monthly days in custody, resulting in a</w:t>
            </w:r>
            <w:r w:rsidR="00AF20AE" w:rsidRPr="008F5863">
              <w:rPr>
                <w:i w:val="0"/>
                <w:iCs/>
              </w:rPr>
              <w:t>n avoided</w:t>
            </w:r>
            <w:r w:rsidRPr="008F5863">
              <w:rPr>
                <w:i w:val="0"/>
                <w:iCs/>
              </w:rPr>
              <w:t xml:space="preserve"> cost of $4.</w:t>
            </w:r>
            <w:r w:rsidR="00437F0C" w:rsidRPr="008F5863">
              <w:rPr>
                <w:i w:val="0"/>
                <w:iCs/>
              </w:rPr>
              <w:t>5</w:t>
            </w:r>
            <w:r w:rsidR="002A7EAE" w:rsidRPr="008F5863">
              <w:rPr>
                <w:i w:val="0"/>
                <w:iCs/>
              </w:rPr>
              <w:t xml:space="preserve"> </w:t>
            </w:r>
            <w:r w:rsidRPr="008F5863">
              <w:rPr>
                <w:i w:val="0"/>
                <w:iCs/>
              </w:rPr>
              <w:t>m</w:t>
            </w:r>
            <w:r w:rsidR="002A7EAE" w:rsidRPr="008F5863">
              <w:rPr>
                <w:i w:val="0"/>
                <w:iCs/>
              </w:rPr>
              <w:t>illion</w:t>
            </w:r>
            <w:r w:rsidRPr="008F5863">
              <w:rPr>
                <w:i w:val="0"/>
                <w:iCs/>
              </w:rPr>
              <w:t xml:space="preserve"> across the analysis period; and</w:t>
            </w:r>
          </w:p>
          <w:p w14:paraId="6B35887A" w14:textId="378ABF72" w:rsidR="005F1562" w:rsidRPr="008F5863" w:rsidRDefault="005F1562" w:rsidP="00393BCC">
            <w:pPr>
              <w:pStyle w:val="Bullet1stlevel"/>
              <w:spacing w:before="60" w:after="60"/>
              <w:jc w:val="left"/>
              <w:rPr>
                <w:i w:val="0"/>
                <w:iCs/>
              </w:rPr>
            </w:pPr>
            <w:r w:rsidRPr="008F5863">
              <w:rPr>
                <w:i w:val="0"/>
                <w:iCs/>
              </w:rPr>
              <w:t xml:space="preserve">An estimated </w:t>
            </w:r>
            <w:r w:rsidR="00933E87" w:rsidRPr="008F5863">
              <w:rPr>
                <w:i w:val="0"/>
                <w:iCs/>
              </w:rPr>
              <w:t xml:space="preserve">value of improved quality of life </w:t>
            </w:r>
            <w:r w:rsidRPr="008F5863">
              <w:rPr>
                <w:i w:val="0"/>
                <w:iCs/>
              </w:rPr>
              <w:t>$</w:t>
            </w:r>
            <w:r w:rsidR="008741DE" w:rsidRPr="008F5863">
              <w:rPr>
                <w:i w:val="0"/>
                <w:iCs/>
              </w:rPr>
              <w:t>14.6</w:t>
            </w:r>
            <w:r w:rsidR="002A7EAE" w:rsidRPr="008F5863">
              <w:rPr>
                <w:i w:val="0"/>
                <w:iCs/>
              </w:rPr>
              <w:t xml:space="preserve"> </w:t>
            </w:r>
            <w:r w:rsidRPr="008F5863">
              <w:rPr>
                <w:i w:val="0"/>
                <w:iCs/>
              </w:rPr>
              <w:t>m</w:t>
            </w:r>
            <w:r w:rsidR="002A7EAE" w:rsidRPr="008F5863">
              <w:rPr>
                <w:i w:val="0"/>
                <w:iCs/>
              </w:rPr>
              <w:t>illion</w:t>
            </w:r>
            <w:r w:rsidRPr="008F5863">
              <w:rPr>
                <w:i w:val="0"/>
                <w:iCs/>
              </w:rPr>
              <w:t xml:space="preserve">. </w:t>
            </w:r>
          </w:p>
          <w:p w14:paraId="2A9A3E0C" w14:textId="23CC12FC" w:rsidR="0075127D" w:rsidRPr="005F1562" w:rsidRDefault="0075127D" w:rsidP="00393BCC">
            <w:pPr>
              <w:pStyle w:val="BodyText"/>
              <w:spacing w:before="60"/>
              <w:ind w:left="42"/>
              <w:jc w:val="left"/>
            </w:pPr>
            <w:r w:rsidRPr="008F5863">
              <w:rPr>
                <w:i w:val="0"/>
                <w:iCs/>
              </w:rPr>
              <w:t xml:space="preserve">In addition to seeing a decrease in the use of some services, J2SI PAD clients were found to increase their level of engagement with some community </w:t>
            </w:r>
            <w:r w:rsidR="0005686A" w:rsidRPr="008F5863">
              <w:rPr>
                <w:i w:val="0"/>
                <w:iCs/>
              </w:rPr>
              <w:t>mental health, allied health, community supports, nursing services, family violence and sexual assault services</w:t>
            </w:r>
            <w:r w:rsidRPr="008F5863">
              <w:rPr>
                <w:i w:val="0"/>
                <w:iCs/>
              </w:rPr>
              <w:t xml:space="preserve">. Consistent with the findings from the </w:t>
            </w:r>
            <w:r w:rsidR="00501997" w:rsidRPr="008F5863">
              <w:rPr>
                <w:i w:val="0"/>
                <w:iCs/>
              </w:rPr>
              <w:t>outcomes</w:t>
            </w:r>
            <w:r w:rsidRPr="008F5863">
              <w:rPr>
                <w:i w:val="0"/>
                <w:iCs/>
              </w:rPr>
              <w:t xml:space="preserve"> evaluation, this increased engagement may have contributed to a reduction in other tertiary services, and </w:t>
            </w:r>
            <w:r w:rsidR="003A6D52" w:rsidRPr="008F5863">
              <w:rPr>
                <w:i w:val="0"/>
                <w:iCs/>
              </w:rPr>
              <w:t xml:space="preserve">may </w:t>
            </w:r>
            <w:r w:rsidRPr="008F5863">
              <w:rPr>
                <w:i w:val="0"/>
                <w:iCs/>
              </w:rPr>
              <w:t>signal increased help seeking behaviour.</w:t>
            </w:r>
          </w:p>
        </w:tc>
      </w:tr>
    </w:tbl>
    <w:p w14:paraId="6D7460E4" w14:textId="2C427C6A" w:rsidR="00C067F8" w:rsidRDefault="00C067F8" w:rsidP="00B37312">
      <w:pPr>
        <w:pStyle w:val="Heading2"/>
      </w:pPr>
      <w:bookmarkStart w:id="108" w:name="_Approach_to_the"/>
      <w:bookmarkStart w:id="109" w:name="_Toc178064013"/>
      <w:bookmarkEnd w:id="108"/>
      <w:r>
        <w:lastRenderedPageBreak/>
        <w:t xml:space="preserve">Approach </w:t>
      </w:r>
      <w:r w:rsidRPr="00B37312">
        <w:t>to the CBA</w:t>
      </w:r>
      <w:bookmarkEnd w:id="109"/>
    </w:p>
    <w:p w14:paraId="605457DC" w14:textId="67C44997" w:rsidR="003D1E01" w:rsidRPr="00091BF8" w:rsidRDefault="00426AB4" w:rsidP="00B21C12">
      <w:r w:rsidRPr="001E32D1">
        <w:t xml:space="preserve">The development of </w:t>
      </w:r>
      <w:r w:rsidR="0042152F">
        <w:t>this</w:t>
      </w:r>
      <w:r w:rsidRPr="001E32D1">
        <w:t xml:space="preserve"> CBA has been undertaken with </w:t>
      </w:r>
      <w:r w:rsidR="0085339B">
        <w:t xml:space="preserve">consideration </w:t>
      </w:r>
      <w:r w:rsidR="00056DE1">
        <w:t>given</w:t>
      </w:r>
      <w:r w:rsidR="0085339B">
        <w:t xml:space="preserve"> to the </w:t>
      </w:r>
      <w:r w:rsidR="00A621A4">
        <w:t>relevant</w:t>
      </w:r>
      <w:r w:rsidRPr="001E32D1">
        <w:t xml:space="preserve"> guidance published by </w:t>
      </w:r>
      <w:r w:rsidR="001C7B94">
        <w:t xml:space="preserve">the </w:t>
      </w:r>
      <w:r>
        <w:t>Victorian</w:t>
      </w:r>
      <w:r w:rsidRPr="001E32D1">
        <w:t xml:space="preserve"> </w:t>
      </w:r>
      <w:r w:rsidR="006625A6">
        <w:t>DTF</w:t>
      </w:r>
      <w:r w:rsidR="001C7B94">
        <w:t>,</w:t>
      </w:r>
      <w:r w:rsidR="00A621A4">
        <w:t xml:space="preserve"> including the Resource Management Framework (RMF) and the </w:t>
      </w:r>
      <w:r w:rsidR="00E92E09">
        <w:t>EIIF</w:t>
      </w:r>
      <w:r w:rsidR="003725E9">
        <w:t xml:space="preserve">. </w:t>
      </w:r>
      <w:r w:rsidR="00E52257">
        <w:t xml:space="preserve">The following section provides further detail on the </w:t>
      </w:r>
      <w:r w:rsidR="0085339B">
        <w:t>approach</w:t>
      </w:r>
      <w:r w:rsidR="00E52257">
        <w:t xml:space="preserve"> </w:t>
      </w:r>
      <w:r w:rsidR="00E61A64">
        <w:t>undertaken to conduct the CBA</w:t>
      </w:r>
      <w:r w:rsidR="00E52257">
        <w:t>.</w:t>
      </w:r>
    </w:p>
    <w:p w14:paraId="1EBB75E8" w14:textId="14F52EEA" w:rsidR="00B13706" w:rsidRPr="00EF0918" w:rsidRDefault="00B13706" w:rsidP="007A2CBF">
      <w:pPr>
        <w:pStyle w:val="Heading3"/>
      </w:pPr>
      <w:r w:rsidRPr="00EF0918">
        <w:t xml:space="preserve">Defining the </w:t>
      </w:r>
      <w:r w:rsidR="00BE2F08" w:rsidRPr="00EF0918">
        <w:t>non-intervention group</w:t>
      </w:r>
    </w:p>
    <w:p w14:paraId="18A6F6BD" w14:textId="3168F419" w:rsidR="00B13706" w:rsidRDefault="00887C26" w:rsidP="001D7653">
      <w:pPr>
        <w:pStyle w:val="BodyText10"/>
        <w:rPr>
          <w:bCs/>
        </w:rPr>
      </w:pPr>
      <w:r w:rsidRPr="00887C26">
        <w:rPr>
          <w:bCs/>
        </w:rPr>
        <w:t>A CBA</w:t>
      </w:r>
      <w:r>
        <w:rPr>
          <w:bCs/>
        </w:rPr>
        <w:t xml:space="preserve"> measures </w:t>
      </w:r>
      <w:r w:rsidRPr="001D7653">
        <w:rPr>
          <w:bCs/>
        </w:rPr>
        <w:t>incremental</w:t>
      </w:r>
      <w:r w:rsidRPr="00887C26">
        <w:rPr>
          <w:bCs/>
          <w:i/>
          <w:iCs/>
        </w:rPr>
        <w:t xml:space="preserve"> </w:t>
      </w:r>
      <w:r w:rsidRPr="001D7653">
        <w:rPr>
          <w:bCs/>
        </w:rPr>
        <w:t>costs and benefits,</w:t>
      </w:r>
      <w:r w:rsidRPr="00887C26">
        <w:rPr>
          <w:bCs/>
        </w:rPr>
        <w:t xml:space="preserve"> relative to what might have occurred in the absence of the </w:t>
      </w:r>
      <w:r w:rsidR="001D7653">
        <w:rPr>
          <w:bCs/>
        </w:rPr>
        <w:t>intervention</w:t>
      </w:r>
      <w:r>
        <w:rPr>
          <w:bCs/>
        </w:rPr>
        <w:t xml:space="preserve">. </w:t>
      </w:r>
      <w:r w:rsidR="001D7653">
        <w:rPr>
          <w:bCs/>
        </w:rPr>
        <w:t>For the purposes of this CBA, a ‘service as usual’</w:t>
      </w:r>
      <w:r w:rsidR="001C7B94">
        <w:rPr>
          <w:bCs/>
        </w:rPr>
        <w:t>,</w:t>
      </w:r>
      <w:r w:rsidR="001D7653">
        <w:rPr>
          <w:bCs/>
        </w:rPr>
        <w:t xml:space="preserve"> non-intervention scenario has been assumed. </w:t>
      </w:r>
      <w:r w:rsidR="00E71F1E">
        <w:rPr>
          <w:bCs/>
        </w:rPr>
        <w:t>S</w:t>
      </w:r>
      <w:r w:rsidR="00651C9B">
        <w:rPr>
          <w:bCs/>
        </w:rPr>
        <w:t>ervice as usual</w:t>
      </w:r>
      <w:r w:rsidR="006625A6">
        <w:rPr>
          <w:bCs/>
        </w:rPr>
        <w:t xml:space="preserve"> refers to the services a J2SI PAD client </w:t>
      </w:r>
      <w:r w:rsidR="00BC0026">
        <w:rPr>
          <w:bCs/>
        </w:rPr>
        <w:t xml:space="preserve">would have been expected to </w:t>
      </w:r>
      <w:r w:rsidR="00AA0013">
        <w:rPr>
          <w:bCs/>
        </w:rPr>
        <w:t>access</w:t>
      </w:r>
      <w:r w:rsidR="00BC0026">
        <w:rPr>
          <w:bCs/>
        </w:rPr>
        <w:t xml:space="preserve"> in the absence of the program, </w:t>
      </w:r>
      <w:r w:rsidR="00D95E4F">
        <w:rPr>
          <w:bCs/>
        </w:rPr>
        <w:t>such as</w:t>
      </w:r>
      <w:r w:rsidR="00651C9B">
        <w:rPr>
          <w:bCs/>
        </w:rPr>
        <w:t xml:space="preserve"> homelessness</w:t>
      </w:r>
      <w:r w:rsidR="00B13706">
        <w:rPr>
          <w:bCs/>
        </w:rPr>
        <w:t xml:space="preserve"> intake</w:t>
      </w:r>
      <w:r w:rsidR="00651C9B">
        <w:rPr>
          <w:bCs/>
        </w:rPr>
        <w:t xml:space="preserve"> services</w:t>
      </w:r>
      <w:r w:rsidR="00B13706">
        <w:rPr>
          <w:bCs/>
        </w:rPr>
        <w:t xml:space="preserve">, continued support, crisis accommodation, post-crisis accommodation and brokerage. </w:t>
      </w:r>
      <w:r w:rsidR="003E1933" w:rsidRPr="003E1933">
        <w:rPr>
          <w:bCs/>
        </w:rPr>
        <w:t>The non-intervention group excludes participants in programs such as Homeless to a Home (H2H) and Street to Home (StH) where more than 12 months of support is provided.</w:t>
      </w:r>
    </w:p>
    <w:p w14:paraId="58545FA4" w14:textId="5E342839" w:rsidR="00B13706" w:rsidRDefault="00C067F8" w:rsidP="007A2CBF">
      <w:pPr>
        <w:pStyle w:val="Heading3"/>
      </w:pPr>
      <w:r>
        <w:t>Defining the c</w:t>
      </w:r>
      <w:r w:rsidR="00B13706">
        <w:t>ommunity of interest</w:t>
      </w:r>
    </w:p>
    <w:p w14:paraId="0AA131EB" w14:textId="1823D96A" w:rsidR="00DE00B3" w:rsidRDefault="00B13706" w:rsidP="004B3F96">
      <w:r>
        <w:t xml:space="preserve">The community of interest (COI) refers to the group of people relevant </w:t>
      </w:r>
      <w:r w:rsidR="00460276">
        <w:t>in</w:t>
      </w:r>
      <w:r>
        <w:t xml:space="preserve"> the analysis, sometimes referred to as the </w:t>
      </w:r>
      <w:r w:rsidR="001C7B94">
        <w:t>‘</w:t>
      </w:r>
      <w:r>
        <w:t>referent group</w:t>
      </w:r>
      <w:r w:rsidR="001C7B94">
        <w:t>’</w:t>
      </w:r>
      <w:r>
        <w:t xml:space="preserve"> or the </w:t>
      </w:r>
      <w:r w:rsidR="001C7B94">
        <w:t>‘</w:t>
      </w:r>
      <w:r>
        <w:t>scope of the analysis</w:t>
      </w:r>
      <w:r w:rsidR="001C7B94">
        <w:t>’</w:t>
      </w:r>
      <w:r>
        <w:t xml:space="preserve">. These people represent the beneficiaries of the incremental costs and benefits. For the purposes of this CBA, the COI is defined as the State of Victoria, and includes residents, businesses and </w:t>
      </w:r>
      <w:r w:rsidR="00AA3312">
        <w:t>g</w:t>
      </w:r>
      <w:r>
        <w:t xml:space="preserve">overnment. </w:t>
      </w:r>
    </w:p>
    <w:p w14:paraId="6504BC1E" w14:textId="25A7C46B" w:rsidR="00DE00B3" w:rsidRDefault="00C067F8" w:rsidP="007A2CBF">
      <w:pPr>
        <w:pStyle w:val="Heading3"/>
      </w:pPr>
      <w:r>
        <w:t>M</w:t>
      </w:r>
      <w:r w:rsidR="00DE00B3">
        <w:t>odel assumptions and parameters</w:t>
      </w:r>
    </w:p>
    <w:p w14:paraId="01B1AA23" w14:textId="3E84A7C9" w:rsidR="00B13706" w:rsidRPr="001B7DA5" w:rsidRDefault="00B13706" w:rsidP="00B13706">
      <w:r w:rsidRPr="001B7DA5">
        <w:t xml:space="preserve">CBA assumptions and parameters are provided </w:t>
      </w:r>
      <w:r w:rsidR="00BC0026" w:rsidRPr="001B7DA5">
        <w:t xml:space="preserve">in </w:t>
      </w:r>
      <w:r w:rsidR="008D7AA8">
        <w:rPr>
          <w:color w:val="auto"/>
        </w:rPr>
        <w:fldChar w:fldCharType="begin"/>
      </w:r>
      <w:r w:rsidR="008D7AA8">
        <w:instrText xml:space="preserve"> REF _Ref150240609 \h </w:instrText>
      </w:r>
      <w:r w:rsidR="008D7AA8">
        <w:rPr>
          <w:color w:val="auto"/>
        </w:rPr>
      </w:r>
      <w:r w:rsidR="008D7AA8">
        <w:rPr>
          <w:color w:val="auto"/>
        </w:rPr>
        <w:fldChar w:fldCharType="separate"/>
      </w:r>
      <w:r w:rsidR="005B05CA" w:rsidRPr="001B7DA5">
        <w:t xml:space="preserve">Table </w:t>
      </w:r>
      <w:r w:rsidR="005B05CA">
        <w:rPr>
          <w:noProof/>
          <w:color w:val="auto"/>
        </w:rPr>
        <w:t>12</w:t>
      </w:r>
      <w:r w:rsidR="008D7AA8">
        <w:rPr>
          <w:color w:val="auto"/>
        </w:rPr>
        <w:fldChar w:fldCharType="end"/>
      </w:r>
      <w:r w:rsidRPr="001B7DA5">
        <w:rPr>
          <w:color w:val="auto"/>
        </w:rPr>
        <w:t xml:space="preserve">. </w:t>
      </w:r>
    </w:p>
    <w:p w14:paraId="17D8AF06" w14:textId="7E54A7F4" w:rsidR="00B13706" w:rsidRPr="001B7DA5" w:rsidRDefault="00DE00B3" w:rsidP="00134FF5">
      <w:pPr>
        <w:pStyle w:val="Caption"/>
      </w:pPr>
      <w:bookmarkStart w:id="110" w:name="_Ref150240609"/>
      <w:bookmarkStart w:id="111" w:name="_Toc174547313"/>
      <w:r w:rsidRPr="001B7DA5">
        <w:t>Ta</w:t>
      </w:r>
      <w:r w:rsidRPr="007A2CBF">
        <w:t xml:space="preserve">ble </w:t>
      </w:r>
      <w:r w:rsidRPr="007A2CBF">
        <w:fldChar w:fldCharType="begin"/>
      </w:r>
      <w:r w:rsidRPr="007A2CBF">
        <w:instrText xml:space="preserve"> SEQ Table \* ARABIC </w:instrText>
      </w:r>
      <w:r w:rsidRPr="007A2CBF">
        <w:fldChar w:fldCharType="separate"/>
      </w:r>
      <w:r w:rsidR="005B05CA" w:rsidRPr="007A2CBF">
        <w:rPr>
          <w:noProof/>
        </w:rPr>
        <w:t>12</w:t>
      </w:r>
      <w:r w:rsidRPr="007A2CBF">
        <w:fldChar w:fldCharType="end"/>
      </w:r>
      <w:bookmarkEnd w:id="110"/>
      <w:r w:rsidR="00B13706" w:rsidRPr="007A2CBF">
        <w:t>:</w:t>
      </w:r>
      <w:r w:rsidR="00B13706" w:rsidRPr="001B7DA5">
        <w:t xml:space="preserve"> CBA assumptions and parameters</w:t>
      </w:r>
      <w:bookmarkEnd w:id="111"/>
    </w:p>
    <w:tbl>
      <w:tblPr>
        <w:tblStyle w:val="KPMGTable"/>
        <w:tblW w:w="0" w:type="auto"/>
        <w:tblLook w:val="04A0" w:firstRow="1" w:lastRow="0" w:firstColumn="1" w:lastColumn="0" w:noHBand="0" w:noVBand="1"/>
      </w:tblPr>
      <w:tblGrid>
        <w:gridCol w:w="2085"/>
        <w:gridCol w:w="3474"/>
        <w:gridCol w:w="4309"/>
      </w:tblGrid>
      <w:tr w:rsidR="00B13706" w14:paraId="7478F18B" w14:textId="77777777" w:rsidTr="002F6955">
        <w:trPr>
          <w:cnfStyle w:val="100000000000" w:firstRow="1" w:lastRow="0" w:firstColumn="0" w:lastColumn="0" w:oddVBand="0" w:evenVBand="0" w:oddHBand="0"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2085" w:type="dxa"/>
            <w:shd w:val="clear" w:color="auto" w:fill="auto"/>
          </w:tcPr>
          <w:p w14:paraId="6EBF3665" w14:textId="77777777" w:rsidR="00B13706" w:rsidRPr="00E63F03" w:rsidRDefault="00B13706" w:rsidP="0090227D">
            <w:pPr>
              <w:pStyle w:val="TableHeading"/>
            </w:pPr>
            <w:r w:rsidRPr="00E63F03">
              <w:t>Parameter</w:t>
            </w:r>
          </w:p>
        </w:tc>
        <w:tc>
          <w:tcPr>
            <w:tcW w:w="3474" w:type="dxa"/>
            <w:shd w:val="clear" w:color="auto" w:fill="auto"/>
          </w:tcPr>
          <w:p w14:paraId="3896C0E5" w14:textId="77777777" w:rsidR="00B13706" w:rsidRPr="00E63F03" w:rsidRDefault="00B13706" w:rsidP="0090227D">
            <w:pPr>
              <w:pStyle w:val="TableHeading"/>
              <w:cnfStyle w:val="100000000000" w:firstRow="1" w:lastRow="0" w:firstColumn="0" w:lastColumn="0" w:oddVBand="0" w:evenVBand="0" w:oddHBand="0" w:evenHBand="0" w:firstRowFirstColumn="0" w:firstRowLastColumn="0" w:lastRowFirstColumn="0" w:lastRowLastColumn="0"/>
            </w:pPr>
            <w:r w:rsidRPr="00E63F03">
              <w:t>Value</w:t>
            </w:r>
          </w:p>
        </w:tc>
        <w:tc>
          <w:tcPr>
            <w:tcW w:w="4309" w:type="dxa"/>
            <w:shd w:val="clear" w:color="auto" w:fill="auto"/>
          </w:tcPr>
          <w:p w14:paraId="0A72E2F1" w14:textId="77777777" w:rsidR="00B13706" w:rsidRPr="00E63F03" w:rsidRDefault="00B13706" w:rsidP="0090227D">
            <w:pPr>
              <w:pStyle w:val="TableHeading"/>
              <w:cnfStyle w:val="100000000000" w:firstRow="1" w:lastRow="0" w:firstColumn="0" w:lastColumn="0" w:oddVBand="0" w:evenVBand="0" w:oddHBand="0" w:evenHBand="0" w:firstRowFirstColumn="0" w:firstRowLastColumn="0" w:lastRowFirstColumn="0" w:lastRowLastColumn="0"/>
            </w:pPr>
            <w:r w:rsidRPr="00E63F03">
              <w:t>Basis</w:t>
            </w:r>
          </w:p>
        </w:tc>
      </w:tr>
      <w:tr w:rsidR="00B13706" w14:paraId="18EB9B69" w14:textId="77777777" w:rsidTr="002F6955">
        <w:trPr>
          <w:trHeight w:val="543"/>
        </w:trPr>
        <w:tc>
          <w:tcPr>
            <w:cnfStyle w:val="001000000000" w:firstRow="0" w:lastRow="0" w:firstColumn="1" w:lastColumn="0" w:oddVBand="0" w:evenVBand="0" w:oddHBand="0" w:evenHBand="0" w:firstRowFirstColumn="0" w:firstRowLastColumn="0" w:lastRowFirstColumn="0" w:lastRowLastColumn="0"/>
            <w:tcW w:w="2085" w:type="dxa"/>
            <w:vAlign w:val="center"/>
          </w:tcPr>
          <w:p w14:paraId="5ED751F6" w14:textId="77777777" w:rsidR="00B13706" w:rsidRPr="00E63F03" w:rsidRDefault="00B13706" w:rsidP="0090227D">
            <w:pPr>
              <w:pStyle w:val="Tabletext"/>
            </w:pPr>
            <w:r w:rsidRPr="00E63F03">
              <w:t>Analysis period</w:t>
            </w:r>
          </w:p>
        </w:tc>
        <w:tc>
          <w:tcPr>
            <w:tcW w:w="3474" w:type="dxa"/>
            <w:vAlign w:val="center"/>
          </w:tcPr>
          <w:p w14:paraId="05703CF0" w14:textId="014175C3" w:rsidR="00B13706" w:rsidRPr="00E63F03" w:rsidRDefault="00353125" w:rsidP="0090227D">
            <w:pPr>
              <w:pStyle w:val="Tabletext"/>
              <w:cnfStyle w:val="000000000000" w:firstRow="0" w:lastRow="0" w:firstColumn="0" w:lastColumn="0" w:oddVBand="0" w:evenVBand="0" w:oddHBand="0" w:evenHBand="0" w:firstRowFirstColumn="0" w:firstRowLastColumn="0" w:lastRowFirstColumn="0" w:lastRowLastColumn="0"/>
            </w:pPr>
            <w:r>
              <w:t xml:space="preserve">Funding period and </w:t>
            </w:r>
            <w:r w:rsidR="00B13706" w:rsidRPr="00E63F03">
              <w:t>10 years from end of funding disbursement (FY19 – FY34)</w:t>
            </w:r>
          </w:p>
        </w:tc>
        <w:tc>
          <w:tcPr>
            <w:tcW w:w="4309" w:type="dxa"/>
            <w:vAlign w:val="center"/>
          </w:tcPr>
          <w:p w14:paraId="3DDE6C40" w14:textId="093B695A" w:rsidR="00B13706" w:rsidRPr="00E63F03" w:rsidRDefault="00A13342" w:rsidP="0090227D">
            <w:pPr>
              <w:pStyle w:val="Tabletext"/>
              <w:cnfStyle w:val="000000000000" w:firstRow="0" w:lastRow="0" w:firstColumn="0" w:lastColumn="0" w:oddVBand="0" w:evenVBand="0" w:oddHBand="0" w:evenHBand="0" w:firstRowFirstColumn="0" w:firstRowLastColumn="0" w:lastRowFirstColumn="0" w:lastRowLastColumn="0"/>
            </w:pPr>
            <w:r>
              <w:t xml:space="preserve">An analysis period of </w:t>
            </w:r>
            <w:r w:rsidR="00B13706" w:rsidRPr="00E63F03">
              <w:t xml:space="preserve">10 years from </w:t>
            </w:r>
            <w:r>
              <w:t xml:space="preserve">the </w:t>
            </w:r>
            <w:r w:rsidR="00B13706" w:rsidRPr="00E63F03">
              <w:t xml:space="preserve">end of </w:t>
            </w:r>
            <w:r>
              <w:t xml:space="preserve">the </w:t>
            </w:r>
            <w:r w:rsidR="00B13706" w:rsidRPr="00E63F03">
              <w:t xml:space="preserve">funding disbursement </w:t>
            </w:r>
            <w:r>
              <w:t>has been adopted to enable</w:t>
            </w:r>
            <w:r w:rsidR="00B13706" w:rsidRPr="00E63F03">
              <w:t xml:space="preserve"> all costs and benefits to be captured, recognising that the program benefits are expected to be realised beyond the program’s service delivery period.</w:t>
            </w:r>
            <w:r w:rsidR="00353125">
              <w:t xml:space="preserve"> </w:t>
            </w:r>
            <w:r w:rsidR="000F4C3E">
              <w:t xml:space="preserve">Program benefits were measured during the funding period and have been extrapolated </w:t>
            </w:r>
            <w:r w:rsidR="00E878A5">
              <w:t xml:space="preserve">at the actual level measured during the </w:t>
            </w:r>
            <w:r>
              <w:t xml:space="preserve">subsequent </w:t>
            </w:r>
            <w:r w:rsidR="00E878A5">
              <w:t>period</w:t>
            </w:r>
            <w:r w:rsidR="000F4C3E">
              <w:t xml:space="preserve">. </w:t>
            </w:r>
            <w:r w:rsidR="00F61CAD">
              <w:t>I</w:t>
            </w:r>
            <w:r w:rsidR="00E878A5">
              <w:t xml:space="preserve">ndicative testing suggested most benefits continued to be realised in the period post-program and most continued to improve over time. Benefit realisation post program </w:t>
            </w:r>
            <w:r w:rsidR="00FB49FA">
              <w:t>also factors in</w:t>
            </w:r>
            <w:r w:rsidR="00E878A5">
              <w:t xml:space="preserve"> a </w:t>
            </w:r>
            <w:r w:rsidR="0090227D">
              <w:t>five per cent</w:t>
            </w:r>
            <w:r w:rsidR="00E878A5">
              <w:t xml:space="preserve"> attrition rate </w:t>
            </w:r>
            <w:r w:rsidR="002642BB">
              <w:t>per year</w:t>
            </w:r>
            <w:r w:rsidR="00E878A5">
              <w:t xml:space="preserve"> for participants.</w:t>
            </w:r>
          </w:p>
        </w:tc>
      </w:tr>
      <w:tr w:rsidR="00B13706" w14:paraId="057A5465" w14:textId="77777777" w:rsidTr="002F6955">
        <w:trPr>
          <w:trHeight w:val="543"/>
        </w:trPr>
        <w:tc>
          <w:tcPr>
            <w:cnfStyle w:val="001000000000" w:firstRow="0" w:lastRow="0" w:firstColumn="1" w:lastColumn="0" w:oddVBand="0" w:evenVBand="0" w:oddHBand="0" w:evenHBand="0" w:firstRowFirstColumn="0" w:firstRowLastColumn="0" w:lastRowFirstColumn="0" w:lastRowLastColumn="0"/>
            <w:tcW w:w="2085" w:type="dxa"/>
            <w:vAlign w:val="center"/>
          </w:tcPr>
          <w:p w14:paraId="21B5BB8D" w14:textId="77777777" w:rsidR="00B13706" w:rsidRPr="00E63F03" w:rsidRDefault="00B13706" w:rsidP="0090227D">
            <w:pPr>
              <w:pStyle w:val="Tabletext"/>
            </w:pPr>
            <w:r w:rsidRPr="00E63F03">
              <w:t>Discount rate</w:t>
            </w:r>
          </w:p>
        </w:tc>
        <w:tc>
          <w:tcPr>
            <w:tcW w:w="3474" w:type="dxa"/>
            <w:vAlign w:val="center"/>
          </w:tcPr>
          <w:p w14:paraId="53E8D0BC" w14:textId="77777777" w:rsidR="00B13706" w:rsidRPr="00E63F03" w:rsidRDefault="00B13706" w:rsidP="0090227D">
            <w:pPr>
              <w:pStyle w:val="Tabletext"/>
              <w:cnfStyle w:val="000000000000" w:firstRow="0" w:lastRow="0" w:firstColumn="0" w:lastColumn="0" w:oddVBand="0" w:evenVBand="0" w:oddHBand="0" w:evenHBand="0" w:firstRowFirstColumn="0" w:firstRowLastColumn="0" w:lastRowFirstColumn="0" w:lastRowLastColumn="0"/>
            </w:pPr>
            <w:r w:rsidRPr="00E63F03">
              <w:t>4%</w:t>
            </w:r>
          </w:p>
        </w:tc>
        <w:tc>
          <w:tcPr>
            <w:tcW w:w="4309" w:type="dxa"/>
            <w:vAlign w:val="center"/>
          </w:tcPr>
          <w:p w14:paraId="259CA533" w14:textId="6304B87F" w:rsidR="00B13706" w:rsidRPr="00E63F03" w:rsidRDefault="00B13706" w:rsidP="0090227D">
            <w:pPr>
              <w:pStyle w:val="Tabletext"/>
              <w:cnfStyle w:val="000000000000" w:firstRow="0" w:lastRow="0" w:firstColumn="0" w:lastColumn="0" w:oddVBand="0" w:evenVBand="0" w:oddHBand="0" w:evenHBand="0" w:firstRowFirstColumn="0" w:firstRowLastColumn="0" w:lastRowFirstColumn="0" w:lastRowLastColumn="0"/>
            </w:pPr>
            <w:r w:rsidRPr="00E63F03">
              <w:t xml:space="preserve">DTF preferred value for </w:t>
            </w:r>
            <w:r w:rsidR="003673C5">
              <w:t xml:space="preserve">discounting of </w:t>
            </w:r>
            <w:r w:rsidRPr="00E63F03">
              <w:t>benefits from social interventions that are not easily monetised</w:t>
            </w:r>
          </w:p>
        </w:tc>
      </w:tr>
      <w:tr w:rsidR="00B13706" w14:paraId="74A92F99" w14:textId="77777777" w:rsidTr="002F6955">
        <w:trPr>
          <w:trHeight w:val="543"/>
        </w:trPr>
        <w:tc>
          <w:tcPr>
            <w:cnfStyle w:val="001000000000" w:firstRow="0" w:lastRow="0" w:firstColumn="1" w:lastColumn="0" w:oddVBand="0" w:evenVBand="0" w:oddHBand="0" w:evenHBand="0" w:firstRowFirstColumn="0" w:firstRowLastColumn="0" w:lastRowFirstColumn="0" w:lastRowLastColumn="0"/>
            <w:tcW w:w="2085" w:type="dxa"/>
            <w:vAlign w:val="center"/>
          </w:tcPr>
          <w:p w14:paraId="41046961" w14:textId="77777777" w:rsidR="00B13706" w:rsidRPr="00E63F03" w:rsidRDefault="00B13706" w:rsidP="0090227D">
            <w:pPr>
              <w:pStyle w:val="Tabletext"/>
            </w:pPr>
            <w:r w:rsidRPr="00E63F03">
              <w:t>Base period</w:t>
            </w:r>
          </w:p>
        </w:tc>
        <w:tc>
          <w:tcPr>
            <w:tcW w:w="3474" w:type="dxa"/>
            <w:vAlign w:val="center"/>
          </w:tcPr>
          <w:p w14:paraId="614B7B0A" w14:textId="77777777" w:rsidR="00B13706" w:rsidRPr="00E63F03" w:rsidRDefault="00B13706" w:rsidP="0090227D">
            <w:pPr>
              <w:pStyle w:val="Tabletext"/>
              <w:cnfStyle w:val="000000000000" w:firstRow="0" w:lastRow="0" w:firstColumn="0" w:lastColumn="0" w:oddVBand="0" w:evenVBand="0" w:oddHBand="0" w:evenHBand="0" w:firstRowFirstColumn="0" w:firstRowLastColumn="0" w:lastRowFirstColumn="0" w:lastRowLastColumn="0"/>
            </w:pPr>
            <w:r w:rsidRPr="00E63F03">
              <w:t>FY19</w:t>
            </w:r>
          </w:p>
        </w:tc>
        <w:tc>
          <w:tcPr>
            <w:tcW w:w="4309" w:type="dxa"/>
            <w:vAlign w:val="center"/>
          </w:tcPr>
          <w:p w14:paraId="27BC0F71" w14:textId="08044D57" w:rsidR="00B13706" w:rsidRPr="00E63F03" w:rsidRDefault="00B13706" w:rsidP="0090227D">
            <w:pPr>
              <w:pStyle w:val="Tabletext"/>
              <w:cnfStyle w:val="000000000000" w:firstRow="0" w:lastRow="0" w:firstColumn="0" w:lastColumn="0" w:oddVBand="0" w:evenVBand="0" w:oddHBand="0" w:evenHBand="0" w:firstRowFirstColumn="0" w:firstRowLastColumn="0" w:lastRowFirstColumn="0" w:lastRowLastColumn="0"/>
            </w:pPr>
            <w:r w:rsidRPr="00E63F03">
              <w:t>Start of evaluation period</w:t>
            </w:r>
            <w:r w:rsidR="00255F9D">
              <w:t xml:space="preserve"> </w:t>
            </w:r>
            <w:r w:rsidR="00F61CAD">
              <w:t>and</w:t>
            </w:r>
            <w:r w:rsidR="00255F9D">
              <w:t xml:space="preserve"> funding disbursement</w:t>
            </w:r>
          </w:p>
        </w:tc>
      </w:tr>
      <w:tr w:rsidR="00B13706" w14:paraId="6199CB1A" w14:textId="77777777" w:rsidTr="002F6955">
        <w:trPr>
          <w:trHeight w:val="543"/>
        </w:trPr>
        <w:tc>
          <w:tcPr>
            <w:cnfStyle w:val="001000000000" w:firstRow="0" w:lastRow="0" w:firstColumn="1" w:lastColumn="0" w:oddVBand="0" w:evenVBand="0" w:oddHBand="0" w:evenHBand="0" w:firstRowFirstColumn="0" w:firstRowLastColumn="0" w:lastRowFirstColumn="0" w:lastRowLastColumn="0"/>
            <w:tcW w:w="2085" w:type="dxa"/>
            <w:vAlign w:val="center"/>
          </w:tcPr>
          <w:p w14:paraId="199400B6" w14:textId="77777777" w:rsidR="00B13706" w:rsidRPr="00E63F03" w:rsidRDefault="00B13706" w:rsidP="0090227D">
            <w:pPr>
              <w:pStyle w:val="Tabletext"/>
            </w:pPr>
            <w:r w:rsidRPr="00E63F03">
              <w:t>Price year</w:t>
            </w:r>
          </w:p>
        </w:tc>
        <w:tc>
          <w:tcPr>
            <w:tcW w:w="3474" w:type="dxa"/>
            <w:vAlign w:val="center"/>
          </w:tcPr>
          <w:p w14:paraId="5DEC10F8" w14:textId="77777777" w:rsidR="00B13706" w:rsidRPr="00E63F03" w:rsidRDefault="00B13706" w:rsidP="0090227D">
            <w:pPr>
              <w:pStyle w:val="Tabletext"/>
              <w:cnfStyle w:val="000000000000" w:firstRow="0" w:lastRow="0" w:firstColumn="0" w:lastColumn="0" w:oddVBand="0" w:evenVBand="0" w:oddHBand="0" w:evenHBand="0" w:firstRowFirstColumn="0" w:firstRowLastColumn="0" w:lastRowFirstColumn="0" w:lastRowLastColumn="0"/>
            </w:pPr>
            <w:r w:rsidRPr="00E63F03">
              <w:t>FY24</w:t>
            </w:r>
          </w:p>
        </w:tc>
        <w:tc>
          <w:tcPr>
            <w:tcW w:w="4309" w:type="dxa"/>
            <w:vAlign w:val="center"/>
          </w:tcPr>
          <w:p w14:paraId="4453E58A" w14:textId="74AC53B3" w:rsidR="00B13706" w:rsidRPr="00E63F03" w:rsidRDefault="00B91881" w:rsidP="0090227D">
            <w:pPr>
              <w:pStyle w:val="Tabletext"/>
              <w:cnfStyle w:val="000000000000" w:firstRow="0" w:lastRow="0" w:firstColumn="0" w:lastColumn="0" w:oddVBand="0" w:evenVBand="0" w:oddHBand="0" w:evenHBand="0" w:firstRowFirstColumn="0" w:firstRowLastColumn="0" w:lastRowFirstColumn="0" w:lastRowLastColumn="0"/>
            </w:pPr>
            <w:r w:rsidRPr="00E63F03">
              <w:t>Current period</w:t>
            </w:r>
          </w:p>
        </w:tc>
      </w:tr>
      <w:tr w:rsidR="00B13706" w14:paraId="791B0DF0" w14:textId="77777777" w:rsidTr="00DA5898">
        <w:trPr>
          <w:trHeight w:val="1643"/>
        </w:trPr>
        <w:tc>
          <w:tcPr>
            <w:cnfStyle w:val="001000000000" w:firstRow="0" w:lastRow="0" w:firstColumn="1" w:lastColumn="0" w:oddVBand="0" w:evenVBand="0" w:oddHBand="0" w:evenHBand="0" w:firstRowFirstColumn="0" w:firstRowLastColumn="0" w:lastRowFirstColumn="0" w:lastRowLastColumn="0"/>
            <w:tcW w:w="0" w:type="dxa"/>
            <w:vAlign w:val="center"/>
          </w:tcPr>
          <w:p w14:paraId="64119AD5" w14:textId="77777777" w:rsidR="00B13706" w:rsidRPr="00E63F03" w:rsidRDefault="00B13706" w:rsidP="0090227D">
            <w:pPr>
              <w:pStyle w:val="Tabletext"/>
            </w:pPr>
            <w:r w:rsidRPr="00E63F03">
              <w:t>Sensitivity analysis</w:t>
            </w:r>
          </w:p>
        </w:tc>
        <w:tc>
          <w:tcPr>
            <w:tcW w:w="0" w:type="dxa"/>
            <w:vAlign w:val="center"/>
          </w:tcPr>
          <w:p w14:paraId="126DB6EC" w14:textId="7136777F" w:rsidR="00B13706" w:rsidRPr="00E63F03" w:rsidRDefault="0088241D" w:rsidP="0090227D">
            <w:pPr>
              <w:pStyle w:val="Tabletext"/>
              <w:cnfStyle w:val="000000000000" w:firstRow="0" w:lastRow="0" w:firstColumn="0" w:lastColumn="0" w:oddVBand="0" w:evenVBand="0" w:oddHBand="0" w:evenHBand="0" w:firstRowFirstColumn="0" w:firstRowLastColumn="0" w:lastRowFirstColumn="0" w:lastRowLastColumn="0"/>
            </w:pPr>
            <w:r w:rsidRPr="00E63F03">
              <w:t xml:space="preserve">Evaluation period (8 and 10 years from </w:t>
            </w:r>
            <w:r w:rsidR="0090227D">
              <w:t xml:space="preserve">the </w:t>
            </w:r>
            <w:r w:rsidR="00093F4A">
              <w:t>start of</w:t>
            </w:r>
            <w:r w:rsidRPr="00E63F03">
              <w:t xml:space="preserve"> funding disbursement)</w:t>
            </w:r>
          </w:p>
          <w:p w14:paraId="160F3189" w14:textId="527903F2" w:rsidR="00B13706" w:rsidRPr="00E63F03" w:rsidRDefault="00E27A08" w:rsidP="0090227D">
            <w:pPr>
              <w:pStyle w:val="Tabletext"/>
              <w:cnfStyle w:val="000000000000" w:firstRow="0" w:lastRow="0" w:firstColumn="0" w:lastColumn="0" w:oddVBand="0" w:evenVBand="0" w:oddHBand="0" w:evenHBand="0" w:firstRowFirstColumn="0" w:firstRowLastColumn="0" w:lastRowFirstColumn="0" w:lastRowLastColumn="0"/>
            </w:pPr>
            <w:r>
              <w:t xml:space="preserve">0, </w:t>
            </w:r>
            <w:r w:rsidR="00B91881" w:rsidRPr="00E63F03">
              <w:t xml:space="preserve">1, 7 and 10% </w:t>
            </w:r>
            <w:r w:rsidR="00F61CAD">
              <w:t xml:space="preserve">discount rate </w:t>
            </w:r>
            <w:r w:rsidR="00B91881" w:rsidRPr="00E63F03">
              <w:t>sensitivity</w:t>
            </w:r>
          </w:p>
          <w:p w14:paraId="0614C862" w14:textId="210E90C1" w:rsidR="00B91881" w:rsidRPr="00E63F03" w:rsidRDefault="00B91881" w:rsidP="0090227D">
            <w:pPr>
              <w:pStyle w:val="Tabletext"/>
              <w:cnfStyle w:val="000000000000" w:firstRow="0" w:lastRow="0" w:firstColumn="0" w:lastColumn="0" w:oddVBand="0" w:evenVBand="0" w:oddHBand="0" w:evenHBand="0" w:firstRowFirstColumn="0" w:firstRowLastColumn="0" w:lastRowFirstColumn="0" w:lastRowLastColumn="0"/>
            </w:pPr>
            <w:r w:rsidRPr="00E63F03">
              <w:t>20% +/- costs</w:t>
            </w:r>
          </w:p>
          <w:p w14:paraId="3F62D0F6" w14:textId="3B5D9D3B" w:rsidR="00B91881" w:rsidRPr="00E63F03" w:rsidRDefault="00B91881" w:rsidP="0090227D">
            <w:pPr>
              <w:pStyle w:val="Tabletext"/>
              <w:cnfStyle w:val="000000000000" w:firstRow="0" w:lastRow="0" w:firstColumn="0" w:lastColumn="0" w:oddVBand="0" w:evenVBand="0" w:oddHBand="0" w:evenHBand="0" w:firstRowFirstColumn="0" w:firstRowLastColumn="0" w:lastRowFirstColumn="0" w:lastRowLastColumn="0"/>
            </w:pPr>
            <w:r w:rsidRPr="00E63F03">
              <w:t>20% +/- benefits</w:t>
            </w:r>
          </w:p>
          <w:p w14:paraId="5FEC1847" w14:textId="4E516288" w:rsidR="00B13706" w:rsidRPr="00E63F03" w:rsidRDefault="00B91881" w:rsidP="00242404">
            <w:pPr>
              <w:pStyle w:val="Tabletext"/>
              <w:cnfStyle w:val="000000000000" w:firstRow="0" w:lastRow="0" w:firstColumn="0" w:lastColumn="0" w:oddVBand="0" w:evenVBand="0" w:oddHBand="0" w:evenHBand="0" w:firstRowFirstColumn="0" w:firstRowLastColumn="0" w:lastRowFirstColumn="0" w:lastRowLastColumn="0"/>
            </w:pPr>
            <w:r w:rsidRPr="00E63F03">
              <w:t>Key variable tests</w:t>
            </w:r>
          </w:p>
        </w:tc>
        <w:tc>
          <w:tcPr>
            <w:tcW w:w="0" w:type="dxa"/>
            <w:vAlign w:val="center"/>
          </w:tcPr>
          <w:p w14:paraId="7F6C4EE1" w14:textId="7F1DF58A" w:rsidR="00B13706" w:rsidRPr="00E63F03" w:rsidRDefault="00B13706" w:rsidP="0090227D">
            <w:pPr>
              <w:pStyle w:val="Tabletext"/>
              <w:cnfStyle w:val="000000000000" w:firstRow="0" w:lastRow="0" w:firstColumn="0" w:lastColumn="0" w:oddVBand="0" w:evenVBand="0" w:oddHBand="0" w:evenHBand="0" w:firstRowFirstColumn="0" w:firstRowLastColumn="0" w:lastRowFirstColumn="0" w:lastRowLastColumn="0"/>
            </w:pPr>
            <w:r w:rsidRPr="00E63F03">
              <w:t xml:space="preserve">Sensitivity </w:t>
            </w:r>
            <w:r w:rsidR="00ED1025" w:rsidRPr="00E63F03">
              <w:t xml:space="preserve">testing undertaken </w:t>
            </w:r>
            <w:r w:rsidR="00D43DFA" w:rsidRPr="00E63F03">
              <w:t>using EIIF assumptions/parameters</w:t>
            </w:r>
            <w:r w:rsidRPr="00E63F03">
              <w:t xml:space="preserve"> </w:t>
            </w:r>
          </w:p>
        </w:tc>
      </w:tr>
    </w:tbl>
    <w:p w14:paraId="23F4B9D4" w14:textId="77777777" w:rsidR="0090227D" w:rsidRDefault="0090227D" w:rsidP="0090227D">
      <w:pPr>
        <w:pStyle w:val="BodyText"/>
      </w:pPr>
    </w:p>
    <w:p w14:paraId="1DF2A84D" w14:textId="7E89AEE9" w:rsidR="00B13706" w:rsidRPr="00751BF3" w:rsidRDefault="00B13706" w:rsidP="007A2CBF">
      <w:pPr>
        <w:pStyle w:val="Heading3"/>
      </w:pPr>
      <w:r>
        <w:t>C</w:t>
      </w:r>
      <w:r w:rsidRPr="00751BF3">
        <w:t>ost inputs</w:t>
      </w:r>
    </w:p>
    <w:p w14:paraId="012F4C0C" w14:textId="77777777" w:rsidR="00B13706" w:rsidRPr="005F7397" w:rsidRDefault="00B13706" w:rsidP="001C7B94">
      <w:pPr>
        <w:pStyle w:val="BodyTextkeepwithnext"/>
      </w:pPr>
      <w:r w:rsidRPr="005F7397">
        <w:t xml:space="preserve">The total J2SI PAD program costs are provide in the table below, and include: </w:t>
      </w:r>
    </w:p>
    <w:p w14:paraId="0E851312" w14:textId="7E7A15B8" w:rsidR="00B13706" w:rsidRPr="005F7397" w:rsidRDefault="00165EC4" w:rsidP="00632D10">
      <w:pPr>
        <w:pStyle w:val="Bullet1stlevel"/>
      </w:pPr>
      <w:r w:rsidRPr="005F7397">
        <w:t>Costs</w:t>
      </w:r>
      <w:r w:rsidR="008D4426" w:rsidRPr="005F7397">
        <w:t xml:space="preserve"> incurred by SHM</w:t>
      </w:r>
      <w:r w:rsidRPr="005F7397">
        <w:t xml:space="preserve"> as part of program delivery</w:t>
      </w:r>
      <w:r w:rsidR="005F7397">
        <w:t>,</w:t>
      </w:r>
      <w:r w:rsidR="008D4426" w:rsidRPr="005F7397">
        <w:t xml:space="preserve"> including staff salaries and wages;</w:t>
      </w:r>
    </w:p>
    <w:p w14:paraId="2239618C" w14:textId="1E411B62" w:rsidR="00B13706" w:rsidRPr="005F7397" w:rsidRDefault="007A1AF5" w:rsidP="00632D10">
      <w:pPr>
        <w:pStyle w:val="Bullet1stlevel"/>
      </w:pPr>
      <w:r w:rsidRPr="005F7397">
        <w:lastRenderedPageBreak/>
        <w:t>Costs associated with t</w:t>
      </w:r>
      <w:r w:rsidR="00B13706" w:rsidRPr="005F7397">
        <w:t>hird part</w:t>
      </w:r>
      <w:r w:rsidR="00E45966" w:rsidRPr="005F7397">
        <w:t>ies</w:t>
      </w:r>
      <w:r w:rsidR="005440B1" w:rsidRPr="005F7397">
        <w:t>,</w:t>
      </w:r>
      <w:r w:rsidR="008D4426" w:rsidRPr="005F7397">
        <w:t xml:space="preserve"> including </w:t>
      </w:r>
      <w:r w:rsidR="00A02379" w:rsidRPr="005F7397">
        <w:t xml:space="preserve">the </w:t>
      </w:r>
      <w:r w:rsidR="005D5F68" w:rsidRPr="005F7397">
        <w:t>consultants, legal fees and UWA; and</w:t>
      </w:r>
      <w:r w:rsidR="005440B1" w:rsidRPr="005F7397">
        <w:t xml:space="preserve"> </w:t>
      </w:r>
      <w:r w:rsidR="00BE0D1A" w:rsidRPr="005F7397">
        <w:t xml:space="preserve"> </w:t>
      </w:r>
    </w:p>
    <w:p w14:paraId="0E600C32" w14:textId="2CA02B48" w:rsidR="00B13706" w:rsidRPr="005F7397" w:rsidRDefault="005F7397" w:rsidP="00632D10">
      <w:pPr>
        <w:pStyle w:val="Bullet1stlevel"/>
      </w:pPr>
      <w:r w:rsidRPr="005F7397">
        <w:t>Costs associated with h</w:t>
      </w:r>
      <w:r w:rsidR="00B13706" w:rsidRPr="005F7397">
        <w:t>ead leasing</w:t>
      </w:r>
      <w:r w:rsidRPr="005F7397">
        <w:t>.</w:t>
      </w:r>
      <w:r w:rsidR="00B13706" w:rsidRPr="005F7397">
        <w:t xml:space="preserve"> </w:t>
      </w:r>
    </w:p>
    <w:p w14:paraId="15C08B35" w14:textId="36F27F52" w:rsidR="00B13706" w:rsidRPr="0074420A" w:rsidRDefault="00B13706" w:rsidP="00134FF5">
      <w:pPr>
        <w:pStyle w:val="Caption"/>
      </w:pPr>
      <w:bookmarkStart w:id="112" w:name="_Toc174547314"/>
      <w:r w:rsidRPr="001B7DA5">
        <w:t xml:space="preserve">Table </w:t>
      </w:r>
      <w:r>
        <w:fldChar w:fldCharType="begin"/>
      </w:r>
      <w:r>
        <w:instrText xml:space="preserve"> SEQ Table \* ARABIC </w:instrText>
      </w:r>
      <w:r>
        <w:fldChar w:fldCharType="separate"/>
      </w:r>
      <w:r w:rsidR="005B05CA">
        <w:rPr>
          <w:noProof/>
        </w:rPr>
        <w:t>13</w:t>
      </w:r>
      <w:r>
        <w:rPr>
          <w:noProof/>
        </w:rPr>
        <w:fldChar w:fldCharType="end"/>
      </w:r>
      <w:r w:rsidRPr="001B7DA5">
        <w:t xml:space="preserve">: </w:t>
      </w:r>
      <w:r w:rsidR="009A15ED">
        <w:t>C</w:t>
      </w:r>
      <w:r>
        <w:t xml:space="preserve">ost inputs </w:t>
      </w:r>
      <w:r w:rsidR="007D22B6">
        <w:t xml:space="preserve">– </w:t>
      </w:r>
      <w:r w:rsidR="00B149EE" w:rsidRPr="003122ED">
        <w:t>Nominal</w:t>
      </w:r>
      <w:r w:rsidR="00E87F11" w:rsidRPr="003122ED">
        <w:t xml:space="preserve"> (in years incurred)</w:t>
      </w:r>
      <w:r w:rsidR="003122ED">
        <w:rPr>
          <w:rStyle w:val="FootnoteReference"/>
        </w:rPr>
        <w:footnoteReference w:id="50"/>
      </w:r>
      <w:bookmarkEnd w:id="112"/>
    </w:p>
    <w:tbl>
      <w:tblPr>
        <w:tblStyle w:val="GridTable1Light-Accent1"/>
        <w:tblW w:w="4678" w:type="dxa"/>
        <w:tblLook w:val="04A0" w:firstRow="1" w:lastRow="0" w:firstColumn="1" w:lastColumn="0" w:noHBand="0" w:noVBand="1"/>
      </w:tblPr>
      <w:tblGrid>
        <w:gridCol w:w="2344"/>
        <w:gridCol w:w="2334"/>
      </w:tblGrid>
      <w:tr w:rsidR="00B13706" w:rsidRPr="00355D26" w14:paraId="7493F136" w14:textId="77777777" w:rsidTr="00E87CFE">
        <w:trPr>
          <w:cnfStyle w:val="100000000000" w:firstRow="1" w:lastRow="0" w:firstColumn="0" w:lastColumn="0" w:oddVBand="0" w:evenVBand="0" w:oddHBand="0" w:evenHBand="0" w:firstRowFirstColumn="0" w:firstRowLastColumn="0" w:lastRowFirstColumn="0" w:lastRowLastColumn="0"/>
          <w:trHeight w:val="480"/>
          <w:tblHeader/>
        </w:trPr>
        <w:tc>
          <w:tcPr>
            <w:cnfStyle w:val="001000000000" w:firstRow="0" w:lastRow="0" w:firstColumn="1" w:lastColumn="0" w:oddVBand="0" w:evenVBand="0" w:oddHBand="0" w:evenHBand="0" w:firstRowFirstColumn="0" w:firstRowLastColumn="0" w:lastRowFirstColumn="0" w:lastRowLastColumn="0"/>
            <w:tcW w:w="2344" w:type="dxa"/>
            <w:tcBorders>
              <w:top w:val="nil"/>
              <w:left w:val="nil"/>
              <w:bottom w:val="single" w:sz="8" w:space="0" w:color="1E49E2" w:themeColor="accent1"/>
              <w:right w:val="nil"/>
            </w:tcBorders>
            <w:shd w:val="clear" w:color="auto" w:fill="auto"/>
            <w:noWrap/>
            <w:vAlign w:val="center"/>
            <w:hideMark/>
          </w:tcPr>
          <w:p w14:paraId="16A93275" w14:textId="6FEC2DDC" w:rsidR="00B13706" w:rsidRPr="004A7693" w:rsidRDefault="00165EC4" w:rsidP="004A7693">
            <w:pPr>
              <w:pStyle w:val="TableHeading"/>
              <w:rPr>
                <w:b/>
                <w:lang w:eastAsia="en-AU"/>
              </w:rPr>
            </w:pPr>
            <w:r w:rsidRPr="004A7693">
              <w:rPr>
                <w:b/>
                <w:lang w:eastAsia="en-AU"/>
              </w:rPr>
              <w:t>Program costs</w:t>
            </w:r>
            <w:r w:rsidR="00EB7789" w:rsidRPr="004A7693">
              <w:rPr>
                <w:b/>
                <w:lang w:eastAsia="en-AU"/>
              </w:rPr>
              <w:t xml:space="preserve"> </w:t>
            </w:r>
          </w:p>
        </w:tc>
        <w:tc>
          <w:tcPr>
            <w:tcW w:w="2334" w:type="dxa"/>
            <w:tcBorders>
              <w:top w:val="nil"/>
              <w:left w:val="nil"/>
              <w:bottom w:val="single" w:sz="8" w:space="0" w:color="1E49E2" w:themeColor="accent1"/>
              <w:right w:val="nil"/>
            </w:tcBorders>
            <w:shd w:val="clear" w:color="auto" w:fill="auto"/>
            <w:vAlign w:val="center"/>
          </w:tcPr>
          <w:p w14:paraId="74016531" w14:textId="77777777" w:rsidR="00B13706" w:rsidRPr="00454AE8" w:rsidRDefault="00B13706" w:rsidP="00F626DF">
            <w:pPr>
              <w:pStyle w:val="TableHeading"/>
              <w:jc w:val="right"/>
              <w:cnfStyle w:val="100000000000" w:firstRow="1" w:lastRow="0" w:firstColumn="0" w:lastColumn="0" w:oddVBand="0" w:evenVBand="0" w:oddHBand="0" w:evenHBand="0" w:firstRowFirstColumn="0" w:firstRowLastColumn="0" w:lastRowFirstColumn="0" w:lastRowLastColumn="0"/>
              <w:rPr>
                <w:b/>
                <w:lang w:eastAsia="en-AU"/>
              </w:rPr>
            </w:pPr>
            <w:r w:rsidRPr="00454AE8">
              <w:rPr>
                <w:b/>
                <w:lang w:eastAsia="en-AU"/>
              </w:rPr>
              <w:t>Amount of payment</w:t>
            </w:r>
          </w:p>
        </w:tc>
      </w:tr>
      <w:tr w:rsidR="00B13706" w:rsidRPr="00355D26" w14:paraId="1BEDCD0F" w14:textId="77777777" w:rsidTr="00E87CFE">
        <w:trPr>
          <w:trHeight w:val="480"/>
        </w:trPr>
        <w:tc>
          <w:tcPr>
            <w:cnfStyle w:val="001000000000" w:firstRow="0" w:lastRow="0" w:firstColumn="1" w:lastColumn="0" w:oddVBand="0" w:evenVBand="0" w:oddHBand="0" w:evenHBand="0" w:firstRowFirstColumn="0" w:firstRowLastColumn="0" w:lastRowFirstColumn="0" w:lastRowLastColumn="0"/>
            <w:tcW w:w="2344" w:type="dxa"/>
            <w:tcBorders>
              <w:top w:val="single" w:sz="8" w:space="0" w:color="1E49E2" w:themeColor="accent1"/>
              <w:left w:val="nil"/>
              <w:bottom w:val="single" w:sz="4" w:space="0" w:color="F2F2F2" w:themeColor="background1" w:themeShade="F2"/>
              <w:right w:val="nil"/>
            </w:tcBorders>
            <w:shd w:val="clear" w:color="auto" w:fill="F2F2F2" w:themeFill="background1" w:themeFillShade="F2"/>
            <w:noWrap/>
            <w:vAlign w:val="center"/>
          </w:tcPr>
          <w:p w14:paraId="6A999622" w14:textId="52A84775" w:rsidR="00B13706" w:rsidRPr="000525E0" w:rsidRDefault="00B13706" w:rsidP="004A7693">
            <w:pPr>
              <w:pStyle w:val="Tabletext"/>
              <w:rPr>
                <w:lang w:eastAsia="en-AU"/>
              </w:rPr>
            </w:pPr>
            <w:r w:rsidRPr="000525E0">
              <w:rPr>
                <w:lang w:eastAsia="en-AU"/>
              </w:rPr>
              <w:t>SHM</w:t>
            </w:r>
            <w:r w:rsidR="008D4426" w:rsidRPr="000525E0">
              <w:rPr>
                <w:lang w:eastAsia="en-AU"/>
              </w:rPr>
              <w:t xml:space="preserve"> </w:t>
            </w:r>
          </w:p>
        </w:tc>
        <w:tc>
          <w:tcPr>
            <w:tcW w:w="2334" w:type="dxa"/>
            <w:tcBorders>
              <w:top w:val="single" w:sz="8" w:space="0" w:color="1E49E2" w:themeColor="accent1"/>
              <w:left w:val="nil"/>
              <w:bottom w:val="single" w:sz="4" w:space="0" w:color="F2F2F2" w:themeColor="background1" w:themeShade="F2"/>
              <w:right w:val="nil"/>
            </w:tcBorders>
            <w:noWrap/>
            <w:vAlign w:val="center"/>
          </w:tcPr>
          <w:p w14:paraId="21217763" w14:textId="77777777" w:rsidR="00B13706" w:rsidRPr="00454AE8" w:rsidRDefault="00B13706" w:rsidP="00F626DF">
            <w:pPr>
              <w:pStyle w:val="Tabletext"/>
              <w:tabs>
                <w:tab w:val="decimal" w:pos="1170"/>
              </w:tabs>
              <w:jc w:val="right"/>
              <w:cnfStyle w:val="000000000000" w:firstRow="0" w:lastRow="0" w:firstColumn="0" w:lastColumn="0" w:oddVBand="0" w:evenVBand="0" w:oddHBand="0" w:evenHBand="0" w:firstRowFirstColumn="0" w:firstRowLastColumn="0" w:lastRowFirstColumn="0" w:lastRowLastColumn="0"/>
              <w:rPr>
                <w:lang w:eastAsia="en-AU"/>
              </w:rPr>
            </w:pPr>
            <w:r w:rsidRPr="00454AE8">
              <w:rPr>
                <w:lang w:eastAsia="en-AU"/>
              </w:rPr>
              <w:t>$11,187,874</w:t>
            </w:r>
          </w:p>
        </w:tc>
      </w:tr>
      <w:tr w:rsidR="00B13706" w:rsidRPr="00355D26" w14:paraId="53B56120" w14:textId="77777777" w:rsidTr="00E87CFE">
        <w:trPr>
          <w:trHeight w:val="480"/>
        </w:trPr>
        <w:tc>
          <w:tcPr>
            <w:cnfStyle w:val="001000000000" w:firstRow="0" w:lastRow="0" w:firstColumn="1" w:lastColumn="0" w:oddVBand="0" w:evenVBand="0" w:oddHBand="0" w:evenHBand="0" w:firstRowFirstColumn="0" w:firstRowLastColumn="0" w:lastRowFirstColumn="0" w:lastRowLastColumn="0"/>
            <w:tcW w:w="2344" w:type="dxa"/>
            <w:tcBorders>
              <w:top w:val="single" w:sz="4" w:space="0" w:color="F2F2F2" w:themeColor="background1" w:themeShade="F2"/>
              <w:left w:val="nil"/>
              <w:bottom w:val="single" w:sz="4" w:space="0" w:color="F2F2F2" w:themeColor="background1" w:themeShade="F2"/>
              <w:right w:val="nil"/>
            </w:tcBorders>
            <w:shd w:val="clear" w:color="auto" w:fill="F2F2F2" w:themeFill="background1" w:themeFillShade="F2"/>
            <w:noWrap/>
            <w:vAlign w:val="center"/>
          </w:tcPr>
          <w:p w14:paraId="0CE085DB" w14:textId="77777777" w:rsidR="00B13706" w:rsidRPr="000525E0" w:rsidRDefault="00B13706" w:rsidP="004A7693">
            <w:pPr>
              <w:pStyle w:val="Tabletext"/>
              <w:rPr>
                <w:lang w:eastAsia="en-AU"/>
              </w:rPr>
            </w:pPr>
            <w:r w:rsidRPr="000525E0">
              <w:rPr>
                <w:lang w:eastAsia="en-AU"/>
              </w:rPr>
              <w:t>Third parties</w:t>
            </w:r>
          </w:p>
        </w:tc>
        <w:tc>
          <w:tcPr>
            <w:tcW w:w="2334" w:type="dxa"/>
            <w:tcBorders>
              <w:top w:val="single" w:sz="4" w:space="0" w:color="F2F2F2" w:themeColor="background1" w:themeShade="F2"/>
              <w:left w:val="nil"/>
              <w:bottom w:val="single" w:sz="4" w:space="0" w:color="F2F2F2" w:themeColor="background1" w:themeShade="F2"/>
              <w:right w:val="nil"/>
            </w:tcBorders>
            <w:noWrap/>
            <w:vAlign w:val="center"/>
          </w:tcPr>
          <w:p w14:paraId="1C7BC806" w14:textId="77777777" w:rsidR="00B13706" w:rsidRPr="00454AE8" w:rsidRDefault="00B13706" w:rsidP="00F626DF">
            <w:pPr>
              <w:pStyle w:val="Tabletext"/>
              <w:tabs>
                <w:tab w:val="decimal" w:pos="1170"/>
              </w:tabs>
              <w:jc w:val="right"/>
              <w:cnfStyle w:val="000000000000" w:firstRow="0" w:lastRow="0" w:firstColumn="0" w:lastColumn="0" w:oddVBand="0" w:evenVBand="0" w:oddHBand="0" w:evenHBand="0" w:firstRowFirstColumn="0" w:firstRowLastColumn="0" w:lastRowFirstColumn="0" w:lastRowLastColumn="0"/>
              <w:rPr>
                <w:lang w:eastAsia="en-AU"/>
              </w:rPr>
            </w:pPr>
            <w:r w:rsidRPr="00454AE8">
              <w:rPr>
                <w:lang w:eastAsia="en-AU"/>
              </w:rPr>
              <w:t>$1,455,429</w:t>
            </w:r>
          </w:p>
        </w:tc>
      </w:tr>
      <w:tr w:rsidR="00B13706" w:rsidRPr="00355D26" w14:paraId="7AAE591D" w14:textId="77777777" w:rsidTr="00E87CFE">
        <w:trPr>
          <w:trHeight w:val="480"/>
        </w:trPr>
        <w:tc>
          <w:tcPr>
            <w:cnfStyle w:val="001000000000" w:firstRow="0" w:lastRow="0" w:firstColumn="1" w:lastColumn="0" w:oddVBand="0" w:evenVBand="0" w:oddHBand="0" w:evenHBand="0" w:firstRowFirstColumn="0" w:firstRowLastColumn="0" w:lastRowFirstColumn="0" w:lastRowLastColumn="0"/>
            <w:tcW w:w="2344" w:type="dxa"/>
            <w:tcBorders>
              <w:top w:val="single" w:sz="4" w:space="0" w:color="F2F2F2" w:themeColor="background1" w:themeShade="F2"/>
              <w:left w:val="nil"/>
              <w:bottom w:val="single" w:sz="4" w:space="0" w:color="F2F2F2" w:themeColor="background1" w:themeShade="F2"/>
              <w:right w:val="nil"/>
            </w:tcBorders>
            <w:shd w:val="clear" w:color="auto" w:fill="F2F2F2" w:themeFill="background1" w:themeFillShade="F2"/>
            <w:noWrap/>
            <w:vAlign w:val="center"/>
            <w:hideMark/>
          </w:tcPr>
          <w:p w14:paraId="705BE562" w14:textId="77777777" w:rsidR="00B13706" w:rsidRPr="000525E0" w:rsidRDefault="00B13706" w:rsidP="004A7693">
            <w:pPr>
              <w:pStyle w:val="Tabletext"/>
              <w:rPr>
                <w:lang w:eastAsia="en-AU"/>
              </w:rPr>
            </w:pPr>
            <w:r w:rsidRPr="000525E0">
              <w:rPr>
                <w:lang w:eastAsia="en-AU"/>
              </w:rPr>
              <w:t>Head leasing</w:t>
            </w:r>
          </w:p>
        </w:tc>
        <w:tc>
          <w:tcPr>
            <w:tcW w:w="2334" w:type="dxa"/>
            <w:tcBorders>
              <w:top w:val="single" w:sz="4" w:space="0" w:color="F2F2F2" w:themeColor="background1" w:themeShade="F2"/>
              <w:left w:val="nil"/>
              <w:bottom w:val="single" w:sz="4" w:space="0" w:color="F2F2F2" w:themeColor="background1" w:themeShade="F2"/>
              <w:right w:val="nil"/>
            </w:tcBorders>
            <w:noWrap/>
            <w:vAlign w:val="center"/>
            <w:hideMark/>
          </w:tcPr>
          <w:p w14:paraId="107BDBDD" w14:textId="77777777" w:rsidR="00B13706" w:rsidRPr="00454AE8" w:rsidRDefault="00B13706" w:rsidP="00F626DF">
            <w:pPr>
              <w:pStyle w:val="Tabletext"/>
              <w:tabs>
                <w:tab w:val="decimal" w:pos="1170"/>
              </w:tabs>
              <w:jc w:val="right"/>
              <w:cnfStyle w:val="000000000000" w:firstRow="0" w:lastRow="0" w:firstColumn="0" w:lastColumn="0" w:oddVBand="0" w:evenVBand="0" w:oddHBand="0" w:evenHBand="0" w:firstRowFirstColumn="0" w:firstRowLastColumn="0" w:lastRowFirstColumn="0" w:lastRowLastColumn="0"/>
              <w:rPr>
                <w:lang w:eastAsia="en-AU"/>
              </w:rPr>
            </w:pPr>
            <w:r w:rsidRPr="00454AE8">
              <w:rPr>
                <w:rFonts w:cstheme="minorHAnsi"/>
              </w:rPr>
              <w:t>$3,232,277</w:t>
            </w:r>
          </w:p>
        </w:tc>
      </w:tr>
      <w:tr w:rsidR="00B13706" w:rsidRPr="00355D26" w14:paraId="0B7E82BB" w14:textId="77777777" w:rsidTr="00E87CFE">
        <w:trPr>
          <w:trHeight w:val="457"/>
        </w:trPr>
        <w:tc>
          <w:tcPr>
            <w:cnfStyle w:val="001000000000" w:firstRow="0" w:lastRow="0" w:firstColumn="1" w:lastColumn="0" w:oddVBand="0" w:evenVBand="0" w:oddHBand="0" w:evenHBand="0" w:firstRowFirstColumn="0" w:firstRowLastColumn="0" w:lastRowFirstColumn="0" w:lastRowLastColumn="0"/>
            <w:tcW w:w="2344" w:type="dxa"/>
            <w:tcBorders>
              <w:top w:val="single" w:sz="4" w:space="0" w:color="F2F2F2" w:themeColor="background1" w:themeShade="F2"/>
              <w:left w:val="nil"/>
              <w:bottom w:val="single" w:sz="4" w:space="0" w:color="F2F2F2" w:themeColor="background1" w:themeShade="F2"/>
              <w:right w:val="nil"/>
            </w:tcBorders>
            <w:shd w:val="clear" w:color="auto" w:fill="F2F2F2" w:themeFill="background1" w:themeFillShade="F2"/>
            <w:noWrap/>
            <w:vAlign w:val="center"/>
            <w:hideMark/>
          </w:tcPr>
          <w:p w14:paraId="0D9DB7B5" w14:textId="13BC0443" w:rsidR="00B13706" w:rsidRPr="000525E0" w:rsidRDefault="00B13706" w:rsidP="004A7693">
            <w:pPr>
              <w:pStyle w:val="Tabletext"/>
              <w:rPr>
                <w:lang w:eastAsia="en-AU"/>
              </w:rPr>
            </w:pPr>
            <w:r w:rsidRPr="000525E0">
              <w:rPr>
                <w:lang w:eastAsia="en-AU"/>
              </w:rPr>
              <w:t>Total</w:t>
            </w:r>
            <w:r w:rsidR="00864EA9">
              <w:rPr>
                <w:lang w:eastAsia="en-AU"/>
              </w:rPr>
              <w:t xml:space="preserve"> (nominal)</w:t>
            </w:r>
          </w:p>
        </w:tc>
        <w:tc>
          <w:tcPr>
            <w:tcW w:w="2334" w:type="dxa"/>
            <w:tcBorders>
              <w:top w:val="single" w:sz="4" w:space="0" w:color="F2F2F2" w:themeColor="background1" w:themeShade="F2"/>
              <w:left w:val="nil"/>
              <w:bottom w:val="single" w:sz="4" w:space="0" w:color="F2F2F2" w:themeColor="background1" w:themeShade="F2"/>
              <w:right w:val="nil"/>
            </w:tcBorders>
            <w:noWrap/>
            <w:vAlign w:val="center"/>
            <w:hideMark/>
          </w:tcPr>
          <w:p w14:paraId="769D4C21" w14:textId="5AD0631F" w:rsidR="00B13706" w:rsidRPr="00454AE8" w:rsidRDefault="00B13706" w:rsidP="00F626DF">
            <w:pPr>
              <w:pStyle w:val="Tabletext"/>
              <w:tabs>
                <w:tab w:val="decimal" w:pos="1170"/>
              </w:tabs>
              <w:jc w:val="right"/>
              <w:cnfStyle w:val="000000000000" w:firstRow="0" w:lastRow="0" w:firstColumn="0" w:lastColumn="0" w:oddVBand="0" w:evenVBand="0" w:oddHBand="0" w:evenHBand="0" w:firstRowFirstColumn="0" w:firstRowLastColumn="0" w:lastRowFirstColumn="0" w:lastRowLastColumn="0"/>
              <w:rPr>
                <w:b/>
                <w:lang w:eastAsia="en-AU"/>
              </w:rPr>
            </w:pPr>
            <w:r w:rsidRPr="00454AE8">
              <w:rPr>
                <w:b/>
                <w:lang w:eastAsia="en-AU"/>
              </w:rPr>
              <w:t>$15,875,581</w:t>
            </w:r>
            <w:r w:rsidR="00504774">
              <w:rPr>
                <w:rStyle w:val="FootnoteReference"/>
                <w:b/>
                <w:lang w:eastAsia="en-AU"/>
              </w:rPr>
              <w:footnoteReference w:id="51"/>
            </w:r>
          </w:p>
        </w:tc>
      </w:tr>
    </w:tbl>
    <w:p w14:paraId="6EABD4D0" w14:textId="46CBE4E1" w:rsidR="00B13706" w:rsidRPr="00372410" w:rsidRDefault="00B13706" w:rsidP="009572B1">
      <w:pPr>
        <w:pStyle w:val="BodyText"/>
      </w:pPr>
      <w:r w:rsidRPr="008D2905">
        <w:t xml:space="preserve">It is acknowledged that </w:t>
      </w:r>
      <w:r w:rsidRPr="00BC0026">
        <w:t>some additional costs</w:t>
      </w:r>
      <w:r>
        <w:t xml:space="preserve"> have not been captured</w:t>
      </w:r>
      <w:r w:rsidR="00A16A69">
        <w:t xml:space="preserve">, primarily the </w:t>
      </w:r>
      <w:r w:rsidRPr="00372410">
        <w:t>administrative costs incurred by DTF, DFFH and Homes Victoria</w:t>
      </w:r>
      <w:r>
        <w:t xml:space="preserve">. These additional costs have not been captured due to difficulties in reliably </w:t>
      </w:r>
      <w:r w:rsidR="00C51BA9">
        <w:t>estimating</w:t>
      </w:r>
      <w:r>
        <w:t xml:space="preserve"> them, </w:t>
      </w:r>
      <w:r w:rsidR="009D5B57">
        <w:t>particularly</w:t>
      </w:r>
      <w:r w:rsidR="00A16A69">
        <w:t xml:space="preserve"> </w:t>
      </w:r>
      <w:r>
        <w:t xml:space="preserve">given </w:t>
      </w:r>
      <w:r w:rsidR="004E0AB8">
        <w:t>that</w:t>
      </w:r>
      <w:r>
        <w:t xml:space="preserve"> </w:t>
      </w:r>
      <w:r w:rsidR="00B851F2">
        <w:t>these</w:t>
      </w:r>
      <w:r>
        <w:t xml:space="preserve"> resources only spent a portion of their time on the J2SI PAD.</w:t>
      </w:r>
    </w:p>
    <w:p w14:paraId="74F404B9" w14:textId="72639B50" w:rsidR="00B13706" w:rsidRDefault="00B13706" w:rsidP="00B13706">
      <w:r>
        <w:t xml:space="preserve">Service as usual costs for the </w:t>
      </w:r>
      <w:r w:rsidR="00BC0026">
        <w:t>non-intervention group</w:t>
      </w:r>
      <w:r>
        <w:t xml:space="preserve"> </w:t>
      </w:r>
      <w:r w:rsidR="00962A4F">
        <w:t xml:space="preserve">have </w:t>
      </w:r>
      <w:r>
        <w:t>not been included as a cost. This is due to the change in service use benefit (</w:t>
      </w:r>
      <w:r w:rsidR="001C7B94">
        <w:t xml:space="preserve">discussed </w:t>
      </w:r>
      <w:r w:rsidR="004160B0">
        <w:t>below</w:t>
      </w:r>
      <w:r>
        <w:t>)</w:t>
      </w:r>
      <w:r w:rsidR="00684F0B">
        <w:t xml:space="preserve"> already capturing th</w:t>
      </w:r>
      <w:r w:rsidR="003F613A">
        <w:t>e incremental difference</w:t>
      </w:r>
      <w:r w:rsidR="008036E1">
        <w:t xml:space="preserve"> in </w:t>
      </w:r>
      <w:r w:rsidR="003F613A">
        <w:t>service costs between the service</w:t>
      </w:r>
      <w:r w:rsidR="00885B88">
        <w:t xml:space="preserve"> as </w:t>
      </w:r>
      <w:r w:rsidR="003F613A">
        <w:t xml:space="preserve">usual </w:t>
      </w:r>
      <w:r w:rsidR="008C1090">
        <w:t xml:space="preserve">non-intervention </w:t>
      </w:r>
      <w:r w:rsidR="00DB04BE">
        <w:t>cohort</w:t>
      </w:r>
      <w:r w:rsidR="008C1090">
        <w:t xml:space="preserve"> </w:t>
      </w:r>
      <w:r w:rsidR="003F613A">
        <w:t>and the J2SI</w:t>
      </w:r>
      <w:r w:rsidR="008C1090">
        <w:t xml:space="preserve"> PAD</w:t>
      </w:r>
      <w:r w:rsidR="00DB04BE">
        <w:t xml:space="preserve"> </w:t>
      </w:r>
      <w:r w:rsidR="003F613A">
        <w:t>cohort.</w:t>
      </w:r>
    </w:p>
    <w:p w14:paraId="5066264A" w14:textId="69405CE2" w:rsidR="00B13706" w:rsidRPr="006D1834" w:rsidRDefault="00B13706" w:rsidP="007A2CBF">
      <w:pPr>
        <w:pStyle w:val="Heading3"/>
      </w:pPr>
      <w:bookmarkStart w:id="113" w:name="_Ref150183878"/>
      <w:r w:rsidRPr="006D1834">
        <w:t>Benefit</w:t>
      </w:r>
      <w:bookmarkEnd w:id="113"/>
      <w:r w:rsidR="00C067F8" w:rsidRPr="006D1834">
        <w:t xml:space="preserve"> inputs</w:t>
      </w:r>
    </w:p>
    <w:p w14:paraId="5892EF61" w14:textId="26061DF1" w:rsidR="00CB4260" w:rsidRDefault="00BC0026" w:rsidP="00BE2F08">
      <w:r w:rsidRPr="008B6284">
        <w:t xml:space="preserve">Identification of </w:t>
      </w:r>
      <w:r w:rsidR="00127E1A" w:rsidRPr="008B6284">
        <w:t xml:space="preserve">J2SI PAD benefits was </w:t>
      </w:r>
      <w:r w:rsidR="004E0AB8">
        <w:t>undertaken</w:t>
      </w:r>
      <w:r w:rsidR="004E0AB8" w:rsidRPr="008B6284">
        <w:t xml:space="preserve"> </w:t>
      </w:r>
      <w:r w:rsidR="00127E1A" w:rsidRPr="008B6284">
        <w:t xml:space="preserve">in collaboration with the EWG and </w:t>
      </w:r>
      <w:r w:rsidR="00807070" w:rsidRPr="008B6284">
        <w:t>builds on the</w:t>
      </w:r>
      <w:r w:rsidR="00962A4F" w:rsidRPr="008B6284">
        <w:t xml:space="preserve"> program</w:t>
      </w:r>
      <w:r w:rsidR="00807070" w:rsidRPr="008B6284">
        <w:t xml:space="preserve"> </w:t>
      </w:r>
      <w:r w:rsidR="005E2972" w:rsidRPr="008B6284">
        <w:t xml:space="preserve">outcomes </w:t>
      </w:r>
      <w:r w:rsidR="004E0AB8">
        <w:t>previously</w:t>
      </w:r>
      <w:r w:rsidR="004E0AB8" w:rsidRPr="008B6284">
        <w:t xml:space="preserve"> </w:t>
      </w:r>
      <w:r w:rsidR="003C3D1F" w:rsidRPr="008B6284">
        <w:t>identified</w:t>
      </w:r>
      <w:r w:rsidR="00BE2F08" w:rsidRPr="008B6284">
        <w:t>.</w:t>
      </w:r>
      <w:r w:rsidR="00CB4260" w:rsidRPr="008B6284">
        <w:t xml:space="preserve"> </w:t>
      </w:r>
      <w:r w:rsidR="008411E2" w:rsidRPr="008B6284">
        <w:t xml:space="preserve">In line with </w:t>
      </w:r>
      <w:r w:rsidR="00724FC1">
        <w:fldChar w:fldCharType="begin" w:fldLock="1"/>
      </w:r>
      <w:r w:rsidR="00724FC1">
        <w:instrText xml:space="preserve"> REF _Ref150413930 \h </w:instrText>
      </w:r>
      <w:r w:rsidR="00724FC1">
        <w:fldChar w:fldCharType="separate"/>
      </w:r>
      <w:r w:rsidR="00724FC1" w:rsidRPr="009173E0">
        <w:t xml:space="preserve">Figure </w:t>
      </w:r>
      <w:r w:rsidR="005C4D6E">
        <w:rPr>
          <w:noProof/>
        </w:rPr>
        <w:t>16</w:t>
      </w:r>
      <w:r w:rsidR="00724FC1">
        <w:fldChar w:fldCharType="end"/>
      </w:r>
      <w:r w:rsidR="008411E2" w:rsidRPr="008B6284">
        <w:t xml:space="preserve"> above, t</w:t>
      </w:r>
      <w:r w:rsidR="00CB4260" w:rsidRPr="008B6284">
        <w:t xml:space="preserve">he benefits </w:t>
      </w:r>
      <w:r w:rsidR="008411E2" w:rsidRPr="008B6284">
        <w:t>captured</w:t>
      </w:r>
      <w:r w:rsidR="00CB4260" w:rsidRPr="008B6284">
        <w:t xml:space="preserve"> </w:t>
      </w:r>
      <w:r w:rsidR="00962A4F" w:rsidRPr="008B6284">
        <w:t>within this</w:t>
      </w:r>
      <w:r w:rsidR="00CB4260" w:rsidRPr="008B6284">
        <w:t xml:space="preserve"> CBA </w:t>
      </w:r>
      <w:r w:rsidR="008B6284" w:rsidRPr="008B6284">
        <w:t>related to changes in clients</w:t>
      </w:r>
      <w:r w:rsidR="004E0AB8">
        <w:t>’</w:t>
      </w:r>
      <w:r w:rsidR="008B6284" w:rsidRPr="008B6284">
        <w:t xml:space="preserve"> service use</w:t>
      </w:r>
      <w:r w:rsidR="006B4213">
        <w:t xml:space="preserve"> and </w:t>
      </w:r>
      <w:r w:rsidR="008B6284" w:rsidRPr="008B6284">
        <w:t>improved quality of life</w:t>
      </w:r>
      <w:r w:rsidR="006B4213">
        <w:t xml:space="preserve">. </w:t>
      </w:r>
      <w:r w:rsidR="008B6284" w:rsidRPr="008B6284">
        <w:t>Each benefit, and the approach to quantification, is discussed in detail below.</w:t>
      </w:r>
      <w:r w:rsidR="00CB4260">
        <w:t xml:space="preserve"> </w:t>
      </w:r>
    </w:p>
    <w:p w14:paraId="67CA6DB3" w14:textId="6DEF3118" w:rsidR="00B13706" w:rsidRPr="00B37312" w:rsidRDefault="00B13706" w:rsidP="00393BCC">
      <w:pPr>
        <w:pStyle w:val="Heading4"/>
      </w:pPr>
      <w:r w:rsidRPr="00B37312">
        <w:t xml:space="preserve">Changes </w:t>
      </w:r>
      <w:r w:rsidR="00CB4260" w:rsidRPr="00B37312">
        <w:t>in service use</w:t>
      </w:r>
      <w:r w:rsidRPr="00B37312">
        <w:t xml:space="preserve"> </w:t>
      </w:r>
    </w:p>
    <w:p w14:paraId="5BDF6389" w14:textId="18134D93" w:rsidR="00B13706" w:rsidRPr="00CF2D4B" w:rsidRDefault="00B13706" w:rsidP="00B13706">
      <w:r w:rsidRPr="00CF2D4B">
        <w:t xml:space="preserve">The J2SI PAD program resulted in a change </w:t>
      </w:r>
      <w:r w:rsidR="00085453">
        <w:t xml:space="preserve">in the way clients used </w:t>
      </w:r>
      <w:r w:rsidRPr="00CF2D4B">
        <w:t xml:space="preserve">health, social, and family violence services, in addition to </w:t>
      </w:r>
      <w:r w:rsidR="00085453">
        <w:t xml:space="preserve">their engagement with </w:t>
      </w:r>
      <w:r w:rsidRPr="00CF2D4B">
        <w:t xml:space="preserve">corrections, resulting in </w:t>
      </w:r>
      <w:r w:rsidR="00897262">
        <w:t>avoided service use</w:t>
      </w:r>
      <w:r w:rsidRPr="00CF2D4B">
        <w:t xml:space="preserve">. </w:t>
      </w:r>
      <w:r w:rsidR="008A2F71">
        <w:t>S</w:t>
      </w:r>
      <w:r w:rsidRPr="00CF2D4B">
        <w:t>tatistical analysis of</w:t>
      </w:r>
      <w:r>
        <w:t xml:space="preserve"> </w:t>
      </w:r>
      <w:r w:rsidRPr="00CF2D4B">
        <w:t xml:space="preserve">VSIIDR data has been undertaken to quantify this </w:t>
      </w:r>
      <w:r w:rsidR="00897262">
        <w:t>avoided service use</w:t>
      </w:r>
      <w:r w:rsidRPr="00CF2D4B">
        <w:t>, by estimating the J2SI PAD</w:t>
      </w:r>
      <w:r w:rsidR="00376781">
        <w:t>’</w:t>
      </w:r>
      <w:r w:rsidR="00085453">
        <w:t>s</w:t>
      </w:r>
      <w:r w:rsidRPr="00CF2D4B">
        <w:t xml:space="preserve"> effect on clients</w:t>
      </w:r>
      <w:r w:rsidR="00376781">
        <w:t>’</w:t>
      </w:r>
      <w:r w:rsidRPr="00CF2D4B">
        <w:t xml:space="preserve"> service use, before monetising the effect </w:t>
      </w:r>
      <w:r w:rsidR="001E020A">
        <w:t>by</w:t>
      </w:r>
      <w:r w:rsidR="000E5A48">
        <w:t xml:space="preserve"> multiplying the marginal outcomes </w:t>
      </w:r>
      <w:r w:rsidR="00AC6E2F">
        <w:t xml:space="preserve">for each service use category (from the outcomes analysis) </w:t>
      </w:r>
      <w:r w:rsidR="000E5A48">
        <w:t>by the</w:t>
      </w:r>
      <w:r w:rsidRPr="00CF2D4B">
        <w:t xml:space="preserve"> unit costs provided by DTF. </w:t>
      </w:r>
    </w:p>
    <w:p w14:paraId="23FA741C" w14:textId="1015C9D0" w:rsidR="00B13706" w:rsidRPr="00CF2D4B" w:rsidRDefault="00B13706" w:rsidP="00B13706">
      <w:r w:rsidRPr="00CF2D4B">
        <w:t>Clients</w:t>
      </w:r>
      <w:r w:rsidR="00376781">
        <w:t>’</w:t>
      </w:r>
      <w:r w:rsidRPr="00CF2D4B">
        <w:t xml:space="preserve"> service use in the first six months of the program </w:t>
      </w:r>
      <w:r w:rsidR="00036EEF">
        <w:t>has been</w:t>
      </w:r>
      <w:r w:rsidRPr="00CF2D4B">
        <w:t xml:space="preserve"> disregarded for the purposes of this benefit calculation, in recognition of the fact that J2SI PAD clients did not </w:t>
      </w:r>
      <w:r w:rsidR="00AC0BC3">
        <w:t xml:space="preserve">immediately </w:t>
      </w:r>
      <w:r w:rsidRPr="00CF2D4B">
        <w:t>enter into stable housing</w:t>
      </w:r>
      <w:r>
        <w:t>, and therefore were unlikely to see meaningful change in service use during this initial phase of the program.</w:t>
      </w:r>
      <w:r w:rsidR="0040046E">
        <w:t xml:space="preserve"> This delayed effect was discussed and agreed in collaboration with the EWG. </w:t>
      </w:r>
    </w:p>
    <w:p w14:paraId="5A451AE1" w14:textId="2DF39EA3" w:rsidR="00FE2070" w:rsidRDefault="00B13706" w:rsidP="00FE2070">
      <w:r>
        <w:t>In line with the CBA approach of measuring incremental</w:t>
      </w:r>
      <w:r w:rsidR="008C7BF6">
        <w:t xml:space="preserve"> program</w:t>
      </w:r>
      <w:r>
        <w:t xml:space="preserve"> benefits,</w:t>
      </w:r>
      <w:r w:rsidR="00417A69">
        <w:t xml:space="preserve"> and as previously discussed,</w:t>
      </w:r>
      <w:r>
        <w:t xml:space="preserve"> the J2S</w:t>
      </w:r>
      <w:r w:rsidR="008A2F71">
        <w:t>I</w:t>
      </w:r>
      <w:r>
        <w:t xml:space="preserve"> PAD client cohort and a service as usual</w:t>
      </w:r>
      <w:r w:rsidRPr="00CF2D4B">
        <w:t xml:space="preserve"> </w:t>
      </w:r>
      <w:r w:rsidR="00F34057">
        <w:t>non-intervention group</w:t>
      </w:r>
      <w:r>
        <w:t xml:space="preserve"> were identified in VSIIDR. The </w:t>
      </w:r>
      <w:r w:rsidR="00F34057">
        <w:t>non-intervention group</w:t>
      </w:r>
      <w:r>
        <w:t xml:space="preserve"> </w:t>
      </w:r>
      <w:r w:rsidR="00484C79">
        <w:t>was</w:t>
      </w:r>
      <w:r w:rsidR="00FE2070">
        <w:t xml:space="preserve"> identified using set </w:t>
      </w:r>
      <w:r w:rsidR="008E03AF">
        <w:t>filters</w:t>
      </w:r>
      <w:r w:rsidR="00FE2070">
        <w:t>, which enabled the</w:t>
      </w:r>
      <w:r w:rsidR="00484C79">
        <w:t xml:space="preserve"> identification of individuals </w:t>
      </w:r>
      <w:r w:rsidR="008C7BF6">
        <w:t xml:space="preserve">who </w:t>
      </w:r>
      <w:r w:rsidR="0009692B">
        <w:t>would have been</w:t>
      </w:r>
      <w:r w:rsidR="00484C79">
        <w:t xml:space="preserve"> eligible for</w:t>
      </w:r>
      <w:r w:rsidR="008C7BF6">
        <w:t xml:space="preserve"> the</w:t>
      </w:r>
      <w:r w:rsidR="00484C79">
        <w:t xml:space="preserve"> J2SI </w:t>
      </w:r>
      <w:r w:rsidR="00FE2070">
        <w:t xml:space="preserve">PAD </w:t>
      </w:r>
      <w:r w:rsidR="008C7BF6">
        <w:t xml:space="preserve">at </w:t>
      </w:r>
      <w:r w:rsidR="0009692B">
        <w:t>some</w:t>
      </w:r>
      <w:r w:rsidR="008C7BF6">
        <w:t xml:space="preserve"> point </w:t>
      </w:r>
      <w:r w:rsidR="00FE2070">
        <w:t xml:space="preserve">in </w:t>
      </w:r>
      <w:r w:rsidR="00AE115E">
        <w:t>time</w:t>
      </w:r>
      <w:r>
        <w:t xml:space="preserve">, however, </w:t>
      </w:r>
      <w:r w:rsidR="00AE115E">
        <w:t>did not</w:t>
      </w:r>
      <w:r>
        <w:t xml:space="preserve"> participate in the program.</w:t>
      </w:r>
      <w:r w:rsidR="004A12CE">
        <w:t xml:space="preserve"> Use of these </w:t>
      </w:r>
      <w:r w:rsidR="008C7BF6">
        <w:t>filters</w:t>
      </w:r>
      <w:r w:rsidR="004A12CE">
        <w:t xml:space="preserve"> meant that individuals included in the </w:t>
      </w:r>
      <w:r w:rsidR="008C7BF6">
        <w:t>non-intervention</w:t>
      </w:r>
      <w:r w:rsidR="004A12CE">
        <w:t xml:space="preserve"> group met the following criteria: </w:t>
      </w:r>
    </w:p>
    <w:p w14:paraId="2825193C" w14:textId="77777777" w:rsidR="00377F2F" w:rsidRDefault="004A12CE" w:rsidP="00632D10">
      <w:pPr>
        <w:pStyle w:val="Bullet1stlevel"/>
      </w:pPr>
      <w:r w:rsidRPr="004A12CE">
        <w:rPr>
          <w:lang w:eastAsia="en-AU"/>
        </w:rPr>
        <w:t>Not being a refuge</w:t>
      </w:r>
      <w:r>
        <w:rPr>
          <w:lang w:eastAsia="en-AU"/>
        </w:rPr>
        <w:t>e</w:t>
      </w:r>
      <w:r w:rsidR="00377F2F">
        <w:rPr>
          <w:lang w:eastAsia="en-AU"/>
        </w:rPr>
        <w:t>;</w:t>
      </w:r>
    </w:p>
    <w:p w14:paraId="3245D110" w14:textId="7F10BA49" w:rsidR="00377F2F" w:rsidRDefault="004A12CE" w:rsidP="00632D10">
      <w:pPr>
        <w:pStyle w:val="Bullet1stlevel"/>
      </w:pPr>
      <w:r w:rsidRPr="004A12CE">
        <w:rPr>
          <w:lang w:eastAsia="en-AU"/>
        </w:rPr>
        <w:t xml:space="preserve">Being </w:t>
      </w:r>
      <w:r w:rsidR="00E61CC9">
        <w:rPr>
          <w:lang w:eastAsia="en-AU"/>
        </w:rPr>
        <w:t xml:space="preserve">aged </w:t>
      </w:r>
      <w:r w:rsidRPr="004A12CE">
        <w:rPr>
          <w:lang w:eastAsia="en-AU"/>
        </w:rPr>
        <w:t xml:space="preserve">between 25 </w:t>
      </w:r>
      <w:r w:rsidR="004D57CB">
        <w:rPr>
          <w:lang w:eastAsia="en-AU"/>
        </w:rPr>
        <w:t xml:space="preserve">years </w:t>
      </w:r>
      <w:r w:rsidRPr="004A12CE">
        <w:rPr>
          <w:lang w:eastAsia="en-AU"/>
        </w:rPr>
        <w:t>and 65</w:t>
      </w:r>
      <w:r w:rsidR="004D57CB">
        <w:rPr>
          <w:lang w:eastAsia="en-AU"/>
        </w:rPr>
        <w:t xml:space="preserve"> years</w:t>
      </w:r>
      <w:r w:rsidR="00377F2F">
        <w:rPr>
          <w:lang w:eastAsia="en-AU"/>
        </w:rPr>
        <w:t xml:space="preserve">; </w:t>
      </w:r>
    </w:p>
    <w:p w14:paraId="3B722A7B" w14:textId="67011A92" w:rsidR="004A12CE" w:rsidRPr="004A12CE" w:rsidRDefault="004A12CE" w:rsidP="00632D10">
      <w:pPr>
        <w:pStyle w:val="Bullet1stlevel"/>
      </w:pPr>
      <w:r w:rsidRPr="004A12CE">
        <w:rPr>
          <w:lang w:eastAsia="en-AU"/>
        </w:rPr>
        <w:t>Income source not being Age pension, Austudy/ABSTUDY, carer allowance, carer payment, employee income, parenting payment, sickness allowance, unincorporated business income or youth allowance</w:t>
      </w:r>
      <w:r w:rsidR="00377F2F">
        <w:rPr>
          <w:lang w:eastAsia="en-AU"/>
        </w:rPr>
        <w:t xml:space="preserve">; </w:t>
      </w:r>
    </w:p>
    <w:p w14:paraId="643F0391" w14:textId="306548C1" w:rsidR="00BA607C" w:rsidRPr="004A12CE" w:rsidRDefault="00BA607C" w:rsidP="00632D10">
      <w:pPr>
        <w:pStyle w:val="Bullet1stlevel"/>
      </w:pPr>
      <w:r w:rsidRPr="00BA607C">
        <w:t xml:space="preserve">Not in a program providing more than 12 months of support such as H2H or StH; </w:t>
      </w:r>
    </w:p>
    <w:p w14:paraId="25D47818" w14:textId="19C77323" w:rsidR="004A12CE" w:rsidRPr="004A12CE" w:rsidRDefault="00377F2F" w:rsidP="00632D10">
      <w:pPr>
        <w:pStyle w:val="Bullet1stlevel"/>
        <w:rPr>
          <w:lang w:eastAsia="en-AU"/>
        </w:rPr>
      </w:pPr>
      <w:r>
        <w:rPr>
          <w:lang w:eastAsia="en-AU"/>
        </w:rPr>
        <w:t>R</w:t>
      </w:r>
      <w:r w:rsidR="004A12CE" w:rsidRPr="004A12CE">
        <w:rPr>
          <w:lang w:eastAsia="en-AU"/>
        </w:rPr>
        <w:t xml:space="preserve">ecorded </w:t>
      </w:r>
      <w:r w:rsidR="004D57CB">
        <w:rPr>
          <w:lang w:eastAsia="en-AU"/>
        </w:rPr>
        <w:t>three</w:t>
      </w:r>
      <w:r w:rsidR="004A12CE" w:rsidRPr="004A12CE">
        <w:rPr>
          <w:lang w:eastAsia="en-AU"/>
        </w:rPr>
        <w:t xml:space="preserve"> consecutive years of </w:t>
      </w:r>
      <w:r w:rsidR="008E78D4">
        <w:rPr>
          <w:lang w:eastAsia="en-AU"/>
        </w:rPr>
        <w:t>at least</w:t>
      </w:r>
      <w:r w:rsidR="004A12CE" w:rsidRPr="004A12CE">
        <w:rPr>
          <w:lang w:eastAsia="en-AU"/>
        </w:rPr>
        <w:t xml:space="preserve"> 42 days of sustained homelessness service use each year</w:t>
      </w:r>
      <w:r>
        <w:rPr>
          <w:lang w:eastAsia="en-AU"/>
        </w:rPr>
        <w:t>; or</w:t>
      </w:r>
    </w:p>
    <w:p w14:paraId="630FE82A" w14:textId="7B8488D3" w:rsidR="004A12CE" w:rsidRPr="004A12CE" w:rsidRDefault="00377F2F" w:rsidP="00632D10">
      <w:pPr>
        <w:pStyle w:val="Bullet1stlevel"/>
      </w:pPr>
      <w:r>
        <w:rPr>
          <w:lang w:eastAsia="en-AU"/>
        </w:rPr>
        <w:lastRenderedPageBreak/>
        <w:t>R</w:t>
      </w:r>
      <w:r w:rsidR="004A12CE" w:rsidRPr="004A12CE">
        <w:rPr>
          <w:lang w:eastAsia="en-AU"/>
        </w:rPr>
        <w:t xml:space="preserve">ecorded </w:t>
      </w:r>
      <w:r w:rsidR="004D57CB">
        <w:rPr>
          <w:lang w:eastAsia="en-AU"/>
        </w:rPr>
        <w:t>three</w:t>
      </w:r>
      <w:r w:rsidR="004A12CE" w:rsidRPr="004A12CE">
        <w:rPr>
          <w:lang w:eastAsia="en-AU"/>
        </w:rPr>
        <w:t xml:space="preserve"> consecutive years of </w:t>
      </w:r>
      <w:r w:rsidR="008E78D4">
        <w:rPr>
          <w:lang w:eastAsia="en-AU"/>
        </w:rPr>
        <w:t xml:space="preserve">at least </w:t>
      </w:r>
      <w:r w:rsidR="004A12CE" w:rsidRPr="004A12CE">
        <w:rPr>
          <w:lang w:eastAsia="en-AU"/>
        </w:rPr>
        <w:t>30 days of sustained homelessness service use each year</w:t>
      </w:r>
      <w:r>
        <w:rPr>
          <w:lang w:eastAsia="en-AU"/>
        </w:rPr>
        <w:t>.</w:t>
      </w:r>
    </w:p>
    <w:p w14:paraId="68A98E56" w14:textId="3572A2AD" w:rsidR="00B13706" w:rsidRPr="00EF0918" w:rsidRDefault="008E03AF" w:rsidP="009572B1">
      <w:pPr>
        <w:pStyle w:val="BodyText"/>
        <w:rPr>
          <w:color w:val="auto"/>
          <w:lang w:eastAsia="en-AU"/>
        </w:rPr>
      </w:pPr>
      <w:r>
        <w:rPr>
          <w:lang w:eastAsia="en-AU"/>
        </w:rPr>
        <w:t>Following filtering of the VSIIDR data</w:t>
      </w:r>
      <w:r w:rsidR="008D4DD2">
        <w:rPr>
          <w:lang w:eastAsia="en-AU"/>
        </w:rPr>
        <w:t xml:space="preserve">, testing </w:t>
      </w:r>
      <w:r w:rsidR="00811E52">
        <w:rPr>
          <w:lang w:eastAsia="en-AU"/>
        </w:rPr>
        <w:t>and refinement</w:t>
      </w:r>
      <w:r w:rsidR="008D4DD2">
        <w:rPr>
          <w:lang w:eastAsia="en-AU"/>
        </w:rPr>
        <w:t xml:space="preserve"> w</w:t>
      </w:r>
      <w:r w:rsidR="00811E52">
        <w:rPr>
          <w:lang w:eastAsia="en-AU"/>
        </w:rPr>
        <w:t>a</w:t>
      </w:r>
      <w:r w:rsidR="008D4DD2">
        <w:rPr>
          <w:lang w:eastAsia="en-AU"/>
        </w:rPr>
        <w:t>s undertaken to ensure the appropriateness of the</w:t>
      </w:r>
      <w:r>
        <w:rPr>
          <w:lang w:eastAsia="en-AU"/>
        </w:rPr>
        <w:t xml:space="preserve"> </w:t>
      </w:r>
      <w:r w:rsidR="00811E52">
        <w:rPr>
          <w:lang w:eastAsia="en-AU"/>
        </w:rPr>
        <w:t xml:space="preserve">observations for the purposes of the </w:t>
      </w:r>
      <w:r w:rsidR="00F34057">
        <w:rPr>
          <w:lang w:eastAsia="en-AU"/>
        </w:rPr>
        <w:t xml:space="preserve">non-intervention </w:t>
      </w:r>
      <w:r w:rsidR="00F34057" w:rsidRPr="00EF0918">
        <w:rPr>
          <w:lang w:eastAsia="en-AU"/>
        </w:rPr>
        <w:t>group</w:t>
      </w:r>
      <w:r w:rsidR="00811E52" w:rsidRPr="00EF0918">
        <w:rPr>
          <w:lang w:eastAsia="en-AU"/>
        </w:rPr>
        <w:t xml:space="preserve">. </w:t>
      </w:r>
      <w:r w:rsidR="00715AB2">
        <w:rPr>
          <w:color w:val="auto"/>
          <w:lang w:eastAsia="en-AU"/>
        </w:rPr>
        <w:fldChar w:fldCharType="begin" w:fldLock="1"/>
      </w:r>
      <w:r w:rsidR="00715AB2">
        <w:rPr>
          <w:lang w:eastAsia="en-AU"/>
        </w:rPr>
        <w:instrText xml:space="preserve"> REF _Ref150451934 \h </w:instrText>
      </w:r>
      <w:r w:rsidR="00715AB2">
        <w:rPr>
          <w:color w:val="auto"/>
          <w:lang w:eastAsia="en-AU"/>
        </w:rPr>
      </w:r>
      <w:r w:rsidR="00715AB2">
        <w:rPr>
          <w:color w:val="auto"/>
          <w:lang w:eastAsia="en-AU"/>
        </w:rPr>
        <w:fldChar w:fldCharType="separate"/>
      </w:r>
      <w:r w:rsidR="000C3641">
        <w:t xml:space="preserve">Table </w:t>
      </w:r>
      <w:r w:rsidR="000C3641">
        <w:rPr>
          <w:noProof/>
        </w:rPr>
        <w:t>13</w:t>
      </w:r>
      <w:r w:rsidR="00715AB2">
        <w:rPr>
          <w:color w:val="auto"/>
          <w:lang w:eastAsia="en-AU"/>
        </w:rPr>
        <w:fldChar w:fldCharType="end"/>
      </w:r>
      <w:r w:rsidR="008A2F71" w:rsidRPr="00EF0918">
        <w:rPr>
          <w:color w:val="auto"/>
          <w:lang w:eastAsia="en-AU"/>
        </w:rPr>
        <w:t xml:space="preserve"> </w:t>
      </w:r>
      <w:r w:rsidR="00B13706" w:rsidRPr="00EF0918">
        <w:rPr>
          <w:color w:val="auto"/>
          <w:lang w:eastAsia="en-AU"/>
        </w:rPr>
        <w:t>presents descriptive statistics</w:t>
      </w:r>
      <w:r w:rsidR="00085453" w:rsidRPr="00EF0918">
        <w:rPr>
          <w:color w:val="auto"/>
          <w:lang w:eastAsia="en-AU"/>
        </w:rPr>
        <w:t xml:space="preserve"> of the two groups</w:t>
      </w:r>
      <w:r w:rsidR="00B13706" w:rsidRPr="00EF0918">
        <w:rPr>
          <w:color w:val="auto"/>
          <w:lang w:eastAsia="en-AU"/>
        </w:rPr>
        <w:t xml:space="preserve">. </w:t>
      </w:r>
      <w:r w:rsidR="00417A69">
        <w:rPr>
          <w:color w:val="auto"/>
          <w:lang w:eastAsia="en-AU"/>
        </w:rPr>
        <w:t>It is noted that there is some imbalance in cohort characteristics, which has been addressed in two ways</w:t>
      </w:r>
      <w:r w:rsidR="005A5771">
        <w:rPr>
          <w:color w:val="auto"/>
          <w:lang w:eastAsia="en-AU"/>
        </w:rPr>
        <w:t xml:space="preserve">: by </w:t>
      </w:r>
      <w:r w:rsidR="00EA4F8F">
        <w:rPr>
          <w:color w:val="auto"/>
          <w:lang w:eastAsia="en-AU"/>
        </w:rPr>
        <w:t xml:space="preserve">performing </w:t>
      </w:r>
      <w:r w:rsidR="00012BAB">
        <w:rPr>
          <w:color w:val="auto"/>
          <w:lang w:eastAsia="en-AU"/>
        </w:rPr>
        <w:t>a</w:t>
      </w:r>
      <w:r w:rsidR="00EA4F8F">
        <w:rPr>
          <w:color w:val="auto"/>
          <w:lang w:eastAsia="en-AU"/>
        </w:rPr>
        <w:t xml:space="preserve"> </w:t>
      </w:r>
      <w:r w:rsidR="00075298">
        <w:rPr>
          <w:color w:val="auto"/>
          <w:lang w:eastAsia="en-AU"/>
        </w:rPr>
        <w:t xml:space="preserve">statistical </w:t>
      </w:r>
      <w:r w:rsidR="00CD2B6B">
        <w:rPr>
          <w:color w:val="auto"/>
          <w:lang w:eastAsia="en-AU"/>
        </w:rPr>
        <w:t xml:space="preserve">analysis on </w:t>
      </w:r>
      <w:r w:rsidR="00EA4F8F">
        <w:rPr>
          <w:color w:val="auto"/>
          <w:lang w:eastAsia="en-AU"/>
        </w:rPr>
        <w:t xml:space="preserve">a matched (weighted) </w:t>
      </w:r>
      <w:r w:rsidR="00CD2B6B">
        <w:rPr>
          <w:color w:val="auto"/>
          <w:lang w:eastAsia="en-AU"/>
        </w:rPr>
        <w:t>sample</w:t>
      </w:r>
      <w:r w:rsidR="00EA4F8F">
        <w:rPr>
          <w:color w:val="auto"/>
          <w:lang w:eastAsia="en-AU"/>
        </w:rPr>
        <w:t xml:space="preserve">, and by </w:t>
      </w:r>
      <w:r w:rsidR="0043219E">
        <w:rPr>
          <w:color w:val="auto"/>
          <w:lang w:eastAsia="en-AU"/>
        </w:rPr>
        <w:t>including control terms in the statistical model equation</w:t>
      </w:r>
      <w:r w:rsidR="00417A69">
        <w:rPr>
          <w:color w:val="auto"/>
          <w:lang w:eastAsia="en-AU"/>
        </w:rPr>
        <w:t xml:space="preserve">. </w:t>
      </w:r>
    </w:p>
    <w:p w14:paraId="4BC65B79" w14:textId="1DEE2527" w:rsidR="00B13706" w:rsidRPr="00EF0918" w:rsidRDefault="00B13706" w:rsidP="00134FF5">
      <w:pPr>
        <w:pStyle w:val="Caption"/>
        <w:rPr>
          <w:lang w:eastAsia="en-AU"/>
        </w:rPr>
      </w:pPr>
      <w:bookmarkStart w:id="114" w:name="_Ref150451934"/>
      <w:bookmarkStart w:id="115" w:name="_Toc174547315"/>
      <w:r w:rsidRPr="00EF0918">
        <w:t xml:space="preserve">Table </w:t>
      </w:r>
      <w:r>
        <w:fldChar w:fldCharType="begin"/>
      </w:r>
      <w:r>
        <w:instrText xml:space="preserve"> SEQ Table \* ARABIC </w:instrText>
      </w:r>
      <w:r>
        <w:fldChar w:fldCharType="separate"/>
      </w:r>
      <w:r w:rsidR="005B05CA">
        <w:rPr>
          <w:noProof/>
        </w:rPr>
        <w:t>14</w:t>
      </w:r>
      <w:r>
        <w:rPr>
          <w:noProof/>
        </w:rPr>
        <w:fldChar w:fldCharType="end"/>
      </w:r>
      <w:bookmarkEnd w:id="114"/>
      <w:r w:rsidRPr="00EF0918">
        <w:t xml:space="preserve">: </w:t>
      </w:r>
      <w:r w:rsidR="00E52CCC">
        <w:t>J2SI</w:t>
      </w:r>
      <w:r w:rsidRPr="00EF0918">
        <w:t xml:space="preserve"> PAD and </w:t>
      </w:r>
      <w:r w:rsidR="008036E1" w:rsidRPr="00EF0918">
        <w:t>non-intervention cohorts</w:t>
      </w:r>
      <w:r w:rsidRPr="00EF0918">
        <w:t xml:space="preserve"> descriptive statistics</w:t>
      </w:r>
      <w:bookmarkEnd w:id="115"/>
    </w:p>
    <w:tbl>
      <w:tblPr>
        <w:tblStyle w:val="KPMGTable"/>
        <w:tblW w:w="0" w:type="auto"/>
        <w:tblLook w:val="04A0" w:firstRow="1" w:lastRow="0" w:firstColumn="1" w:lastColumn="0" w:noHBand="0" w:noVBand="1"/>
      </w:tblPr>
      <w:tblGrid>
        <w:gridCol w:w="2565"/>
        <w:gridCol w:w="2538"/>
        <w:gridCol w:w="2694"/>
      </w:tblGrid>
      <w:tr w:rsidR="00B13706" w14:paraId="1429CF2C" w14:textId="77777777" w:rsidTr="00E87CFE">
        <w:trPr>
          <w:cnfStyle w:val="100000000000" w:firstRow="1" w:lastRow="0" w:firstColumn="0" w:lastColumn="0" w:oddVBand="0" w:evenVBand="0" w:oddHBand="0" w:evenHBand="0" w:firstRowFirstColumn="0" w:firstRowLastColumn="0" w:lastRowFirstColumn="0" w:lastRowLastColumn="0"/>
          <w:trHeight w:val="118"/>
          <w:tblHeader/>
        </w:trPr>
        <w:tc>
          <w:tcPr>
            <w:cnfStyle w:val="001000000000" w:firstRow="0" w:lastRow="0" w:firstColumn="1" w:lastColumn="0" w:oddVBand="0" w:evenVBand="0" w:oddHBand="0" w:evenHBand="0" w:firstRowFirstColumn="0" w:firstRowLastColumn="0" w:lastRowFirstColumn="0" w:lastRowLastColumn="0"/>
            <w:tcW w:w="2565" w:type="dxa"/>
            <w:shd w:val="clear" w:color="auto" w:fill="auto"/>
          </w:tcPr>
          <w:p w14:paraId="13B00FD2" w14:textId="4F1FC570" w:rsidR="00B13706" w:rsidRPr="001D2D60" w:rsidRDefault="00417A69" w:rsidP="00715AB2">
            <w:pPr>
              <w:pStyle w:val="TableHeading"/>
            </w:pPr>
            <w:r>
              <w:t>Group</w:t>
            </w:r>
          </w:p>
        </w:tc>
        <w:tc>
          <w:tcPr>
            <w:tcW w:w="2538" w:type="dxa"/>
            <w:shd w:val="clear" w:color="auto" w:fill="auto"/>
          </w:tcPr>
          <w:p w14:paraId="645B9D1D" w14:textId="77777777" w:rsidR="00B13706" w:rsidRPr="001D2D60" w:rsidRDefault="00B13706" w:rsidP="00715AB2">
            <w:pPr>
              <w:pStyle w:val="TableHeadingCENTRED"/>
              <w:cnfStyle w:val="100000000000" w:firstRow="1" w:lastRow="0" w:firstColumn="0" w:lastColumn="0" w:oddVBand="0" w:evenVBand="0" w:oddHBand="0" w:evenHBand="0" w:firstRowFirstColumn="0" w:firstRowLastColumn="0" w:lastRowFirstColumn="0" w:lastRowLastColumn="0"/>
            </w:pPr>
            <w:r w:rsidRPr="001D2D60">
              <w:t>J2SI PAD</w:t>
            </w:r>
          </w:p>
        </w:tc>
        <w:tc>
          <w:tcPr>
            <w:tcW w:w="2694" w:type="dxa"/>
            <w:shd w:val="clear" w:color="auto" w:fill="auto"/>
          </w:tcPr>
          <w:p w14:paraId="29A759B9" w14:textId="7EFE92A6" w:rsidR="00B13706" w:rsidRPr="001D2D60" w:rsidRDefault="008036E1" w:rsidP="00715AB2">
            <w:pPr>
              <w:pStyle w:val="TableHeadingCENTRED"/>
              <w:cnfStyle w:val="100000000000" w:firstRow="1" w:lastRow="0" w:firstColumn="0" w:lastColumn="0" w:oddVBand="0" w:evenVBand="0" w:oddHBand="0" w:evenHBand="0" w:firstRowFirstColumn="0" w:firstRowLastColumn="0" w:lastRowFirstColumn="0" w:lastRowLastColumn="0"/>
            </w:pPr>
            <w:r>
              <w:t>Non-intervention group</w:t>
            </w:r>
          </w:p>
        </w:tc>
      </w:tr>
      <w:tr w:rsidR="008A2F71" w14:paraId="01D045FE" w14:textId="77777777" w:rsidTr="00E87CFE">
        <w:trPr>
          <w:trHeight w:val="443"/>
        </w:trPr>
        <w:tc>
          <w:tcPr>
            <w:cnfStyle w:val="001000000000" w:firstRow="0" w:lastRow="0" w:firstColumn="1" w:lastColumn="0" w:oddVBand="0" w:evenVBand="0" w:oddHBand="0" w:evenHBand="0" w:firstRowFirstColumn="0" w:firstRowLastColumn="0" w:lastRowFirstColumn="0" w:lastRowLastColumn="0"/>
            <w:tcW w:w="2565" w:type="dxa"/>
            <w:vAlign w:val="center"/>
          </w:tcPr>
          <w:p w14:paraId="22FD90F8" w14:textId="79330E3E" w:rsidR="008A2F71" w:rsidRPr="001D2D60" w:rsidRDefault="008A2F71" w:rsidP="00363017">
            <w:pPr>
              <w:pStyle w:val="Tabletext"/>
            </w:pPr>
            <w:r w:rsidRPr="001D2D60">
              <w:t>Sample size</w:t>
            </w:r>
            <w:r w:rsidR="00E34FC3">
              <w:t>, n</w:t>
            </w:r>
          </w:p>
        </w:tc>
        <w:tc>
          <w:tcPr>
            <w:tcW w:w="2538" w:type="dxa"/>
            <w:shd w:val="clear" w:color="auto" w:fill="auto"/>
            <w:vAlign w:val="center"/>
          </w:tcPr>
          <w:p w14:paraId="74AF4698" w14:textId="27787909" w:rsidR="008A2F71" w:rsidRPr="001D2D60" w:rsidRDefault="00737576" w:rsidP="00363017">
            <w:pPr>
              <w:pStyle w:val="TabletextCENTRED"/>
              <w:cnfStyle w:val="000000000000" w:firstRow="0" w:lastRow="0" w:firstColumn="0" w:lastColumn="0" w:oddVBand="0" w:evenVBand="0" w:oddHBand="0" w:evenHBand="0" w:firstRowFirstColumn="0" w:firstRowLastColumn="0" w:lastRowFirstColumn="0" w:lastRowLastColumn="0"/>
              <w:rPr>
                <w:szCs w:val="20"/>
                <w:highlight w:val="green"/>
              </w:rPr>
            </w:pPr>
            <w:r w:rsidRPr="00737576">
              <w:rPr>
                <w:szCs w:val="20"/>
              </w:rPr>
              <w:t>174</w:t>
            </w:r>
          </w:p>
        </w:tc>
        <w:tc>
          <w:tcPr>
            <w:tcW w:w="2694" w:type="dxa"/>
            <w:vAlign w:val="center"/>
          </w:tcPr>
          <w:p w14:paraId="03342085" w14:textId="02F564E6" w:rsidR="008A2F71" w:rsidRPr="001D2D60" w:rsidRDefault="00E34FC3" w:rsidP="00363017">
            <w:pPr>
              <w:pStyle w:val="TabletextCENTRED"/>
              <w:cnfStyle w:val="000000000000" w:firstRow="0" w:lastRow="0" w:firstColumn="0" w:lastColumn="0" w:oddVBand="0" w:evenVBand="0" w:oddHBand="0" w:evenHBand="0" w:firstRowFirstColumn="0" w:firstRowLastColumn="0" w:lastRowFirstColumn="0" w:lastRowLastColumn="0"/>
              <w:rPr>
                <w:szCs w:val="20"/>
                <w:highlight w:val="green"/>
              </w:rPr>
            </w:pPr>
            <w:r w:rsidRPr="00E34FC3">
              <w:rPr>
                <w:szCs w:val="20"/>
              </w:rPr>
              <w:t>881</w:t>
            </w:r>
          </w:p>
        </w:tc>
      </w:tr>
      <w:tr w:rsidR="008A2F71" w14:paraId="376DDAEF" w14:textId="77777777" w:rsidTr="00E87CFE">
        <w:trPr>
          <w:trHeight w:val="420"/>
        </w:trPr>
        <w:tc>
          <w:tcPr>
            <w:cnfStyle w:val="001000000000" w:firstRow="0" w:lastRow="0" w:firstColumn="1" w:lastColumn="0" w:oddVBand="0" w:evenVBand="0" w:oddHBand="0" w:evenHBand="0" w:firstRowFirstColumn="0" w:firstRowLastColumn="0" w:lastRowFirstColumn="0" w:lastRowLastColumn="0"/>
            <w:tcW w:w="2565" w:type="dxa"/>
            <w:vAlign w:val="center"/>
          </w:tcPr>
          <w:p w14:paraId="2E19D32E" w14:textId="2EEECCEA" w:rsidR="008A2F71" w:rsidRPr="001D2D60" w:rsidRDefault="008A2F71" w:rsidP="00363017">
            <w:pPr>
              <w:pStyle w:val="Tabletext"/>
            </w:pPr>
            <w:r w:rsidRPr="001D2D60">
              <w:t>Age</w:t>
            </w:r>
            <w:r w:rsidR="00E34FC3">
              <w:t>, mean years</w:t>
            </w:r>
          </w:p>
        </w:tc>
        <w:tc>
          <w:tcPr>
            <w:tcW w:w="2538" w:type="dxa"/>
            <w:shd w:val="clear" w:color="auto" w:fill="auto"/>
            <w:vAlign w:val="center"/>
          </w:tcPr>
          <w:p w14:paraId="2FC75523" w14:textId="0F038DEB" w:rsidR="008A2F71" w:rsidRPr="006A1E60" w:rsidRDefault="00E34FC3"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41.3</w:t>
            </w:r>
          </w:p>
        </w:tc>
        <w:tc>
          <w:tcPr>
            <w:tcW w:w="2694" w:type="dxa"/>
            <w:vAlign w:val="center"/>
          </w:tcPr>
          <w:p w14:paraId="0D19F237" w14:textId="60CC5F95" w:rsidR="008A2F71" w:rsidRPr="006A1E60" w:rsidRDefault="00E34FC3"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40.9</w:t>
            </w:r>
          </w:p>
        </w:tc>
      </w:tr>
      <w:tr w:rsidR="008A2F71" w14:paraId="070AA8B7" w14:textId="77777777" w:rsidTr="00E87CFE">
        <w:trPr>
          <w:trHeight w:val="423"/>
        </w:trPr>
        <w:tc>
          <w:tcPr>
            <w:cnfStyle w:val="001000000000" w:firstRow="0" w:lastRow="0" w:firstColumn="1" w:lastColumn="0" w:oddVBand="0" w:evenVBand="0" w:oddHBand="0" w:evenHBand="0" w:firstRowFirstColumn="0" w:firstRowLastColumn="0" w:lastRowFirstColumn="0" w:lastRowLastColumn="0"/>
            <w:tcW w:w="2565" w:type="dxa"/>
            <w:vAlign w:val="center"/>
          </w:tcPr>
          <w:p w14:paraId="0C74CA16" w14:textId="00685714" w:rsidR="008A2F71" w:rsidRPr="001D2D60" w:rsidRDefault="008A2F71" w:rsidP="00363017">
            <w:pPr>
              <w:pStyle w:val="Tabletext"/>
            </w:pPr>
            <w:r w:rsidRPr="001D2D60">
              <w:t>Gender</w:t>
            </w:r>
            <w:r w:rsidR="00E34FC3">
              <w:t>, male %</w:t>
            </w:r>
          </w:p>
        </w:tc>
        <w:tc>
          <w:tcPr>
            <w:tcW w:w="2538" w:type="dxa"/>
            <w:shd w:val="clear" w:color="auto" w:fill="auto"/>
            <w:vAlign w:val="center"/>
          </w:tcPr>
          <w:p w14:paraId="77795780" w14:textId="678A19A1" w:rsidR="008A2F71" w:rsidRPr="006A1E60" w:rsidRDefault="00783E10"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63.0%</w:t>
            </w:r>
          </w:p>
        </w:tc>
        <w:tc>
          <w:tcPr>
            <w:tcW w:w="2694" w:type="dxa"/>
            <w:vAlign w:val="center"/>
          </w:tcPr>
          <w:p w14:paraId="051EBB78" w14:textId="38061B77" w:rsidR="008A2F71" w:rsidRPr="006A1E60" w:rsidRDefault="00783E10"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57.2%</w:t>
            </w:r>
          </w:p>
        </w:tc>
      </w:tr>
      <w:tr w:rsidR="008A2F71" w14:paraId="4E100FCA" w14:textId="77777777" w:rsidTr="00E87CFE">
        <w:trPr>
          <w:trHeight w:val="400"/>
        </w:trPr>
        <w:tc>
          <w:tcPr>
            <w:cnfStyle w:val="001000000000" w:firstRow="0" w:lastRow="0" w:firstColumn="1" w:lastColumn="0" w:oddVBand="0" w:evenVBand="0" w:oddHBand="0" w:evenHBand="0" w:firstRowFirstColumn="0" w:firstRowLastColumn="0" w:lastRowFirstColumn="0" w:lastRowLastColumn="0"/>
            <w:tcW w:w="2565" w:type="dxa"/>
            <w:vAlign w:val="center"/>
          </w:tcPr>
          <w:p w14:paraId="3EF717D9" w14:textId="4B8EF395" w:rsidR="008A2F71" w:rsidRPr="001D2D60" w:rsidRDefault="008A2F71" w:rsidP="00363017">
            <w:pPr>
              <w:pStyle w:val="Tabletext"/>
            </w:pPr>
            <w:r w:rsidRPr="001D2D60">
              <w:t>Indigenous status</w:t>
            </w:r>
            <w:r w:rsidR="00E34FC3">
              <w:t>, %</w:t>
            </w:r>
          </w:p>
        </w:tc>
        <w:tc>
          <w:tcPr>
            <w:tcW w:w="2538" w:type="dxa"/>
            <w:shd w:val="clear" w:color="auto" w:fill="auto"/>
            <w:vAlign w:val="center"/>
          </w:tcPr>
          <w:p w14:paraId="285AAF7C" w14:textId="0804B358" w:rsidR="008A2F71" w:rsidRPr="006A1E60" w:rsidRDefault="006A1E60"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8</w:t>
            </w:r>
            <w:r w:rsidR="00142B84" w:rsidRPr="006A1E60">
              <w:rPr>
                <w:szCs w:val="20"/>
              </w:rPr>
              <w:t>.1</w:t>
            </w:r>
            <w:r w:rsidRPr="006A1E60">
              <w:rPr>
                <w:szCs w:val="20"/>
              </w:rPr>
              <w:t>%</w:t>
            </w:r>
          </w:p>
        </w:tc>
        <w:tc>
          <w:tcPr>
            <w:tcW w:w="2694" w:type="dxa"/>
            <w:vAlign w:val="center"/>
          </w:tcPr>
          <w:p w14:paraId="3A0ADEBF" w14:textId="3760F2EA" w:rsidR="008A2F71" w:rsidRPr="006A1E60" w:rsidRDefault="00142B84"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14.</w:t>
            </w:r>
            <w:r w:rsidR="006A1E60" w:rsidRPr="006A1E60">
              <w:rPr>
                <w:szCs w:val="20"/>
              </w:rPr>
              <w:t>8%</w:t>
            </w:r>
          </w:p>
        </w:tc>
      </w:tr>
      <w:tr w:rsidR="006A1E60" w14:paraId="551AD6FA" w14:textId="77777777" w:rsidTr="00E87CFE">
        <w:trPr>
          <w:trHeight w:val="390"/>
        </w:trPr>
        <w:tc>
          <w:tcPr>
            <w:cnfStyle w:val="001000000000" w:firstRow="0" w:lastRow="0" w:firstColumn="1" w:lastColumn="0" w:oddVBand="0" w:evenVBand="0" w:oddHBand="0" w:evenHBand="0" w:firstRowFirstColumn="0" w:firstRowLastColumn="0" w:lastRowFirstColumn="0" w:lastRowLastColumn="0"/>
            <w:tcW w:w="2565" w:type="dxa"/>
            <w:vAlign w:val="center"/>
          </w:tcPr>
          <w:p w14:paraId="33B96C6B" w14:textId="09B7A09C" w:rsidR="006A1E60" w:rsidRPr="001D2D60" w:rsidRDefault="006A1E60" w:rsidP="00363017">
            <w:pPr>
              <w:pStyle w:val="Tabletext"/>
            </w:pPr>
            <w:r>
              <w:t>Born overseas, %</w:t>
            </w:r>
          </w:p>
        </w:tc>
        <w:tc>
          <w:tcPr>
            <w:tcW w:w="2538" w:type="dxa"/>
            <w:shd w:val="clear" w:color="auto" w:fill="auto"/>
            <w:vAlign w:val="center"/>
          </w:tcPr>
          <w:p w14:paraId="6B810695" w14:textId="2A742EF9" w:rsidR="006A1E60" w:rsidRPr="006A1E60" w:rsidRDefault="006A1E60"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17.9%</w:t>
            </w:r>
          </w:p>
        </w:tc>
        <w:tc>
          <w:tcPr>
            <w:tcW w:w="2694" w:type="dxa"/>
            <w:vAlign w:val="center"/>
          </w:tcPr>
          <w:p w14:paraId="4FE6676E" w14:textId="661FEA5F" w:rsidR="006A1E60" w:rsidRPr="006A1E60" w:rsidRDefault="006A1E60" w:rsidP="00363017">
            <w:pPr>
              <w:pStyle w:val="TabletextCENTRED"/>
              <w:cnfStyle w:val="000000000000" w:firstRow="0" w:lastRow="0" w:firstColumn="0" w:lastColumn="0" w:oddVBand="0" w:evenVBand="0" w:oddHBand="0" w:evenHBand="0" w:firstRowFirstColumn="0" w:firstRowLastColumn="0" w:lastRowFirstColumn="0" w:lastRowLastColumn="0"/>
              <w:rPr>
                <w:szCs w:val="20"/>
              </w:rPr>
            </w:pPr>
            <w:r w:rsidRPr="006A1E60">
              <w:rPr>
                <w:szCs w:val="20"/>
              </w:rPr>
              <w:t>9.1%</w:t>
            </w:r>
          </w:p>
        </w:tc>
      </w:tr>
    </w:tbl>
    <w:p w14:paraId="158FD27C" w14:textId="1DF5C01A" w:rsidR="00382D37" w:rsidRDefault="00F42591" w:rsidP="009572B1">
      <w:pPr>
        <w:pStyle w:val="BodyText"/>
      </w:pPr>
      <w:r>
        <w:t xml:space="preserve">With </w:t>
      </w:r>
      <w:r w:rsidR="00B13706">
        <w:t xml:space="preserve">the J2SI PAD and </w:t>
      </w:r>
      <w:r w:rsidR="00085453">
        <w:t>non-intervention groups</w:t>
      </w:r>
      <w:r w:rsidR="00B13706">
        <w:t xml:space="preserve"> identified</w:t>
      </w:r>
      <w:r>
        <w:t xml:space="preserve">, </w:t>
      </w:r>
      <w:r w:rsidR="00F26FBE">
        <w:t>statistical modelling using panel data methods</w:t>
      </w:r>
      <w:r w:rsidR="006E5B76">
        <w:t xml:space="preserve"> was </w:t>
      </w:r>
      <w:r w:rsidR="00172374">
        <w:t>undertaken</w:t>
      </w:r>
      <w:r w:rsidR="006E5B76">
        <w:t xml:space="preserve"> to estimate the program</w:t>
      </w:r>
      <w:r w:rsidR="002259A1">
        <w:t>’</w:t>
      </w:r>
      <w:r w:rsidR="006E5B76">
        <w:t xml:space="preserve">s </w:t>
      </w:r>
      <w:r w:rsidR="00172374">
        <w:t xml:space="preserve">incremental </w:t>
      </w:r>
      <w:r w:rsidR="00B13706">
        <w:t>effect</w:t>
      </w:r>
      <w:r w:rsidR="00A8608B">
        <w:t xml:space="preserve">. </w:t>
      </w:r>
    </w:p>
    <w:p w14:paraId="6562C7B1" w14:textId="1B5E134C" w:rsidR="00511D61" w:rsidRDefault="00382D37" w:rsidP="009572B1">
      <w:pPr>
        <w:pStyle w:val="BodyText"/>
      </w:pPr>
      <w:r>
        <w:t>The</w:t>
      </w:r>
      <w:r w:rsidR="00B13706">
        <w:t xml:space="preserve"> analysis produced statistically significant </w:t>
      </w:r>
      <w:r w:rsidR="00B13706" w:rsidRPr="006E135C">
        <w:t xml:space="preserve">marginal </w:t>
      </w:r>
      <w:r w:rsidR="00B13706">
        <w:t>effects (differences)</w:t>
      </w:r>
      <w:r w:rsidR="00B13706" w:rsidRPr="006E135C">
        <w:t xml:space="preserve"> in service </w:t>
      </w:r>
      <w:r w:rsidR="00B13706">
        <w:t>use</w:t>
      </w:r>
      <w:r w:rsidR="00B13706" w:rsidRPr="006E135C">
        <w:t xml:space="preserve"> </w:t>
      </w:r>
      <w:r w:rsidR="00B13706">
        <w:t xml:space="preserve">between the J2SI PAD and </w:t>
      </w:r>
      <w:r w:rsidR="009730A2">
        <w:t>non-intervention group</w:t>
      </w:r>
      <w:r w:rsidR="00122D09">
        <w:t>s</w:t>
      </w:r>
      <w:r w:rsidR="00B13706">
        <w:t>, on a per participant</w:t>
      </w:r>
      <w:r w:rsidR="000C3641">
        <w:t>,</w:t>
      </w:r>
      <w:r w:rsidR="00B13706">
        <w:t xml:space="preserve"> per </w:t>
      </w:r>
      <w:r w:rsidR="00F64A68">
        <w:t xml:space="preserve">year </w:t>
      </w:r>
      <w:r w:rsidR="00B13706">
        <w:t>basis for the duration of the program (adjusting for the six month delay)</w:t>
      </w:r>
      <w:r>
        <w:t xml:space="preserve">, for the services </w:t>
      </w:r>
      <w:r w:rsidR="00FA530A">
        <w:t xml:space="preserve">included in </w:t>
      </w:r>
      <w:r w:rsidR="008D7AA8">
        <w:fldChar w:fldCharType="begin"/>
      </w:r>
      <w:r w:rsidR="008D7AA8">
        <w:instrText xml:space="preserve"> REF _Ref150241160 \h </w:instrText>
      </w:r>
      <w:r w:rsidR="009572B1">
        <w:instrText xml:space="preserve"> \* MERGEFORMAT </w:instrText>
      </w:r>
      <w:r w:rsidR="008D7AA8">
        <w:fldChar w:fldCharType="separate"/>
      </w:r>
      <w:r w:rsidR="005B05CA" w:rsidRPr="003122ED">
        <w:t xml:space="preserve">Table </w:t>
      </w:r>
      <w:r w:rsidR="005B05CA">
        <w:rPr>
          <w:noProof/>
        </w:rPr>
        <w:t>15</w:t>
      </w:r>
      <w:r w:rsidR="008D7AA8">
        <w:fldChar w:fldCharType="end"/>
      </w:r>
      <w:r w:rsidR="00B13706">
        <w:t>.</w:t>
      </w:r>
      <w:r w:rsidR="00122D09">
        <w:t xml:space="preserve"> </w:t>
      </w:r>
    </w:p>
    <w:p w14:paraId="5AB937E0" w14:textId="644ACCEB" w:rsidR="00B13706" w:rsidRPr="00914B81" w:rsidRDefault="00751BF3" w:rsidP="00134FF5">
      <w:pPr>
        <w:pStyle w:val="Caption"/>
      </w:pPr>
      <w:bookmarkStart w:id="116" w:name="_Ref150241160"/>
      <w:bookmarkStart w:id="117" w:name="_Toc174547316"/>
      <w:r w:rsidRPr="003122ED">
        <w:t xml:space="preserve">Table </w:t>
      </w:r>
      <w:r>
        <w:fldChar w:fldCharType="begin"/>
      </w:r>
      <w:r>
        <w:instrText xml:space="preserve"> SEQ Table \* ARABIC </w:instrText>
      </w:r>
      <w:r>
        <w:fldChar w:fldCharType="separate"/>
      </w:r>
      <w:r w:rsidR="005B05CA">
        <w:rPr>
          <w:noProof/>
        </w:rPr>
        <w:t>15</w:t>
      </w:r>
      <w:r>
        <w:rPr>
          <w:noProof/>
        </w:rPr>
        <w:fldChar w:fldCharType="end"/>
      </w:r>
      <w:bookmarkEnd w:id="116"/>
      <w:r w:rsidR="00B13706" w:rsidRPr="003122ED">
        <w:t xml:space="preserve">: Table </w:t>
      </w:r>
      <w:r w:rsidR="00B13706" w:rsidRPr="00914B81">
        <w:t>of variables and their margins on a per unit (person-months) basis</w:t>
      </w:r>
      <w:bookmarkEnd w:id="117"/>
    </w:p>
    <w:tbl>
      <w:tblPr>
        <w:tblStyle w:val="KPMGTable"/>
        <w:tblW w:w="9585" w:type="dxa"/>
        <w:tblLayout w:type="fixed"/>
        <w:tblLook w:val="04A0" w:firstRow="1" w:lastRow="0" w:firstColumn="1" w:lastColumn="0" w:noHBand="0" w:noVBand="1"/>
      </w:tblPr>
      <w:tblGrid>
        <w:gridCol w:w="1498"/>
        <w:gridCol w:w="3329"/>
        <w:gridCol w:w="1922"/>
        <w:gridCol w:w="1188"/>
        <w:gridCol w:w="1648"/>
      </w:tblGrid>
      <w:tr w:rsidR="00134FF5" w:rsidRPr="00BC7AA4" w14:paraId="269CFFD2" w14:textId="77777777" w:rsidTr="00393BC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0EA16C23" w14:textId="77777777" w:rsidR="00134FF5" w:rsidRPr="003122ED" w:rsidRDefault="00134FF5" w:rsidP="00393BCC">
            <w:pPr>
              <w:pStyle w:val="TableHeading"/>
              <w:spacing w:before="60" w:after="60"/>
              <w:rPr>
                <w:rFonts w:eastAsia="Times New Roman" w:cs="Arial"/>
                <w:szCs w:val="18"/>
                <w:lang w:eastAsia="en-AU"/>
              </w:rPr>
            </w:pPr>
            <w:r w:rsidRPr="003122ED">
              <w:rPr>
                <w:rFonts w:cs="Arial"/>
                <w:szCs w:val="18"/>
                <w:lang w:eastAsia="en-AU"/>
              </w:rPr>
              <w:t>S</w:t>
            </w:r>
            <w:r w:rsidRPr="003122ED">
              <w:rPr>
                <w:rFonts w:eastAsia="Times New Roman" w:cs="Arial"/>
                <w:szCs w:val="18"/>
                <w:lang w:eastAsia="en-AU"/>
              </w:rPr>
              <w:t>ervice</w:t>
            </w:r>
          </w:p>
        </w:tc>
        <w:tc>
          <w:tcPr>
            <w:tcW w:w="3329" w:type="dxa"/>
            <w:shd w:val="clear" w:color="auto" w:fill="auto"/>
            <w:noWrap/>
            <w:vAlign w:val="center"/>
            <w:hideMark/>
          </w:tcPr>
          <w:p w14:paraId="61BE336F" w14:textId="3EB22CDB" w:rsidR="00134FF5" w:rsidRPr="003122ED" w:rsidRDefault="00134FF5" w:rsidP="00393BCC">
            <w:pPr>
              <w:pStyle w:val="TableHeading"/>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en-AU"/>
              </w:rPr>
            </w:pPr>
            <w:r w:rsidRPr="003122ED">
              <w:rPr>
                <w:rFonts w:cs="Arial"/>
                <w:szCs w:val="18"/>
              </w:rPr>
              <w:t>Variable description</w:t>
            </w:r>
          </w:p>
        </w:tc>
        <w:tc>
          <w:tcPr>
            <w:tcW w:w="1922" w:type="dxa"/>
            <w:shd w:val="clear" w:color="auto" w:fill="auto"/>
            <w:noWrap/>
            <w:vAlign w:val="center"/>
            <w:hideMark/>
          </w:tcPr>
          <w:p w14:paraId="58C8166B" w14:textId="5AE8C08D" w:rsidR="00134FF5" w:rsidRPr="00BC7AA4" w:rsidRDefault="00134FF5" w:rsidP="00393BCC">
            <w:pPr>
              <w:pStyle w:val="TableHeading"/>
              <w:spacing w:before="60" w:after="60"/>
              <w:cnfStyle w:val="100000000000" w:firstRow="1" w:lastRow="0" w:firstColumn="0" w:lastColumn="0" w:oddVBand="0" w:evenVBand="0" w:oddHBand="0" w:evenHBand="0" w:firstRowFirstColumn="0" w:firstRowLastColumn="0" w:lastRowFirstColumn="0" w:lastRowLastColumn="0"/>
              <w:rPr>
                <w:rFonts w:eastAsia="Times New Roman" w:cs="Arial"/>
                <w:b w:val="0"/>
                <w:szCs w:val="18"/>
                <w:lang w:eastAsia="en-AU"/>
              </w:rPr>
            </w:pPr>
            <w:r w:rsidRPr="00BC7AA4">
              <w:rPr>
                <w:rFonts w:cs="Arial"/>
                <w:szCs w:val="18"/>
              </w:rPr>
              <w:t>Unit</w:t>
            </w:r>
          </w:p>
        </w:tc>
        <w:tc>
          <w:tcPr>
            <w:tcW w:w="1188" w:type="dxa"/>
            <w:shd w:val="clear" w:color="auto" w:fill="auto"/>
            <w:noWrap/>
            <w:vAlign w:val="center"/>
            <w:hideMark/>
          </w:tcPr>
          <w:p w14:paraId="0F10F2B2" w14:textId="77777777" w:rsidR="00134FF5" w:rsidRPr="00BC7AA4" w:rsidRDefault="00134FF5" w:rsidP="00393BCC">
            <w:pPr>
              <w:pStyle w:val="TableHeading"/>
              <w:spacing w:before="60" w:after="60"/>
              <w:jc w:val="right"/>
              <w:cnfStyle w:val="100000000000" w:firstRow="1" w:lastRow="0" w:firstColumn="0" w:lastColumn="0" w:oddVBand="0" w:evenVBand="0" w:oddHBand="0" w:evenHBand="0" w:firstRowFirstColumn="0" w:firstRowLastColumn="0" w:lastRowFirstColumn="0" w:lastRowLastColumn="0"/>
              <w:rPr>
                <w:rFonts w:eastAsia="Times New Roman" w:cs="Arial"/>
                <w:b w:val="0"/>
                <w:szCs w:val="18"/>
                <w:lang w:eastAsia="en-AU"/>
              </w:rPr>
            </w:pPr>
            <w:r w:rsidRPr="00BC7AA4">
              <w:rPr>
                <w:rFonts w:cs="Arial"/>
                <w:szCs w:val="18"/>
                <w:lang w:eastAsia="en-AU"/>
              </w:rPr>
              <w:t xml:space="preserve">Marginal effect / difference </w:t>
            </w:r>
          </w:p>
        </w:tc>
        <w:tc>
          <w:tcPr>
            <w:tcW w:w="1648" w:type="dxa"/>
            <w:vAlign w:val="center"/>
          </w:tcPr>
          <w:p w14:paraId="37C89F88" w14:textId="71FEBCE3" w:rsidR="00134FF5" w:rsidRPr="003122ED" w:rsidRDefault="00134FF5" w:rsidP="00393BCC">
            <w:pPr>
              <w:pStyle w:val="TableHeading"/>
              <w:spacing w:before="60" w:after="60"/>
              <w:jc w:val="right"/>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en-AU"/>
              </w:rPr>
            </w:pPr>
            <w:r w:rsidRPr="003122ED">
              <w:rPr>
                <w:rFonts w:cs="Arial"/>
                <w:szCs w:val="18"/>
                <w:lang w:eastAsia="en-AU"/>
              </w:rPr>
              <w:t xml:space="preserve">Total </w:t>
            </w:r>
            <w:r w:rsidRPr="003122ED">
              <w:rPr>
                <w:rFonts w:eastAsia="Times New Roman" w:cs="Arial"/>
                <w:szCs w:val="18"/>
                <w:lang w:eastAsia="en-AU"/>
              </w:rPr>
              <w:t>Monetised benefit</w:t>
            </w:r>
            <w:r>
              <w:rPr>
                <w:rFonts w:eastAsia="Times New Roman" w:cs="Arial"/>
                <w:szCs w:val="18"/>
                <w:lang w:eastAsia="en-AU"/>
              </w:rPr>
              <w:t xml:space="preserve"> (</w:t>
            </w:r>
            <w:r w:rsidRPr="003122ED">
              <w:rPr>
                <w:rFonts w:eastAsia="Times New Roman" w:cs="Arial"/>
                <w:szCs w:val="18"/>
                <w:lang w:eastAsia="en-AU"/>
              </w:rPr>
              <w:t>real, $FY24</w:t>
            </w:r>
            <w:r>
              <w:rPr>
                <w:rFonts w:eastAsia="Times New Roman" w:cs="Arial"/>
                <w:szCs w:val="18"/>
                <w:lang w:eastAsia="en-AU"/>
              </w:rPr>
              <w:t>)</w:t>
            </w:r>
          </w:p>
        </w:tc>
      </w:tr>
      <w:tr w:rsidR="00F01861" w:rsidRPr="00BC7AA4" w14:paraId="635157B3"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700EE5D7" w14:textId="77777777" w:rsidR="00F01861" w:rsidRPr="00BC7AA4" w:rsidRDefault="00F01861" w:rsidP="000C3641">
            <w:pPr>
              <w:pStyle w:val="Tabletext"/>
              <w:rPr>
                <w:rFonts w:cs="Arial"/>
                <w:szCs w:val="18"/>
                <w:lang w:eastAsia="en-AU"/>
              </w:rPr>
            </w:pPr>
            <w:r w:rsidRPr="00BC7AA4">
              <w:rPr>
                <w:rFonts w:cs="Arial"/>
                <w:szCs w:val="18"/>
                <w:lang w:eastAsia="en-AU"/>
              </w:rPr>
              <w:t>ED</w:t>
            </w:r>
          </w:p>
        </w:tc>
        <w:tc>
          <w:tcPr>
            <w:tcW w:w="3329" w:type="dxa"/>
            <w:shd w:val="clear" w:color="auto" w:fill="auto"/>
            <w:noWrap/>
            <w:vAlign w:val="center"/>
            <w:hideMark/>
          </w:tcPr>
          <w:p w14:paraId="06945F0C" w14:textId="47A2E068" w:rsidR="00F01861" w:rsidRPr="00BC7AA4" w:rsidRDefault="00F01861"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Presentation Illness</w:t>
            </w:r>
          </w:p>
        </w:tc>
        <w:tc>
          <w:tcPr>
            <w:tcW w:w="1922" w:type="dxa"/>
            <w:shd w:val="clear" w:color="auto" w:fill="auto"/>
            <w:noWrap/>
            <w:vAlign w:val="center"/>
            <w:hideMark/>
          </w:tcPr>
          <w:p w14:paraId="050EFF3E" w14:textId="04F74AC5" w:rsidR="00F01861" w:rsidRPr="00BC7AA4" w:rsidRDefault="00F01861"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Per presentation</w:t>
            </w:r>
          </w:p>
        </w:tc>
        <w:tc>
          <w:tcPr>
            <w:tcW w:w="1188" w:type="dxa"/>
            <w:shd w:val="clear" w:color="auto" w:fill="auto"/>
            <w:noWrap/>
            <w:vAlign w:val="center"/>
            <w:hideMark/>
          </w:tcPr>
          <w:p w14:paraId="2B62A3A0" w14:textId="7F895931" w:rsidR="00F01861" w:rsidRPr="00BC7AA4" w:rsidRDefault="00F01861"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-0.282</w:t>
            </w:r>
          </w:p>
        </w:tc>
        <w:tc>
          <w:tcPr>
            <w:tcW w:w="1648" w:type="dxa"/>
          </w:tcPr>
          <w:p w14:paraId="69C2700B" w14:textId="4435EEF9" w:rsidR="00F01861" w:rsidRPr="00BC7AA4" w:rsidRDefault="00F01861"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74ED0">
              <w:t>$178,267</w:t>
            </w:r>
          </w:p>
        </w:tc>
      </w:tr>
      <w:tr w:rsidR="00F01861" w:rsidRPr="00BC7AA4" w14:paraId="54D1EE78" w14:textId="77777777" w:rsidTr="004E71E6">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429E489E" w14:textId="5180438C" w:rsidR="00F01861" w:rsidRPr="00BC7AA4" w:rsidRDefault="00F01861" w:rsidP="00F01861">
            <w:pPr>
              <w:pStyle w:val="Tabletext"/>
              <w:rPr>
                <w:rFonts w:cs="Arial"/>
                <w:szCs w:val="18"/>
                <w:lang w:eastAsia="en-AU"/>
              </w:rPr>
            </w:pPr>
            <w:r w:rsidRPr="00573625">
              <w:rPr>
                <w:rFonts w:cs="Arial"/>
                <w:szCs w:val="18"/>
                <w:lang w:eastAsia="en-AU"/>
              </w:rPr>
              <w:t>ED</w:t>
            </w:r>
          </w:p>
        </w:tc>
        <w:tc>
          <w:tcPr>
            <w:tcW w:w="3329" w:type="dxa"/>
            <w:shd w:val="clear" w:color="auto" w:fill="auto"/>
            <w:noWrap/>
            <w:vAlign w:val="center"/>
            <w:hideMark/>
          </w:tcPr>
          <w:p w14:paraId="4D54A007" w14:textId="109088B6"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Presentation Injury</w:t>
            </w:r>
          </w:p>
        </w:tc>
        <w:tc>
          <w:tcPr>
            <w:tcW w:w="1922" w:type="dxa"/>
            <w:shd w:val="clear" w:color="auto" w:fill="auto"/>
            <w:noWrap/>
            <w:vAlign w:val="center"/>
            <w:hideMark/>
          </w:tcPr>
          <w:p w14:paraId="428C0316" w14:textId="48E26BDE"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Per presentation</w:t>
            </w:r>
          </w:p>
        </w:tc>
        <w:tc>
          <w:tcPr>
            <w:tcW w:w="1188" w:type="dxa"/>
            <w:shd w:val="clear" w:color="auto" w:fill="auto"/>
            <w:noWrap/>
            <w:vAlign w:val="center"/>
            <w:hideMark/>
          </w:tcPr>
          <w:p w14:paraId="105F34F8" w14:textId="532FA74F"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-0.088</w:t>
            </w:r>
          </w:p>
        </w:tc>
        <w:tc>
          <w:tcPr>
            <w:tcW w:w="1648" w:type="dxa"/>
          </w:tcPr>
          <w:p w14:paraId="518E2297" w14:textId="5FA11505"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74ED0">
              <w:t>$43,124</w:t>
            </w:r>
          </w:p>
        </w:tc>
      </w:tr>
      <w:tr w:rsidR="00F01861" w:rsidRPr="00BC7AA4" w14:paraId="4B4C63DA" w14:textId="77777777" w:rsidTr="004E71E6">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14B655DA" w14:textId="40AC251B" w:rsidR="00F01861" w:rsidRPr="00BC7AA4" w:rsidRDefault="00F01861" w:rsidP="00F01861">
            <w:pPr>
              <w:pStyle w:val="Tabletext"/>
              <w:rPr>
                <w:rFonts w:cs="Arial"/>
                <w:szCs w:val="18"/>
                <w:lang w:eastAsia="en-AU"/>
              </w:rPr>
            </w:pPr>
            <w:r w:rsidRPr="00573625">
              <w:rPr>
                <w:rFonts w:cs="Arial"/>
                <w:szCs w:val="18"/>
                <w:lang w:eastAsia="en-AU"/>
              </w:rPr>
              <w:t>ED</w:t>
            </w:r>
          </w:p>
        </w:tc>
        <w:tc>
          <w:tcPr>
            <w:tcW w:w="3329" w:type="dxa"/>
            <w:shd w:val="clear" w:color="auto" w:fill="auto"/>
            <w:noWrap/>
            <w:vAlign w:val="center"/>
            <w:hideMark/>
          </w:tcPr>
          <w:p w14:paraId="32084105" w14:textId="13D95AC7"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Presentation Other</w:t>
            </w:r>
          </w:p>
        </w:tc>
        <w:tc>
          <w:tcPr>
            <w:tcW w:w="1922" w:type="dxa"/>
            <w:shd w:val="clear" w:color="auto" w:fill="auto"/>
            <w:noWrap/>
            <w:vAlign w:val="center"/>
            <w:hideMark/>
          </w:tcPr>
          <w:p w14:paraId="01B338D5" w14:textId="2F71E4C6"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Per presentation</w:t>
            </w:r>
          </w:p>
        </w:tc>
        <w:tc>
          <w:tcPr>
            <w:tcW w:w="1188" w:type="dxa"/>
            <w:shd w:val="clear" w:color="auto" w:fill="auto"/>
            <w:noWrap/>
            <w:vAlign w:val="center"/>
            <w:hideMark/>
          </w:tcPr>
          <w:p w14:paraId="5397F8F4" w14:textId="66325AF0"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-0.075</w:t>
            </w:r>
          </w:p>
        </w:tc>
        <w:tc>
          <w:tcPr>
            <w:tcW w:w="1648" w:type="dxa"/>
          </w:tcPr>
          <w:p w14:paraId="2D7DB9C4" w14:textId="25395D7E"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74ED0">
              <w:t>$28,424</w:t>
            </w:r>
          </w:p>
        </w:tc>
      </w:tr>
      <w:tr w:rsidR="00F01861" w:rsidRPr="00BC7AA4" w14:paraId="739D25A7" w14:textId="77777777" w:rsidTr="004E71E6">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4C9F7F41" w14:textId="27184F15" w:rsidR="00F01861" w:rsidRPr="00BC7AA4" w:rsidRDefault="00F01861" w:rsidP="00F01861">
            <w:pPr>
              <w:pStyle w:val="Tabletext"/>
              <w:rPr>
                <w:rFonts w:cs="Arial"/>
                <w:szCs w:val="18"/>
                <w:lang w:eastAsia="en-AU"/>
              </w:rPr>
            </w:pPr>
            <w:r w:rsidRPr="00573625">
              <w:rPr>
                <w:rFonts w:cs="Arial"/>
                <w:szCs w:val="18"/>
                <w:lang w:eastAsia="en-AU"/>
              </w:rPr>
              <w:t>ED</w:t>
            </w:r>
          </w:p>
        </w:tc>
        <w:tc>
          <w:tcPr>
            <w:tcW w:w="3329" w:type="dxa"/>
            <w:shd w:val="clear" w:color="auto" w:fill="auto"/>
            <w:noWrap/>
            <w:vAlign w:val="center"/>
            <w:hideMark/>
          </w:tcPr>
          <w:p w14:paraId="1DE1D162" w14:textId="147C41AA"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Presentation Poison</w:t>
            </w:r>
          </w:p>
        </w:tc>
        <w:tc>
          <w:tcPr>
            <w:tcW w:w="1922" w:type="dxa"/>
            <w:shd w:val="clear" w:color="auto" w:fill="auto"/>
            <w:noWrap/>
            <w:vAlign w:val="center"/>
            <w:hideMark/>
          </w:tcPr>
          <w:p w14:paraId="7B2A5E3C" w14:textId="19F563A8"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Per presentation</w:t>
            </w:r>
          </w:p>
        </w:tc>
        <w:tc>
          <w:tcPr>
            <w:tcW w:w="1188" w:type="dxa"/>
            <w:shd w:val="clear" w:color="auto" w:fill="auto"/>
            <w:noWrap/>
            <w:vAlign w:val="center"/>
            <w:hideMark/>
          </w:tcPr>
          <w:p w14:paraId="236E287F" w14:textId="34D78FD7"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-0.096</w:t>
            </w:r>
          </w:p>
        </w:tc>
        <w:tc>
          <w:tcPr>
            <w:tcW w:w="1648" w:type="dxa"/>
          </w:tcPr>
          <w:p w14:paraId="2C668230" w14:textId="1EF5B12E"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74ED0">
              <w:t>$68,858</w:t>
            </w:r>
          </w:p>
        </w:tc>
      </w:tr>
      <w:tr w:rsidR="00F01861" w:rsidRPr="00BC7AA4" w14:paraId="080E62D6" w14:textId="77777777" w:rsidTr="004E71E6">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6EBA7D0A" w14:textId="6A9E9D09" w:rsidR="00F01861" w:rsidRPr="00BC7AA4" w:rsidRDefault="00F01861" w:rsidP="00F01861">
            <w:pPr>
              <w:pStyle w:val="Tabletext"/>
              <w:rPr>
                <w:rFonts w:cs="Arial"/>
                <w:szCs w:val="18"/>
                <w:lang w:eastAsia="en-AU"/>
              </w:rPr>
            </w:pPr>
            <w:r w:rsidRPr="00573625">
              <w:rPr>
                <w:rFonts w:cs="Arial"/>
                <w:szCs w:val="18"/>
                <w:lang w:eastAsia="en-AU"/>
              </w:rPr>
              <w:t>ED</w:t>
            </w:r>
          </w:p>
        </w:tc>
        <w:tc>
          <w:tcPr>
            <w:tcW w:w="3329" w:type="dxa"/>
            <w:shd w:val="clear" w:color="auto" w:fill="auto"/>
            <w:vAlign w:val="center"/>
            <w:hideMark/>
          </w:tcPr>
          <w:p w14:paraId="035BCEC4" w14:textId="2EE4954A"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Presentation Psychology</w:t>
            </w:r>
          </w:p>
        </w:tc>
        <w:tc>
          <w:tcPr>
            <w:tcW w:w="1922" w:type="dxa"/>
            <w:shd w:val="clear" w:color="auto" w:fill="auto"/>
            <w:noWrap/>
            <w:vAlign w:val="center"/>
            <w:hideMark/>
          </w:tcPr>
          <w:p w14:paraId="7417D87E" w14:textId="53CFDEAB"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Per presentation</w:t>
            </w:r>
          </w:p>
        </w:tc>
        <w:tc>
          <w:tcPr>
            <w:tcW w:w="1188" w:type="dxa"/>
            <w:shd w:val="clear" w:color="auto" w:fill="auto"/>
            <w:noWrap/>
            <w:vAlign w:val="center"/>
            <w:hideMark/>
          </w:tcPr>
          <w:p w14:paraId="51D948D1" w14:textId="4CB5FF1A"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-0.128</w:t>
            </w:r>
          </w:p>
        </w:tc>
        <w:tc>
          <w:tcPr>
            <w:tcW w:w="1648" w:type="dxa"/>
          </w:tcPr>
          <w:p w14:paraId="6F78CAF1" w14:textId="1CF5217D"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74ED0">
              <w:t>$92,465</w:t>
            </w:r>
          </w:p>
        </w:tc>
      </w:tr>
      <w:tr w:rsidR="00134FF5" w:rsidRPr="00BC7AA4" w14:paraId="04374760"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7A096C35" w14:textId="77777777" w:rsidR="00134FF5" w:rsidRPr="00BC7AA4" w:rsidRDefault="00134FF5" w:rsidP="000C3641">
            <w:pPr>
              <w:pStyle w:val="Tabletext"/>
              <w:rPr>
                <w:rFonts w:cs="Arial"/>
                <w:szCs w:val="18"/>
                <w:lang w:eastAsia="en-AU"/>
              </w:rPr>
            </w:pPr>
            <w:r w:rsidRPr="00BC7AA4">
              <w:rPr>
                <w:rFonts w:cs="Arial"/>
                <w:szCs w:val="18"/>
                <w:lang w:eastAsia="en-AU"/>
              </w:rPr>
              <w:t>Acute</w:t>
            </w:r>
          </w:p>
        </w:tc>
        <w:tc>
          <w:tcPr>
            <w:tcW w:w="3329" w:type="dxa"/>
            <w:shd w:val="clear" w:color="auto" w:fill="auto"/>
            <w:noWrap/>
            <w:vAlign w:val="center"/>
            <w:hideMark/>
          </w:tcPr>
          <w:p w14:paraId="56893553" w14:textId="35837061"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Rehab</w:t>
            </w:r>
          </w:p>
        </w:tc>
        <w:tc>
          <w:tcPr>
            <w:tcW w:w="1922" w:type="dxa"/>
            <w:shd w:val="clear" w:color="auto" w:fill="auto"/>
            <w:noWrap/>
            <w:vAlign w:val="center"/>
            <w:hideMark/>
          </w:tcPr>
          <w:p w14:paraId="68CF8598" w14:textId="59D40677"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Bed Days</w:t>
            </w:r>
          </w:p>
        </w:tc>
        <w:tc>
          <w:tcPr>
            <w:tcW w:w="1188" w:type="dxa"/>
            <w:shd w:val="clear" w:color="auto" w:fill="auto"/>
            <w:noWrap/>
            <w:vAlign w:val="center"/>
            <w:hideMark/>
          </w:tcPr>
          <w:p w14:paraId="7C450D41" w14:textId="7D0853AB"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-0.040</w:t>
            </w:r>
          </w:p>
        </w:tc>
        <w:tc>
          <w:tcPr>
            <w:tcW w:w="1648" w:type="dxa"/>
            <w:vAlign w:val="center"/>
          </w:tcPr>
          <w:p w14:paraId="10B4D40A" w14:textId="77DFE3B7"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$4</w:t>
            </w:r>
            <w:r>
              <w:rPr>
                <w:rFonts w:cs="Arial"/>
                <w:szCs w:val="18"/>
              </w:rPr>
              <w:t>6</w:t>
            </w:r>
            <w:r w:rsidRPr="00BC7AA4">
              <w:rPr>
                <w:rFonts w:cs="Arial"/>
                <w:szCs w:val="18"/>
              </w:rPr>
              <w:t>,</w:t>
            </w:r>
            <w:r>
              <w:rPr>
                <w:rFonts w:cs="Arial"/>
                <w:szCs w:val="18"/>
              </w:rPr>
              <w:t>441</w:t>
            </w:r>
          </w:p>
        </w:tc>
      </w:tr>
      <w:tr w:rsidR="00F01861" w:rsidRPr="00BC7AA4" w14:paraId="59360E79" w14:textId="77777777" w:rsidTr="00F15C0C">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57B9D125" w14:textId="72EE71A0" w:rsidR="00F01861" w:rsidRPr="00BC7AA4" w:rsidRDefault="00F01861" w:rsidP="00F01861">
            <w:pPr>
              <w:pStyle w:val="Tabletext"/>
              <w:rPr>
                <w:rFonts w:cs="Arial"/>
                <w:szCs w:val="18"/>
                <w:lang w:eastAsia="en-AU"/>
              </w:rPr>
            </w:pPr>
            <w:r w:rsidRPr="00A860EF">
              <w:rPr>
                <w:rFonts w:cs="Arial"/>
                <w:szCs w:val="18"/>
                <w:lang w:eastAsia="en-AU"/>
              </w:rPr>
              <w:t>Acute</w:t>
            </w:r>
          </w:p>
        </w:tc>
        <w:tc>
          <w:tcPr>
            <w:tcW w:w="3329" w:type="dxa"/>
            <w:shd w:val="clear" w:color="auto" w:fill="auto"/>
            <w:vAlign w:val="center"/>
            <w:hideMark/>
          </w:tcPr>
          <w:p w14:paraId="0E996F56" w14:textId="0E7B1015"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Maintenance</w:t>
            </w:r>
          </w:p>
        </w:tc>
        <w:tc>
          <w:tcPr>
            <w:tcW w:w="1922" w:type="dxa"/>
            <w:shd w:val="clear" w:color="auto" w:fill="auto"/>
            <w:noWrap/>
            <w:vAlign w:val="center"/>
            <w:hideMark/>
          </w:tcPr>
          <w:p w14:paraId="2F50FBB4" w14:textId="6347244E"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Bed Days</w:t>
            </w:r>
          </w:p>
        </w:tc>
        <w:tc>
          <w:tcPr>
            <w:tcW w:w="1188" w:type="dxa"/>
            <w:shd w:val="clear" w:color="auto" w:fill="auto"/>
            <w:noWrap/>
            <w:vAlign w:val="center"/>
            <w:hideMark/>
          </w:tcPr>
          <w:p w14:paraId="50D4EA7A" w14:textId="73CDF495"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0.000</w:t>
            </w:r>
          </w:p>
        </w:tc>
        <w:tc>
          <w:tcPr>
            <w:tcW w:w="1648" w:type="dxa"/>
            <w:vAlign w:val="center"/>
          </w:tcPr>
          <w:p w14:paraId="538CBCDB" w14:textId="7C53B8A0"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$0</w:t>
            </w:r>
          </w:p>
        </w:tc>
      </w:tr>
      <w:tr w:rsidR="00B24FDD" w:rsidRPr="00BC7AA4" w14:paraId="76F10B48" w14:textId="77777777" w:rsidTr="00F15C0C">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443275E0" w14:textId="599AD2AD" w:rsidR="00B24FDD" w:rsidRPr="00A860EF" w:rsidRDefault="00B24FDD" w:rsidP="00B24FDD">
            <w:pPr>
              <w:pStyle w:val="Tabletext"/>
              <w:rPr>
                <w:rFonts w:cs="Arial"/>
                <w:szCs w:val="18"/>
                <w:lang w:eastAsia="en-AU"/>
              </w:rPr>
            </w:pPr>
            <w:r w:rsidRPr="00A860EF">
              <w:rPr>
                <w:rFonts w:cs="Arial"/>
                <w:szCs w:val="18"/>
                <w:lang w:eastAsia="en-AU"/>
              </w:rPr>
              <w:t>Acute</w:t>
            </w:r>
          </w:p>
        </w:tc>
        <w:tc>
          <w:tcPr>
            <w:tcW w:w="3329" w:type="dxa"/>
            <w:shd w:val="clear" w:color="auto" w:fill="auto"/>
            <w:vAlign w:val="center"/>
          </w:tcPr>
          <w:p w14:paraId="5EE0E53E" w14:textId="23910BE5"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Other</w:t>
            </w:r>
          </w:p>
        </w:tc>
        <w:tc>
          <w:tcPr>
            <w:tcW w:w="1922" w:type="dxa"/>
            <w:shd w:val="clear" w:color="auto" w:fill="auto"/>
            <w:noWrap/>
            <w:vAlign w:val="center"/>
          </w:tcPr>
          <w:p w14:paraId="74C777AD" w14:textId="0E8209E4"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Per episode</w:t>
            </w:r>
          </w:p>
        </w:tc>
        <w:tc>
          <w:tcPr>
            <w:tcW w:w="1188" w:type="dxa"/>
            <w:shd w:val="clear" w:color="auto" w:fill="auto"/>
            <w:noWrap/>
            <w:vAlign w:val="center"/>
          </w:tcPr>
          <w:p w14:paraId="2347273A" w14:textId="2DC21E0F" w:rsidR="00B24FDD" w:rsidRPr="003C67D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3C67D4">
              <w:rPr>
                <w:rFonts w:cs="Arial"/>
                <w:color w:val="000000"/>
                <w:szCs w:val="18"/>
              </w:rPr>
              <w:t>-0.240</w:t>
            </w:r>
          </w:p>
        </w:tc>
        <w:tc>
          <w:tcPr>
            <w:tcW w:w="1648" w:type="dxa"/>
            <w:vAlign w:val="center"/>
          </w:tcPr>
          <w:p w14:paraId="7BB8ADD0" w14:textId="0B080210" w:rsidR="00B24FDD" w:rsidRPr="00BC7AA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$2,051,365</w:t>
            </w:r>
          </w:p>
        </w:tc>
      </w:tr>
      <w:tr w:rsidR="00134FF5" w:rsidRPr="00BC7AA4" w14:paraId="5C7A24CC"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6CD57CCF" w14:textId="42499E26" w:rsidR="00134FF5" w:rsidRPr="00BC7AA4" w:rsidRDefault="00134FF5" w:rsidP="000C3641">
            <w:pPr>
              <w:pStyle w:val="Tabletext"/>
              <w:rPr>
                <w:rFonts w:cs="Arial"/>
                <w:szCs w:val="18"/>
                <w:lang w:eastAsia="en-AU"/>
              </w:rPr>
            </w:pPr>
            <w:r w:rsidRPr="00BC7AA4">
              <w:rPr>
                <w:rFonts w:cs="Arial"/>
                <w:szCs w:val="18"/>
                <w:lang w:eastAsia="en-AU"/>
              </w:rPr>
              <w:t>Non-admitted care</w:t>
            </w:r>
          </w:p>
        </w:tc>
        <w:tc>
          <w:tcPr>
            <w:tcW w:w="3329" w:type="dxa"/>
            <w:shd w:val="clear" w:color="auto" w:fill="auto"/>
            <w:vAlign w:val="center"/>
          </w:tcPr>
          <w:p w14:paraId="5521FAEC" w14:textId="1D44F4DE"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Allied Health</w:t>
            </w:r>
          </w:p>
        </w:tc>
        <w:tc>
          <w:tcPr>
            <w:tcW w:w="1922" w:type="dxa"/>
            <w:shd w:val="clear" w:color="auto" w:fill="auto"/>
            <w:noWrap/>
            <w:vAlign w:val="center"/>
          </w:tcPr>
          <w:p w14:paraId="13A414F7" w14:textId="7972B30D"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Number of contacts</w:t>
            </w:r>
          </w:p>
        </w:tc>
        <w:tc>
          <w:tcPr>
            <w:tcW w:w="1188" w:type="dxa"/>
            <w:shd w:val="clear" w:color="auto" w:fill="auto"/>
            <w:noWrap/>
            <w:vAlign w:val="center"/>
          </w:tcPr>
          <w:p w14:paraId="18C50A6B" w14:textId="3F2CF75C"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-0.021</w:t>
            </w:r>
          </w:p>
        </w:tc>
        <w:tc>
          <w:tcPr>
            <w:tcW w:w="1648" w:type="dxa"/>
            <w:vAlign w:val="center"/>
          </w:tcPr>
          <w:p w14:paraId="1D54E24B" w14:textId="27C80578"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w:t>
            </w:r>
            <w:r>
              <w:rPr>
                <w:rFonts w:cs="Arial"/>
                <w:szCs w:val="18"/>
              </w:rPr>
              <w:t>7,844</w:t>
            </w:r>
          </w:p>
        </w:tc>
      </w:tr>
      <w:tr w:rsidR="00134FF5" w:rsidRPr="00BC7AA4" w14:paraId="71F56092"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7A8CDF95" w14:textId="5272395D" w:rsidR="00134FF5" w:rsidRPr="00BC7AA4" w:rsidRDefault="00B24FDD" w:rsidP="000C3641">
            <w:pPr>
              <w:pStyle w:val="Tabletext"/>
              <w:rPr>
                <w:rFonts w:cs="Arial"/>
                <w:szCs w:val="18"/>
                <w:lang w:eastAsia="en-AU"/>
              </w:rPr>
            </w:pPr>
            <w:r w:rsidRPr="00BC7AA4">
              <w:rPr>
                <w:rFonts w:cs="Arial"/>
                <w:szCs w:val="18"/>
                <w:lang w:eastAsia="en-AU"/>
              </w:rPr>
              <w:t>Non-admitted care</w:t>
            </w:r>
          </w:p>
        </w:tc>
        <w:tc>
          <w:tcPr>
            <w:tcW w:w="3329" w:type="dxa"/>
            <w:shd w:val="clear" w:color="auto" w:fill="auto"/>
            <w:vAlign w:val="center"/>
          </w:tcPr>
          <w:p w14:paraId="096A56E3" w14:textId="63F813BC"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Medical Consultation</w:t>
            </w:r>
          </w:p>
        </w:tc>
        <w:tc>
          <w:tcPr>
            <w:tcW w:w="1922" w:type="dxa"/>
            <w:shd w:val="clear" w:color="auto" w:fill="auto"/>
            <w:noWrap/>
            <w:vAlign w:val="center"/>
          </w:tcPr>
          <w:p w14:paraId="4F93EA67" w14:textId="3F19F800"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Number of contacts</w:t>
            </w:r>
          </w:p>
        </w:tc>
        <w:tc>
          <w:tcPr>
            <w:tcW w:w="1188" w:type="dxa"/>
            <w:shd w:val="clear" w:color="auto" w:fill="auto"/>
            <w:noWrap/>
            <w:vAlign w:val="center"/>
          </w:tcPr>
          <w:p w14:paraId="78944423" w14:textId="3B1A4862"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-0.019</w:t>
            </w:r>
          </w:p>
        </w:tc>
        <w:tc>
          <w:tcPr>
            <w:tcW w:w="1648" w:type="dxa"/>
            <w:vAlign w:val="center"/>
          </w:tcPr>
          <w:p w14:paraId="01F01229" w14:textId="374F1D56"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w:t>
            </w:r>
            <w:r>
              <w:rPr>
                <w:rFonts w:cs="Arial"/>
                <w:szCs w:val="18"/>
              </w:rPr>
              <w:t>9,176</w:t>
            </w:r>
          </w:p>
        </w:tc>
      </w:tr>
      <w:tr w:rsidR="00B24FDD" w:rsidRPr="00BC7AA4" w14:paraId="191A97CA"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2278DC30" w14:textId="6FD9F844" w:rsidR="00B24FDD" w:rsidRPr="00BC7AA4" w:rsidRDefault="00B24FDD" w:rsidP="00B24FDD">
            <w:pPr>
              <w:pStyle w:val="Tabletext"/>
              <w:rPr>
                <w:rFonts w:cs="Arial"/>
                <w:szCs w:val="18"/>
                <w:lang w:eastAsia="en-AU"/>
              </w:rPr>
            </w:pPr>
            <w:r w:rsidRPr="00BC7AA4">
              <w:rPr>
                <w:rFonts w:cs="Arial"/>
                <w:szCs w:val="18"/>
                <w:lang w:eastAsia="en-AU"/>
              </w:rPr>
              <w:t>Community mental health</w:t>
            </w:r>
          </w:p>
        </w:tc>
        <w:tc>
          <w:tcPr>
            <w:tcW w:w="3329" w:type="dxa"/>
            <w:shd w:val="clear" w:color="auto" w:fill="auto"/>
            <w:vAlign w:val="center"/>
          </w:tcPr>
          <w:p w14:paraId="11A3F2A2" w14:textId="18162D7C"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 xml:space="preserve">Mental Health </w:t>
            </w:r>
          </w:p>
        </w:tc>
        <w:tc>
          <w:tcPr>
            <w:tcW w:w="1922" w:type="dxa"/>
            <w:shd w:val="clear" w:color="auto" w:fill="auto"/>
            <w:noWrap/>
            <w:vAlign w:val="center"/>
          </w:tcPr>
          <w:p w14:paraId="599FF87B" w14:textId="25DBAD5D"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Occupied bed days</w:t>
            </w:r>
          </w:p>
        </w:tc>
        <w:tc>
          <w:tcPr>
            <w:tcW w:w="1188" w:type="dxa"/>
            <w:shd w:val="clear" w:color="auto" w:fill="auto"/>
            <w:noWrap/>
            <w:vAlign w:val="center"/>
          </w:tcPr>
          <w:p w14:paraId="690C7966" w14:textId="77968EEA" w:rsidR="00B24FDD" w:rsidRPr="003C67D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3C67D4">
              <w:rPr>
                <w:rFonts w:cs="Arial"/>
                <w:color w:val="000000"/>
                <w:szCs w:val="18"/>
              </w:rPr>
              <w:t>-0.623</w:t>
            </w:r>
          </w:p>
        </w:tc>
        <w:tc>
          <w:tcPr>
            <w:tcW w:w="1648" w:type="dxa"/>
            <w:vAlign w:val="center"/>
          </w:tcPr>
          <w:p w14:paraId="1E9A1B6B" w14:textId="65F5A7CF" w:rsidR="00B24FDD" w:rsidRPr="00BC7AA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w:t>
            </w:r>
            <w:r>
              <w:rPr>
                <w:rFonts w:cs="Arial"/>
                <w:szCs w:val="18"/>
              </w:rPr>
              <w:t>201,746</w:t>
            </w:r>
          </w:p>
        </w:tc>
      </w:tr>
      <w:tr w:rsidR="00134FF5" w:rsidRPr="00BC7AA4" w14:paraId="30C49AA6"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0AAF7388" w14:textId="1E04CCEA" w:rsidR="00134FF5" w:rsidRPr="00BC7AA4" w:rsidRDefault="00134FF5" w:rsidP="000C3641">
            <w:pPr>
              <w:pStyle w:val="Tabletext"/>
              <w:rPr>
                <w:rFonts w:cs="Arial"/>
                <w:szCs w:val="18"/>
                <w:lang w:eastAsia="en-AU"/>
              </w:rPr>
            </w:pPr>
            <w:r w:rsidRPr="00BC7AA4">
              <w:rPr>
                <w:rFonts w:cs="Arial"/>
                <w:szCs w:val="18"/>
                <w:lang w:eastAsia="en-AU"/>
              </w:rPr>
              <w:t>Community health</w:t>
            </w:r>
          </w:p>
        </w:tc>
        <w:tc>
          <w:tcPr>
            <w:tcW w:w="3329" w:type="dxa"/>
            <w:shd w:val="clear" w:color="auto" w:fill="auto"/>
            <w:vAlign w:val="center"/>
          </w:tcPr>
          <w:p w14:paraId="07EFD2BF" w14:textId="2C469F37"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Allied Health</w:t>
            </w:r>
          </w:p>
        </w:tc>
        <w:tc>
          <w:tcPr>
            <w:tcW w:w="1922" w:type="dxa"/>
            <w:shd w:val="clear" w:color="auto" w:fill="auto"/>
            <w:noWrap/>
            <w:vAlign w:val="center"/>
          </w:tcPr>
          <w:p w14:paraId="16748E8E" w14:textId="6470A384"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Hours</w:t>
            </w:r>
          </w:p>
        </w:tc>
        <w:tc>
          <w:tcPr>
            <w:tcW w:w="1188" w:type="dxa"/>
            <w:shd w:val="clear" w:color="auto" w:fill="auto"/>
            <w:noWrap/>
            <w:vAlign w:val="center"/>
          </w:tcPr>
          <w:p w14:paraId="108D94A9" w14:textId="7A57A7C6"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0.516</w:t>
            </w:r>
          </w:p>
        </w:tc>
        <w:tc>
          <w:tcPr>
            <w:tcW w:w="1648" w:type="dxa"/>
            <w:vAlign w:val="center"/>
          </w:tcPr>
          <w:p w14:paraId="11381D31" w14:textId="7BE6E064"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w:t>
            </w:r>
            <w:r>
              <w:rPr>
                <w:rFonts w:cs="Arial"/>
                <w:szCs w:val="18"/>
              </w:rPr>
              <w:t>88,211</w:t>
            </w:r>
          </w:p>
        </w:tc>
      </w:tr>
      <w:tr w:rsidR="00F01861" w:rsidRPr="00BC7AA4" w14:paraId="0CBC6445" w14:textId="77777777" w:rsidTr="00422AE7">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23EE85E0" w14:textId="20FEE38E" w:rsidR="00F01861" w:rsidRPr="00BC7AA4" w:rsidRDefault="00F01861" w:rsidP="00F01861">
            <w:pPr>
              <w:pStyle w:val="Tabletext"/>
              <w:rPr>
                <w:rFonts w:cs="Arial"/>
                <w:szCs w:val="18"/>
                <w:lang w:eastAsia="en-AU"/>
              </w:rPr>
            </w:pPr>
            <w:r w:rsidRPr="00FE1438">
              <w:rPr>
                <w:rFonts w:cs="Arial"/>
                <w:szCs w:val="18"/>
                <w:lang w:eastAsia="en-AU"/>
              </w:rPr>
              <w:t>Community health</w:t>
            </w:r>
          </w:p>
        </w:tc>
        <w:tc>
          <w:tcPr>
            <w:tcW w:w="3329" w:type="dxa"/>
            <w:shd w:val="clear" w:color="auto" w:fill="auto"/>
            <w:vAlign w:val="center"/>
          </w:tcPr>
          <w:p w14:paraId="1092AA62" w14:textId="6A07D1E1"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Coordinated Support</w:t>
            </w:r>
          </w:p>
        </w:tc>
        <w:tc>
          <w:tcPr>
            <w:tcW w:w="1922" w:type="dxa"/>
            <w:shd w:val="clear" w:color="auto" w:fill="auto"/>
            <w:noWrap/>
            <w:vAlign w:val="center"/>
          </w:tcPr>
          <w:p w14:paraId="659F3A6E" w14:textId="719E3F4D"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Hours</w:t>
            </w:r>
          </w:p>
        </w:tc>
        <w:tc>
          <w:tcPr>
            <w:tcW w:w="1188" w:type="dxa"/>
            <w:shd w:val="clear" w:color="auto" w:fill="auto"/>
            <w:noWrap/>
            <w:vAlign w:val="center"/>
          </w:tcPr>
          <w:p w14:paraId="28917D15" w14:textId="0FCC3E69"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0.094</w:t>
            </w:r>
          </w:p>
        </w:tc>
        <w:tc>
          <w:tcPr>
            <w:tcW w:w="1648" w:type="dxa"/>
            <w:vAlign w:val="center"/>
          </w:tcPr>
          <w:p w14:paraId="52B1DEC7" w14:textId="11099381"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w:t>
            </w:r>
            <w:r>
              <w:rPr>
                <w:rFonts w:cs="Arial"/>
                <w:szCs w:val="18"/>
              </w:rPr>
              <w:t>16,343</w:t>
            </w:r>
          </w:p>
        </w:tc>
      </w:tr>
      <w:tr w:rsidR="00F01861" w:rsidRPr="00BC7AA4" w14:paraId="19B22E2B" w14:textId="77777777" w:rsidTr="00422AE7">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39C4C741" w14:textId="6D6C7D86" w:rsidR="00F01861" w:rsidRPr="00BC7AA4" w:rsidRDefault="00F01861" w:rsidP="00F01861">
            <w:pPr>
              <w:pStyle w:val="Tabletext"/>
              <w:rPr>
                <w:rFonts w:cs="Arial"/>
                <w:szCs w:val="18"/>
                <w:lang w:eastAsia="en-AU"/>
              </w:rPr>
            </w:pPr>
            <w:r w:rsidRPr="00FE1438">
              <w:rPr>
                <w:rFonts w:cs="Arial"/>
                <w:szCs w:val="18"/>
                <w:lang w:eastAsia="en-AU"/>
              </w:rPr>
              <w:t>Community health</w:t>
            </w:r>
          </w:p>
        </w:tc>
        <w:tc>
          <w:tcPr>
            <w:tcW w:w="3329" w:type="dxa"/>
            <w:shd w:val="clear" w:color="auto" w:fill="auto"/>
            <w:vAlign w:val="center"/>
          </w:tcPr>
          <w:p w14:paraId="4D1CD172" w14:textId="4D75A46D"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Nursing</w:t>
            </w:r>
          </w:p>
        </w:tc>
        <w:tc>
          <w:tcPr>
            <w:tcW w:w="1922" w:type="dxa"/>
            <w:shd w:val="clear" w:color="auto" w:fill="auto"/>
            <w:noWrap/>
            <w:vAlign w:val="center"/>
          </w:tcPr>
          <w:p w14:paraId="659BD6A2" w14:textId="200BA23E"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Hours</w:t>
            </w:r>
          </w:p>
        </w:tc>
        <w:tc>
          <w:tcPr>
            <w:tcW w:w="1188" w:type="dxa"/>
            <w:shd w:val="clear" w:color="auto" w:fill="auto"/>
            <w:noWrap/>
            <w:vAlign w:val="center"/>
          </w:tcPr>
          <w:p w14:paraId="2685E4FD" w14:textId="2982EFC7"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0.081</w:t>
            </w:r>
          </w:p>
        </w:tc>
        <w:tc>
          <w:tcPr>
            <w:tcW w:w="1648" w:type="dxa"/>
            <w:vAlign w:val="center"/>
          </w:tcPr>
          <w:p w14:paraId="3482D1AA" w14:textId="3D69A2EB"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w:t>
            </w:r>
            <w:r>
              <w:rPr>
                <w:rFonts w:cs="Arial"/>
                <w:szCs w:val="18"/>
              </w:rPr>
              <w:t>12,053</w:t>
            </w:r>
          </w:p>
        </w:tc>
      </w:tr>
      <w:tr w:rsidR="00134FF5" w:rsidRPr="00BC7AA4" w14:paraId="33468964"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71034C03" w14:textId="4C8427A0" w:rsidR="00134FF5" w:rsidRPr="00BC7AA4" w:rsidRDefault="00134FF5" w:rsidP="00284BB8">
            <w:pPr>
              <w:pStyle w:val="Tabletext"/>
              <w:rPr>
                <w:rFonts w:cs="Arial"/>
                <w:szCs w:val="18"/>
                <w:lang w:eastAsia="en-AU"/>
              </w:rPr>
            </w:pPr>
            <w:r w:rsidRPr="00BC7AA4">
              <w:rPr>
                <w:rFonts w:cs="Arial"/>
                <w:szCs w:val="18"/>
                <w:lang w:eastAsia="en-AU"/>
              </w:rPr>
              <w:t>Clinical mental health</w:t>
            </w:r>
          </w:p>
        </w:tc>
        <w:tc>
          <w:tcPr>
            <w:tcW w:w="3329" w:type="dxa"/>
            <w:shd w:val="clear" w:color="auto" w:fill="auto"/>
            <w:noWrap/>
            <w:vAlign w:val="center"/>
            <w:hideMark/>
          </w:tcPr>
          <w:p w14:paraId="2687FECF" w14:textId="390E2694" w:rsidR="00134FF5" w:rsidRPr="00E539E8" w:rsidRDefault="00134FF5" w:rsidP="00284BB8">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E539E8">
              <w:rPr>
                <w:rFonts w:cs="Arial"/>
                <w:szCs w:val="18"/>
              </w:rPr>
              <w:t>Acute</w:t>
            </w:r>
          </w:p>
        </w:tc>
        <w:tc>
          <w:tcPr>
            <w:tcW w:w="1922" w:type="dxa"/>
            <w:shd w:val="clear" w:color="auto" w:fill="auto"/>
            <w:noWrap/>
            <w:vAlign w:val="center"/>
            <w:hideMark/>
          </w:tcPr>
          <w:p w14:paraId="4A471E72" w14:textId="3479AEF8" w:rsidR="00134FF5" w:rsidRPr="00E539E8" w:rsidRDefault="00134FF5" w:rsidP="00284BB8">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E539E8">
              <w:rPr>
                <w:rFonts w:cs="Arial"/>
                <w:szCs w:val="18"/>
              </w:rPr>
              <w:t>Occupied bed days</w:t>
            </w:r>
          </w:p>
        </w:tc>
        <w:tc>
          <w:tcPr>
            <w:tcW w:w="1188" w:type="dxa"/>
            <w:shd w:val="clear" w:color="auto" w:fill="auto"/>
            <w:noWrap/>
            <w:vAlign w:val="center"/>
            <w:hideMark/>
          </w:tcPr>
          <w:p w14:paraId="2567CDB0" w14:textId="602A863E" w:rsidR="00134FF5" w:rsidRPr="00E539E8" w:rsidRDefault="00134FF5" w:rsidP="00284BB8">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E539E8">
              <w:rPr>
                <w:rFonts w:cs="Arial"/>
                <w:color w:val="000000"/>
                <w:szCs w:val="18"/>
              </w:rPr>
              <w:t>-1.005</w:t>
            </w:r>
          </w:p>
        </w:tc>
        <w:tc>
          <w:tcPr>
            <w:tcW w:w="1648" w:type="dxa"/>
            <w:vAlign w:val="center"/>
          </w:tcPr>
          <w:p w14:paraId="30DD6A25" w14:textId="77777777" w:rsidR="00134FF5" w:rsidRPr="00450B20" w:rsidRDefault="00134FF5" w:rsidP="00284BB8">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auto"/>
                <w:sz w:val="18"/>
                <w:szCs w:val="18"/>
              </w:rPr>
            </w:pPr>
            <w:r w:rsidRPr="00450B20">
              <w:rPr>
                <w:rFonts w:cs="Arial"/>
                <w:color w:val="auto"/>
                <w:sz w:val="18"/>
                <w:szCs w:val="18"/>
              </w:rPr>
              <w:t>$1,461,976</w:t>
            </w:r>
          </w:p>
          <w:p w14:paraId="3B8332F4" w14:textId="12DCFB95" w:rsidR="00134FF5" w:rsidRPr="00E539E8" w:rsidRDefault="00134FF5" w:rsidP="00284BB8">
            <w:pPr>
              <w:pStyle w:val="TabletextRightaligned"/>
              <w:jc w:val="center"/>
              <w:cnfStyle w:val="000000000000" w:firstRow="0" w:lastRow="0" w:firstColumn="0" w:lastColumn="0" w:oddVBand="0" w:evenVBand="0" w:oddHBand="0" w:evenHBand="0" w:firstRowFirstColumn="0" w:firstRowLastColumn="0" w:lastRowFirstColumn="0" w:lastRowLastColumn="0"/>
              <w:rPr>
                <w:rFonts w:cs="Arial"/>
                <w:szCs w:val="18"/>
                <w:lang w:eastAsia="en-AU"/>
              </w:rPr>
            </w:pPr>
          </w:p>
        </w:tc>
      </w:tr>
      <w:tr w:rsidR="00F01861" w:rsidRPr="00BC7AA4" w14:paraId="61FC57F3" w14:textId="77777777" w:rsidTr="00682135">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3411977F" w14:textId="13458B16" w:rsidR="00F01861" w:rsidRPr="00BC7AA4" w:rsidRDefault="00F01861" w:rsidP="00F01861">
            <w:pPr>
              <w:pStyle w:val="Tabletext"/>
              <w:rPr>
                <w:rFonts w:cs="Arial"/>
                <w:szCs w:val="18"/>
                <w:lang w:eastAsia="en-AU"/>
              </w:rPr>
            </w:pPr>
            <w:r w:rsidRPr="001513C0">
              <w:rPr>
                <w:rFonts w:cs="Arial"/>
                <w:szCs w:val="18"/>
                <w:lang w:eastAsia="en-AU"/>
              </w:rPr>
              <w:t>Clinical mental health</w:t>
            </w:r>
          </w:p>
        </w:tc>
        <w:tc>
          <w:tcPr>
            <w:tcW w:w="3329" w:type="dxa"/>
            <w:shd w:val="clear" w:color="auto" w:fill="auto"/>
            <w:noWrap/>
            <w:vAlign w:val="center"/>
            <w:hideMark/>
          </w:tcPr>
          <w:p w14:paraId="21EDB8A2" w14:textId="4C14B775"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Non Acute, General (e.g. SECU and TSUs)</w:t>
            </w:r>
          </w:p>
        </w:tc>
        <w:tc>
          <w:tcPr>
            <w:tcW w:w="1922" w:type="dxa"/>
            <w:shd w:val="clear" w:color="auto" w:fill="auto"/>
            <w:noWrap/>
            <w:vAlign w:val="center"/>
            <w:hideMark/>
          </w:tcPr>
          <w:p w14:paraId="37D0DBFE" w14:textId="227470CA"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Occupied bed days</w:t>
            </w:r>
          </w:p>
        </w:tc>
        <w:tc>
          <w:tcPr>
            <w:tcW w:w="1188" w:type="dxa"/>
            <w:shd w:val="clear" w:color="auto" w:fill="auto"/>
            <w:noWrap/>
            <w:vAlign w:val="center"/>
            <w:hideMark/>
          </w:tcPr>
          <w:p w14:paraId="62948181" w14:textId="5A6CCFE3"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-0.109</w:t>
            </w:r>
          </w:p>
        </w:tc>
        <w:tc>
          <w:tcPr>
            <w:tcW w:w="1648" w:type="dxa"/>
            <w:vAlign w:val="center"/>
          </w:tcPr>
          <w:p w14:paraId="06436167" w14:textId="062EB71D"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567DC2">
              <w:t>$116,163</w:t>
            </w:r>
          </w:p>
        </w:tc>
      </w:tr>
      <w:tr w:rsidR="00F01861" w:rsidRPr="00BC7AA4" w14:paraId="56D6BCBF" w14:textId="77777777" w:rsidTr="00682135">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28C6F393" w14:textId="6DF58941" w:rsidR="00F01861" w:rsidRPr="00BC7AA4" w:rsidRDefault="00F01861" w:rsidP="00F01861">
            <w:pPr>
              <w:pStyle w:val="Tabletext"/>
              <w:rPr>
                <w:rFonts w:cs="Arial"/>
                <w:szCs w:val="18"/>
                <w:lang w:eastAsia="en-AU"/>
              </w:rPr>
            </w:pPr>
            <w:r w:rsidRPr="001513C0">
              <w:rPr>
                <w:rFonts w:cs="Arial"/>
                <w:szCs w:val="18"/>
                <w:lang w:eastAsia="en-AU"/>
              </w:rPr>
              <w:lastRenderedPageBreak/>
              <w:t>Clinical mental health</w:t>
            </w:r>
          </w:p>
        </w:tc>
        <w:tc>
          <w:tcPr>
            <w:tcW w:w="3329" w:type="dxa"/>
            <w:shd w:val="clear" w:color="auto" w:fill="auto"/>
            <w:vAlign w:val="center"/>
            <w:hideMark/>
          </w:tcPr>
          <w:p w14:paraId="737B1043" w14:textId="73E8B5B7"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Prevention &amp; Recovery Care (PARC)</w:t>
            </w:r>
          </w:p>
        </w:tc>
        <w:tc>
          <w:tcPr>
            <w:tcW w:w="1922" w:type="dxa"/>
            <w:shd w:val="clear" w:color="auto" w:fill="auto"/>
            <w:noWrap/>
            <w:vAlign w:val="center"/>
            <w:hideMark/>
          </w:tcPr>
          <w:p w14:paraId="532BCD94" w14:textId="4EE875C7"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Occupied bed days</w:t>
            </w:r>
          </w:p>
        </w:tc>
        <w:tc>
          <w:tcPr>
            <w:tcW w:w="1188" w:type="dxa"/>
            <w:shd w:val="clear" w:color="auto" w:fill="auto"/>
            <w:noWrap/>
            <w:vAlign w:val="center"/>
            <w:hideMark/>
          </w:tcPr>
          <w:p w14:paraId="527A8EB1" w14:textId="1B702FBA"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-0.300</w:t>
            </w:r>
          </w:p>
        </w:tc>
        <w:tc>
          <w:tcPr>
            <w:tcW w:w="1648" w:type="dxa"/>
            <w:vAlign w:val="center"/>
          </w:tcPr>
          <w:p w14:paraId="7F50B904" w14:textId="58A431B3"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567DC2">
              <w:t>$410,352</w:t>
            </w:r>
          </w:p>
        </w:tc>
      </w:tr>
      <w:tr w:rsidR="00F01861" w:rsidRPr="00BC7AA4" w14:paraId="6BB28890" w14:textId="77777777" w:rsidTr="00682135">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0713D39E" w14:textId="7F9F80A4" w:rsidR="00F01861" w:rsidRPr="00BC7AA4" w:rsidRDefault="00F01861" w:rsidP="00F01861">
            <w:pPr>
              <w:pStyle w:val="Tabletext"/>
              <w:rPr>
                <w:rFonts w:cs="Arial"/>
                <w:szCs w:val="18"/>
                <w:lang w:eastAsia="en-AU"/>
              </w:rPr>
            </w:pPr>
            <w:r w:rsidRPr="001513C0">
              <w:rPr>
                <w:rFonts w:cs="Arial"/>
                <w:szCs w:val="18"/>
                <w:lang w:eastAsia="en-AU"/>
              </w:rPr>
              <w:t>Clinical mental health</w:t>
            </w:r>
          </w:p>
        </w:tc>
        <w:tc>
          <w:tcPr>
            <w:tcW w:w="3329" w:type="dxa"/>
            <w:shd w:val="clear" w:color="auto" w:fill="auto"/>
            <w:vAlign w:val="center"/>
            <w:hideMark/>
          </w:tcPr>
          <w:p w14:paraId="1EA9FAEA" w14:textId="2DBFDA5C"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Forensicare</w:t>
            </w:r>
          </w:p>
        </w:tc>
        <w:tc>
          <w:tcPr>
            <w:tcW w:w="1922" w:type="dxa"/>
            <w:shd w:val="clear" w:color="auto" w:fill="auto"/>
            <w:noWrap/>
            <w:vAlign w:val="center"/>
            <w:hideMark/>
          </w:tcPr>
          <w:p w14:paraId="7A0BA46B" w14:textId="1C56AADA"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Occupied bed days</w:t>
            </w:r>
          </w:p>
        </w:tc>
        <w:tc>
          <w:tcPr>
            <w:tcW w:w="1188" w:type="dxa"/>
            <w:shd w:val="clear" w:color="auto" w:fill="auto"/>
            <w:noWrap/>
            <w:vAlign w:val="center"/>
            <w:hideMark/>
          </w:tcPr>
          <w:p w14:paraId="2BAF8CAA" w14:textId="39E3BA81"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-0.090</w:t>
            </w:r>
          </w:p>
        </w:tc>
        <w:tc>
          <w:tcPr>
            <w:tcW w:w="1648" w:type="dxa"/>
            <w:vAlign w:val="center"/>
          </w:tcPr>
          <w:p w14:paraId="039E51BE" w14:textId="3FA9839E"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567DC2">
              <w:t>$156,540</w:t>
            </w:r>
          </w:p>
        </w:tc>
      </w:tr>
      <w:tr w:rsidR="00F01861" w:rsidRPr="00BC7AA4" w14:paraId="4FBCFC6E" w14:textId="77777777" w:rsidTr="00682135">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3B2DF266" w14:textId="25170180" w:rsidR="00F01861" w:rsidRPr="00BC7AA4" w:rsidRDefault="00F01861" w:rsidP="00F01861">
            <w:pPr>
              <w:pStyle w:val="Tabletext"/>
              <w:rPr>
                <w:rFonts w:cs="Arial"/>
                <w:szCs w:val="18"/>
                <w:lang w:eastAsia="en-AU"/>
              </w:rPr>
            </w:pPr>
            <w:r w:rsidRPr="001513C0">
              <w:rPr>
                <w:rFonts w:cs="Arial"/>
                <w:szCs w:val="18"/>
                <w:lang w:eastAsia="en-AU"/>
              </w:rPr>
              <w:t>Clinical mental health</w:t>
            </w:r>
          </w:p>
        </w:tc>
        <w:tc>
          <w:tcPr>
            <w:tcW w:w="3329" w:type="dxa"/>
            <w:shd w:val="clear" w:color="auto" w:fill="auto"/>
            <w:vAlign w:val="center"/>
            <w:hideMark/>
          </w:tcPr>
          <w:p w14:paraId="6CB91715" w14:textId="51CED014"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Community</w:t>
            </w:r>
          </w:p>
        </w:tc>
        <w:tc>
          <w:tcPr>
            <w:tcW w:w="1922" w:type="dxa"/>
            <w:shd w:val="clear" w:color="auto" w:fill="auto"/>
            <w:noWrap/>
            <w:vAlign w:val="center"/>
            <w:hideMark/>
          </w:tcPr>
          <w:p w14:paraId="13B76D47" w14:textId="5792A10B"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Service hours</w:t>
            </w:r>
          </w:p>
        </w:tc>
        <w:tc>
          <w:tcPr>
            <w:tcW w:w="1188" w:type="dxa"/>
            <w:shd w:val="clear" w:color="auto" w:fill="auto"/>
            <w:noWrap/>
            <w:vAlign w:val="center"/>
            <w:hideMark/>
          </w:tcPr>
          <w:p w14:paraId="7EE7FEF3" w14:textId="7076A8B9"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-2.008</w:t>
            </w:r>
          </w:p>
        </w:tc>
        <w:tc>
          <w:tcPr>
            <w:tcW w:w="1648" w:type="dxa"/>
            <w:vAlign w:val="center"/>
          </w:tcPr>
          <w:p w14:paraId="40B736C5" w14:textId="42423B30"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567DC2">
              <w:t>$1,341,427</w:t>
            </w:r>
          </w:p>
        </w:tc>
      </w:tr>
      <w:tr w:rsidR="00F01861" w:rsidRPr="00BC7AA4" w14:paraId="46249737" w14:textId="77777777" w:rsidTr="00682135">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202CF223" w14:textId="7EA150F4" w:rsidR="00F01861" w:rsidRPr="00BC7AA4" w:rsidRDefault="00F01861" w:rsidP="00F01861">
            <w:pPr>
              <w:pStyle w:val="Tabletext"/>
              <w:rPr>
                <w:rFonts w:cs="Arial"/>
                <w:szCs w:val="18"/>
                <w:lang w:eastAsia="en-AU"/>
              </w:rPr>
            </w:pPr>
            <w:r w:rsidRPr="001513C0">
              <w:rPr>
                <w:rFonts w:cs="Arial"/>
                <w:szCs w:val="18"/>
                <w:lang w:eastAsia="en-AU"/>
              </w:rPr>
              <w:t>Clinical mental health</w:t>
            </w:r>
          </w:p>
        </w:tc>
        <w:tc>
          <w:tcPr>
            <w:tcW w:w="3329" w:type="dxa"/>
            <w:shd w:val="clear" w:color="auto" w:fill="auto"/>
            <w:vAlign w:val="center"/>
            <w:hideMark/>
          </w:tcPr>
          <w:p w14:paraId="7751EAF3" w14:textId="06118189"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Community care</w:t>
            </w:r>
          </w:p>
        </w:tc>
        <w:tc>
          <w:tcPr>
            <w:tcW w:w="1922" w:type="dxa"/>
            <w:shd w:val="clear" w:color="auto" w:fill="auto"/>
            <w:noWrap/>
            <w:vAlign w:val="center"/>
            <w:hideMark/>
          </w:tcPr>
          <w:p w14:paraId="1CAF5BFF" w14:textId="723D17B9"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Service hours</w:t>
            </w:r>
          </w:p>
        </w:tc>
        <w:tc>
          <w:tcPr>
            <w:tcW w:w="1188" w:type="dxa"/>
            <w:shd w:val="clear" w:color="auto" w:fill="auto"/>
            <w:noWrap/>
            <w:vAlign w:val="center"/>
            <w:hideMark/>
          </w:tcPr>
          <w:p w14:paraId="0E6918E3" w14:textId="1333B473"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-0.172</w:t>
            </w:r>
          </w:p>
        </w:tc>
        <w:tc>
          <w:tcPr>
            <w:tcW w:w="1648" w:type="dxa"/>
            <w:vAlign w:val="center"/>
          </w:tcPr>
          <w:p w14:paraId="386CEF49" w14:textId="58690BCE"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567DC2">
              <w:t>$127,908</w:t>
            </w:r>
          </w:p>
        </w:tc>
      </w:tr>
      <w:tr w:rsidR="00F01861" w:rsidRPr="00BC7AA4" w14:paraId="467B1642" w14:textId="77777777" w:rsidTr="00FB4759">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04C9EEB4" w14:textId="5716F033" w:rsidR="00F01861" w:rsidRPr="00BC7AA4" w:rsidRDefault="00F01861" w:rsidP="00F01861">
            <w:pPr>
              <w:pStyle w:val="Tabletext"/>
              <w:rPr>
                <w:rFonts w:cs="Arial"/>
                <w:szCs w:val="18"/>
                <w:lang w:eastAsia="en-AU"/>
              </w:rPr>
            </w:pPr>
            <w:r w:rsidRPr="000B2F5A">
              <w:rPr>
                <w:rFonts w:cs="Arial"/>
                <w:szCs w:val="18"/>
                <w:lang w:eastAsia="en-AU"/>
              </w:rPr>
              <w:t>Homelessness</w:t>
            </w:r>
          </w:p>
        </w:tc>
        <w:tc>
          <w:tcPr>
            <w:tcW w:w="3329" w:type="dxa"/>
            <w:shd w:val="clear" w:color="auto" w:fill="auto"/>
            <w:vAlign w:val="center"/>
            <w:hideMark/>
          </w:tcPr>
          <w:p w14:paraId="51D71B13" w14:textId="02CCB642"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Homeless Accommodation - Short term</w:t>
            </w:r>
          </w:p>
        </w:tc>
        <w:tc>
          <w:tcPr>
            <w:tcW w:w="1922" w:type="dxa"/>
            <w:shd w:val="clear" w:color="auto" w:fill="auto"/>
            <w:noWrap/>
            <w:vAlign w:val="center"/>
            <w:hideMark/>
          </w:tcPr>
          <w:p w14:paraId="44367DC5" w14:textId="11AFDC8B"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Accommodation nights</w:t>
            </w:r>
          </w:p>
        </w:tc>
        <w:tc>
          <w:tcPr>
            <w:tcW w:w="1188" w:type="dxa"/>
            <w:shd w:val="clear" w:color="auto" w:fill="auto"/>
            <w:noWrap/>
            <w:vAlign w:val="center"/>
            <w:hideMark/>
          </w:tcPr>
          <w:p w14:paraId="7983CE8C" w14:textId="74091DF8"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-21.227</w:t>
            </w:r>
          </w:p>
        </w:tc>
        <w:tc>
          <w:tcPr>
            <w:tcW w:w="1648" w:type="dxa"/>
            <w:vAlign w:val="center"/>
          </w:tcPr>
          <w:p w14:paraId="69679990" w14:textId="2C1302D0"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$4,</w:t>
            </w:r>
            <w:r>
              <w:rPr>
                <w:rFonts w:cs="Arial"/>
                <w:szCs w:val="18"/>
              </w:rPr>
              <w:t>514,384</w:t>
            </w:r>
          </w:p>
        </w:tc>
      </w:tr>
      <w:tr w:rsidR="00F01861" w:rsidRPr="00BC7AA4" w14:paraId="326A0833" w14:textId="77777777" w:rsidTr="00FB4759">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7B11BFDC" w14:textId="2609B6E9" w:rsidR="00F01861" w:rsidRPr="00BC7AA4" w:rsidRDefault="00F01861" w:rsidP="00F01861">
            <w:pPr>
              <w:pStyle w:val="Tabletext"/>
              <w:rPr>
                <w:rFonts w:cs="Arial"/>
                <w:szCs w:val="18"/>
                <w:lang w:eastAsia="en-AU"/>
              </w:rPr>
            </w:pPr>
            <w:r w:rsidRPr="000B2F5A">
              <w:rPr>
                <w:rFonts w:cs="Arial"/>
                <w:szCs w:val="18"/>
                <w:lang w:eastAsia="en-AU"/>
              </w:rPr>
              <w:t>Homelessness</w:t>
            </w:r>
          </w:p>
        </w:tc>
        <w:tc>
          <w:tcPr>
            <w:tcW w:w="3329" w:type="dxa"/>
            <w:shd w:val="clear" w:color="auto" w:fill="auto"/>
            <w:vAlign w:val="center"/>
          </w:tcPr>
          <w:p w14:paraId="72FA4B9C" w14:textId="72DD92E6"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Homeless Accommodation - Medium/Long term</w:t>
            </w:r>
          </w:p>
        </w:tc>
        <w:tc>
          <w:tcPr>
            <w:tcW w:w="1922" w:type="dxa"/>
            <w:shd w:val="clear" w:color="auto" w:fill="auto"/>
            <w:noWrap/>
            <w:vAlign w:val="center"/>
          </w:tcPr>
          <w:p w14:paraId="0733A712" w14:textId="5580F4D4"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Accommodation nights</w:t>
            </w:r>
          </w:p>
        </w:tc>
        <w:tc>
          <w:tcPr>
            <w:tcW w:w="1188" w:type="dxa"/>
            <w:shd w:val="clear" w:color="auto" w:fill="auto"/>
            <w:noWrap/>
            <w:vAlign w:val="center"/>
          </w:tcPr>
          <w:p w14:paraId="639D19B4" w14:textId="1CCFAB5B"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-5.796</w:t>
            </w:r>
          </w:p>
        </w:tc>
        <w:tc>
          <w:tcPr>
            <w:tcW w:w="1648" w:type="dxa"/>
            <w:vAlign w:val="center"/>
          </w:tcPr>
          <w:p w14:paraId="3F9AD855" w14:textId="570E053C"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w:t>
            </w:r>
            <w:r>
              <w:rPr>
                <w:rFonts w:cs="Arial"/>
                <w:szCs w:val="18"/>
              </w:rPr>
              <w:t>167,975</w:t>
            </w:r>
          </w:p>
        </w:tc>
      </w:tr>
      <w:tr w:rsidR="00F01861" w:rsidRPr="00BC7AA4" w14:paraId="0BEC08B1" w14:textId="77777777" w:rsidTr="00FB4759">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24DDA484" w14:textId="5DBACF13" w:rsidR="00F01861" w:rsidRPr="00BC7AA4" w:rsidRDefault="00F01861" w:rsidP="00F01861">
            <w:pPr>
              <w:pStyle w:val="Tabletext"/>
              <w:rPr>
                <w:rFonts w:cs="Arial"/>
                <w:szCs w:val="18"/>
                <w:lang w:eastAsia="en-AU"/>
              </w:rPr>
            </w:pPr>
            <w:r w:rsidRPr="000B2F5A">
              <w:rPr>
                <w:rFonts w:cs="Arial"/>
                <w:szCs w:val="18"/>
                <w:lang w:eastAsia="en-AU"/>
              </w:rPr>
              <w:t>Homelessness</w:t>
            </w:r>
          </w:p>
        </w:tc>
        <w:tc>
          <w:tcPr>
            <w:tcW w:w="3329" w:type="dxa"/>
            <w:shd w:val="clear" w:color="auto" w:fill="auto"/>
            <w:vAlign w:val="center"/>
          </w:tcPr>
          <w:p w14:paraId="65FD1126" w14:textId="7B3AC8BD"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Homeless intake</w:t>
            </w:r>
          </w:p>
        </w:tc>
        <w:tc>
          <w:tcPr>
            <w:tcW w:w="1922" w:type="dxa"/>
            <w:shd w:val="clear" w:color="auto" w:fill="auto"/>
            <w:noWrap/>
            <w:vAlign w:val="center"/>
          </w:tcPr>
          <w:p w14:paraId="3887DDA9" w14:textId="7793BFD4"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Support days</w:t>
            </w:r>
          </w:p>
        </w:tc>
        <w:tc>
          <w:tcPr>
            <w:tcW w:w="1188" w:type="dxa"/>
            <w:shd w:val="clear" w:color="auto" w:fill="auto"/>
            <w:noWrap/>
            <w:vAlign w:val="center"/>
          </w:tcPr>
          <w:p w14:paraId="4F4F63BA" w14:textId="65ED8A10"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-31.128</w:t>
            </w:r>
          </w:p>
        </w:tc>
        <w:tc>
          <w:tcPr>
            <w:tcW w:w="1648" w:type="dxa"/>
            <w:vAlign w:val="center"/>
          </w:tcPr>
          <w:p w14:paraId="425682FD" w14:textId="73B99854"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w:t>
            </w:r>
            <w:r>
              <w:rPr>
                <w:rFonts w:cs="Arial"/>
                <w:szCs w:val="18"/>
              </w:rPr>
              <w:t>696,282</w:t>
            </w:r>
          </w:p>
        </w:tc>
      </w:tr>
      <w:tr w:rsidR="00F01861" w:rsidRPr="00BC7AA4" w14:paraId="7542F46F" w14:textId="77777777" w:rsidTr="00FB4759">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79B88813" w14:textId="62A70236" w:rsidR="00F01861" w:rsidRPr="00BC7AA4" w:rsidRDefault="00F01861" w:rsidP="00F01861">
            <w:pPr>
              <w:pStyle w:val="Tabletext"/>
              <w:rPr>
                <w:rFonts w:cs="Arial"/>
                <w:szCs w:val="18"/>
                <w:lang w:eastAsia="en-AU"/>
              </w:rPr>
            </w:pPr>
            <w:r w:rsidRPr="000B2F5A">
              <w:rPr>
                <w:rFonts w:cs="Arial"/>
                <w:szCs w:val="18"/>
                <w:lang w:eastAsia="en-AU"/>
              </w:rPr>
              <w:t>Homelessness</w:t>
            </w:r>
          </w:p>
        </w:tc>
        <w:tc>
          <w:tcPr>
            <w:tcW w:w="3329" w:type="dxa"/>
            <w:shd w:val="clear" w:color="auto" w:fill="auto"/>
            <w:vAlign w:val="center"/>
          </w:tcPr>
          <w:p w14:paraId="37494BF8" w14:textId="16786B3B"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Homeless support</w:t>
            </w:r>
          </w:p>
        </w:tc>
        <w:tc>
          <w:tcPr>
            <w:tcW w:w="1922" w:type="dxa"/>
            <w:shd w:val="clear" w:color="auto" w:fill="auto"/>
            <w:noWrap/>
            <w:vAlign w:val="center"/>
          </w:tcPr>
          <w:p w14:paraId="11F447BB" w14:textId="0634D3DF"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Support days</w:t>
            </w:r>
          </w:p>
        </w:tc>
        <w:tc>
          <w:tcPr>
            <w:tcW w:w="1188" w:type="dxa"/>
            <w:shd w:val="clear" w:color="auto" w:fill="auto"/>
            <w:noWrap/>
            <w:vAlign w:val="center"/>
          </w:tcPr>
          <w:p w14:paraId="63709438" w14:textId="64D67701"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-65.590</w:t>
            </w:r>
          </w:p>
        </w:tc>
        <w:tc>
          <w:tcPr>
            <w:tcW w:w="1648" w:type="dxa"/>
            <w:vAlign w:val="center"/>
          </w:tcPr>
          <w:p w14:paraId="364E4F3F" w14:textId="72BEAD15"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$2,</w:t>
            </w:r>
            <w:r>
              <w:rPr>
                <w:rFonts w:cs="Arial"/>
                <w:szCs w:val="18"/>
              </w:rPr>
              <w:t>213,843</w:t>
            </w:r>
          </w:p>
        </w:tc>
      </w:tr>
      <w:tr w:rsidR="00F01861" w:rsidRPr="00BC7AA4" w14:paraId="0886E5B9" w14:textId="77777777" w:rsidTr="00FB4759">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tcPr>
          <w:p w14:paraId="00F02704" w14:textId="3C0CCA8D" w:rsidR="00F01861" w:rsidRPr="00BC7AA4" w:rsidRDefault="00F01861" w:rsidP="00F01861">
            <w:pPr>
              <w:pStyle w:val="Tabletext"/>
              <w:rPr>
                <w:rFonts w:cs="Arial"/>
                <w:szCs w:val="18"/>
                <w:lang w:eastAsia="en-AU"/>
              </w:rPr>
            </w:pPr>
            <w:r w:rsidRPr="000B2F5A">
              <w:rPr>
                <w:rFonts w:cs="Arial"/>
                <w:szCs w:val="18"/>
                <w:lang w:eastAsia="en-AU"/>
              </w:rPr>
              <w:t>Homelessness</w:t>
            </w:r>
          </w:p>
        </w:tc>
        <w:tc>
          <w:tcPr>
            <w:tcW w:w="3329" w:type="dxa"/>
            <w:shd w:val="clear" w:color="auto" w:fill="auto"/>
            <w:vAlign w:val="center"/>
          </w:tcPr>
          <w:p w14:paraId="181577C8" w14:textId="1E86EA3E"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Homelessness Discretionary Funds</w:t>
            </w:r>
          </w:p>
        </w:tc>
        <w:tc>
          <w:tcPr>
            <w:tcW w:w="1922" w:type="dxa"/>
            <w:shd w:val="clear" w:color="auto" w:fill="auto"/>
            <w:noWrap/>
            <w:vAlign w:val="center"/>
          </w:tcPr>
          <w:p w14:paraId="0AA0F765" w14:textId="5EEC4BFB" w:rsidR="00F01861" w:rsidRPr="00BC7AA4" w:rsidRDefault="00F01861" w:rsidP="00F01861">
            <w:pPr>
              <w:pStyle w:val="Tabletext"/>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BC7AA4">
              <w:rPr>
                <w:rFonts w:cs="Arial"/>
                <w:szCs w:val="18"/>
              </w:rPr>
              <w:t>Dollars</w:t>
            </w:r>
          </w:p>
        </w:tc>
        <w:tc>
          <w:tcPr>
            <w:tcW w:w="1188" w:type="dxa"/>
            <w:shd w:val="clear" w:color="auto" w:fill="auto"/>
            <w:noWrap/>
            <w:vAlign w:val="center"/>
          </w:tcPr>
          <w:p w14:paraId="5C3FA476" w14:textId="12A0507C"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lang w:eastAsia="en-AU"/>
              </w:rPr>
            </w:pPr>
            <w:r w:rsidRPr="003C67D4">
              <w:rPr>
                <w:rFonts w:cs="Arial"/>
                <w:color w:val="000000"/>
                <w:szCs w:val="18"/>
              </w:rPr>
              <w:t>-850.357</w:t>
            </w:r>
          </w:p>
        </w:tc>
        <w:tc>
          <w:tcPr>
            <w:tcW w:w="1648" w:type="dxa"/>
            <w:vAlign w:val="center"/>
          </w:tcPr>
          <w:p w14:paraId="43D2C972" w14:textId="719675CF" w:rsidR="00F01861" w:rsidRPr="00BC7AA4" w:rsidRDefault="00F01861" w:rsidP="00F0186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$1,</w:t>
            </w:r>
            <w:r>
              <w:rPr>
                <w:rFonts w:cs="Arial"/>
                <w:szCs w:val="18"/>
              </w:rPr>
              <w:t>252,665</w:t>
            </w:r>
          </w:p>
        </w:tc>
      </w:tr>
      <w:tr w:rsidR="00134FF5" w:rsidRPr="00BC7AA4" w14:paraId="41D8CF08"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040C6803" w14:textId="3D034142" w:rsidR="00134FF5" w:rsidRPr="00BC7AA4" w:rsidRDefault="00134FF5" w:rsidP="000C3641">
            <w:pPr>
              <w:pStyle w:val="Tabletext"/>
              <w:rPr>
                <w:rFonts w:cs="Arial"/>
                <w:szCs w:val="18"/>
                <w:lang w:eastAsia="en-AU"/>
              </w:rPr>
            </w:pPr>
            <w:r w:rsidRPr="00BC7AA4">
              <w:rPr>
                <w:rFonts w:cs="Arial"/>
                <w:szCs w:val="18"/>
                <w:lang w:eastAsia="en-AU"/>
              </w:rPr>
              <w:t>Corrections</w:t>
            </w:r>
          </w:p>
        </w:tc>
        <w:tc>
          <w:tcPr>
            <w:tcW w:w="3329" w:type="dxa"/>
            <w:shd w:val="clear" w:color="auto" w:fill="auto"/>
            <w:vAlign w:val="center"/>
          </w:tcPr>
          <w:p w14:paraId="6AFEEAE4" w14:textId="40EB5259"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Custody</w:t>
            </w:r>
          </w:p>
        </w:tc>
        <w:tc>
          <w:tcPr>
            <w:tcW w:w="1922" w:type="dxa"/>
            <w:shd w:val="clear" w:color="auto" w:fill="auto"/>
            <w:noWrap/>
            <w:vAlign w:val="center"/>
          </w:tcPr>
          <w:p w14:paraId="508628AF" w14:textId="1EC30437" w:rsidR="00134FF5" w:rsidRPr="00BC7AA4" w:rsidRDefault="00134FF5" w:rsidP="000C3641">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Days</w:t>
            </w:r>
          </w:p>
        </w:tc>
        <w:tc>
          <w:tcPr>
            <w:tcW w:w="1188" w:type="dxa"/>
            <w:shd w:val="clear" w:color="auto" w:fill="auto"/>
            <w:noWrap/>
            <w:vAlign w:val="center"/>
          </w:tcPr>
          <w:p w14:paraId="45D3A527" w14:textId="2B3C66D6" w:rsidR="00134FF5" w:rsidRPr="003C67D4" w:rsidRDefault="00134FF5" w:rsidP="003C67D4">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3C67D4">
              <w:rPr>
                <w:rFonts w:cs="Arial"/>
                <w:color w:val="000000"/>
                <w:sz w:val="18"/>
                <w:szCs w:val="18"/>
              </w:rPr>
              <w:t>-8.524</w:t>
            </w:r>
          </w:p>
        </w:tc>
        <w:tc>
          <w:tcPr>
            <w:tcW w:w="1648" w:type="dxa"/>
            <w:vAlign w:val="center"/>
          </w:tcPr>
          <w:p w14:paraId="688E9AE2" w14:textId="2203072E" w:rsidR="00134FF5" w:rsidRPr="00BC7AA4" w:rsidRDefault="00134FF5" w:rsidP="000C3641">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highlight w:val="green"/>
                <w:lang w:eastAsia="en-AU"/>
              </w:rPr>
            </w:pPr>
            <w:r w:rsidRPr="00BC7AA4">
              <w:rPr>
                <w:rFonts w:cs="Arial"/>
                <w:szCs w:val="18"/>
              </w:rPr>
              <w:t>$4,</w:t>
            </w:r>
            <w:r>
              <w:rPr>
                <w:rFonts w:cs="Arial"/>
                <w:szCs w:val="18"/>
              </w:rPr>
              <w:t>541</w:t>
            </w:r>
            <w:r w:rsidRPr="00BC7AA4">
              <w:rPr>
                <w:rFonts w:cs="Arial"/>
                <w:szCs w:val="18"/>
              </w:rPr>
              <w:t>,</w:t>
            </w:r>
            <w:r>
              <w:rPr>
                <w:rFonts w:cs="Arial"/>
                <w:szCs w:val="18"/>
              </w:rPr>
              <w:t>508</w:t>
            </w:r>
          </w:p>
        </w:tc>
      </w:tr>
      <w:tr w:rsidR="00B24FDD" w:rsidRPr="00BC7AA4" w14:paraId="7A6400F3"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792CC39E" w14:textId="20E02FF9" w:rsidR="00B24FDD" w:rsidRPr="00BC7AA4" w:rsidRDefault="00B24FDD" w:rsidP="00B24FDD">
            <w:pPr>
              <w:pStyle w:val="Tabletext"/>
              <w:rPr>
                <w:rFonts w:cs="Arial"/>
                <w:szCs w:val="18"/>
                <w:lang w:eastAsia="en-AU"/>
              </w:rPr>
            </w:pPr>
            <w:r w:rsidRPr="00BC7AA4">
              <w:rPr>
                <w:rFonts w:cs="Arial"/>
                <w:szCs w:val="18"/>
                <w:lang w:eastAsia="en-AU"/>
              </w:rPr>
              <w:t>Ambulance</w:t>
            </w:r>
          </w:p>
        </w:tc>
        <w:tc>
          <w:tcPr>
            <w:tcW w:w="3329" w:type="dxa"/>
            <w:shd w:val="clear" w:color="auto" w:fill="auto"/>
            <w:vAlign w:val="center"/>
          </w:tcPr>
          <w:p w14:paraId="45596BA6" w14:textId="539D14E9"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Ambulance transports</w:t>
            </w:r>
          </w:p>
        </w:tc>
        <w:tc>
          <w:tcPr>
            <w:tcW w:w="1922" w:type="dxa"/>
            <w:shd w:val="clear" w:color="auto" w:fill="auto"/>
            <w:noWrap/>
            <w:vAlign w:val="center"/>
          </w:tcPr>
          <w:p w14:paraId="1283A4D6" w14:textId="4C3803FD"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Transports</w:t>
            </w:r>
          </w:p>
        </w:tc>
        <w:tc>
          <w:tcPr>
            <w:tcW w:w="1188" w:type="dxa"/>
            <w:shd w:val="clear" w:color="auto" w:fill="auto"/>
            <w:noWrap/>
            <w:vAlign w:val="center"/>
          </w:tcPr>
          <w:p w14:paraId="5F575DF0" w14:textId="1BFDD67B" w:rsidR="00B24FDD" w:rsidRPr="003C67D4" w:rsidRDefault="00B24FDD" w:rsidP="00B24FD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3C67D4">
              <w:rPr>
                <w:rFonts w:cs="Arial"/>
                <w:color w:val="000000"/>
                <w:sz w:val="18"/>
                <w:szCs w:val="18"/>
              </w:rPr>
              <w:t>-0.360</w:t>
            </w:r>
          </w:p>
        </w:tc>
        <w:tc>
          <w:tcPr>
            <w:tcW w:w="1648" w:type="dxa"/>
            <w:vAlign w:val="center"/>
          </w:tcPr>
          <w:p w14:paraId="35BBA2DE" w14:textId="7419F0CA" w:rsidR="00B24FDD" w:rsidRPr="00BC7AA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$722,197</w:t>
            </w:r>
          </w:p>
        </w:tc>
      </w:tr>
      <w:tr w:rsidR="00B24FDD" w:rsidRPr="00BC7AA4" w14:paraId="0D7EE5E7"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69396525" w14:textId="223779DC" w:rsidR="00B24FDD" w:rsidRPr="00BC7AA4" w:rsidRDefault="00B24FDD" w:rsidP="00B24FDD">
            <w:pPr>
              <w:pStyle w:val="Tabletext"/>
              <w:rPr>
                <w:rFonts w:cs="Arial"/>
                <w:szCs w:val="18"/>
                <w:lang w:eastAsia="en-AU"/>
              </w:rPr>
            </w:pPr>
            <w:r w:rsidRPr="00BC7AA4">
              <w:rPr>
                <w:rFonts w:cs="Arial"/>
                <w:szCs w:val="18"/>
                <w:lang w:eastAsia="en-AU"/>
              </w:rPr>
              <w:t>Family violence and sexual assault services</w:t>
            </w:r>
          </w:p>
        </w:tc>
        <w:tc>
          <w:tcPr>
            <w:tcW w:w="3329" w:type="dxa"/>
            <w:shd w:val="clear" w:color="auto" w:fill="auto"/>
            <w:vAlign w:val="center"/>
          </w:tcPr>
          <w:p w14:paraId="59EA23C4" w14:textId="454AA5CB"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Sexual Assault Support Services</w:t>
            </w:r>
          </w:p>
        </w:tc>
        <w:tc>
          <w:tcPr>
            <w:tcW w:w="1922" w:type="dxa"/>
            <w:shd w:val="clear" w:color="auto" w:fill="auto"/>
            <w:noWrap/>
            <w:vAlign w:val="center"/>
          </w:tcPr>
          <w:p w14:paraId="066B028E" w14:textId="5BC7316A"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Service hours</w:t>
            </w:r>
          </w:p>
        </w:tc>
        <w:tc>
          <w:tcPr>
            <w:tcW w:w="1188" w:type="dxa"/>
            <w:shd w:val="clear" w:color="auto" w:fill="auto"/>
            <w:noWrap/>
            <w:vAlign w:val="center"/>
          </w:tcPr>
          <w:p w14:paraId="524DA7B9" w14:textId="03BF9317" w:rsidR="00B24FDD" w:rsidRPr="003C67D4" w:rsidRDefault="00B24FDD" w:rsidP="00B24FD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3C67D4">
              <w:rPr>
                <w:rFonts w:cs="Arial"/>
                <w:color w:val="000000"/>
                <w:sz w:val="18"/>
                <w:szCs w:val="18"/>
              </w:rPr>
              <w:t>0.360</w:t>
            </w:r>
          </w:p>
        </w:tc>
        <w:tc>
          <w:tcPr>
            <w:tcW w:w="1648" w:type="dxa"/>
            <w:vAlign w:val="center"/>
          </w:tcPr>
          <w:p w14:paraId="08284F82" w14:textId="677A9C30" w:rsidR="00B24FDD" w:rsidRPr="00BC7AA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-$103,005</w:t>
            </w:r>
          </w:p>
        </w:tc>
      </w:tr>
      <w:tr w:rsidR="00B24FDD" w:rsidRPr="00BC7AA4" w14:paraId="6DB72FA6"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33A75B79" w14:textId="65C6DE89" w:rsidR="00B24FDD" w:rsidRPr="00BC7AA4" w:rsidRDefault="00B24FDD" w:rsidP="00B24FDD">
            <w:pPr>
              <w:pStyle w:val="Tabletext"/>
              <w:rPr>
                <w:rFonts w:cs="Arial"/>
                <w:szCs w:val="18"/>
                <w:lang w:eastAsia="en-AU"/>
              </w:rPr>
            </w:pPr>
            <w:r w:rsidRPr="00BC7AA4">
              <w:rPr>
                <w:rFonts w:cs="Arial"/>
                <w:szCs w:val="18"/>
                <w:lang w:eastAsia="en-AU"/>
              </w:rPr>
              <w:t>Family violence and sexual assault services</w:t>
            </w:r>
          </w:p>
        </w:tc>
        <w:tc>
          <w:tcPr>
            <w:tcW w:w="3329" w:type="dxa"/>
            <w:shd w:val="clear" w:color="auto" w:fill="auto"/>
            <w:vAlign w:val="center"/>
          </w:tcPr>
          <w:p w14:paraId="366D10F1" w14:textId="19542CB3"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Specialist Support - Victim-Survivor</w:t>
            </w:r>
          </w:p>
        </w:tc>
        <w:tc>
          <w:tcPr>
            <w:tcW w:w="1922" w:type="dxa"/>
            <w:shd w:val="clear" w:color="auto" w:fill="auto"/>
            <w:noWrap/>
            <w:vAlign w:val="center"/>
          </w:tcPr>
          <w:p w14:paraId="112FBB2E" w14:textId="4D439D54"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Service hours</w:t>
            </w:r>
          </w:p>
        </w:tc>
        <w:tc>
          <w:tcPr>
            <w:tcW w:w="1188" w:type="dxa"/>
            <w:shd w:val="clear" w:color="auto" w:fill="auto"/>
            <w:noWrap/>
            <w:vAlign w:val="center"/>
          </w:tcPr>
          <w:p w14:paraId="6F2C8E14" w14:textId="35F7723D" w:rsidR="00B24FDD" w:rsidRPr="003C67D4" w:rsidRDefault="00B24FDD" w:rsidP="00B24FD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3C67D4">
              <w:rPr>
                <w:rFonts w:cs="Arial"/>
                <w:color w:val="000000"/>
                <w:sz w:val="18"/>
                <w:szCs w:val="18"/>
              </w:rPr>
              <w:t>-0.120</w:t>
            </w:r>
          </w:p>
        </w:tc>
        <w:tc>
          <w:tcPr>
            <w:tcW w:w="1648" w:type="dxa"/>
            <w:vAlign w:val="center"/>
          </w:tcPr>
          <w:p w14:paraId="1B538237" w14:textId="70E65604" w:rsidR="00B24FDD" w:rsidRPr="00BC7AA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$103,242</w:t>
            </w:r>
          </w:p>
        </w:tc>
      </w:tr>
      <w:tr w:rsidR="00B24FDD" w:rsidRPr="00BC7AA4" w14:paraId="74987D75" w14:textId="77777777" w:rsidTr="00F01861">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auto"/>
            <w:vAlign w:val="center"/>
          </w:tcPr>
          <w:p w14:paraId="7F9A0E0E" w14:textId="4F7EB8B6" w:rsidR="00B24FDD" w:rsidRPr="00BC7AA4" w:rsidRDefault="00B24FDD" w:rsidP="00B24FDD">
            <w:pPr>
              <w:pStyle w:val="Tabletext"/>
              <w:rPr>
                <w:rFonts w:cs="Arial"/>
                <w:szCs w:val="18"/>
                <w:lang w:eastAsia="en-AU"/>
              </w:rPr>
            </w:pPr>
            <w:r w:rsidRPr="00BC7AA4">
              <w:rPr>
                <w:rFonts w:cs="Arial"/>
                <w:szCs w:val="18"/>
                <w:lang w:eastAsia="en-AU"/>
              </w:rPr>
              <w:t>Family violence and sexual assault services</w:t>
            </w:r>
          </w:p>
        </w:tc>
        <w:tc>
          <w:tcPr>
            <w:tcW w:w="3329" w:type="dxa"/>
            <w:shd w:val="clear" w:color="auto" w:fill="auto"/>
            <w:vAlign w:val="center"/>
          </w:tcPr>
          <w:p w14:paraId="541A3282" w14:textId="4B80EF44"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Brokerage</w:t>
            </w:r>
          </w:p>
        </w:tc>
        <w:tc>
          <w:tcPr>
            <w:tcW w:w="1922" w:type="dxa"/>
            <w:shd w:val="clear" w:color="auto" w:fill="auto"/>
            <w:noWrap/>
            <w:vAlign w:val="center"/>
          </w:tcPr>
          <w:p w14:paraId="0C109626" w14:textId="2C67D2AE"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r w:rsidRPr="00BC7AA4">
              <w:rPr>
                <w:rFonts w:cs="Arial"/>
                <w:szCs w:val="18"/>
              </w:rPr>
              <w:t>Brokerage dollars</w:t>
            </w:r>
          </w:p>
        </w:tc>
        <w:tc>
          <w:tcPr>
            <w:tcW w:w="1188" w:type="dxa"/>
            <w:shd w:val="clear" w:color="auto" w:fill="auto"/>
            <w:noWrap/>
            <w:vAlign w:val="center"/>
          </w:tcPr>
          <w:p w14:paraId="735CD903" w14:textId="260A21EC" w:rsidR="00B24FDD" w:rsidRPr="003C67D4" w:rsidRDefault="00B24FDD" w:rsidP="00B24FD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3C67D4">
              <w:rPr>
                <w:rFonts w:cs="Arial"/>
                <w:color w:val="000000"/>
                <w:sz w:val="18"/>
                <w:szCs w:val="18"/>
              </w:rPr>
              <w:t>148.800</w:t>
            </w:r>
          </w:p>
        </w:tc>
        <w:tc>
          <w:tcPr>
            <w:tcW w:w="1648" w:type="dxa"/>
            <w:vAlign w:val="center"/>
          </w:tcPr>
          <w:p w14:paraId="4BFE448C" w14:textId="6DC423DD" w:rsidR="00B24FDD" w:rsidRPr="00BC7AA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szCs w:val="18"/>
              </w:rPr>
            </w:pPr>
            <w:r w:rsidRPr="003C67D4">
              <w:rPr>
                <w:rFonts w:cs="Arial"/>
                <w:color w:val="000000"/>
                <w:szCs w:val="18"/>
              </w:rPr>
              <w:t>-$636,313</w:t>
            </w:r>
          </w:p>
        </w:tc>
      </w:tr>
      <w:tr w:rsidR="00B24FDD" w:rsidRPr="00BC7AA4" w14:paraId="08845C53" w14:textId="77777777" w:rsidTr="00B24FDD">
        <w:trPr>
          <w:trHeight w:val="379"/>
        </w:trPr>
        <w:tc>
          <w:tcPr>
            <w:cnfStyle w:val="001000000000" w:firstRow="0" w:lastRow="0" w:firstColumn="1" w:lastColumn="0" w:oddVBand="0" w:evenVBand="0" w:oddHBand="0" w:evenHBand="0" w:firstRowFirstColumn="0" w:firstRowLastColumn="0" w:lastRowFirstColumn="0" w:lastRowLastColumn="0"/>
            <w:tcW w:w="1498" w:type="dxa"/>
            <w:shd w:val="clear" w:color="auto" w:fill="F0F0F0" w:themeFill="background2"/>
            <w:vAlign w:val="center"/>
          </w:tcPr>
          <w:p w14:paraId="12A00F87" w14:textId="3C33B77E" w:rsidR="00B24FDD" w:rsidRPr="00BC7AA4" w:rsidRDefault="00B24FDD" w:rsidP="00B24FDD">
            <w:pPr>
              <w:pStyle w:val="Tabletext"/>
              <w:rPr>
                <w:rFonts w:cs="Arial"/>
                <w:szCs w:val="18"/>
                <w:lang w:eastAsia="en-AU"/>
              </w:rPr>
            </w:pPr>
            <w:r w:rsidRPr="00BC7AA4">
              <w:rPr>
                <w:rFonts w:cs="Arial"/>
                <w:b/>
                <w:szCs w:val="18"/>
                <w:lang w:eastAsia="en-AU"/>
              </w:rPr>
              <w:t>Total benefit</w:t>
            </w:r>
            <w:r>
              <w:rPr>
                <w:rFonts w:cs="Arial"/>
                <w:b/>
                <w:szCs w:val="18"/>
                <w:lang w:eastAsia="en-AU"/>
              </w:rPr>
              <w:t xml:space="preserve"> </w:t>
            </w:r>
            <w:r w:rsidRPr="003122ED">
              <w:rPr>
                <w:rFonts w:cs="Arial"/>
                <w:b/>
                <w:szCs w:val="18"/>
                <w:lang w:eastAsia="en-AU"/>
              </w:rPr>
              <w:t>(real, $FY24)</w:t>
            </w:r>
          </w:p>
        </w:tc>
        <w:tc>
          <w:tcPr>
            <w:tcW w:w="3329" w:type="dxa"/>
            <w:shd w:val="clear" w:color="auto" w:fill="F0F0F0" w:themeFill="background2"/>
            <w:vAlign w:val="center"/>
          </w:tcPr>
          <w:p w14:paraId="21807B85" w14:textId="77777777"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p>
        </w:tc>
        <w:tc>
          <w:tcPr>
            <w:tcW w:w="1922" w:type="dxa"/>
            <w:shd w:val="clear" w:color="auto" w:fill="F0F0F0" w:themeFill="background2"/>
            <w:noWrap/>
            <w:vAlign w:val="center"/>
          </w:tcPr>
          <w:p w14:paraId="590F701C" w14:textId="77777777" w:rsidR="00B24FDD" w:rsidRPr="00BC7AA4" w:rsidRDefault="00B24FDD" w:rsidP="00B24FDD">
            <w:pPr>
              <w:pStyle w:val="Tabletext"/>
              <w:cnfStyle w:val="000000000000" w:firstRow="0" w:lastRow="0" w:firstColumn="0" w:lastColumn="0" w:oddVBand="0" w:evenVBand="0" w:oddHBand="0" w:evenHBand="0" w:firstRowFirstColumn="0" w:firstRowLastColumn="0" w:lastRowFirstColumn="0" w:lastRowLastColumn="0"/>
              <w:rPr>
                <w:rFonts w:cs="Arial"/>
                <w:szCs w:val="18"/>
              </w:rPr>
            </w:pPr>
          </w:p>
        </w:tc>
        <w:tc>
          <w:tcPr>
            <w:tcW w:w="1188" w:type="dxa"/>
            <w:shd w:val="clear" w:color="auto" w:fill="F0F0F0" w:themeFill="background2"/>
            <w:noWrap/>
            <w:vAlign w:val="center"/>
          </w:tcPr>
          <w:p w14:paraId="404CD75C" w14:textId="77777777" w:rsidR="00B24FDD" w:rsidRPr="003C67D4" w:rsidRDefault="00B24FDD" w:rsidP="00B24FD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p>
        </w:tc>
        <w:tc>
          <w:tcPr>
            <w:tcW w:w="1648" w:type="dxa"/>
            <w:shd w:val="clear" w:color="auto" w:fill="F0F0F0" w:themeFill="background2"/>
            <w:vAlign w:val="center"/>
          </w:tcPr>
          <w:p w14:paraId="5EEEC18E" w14:textId="27133FD5" w:rsidR="00B24FDD" w:rsidRPr="003C67D4" w:rsidRDefault="00B24FDD" w:rsidP="00B24FDD">
            <w:pPr>
              <w:pStyle w:val="TabletextRightaligned"/>
              <w:cnfStyle w:val="000000000000" w:firstRow="0" w:lastRow="0" w:firstColumn="0" w:lastColumn="0" w:oddVBand="0" w:evenVBand="0" w:oddHBand="0" w:evenHBand="0" w:firstRowFirstColumn="0" w:firstRowLastColumn="0" w:lastRowFirstColumn="0" w:lastRowLastColumn="0"/>
              <w:rPr>
                <w:rFonts w:cs="Arial"/>
                <w:color w:val="000000"/>
                <w:szCs w:val="18"/>
              </w:rPr>
            </w:pPr>
            <w:r w:rsidRPr="003C67D4">
              <w:rPr>
                <w:rFonts w:cs="Arial"/>
                <w:b/>
                <w:bCs/>
                <w:color w:val="000000"/>
                <w:szCs w:val="18"/>
              </w:rPr>
              <w:t>$19,</w:t>
            </w:r>
            <w:r>
              <w:rPr>
                <w:rFonts w:cs="Arial"/>
                <w:b/>
                <w:bCs/>
                <w:color w:val="000000"/>
                <w:szCs w:val="18"/>
              </w:rPr>
              <w:t>698,227</w:t>
            </w:r>
          </w:p>
        </w:tc>
      </w:tr>
    </w:tbl>
    <w:p w14:paraId="28C965C5" w14:textId="4AD45EC9" w:rsidR="00B13706" w:rsidRPr="00EB7789" w:rsidRDefault="00B13706" w:rsidP="008C71A8">
      <w:pPr>
        <w:pStyle w:val="Heading4"/>
        <w:rPr>
          <w:b/>
        </w:rPr>
      </w:pPr>
      <w:r w:rsidRPr="00EB7789">
        <w:t>Improved quality of life</w:t>
      </w:r>
    </w:p>
    <w:p w14:paraId="5151F6DB" w14:textId="240AB6D7" w:rsidR="00B13706" w:rsidRPr="009572B1" w:rsidRDefault="00B13706" w:rsidP="009572B1">
      <w:pPr>
        <w:pStyle w:val="BodyText"/>
      </w:pPr>
      <w:r>
        <w:t xml:space="preserve">The </w:t>
      </w:r>
      <w:r w:rsidRPr="009572B1">
        <w:t xml:space="preserve">outcomes evaluation stream found that the J2SI PAD program resulted in improved stable housing and health and wellbeing outcomes for clients, </w:t>
      </w:r>
      <w:r w:rsidR="000C3641" w:rsidRPr="009572B1">
        <w:t xml:space="preserve">which are </w:t>
      </w:r>
      <w:r w:rsidRPr="009572B1">
        <w:t>important drivers of improved quality of life. This finding is substantiated by a broader evidence base underpinning housing first programs. There are several different established measures for capturing improved quality of life in a quantitative sense</w:t>
      </w:r>
      <w:r w:rsidR="000B76B4" w:rsidRPr="009572B1">
        <w:t xml:space="preserve"> and</w:t>
      </w:r>
      <w:r w:rsidRPr="009572B1">
        <w:t xml:space="preserve">, </w:t>
      </w:r>
      <w:r w:rsidR="00E878A5" w:rsidRPr="009572B1">
        <w:t>for this measurement,</w:t>
      </w:r>
      <w:r w:rsidRPr="009572B1">
        <w:t xml:space="preserve"> Quality Adjusted Life Year</w:t>
      </w:r>
      <w:r w:rsidR="00E878A5" w:rsidRPr="009572B1">
        <w:t>s</w:t>
      </w:r>
      <w:r w:rsidRPr="009572B1">
        <w:t xml:space="preserve"> (QALY) </w:t>
      </w:r>
      <w:r w:rsidR="00E878A5" w:rsidRPr="009572B1">
        <w:t>have been</w:t>
      </w:r>
      <w:r w:rsidRPr="009572B1">
        <w:t xml:space="preserve"> used given its standardised nature and ease of monetisation when multiplied by the Value of a Statistical Life Year (VSLY). </w:t>
      </w:r>
    </w:p>
    <w:p w14:paraId="5078038D" w14:textId="31F3E8A7" w:rsidR="00B13706" w:rsidRPr="009572B1" w:rsidRDefault="00B13706" w:rsidP="009572B1">
      <w:pPr>
        <w:pStyle w:val="BodyText"/>
      </w:pPr>
      <w:r w:rsidRPr="009572B1">
        <w:t xml:space="preserve">A cross-sectional study undertaken </w:t>
      </w:r>
      <w:r w:rsidR="003D13BB" w:rsidRPr="009572B1">
        <w:t>by</w:t>
      </w:r>
      <w:r w:rsidRPr="009572B1">
        <w:t xml:space="preserve"> </w:t>
      </w:r>
      <w:r w:rsidR="00382051" w:rsidRPr="009572B1">
        <w:t>R.W</w:t>
      </w:r>
      <w:r w:rsidRPr="009572B1">
        <w:t>.</w:t>
      </w:r>
      <w:r w:rsidR="00382051" w:rsidRPr="009572B1">
        <w:t xml:space="preserve"> Albridge</w:t>
      </w:r>
      <w:r w:rsidR="00FC159C" w:rsidRPr="00F4737A">
        <w:rPr>
          <w:rStyle w:val="FootnoteReference"/>
        </w:rPr>
        <w:footnoteReference w:id="52"/>
      </w:r>
      <w:r w:rsidRPr="00F4737A">
        <w:rPr>
          <w:rStyle w:val="FootnoteReference"/>
        </w:rPr>
        <w:t xml:space="preserve"> </w:t>
      </w:r>
      <w:r w:rsidRPr="009572B1">
        <w:t xml:space="preserve">estimated the difference in QALYs between a sample of individuals experiencing homelessness compared to a sample of people in stable housing in London. The study found that one year of homelessness was associated with a loss of 0.117 QALYs. </w:t>
      </w:r>
    </w:p>
    <w:p w14:paraId="272D29D1" w14:textId="1EED018F" w:rsidR="00B13706" w:rsidRPr="009572B1" w:rsidRDefault="00B13706" w:rsidP="00393BCC">
      <w:pPr>
        <w:pStyle w:val="BodyText"/>
        <w:spacing w:after="60"/>
      </w:pPr>
      <w:r w:rsidRPr="009572B1">
        <w:t xml:space="preserve">To estimate the improved quality of life of J2SI PAD clients, the incremental QALY gain reported by </w:t>
      </w:r>
      <w:r w:rsidR="00382051" w:rsidRPr="009572B1">
        <w:t>Albridge</w:t>
      </w:r>
      <w:r w:rsidRPr="009572B1">
        <w:t xml:space="preserve"> has been applied to J2SI PAD clients in stable housing per year across the analysis period. Adjustments were made to ensure the benefit: </w:t>
      </w:r>
    </w:p>
    <w:p w14:paraId="0AA9F87E" w14:textId="4E82F680" w:rsidR="00B13706" w:rsidRPr="00BA2D26" w:rsidRDefault="00B13706" w:rsidP="00393BCC">
      <w:pPr>
        <w:pStyle w:val="Bullet1stlevel"/>
        <w:spacing w:before="60" w:after="60"/>
      </w:pPr>
      <w:r>
        <w:t xml:space="preserve">Only captures incremental QALY gains relative to the service as usual </w:t>
      </w:r>
      <w:r w:rsidR="000A04E2">
        <w:t>non-intervention group</w:t>
      </w:r>
      <w:r>
        <w:t xml:space="preserve">. The purpose of this adjustment is in recognition of the fact that it </w:t>
      </w:r>
      <w:r w:rsidR="000C3641">
        <w:t>is</w:t>
      </w:r>
      <w:r>
        <w:t xml:space="preserve"> likely that some J2SI PAD clients would have entered into stable housing in the absence of the program and accrued the benefit. In order to estimate the proportion of clients who may have entered into stable housing, </w:t>
      </w:r>
      <w:r w:rsidRPr="00CC356C">
        <w:t>the VSIIDR data</w:t>
      </w:r>
      <w:r>
        <w:t xml:space="preserve"> </w:t>
      </w:r>
      <w:r w:rsidR="00B87203">
        <w:t xml:space="preserve">was </w:t>
      </w:r>
      <w:r>
        <w:t xml:space="preserve">used to calculate the change in service use benefit. The VSIIDR data </w:t>
      </w:r>
      <w:r w:rsidRPr="00BA2D26">
        <w:t>include</w:t>
      </w:r>
      <w:r w:rsidR="000A04E2">
        <w:t>d</w:t>
      </w:r>
      <w:r w:rsidRPr="00BA2D26">
        <w:t xml:space="preserve"> a social housing variable</w:t>
      </w:r>
      <w:r>
        <w:t xml:space="preserve"> that flags </w:t>
      </w:r>
      <w:r w:rsidRPr="00BA2D26">
        <w:t xml:space="preserve">individuals in the </w:t>
      </w:r>
      <w:r w:rsidR="000A04E2">
        <w:t>non-intervention group</w:t>
      </w:r>
      <w:r w:rsidRPr="00BA2D26">
        <w:t xml:space="preserve"> </w:t>
      </w:r>
      <w:r>
        <w:t xml:space="preserve">cohort (described above) </w:t>
      </w:r>
      <w:r w:rsidRPr="00BA2D26">
        <w:t>who entered into housing across the analysis period and therefore can also be assumed to have realised the improved quality of life benefit</w:t>
      </w:r>
      <w:r>
        <w:t xml:space="preserve">. This number of people </w:t>
      </w:r>
      <w:r w:rsidR="00E2364E">
        <w:t>was</w:t>
      </w:r>
      <w:r>
        <w:t xml:space="preserve"> subtracted from the J2SI PAD clients in stable housing </w:t>
      </w:r>
      <w:r w:rsidR="001C7B94">
        <w:t xml:space="preserve">who were </w:t>
      </w:r>
      <w:r>
        <w:t>accruing the benefit</w:t>
      </w:r>
      <w:r w:rsidR="001C7B94">
        <w:t>,</w:t>
      </w:r>
      <w:r>
        <w:t xml:space="preserve"> </w:t>
      </w:r>
      <w:r w:rsidR="009C5B3C">
        <w:t>with t</w:t>
      </w:r>
      <w:r w:rsidR="008B2297">
        <w:t xml:space="preserve">he margin of non-J2SI participants </w:t>
      </w:r>
      <w:r w:rsidR="008B2297">
        <w:lastRenderedPageBreak/>
        <w:t xml:space="preserve">being out of housing </w:t>
      </w:r>
      <w:r w:rsidR="005D3E8B">
        <w:t>in terms of total housing days</w:t>
      </w:r>
      <w:r w:rsidR="008B2297">
        <w:t xml:space="preserve"> </w:t>
      </w:r>
      <w:r w:rsidR="009C5B3C">
        <w:t>estimated as being</w:t>
      </w:r>
      <w:r w:rsidR="008B2297">
        <w:t xml:space="preserve"> </w:t>
      </w:r>
      <w:r w:rsidR="00AF0515">
        <w:t xml:space="preserve">36 </w:t>
      </w:r>
      <w:r w:rsidR="00D431DA">
        <w:t>per cent</w:t>
      </w:r>
      <w:r w:rsidR="008B2297">
        <w:t xml:space="preserve"> lower than J2SI participants.</w:t>
      </w:r>
      <w:r w:rsidR="00924851">
        <w:t xml:space="preserve"> Given </w:t>
      </w:r>
      <w:r w:rsidR="001C7B94">
        <w:t>that</w:t>
      </w:r>
      <w:r w:rsidR="00924851">
        <w:t xml:space="preserve"> the housing</w:t>
      </w:r>
      <w:r w:rsidR="00D275C8">
        <w:t xml:space="preserve"> services</w:t>
      </w:r>
      <w:r w:rsidR="00924851">
        <w:t xml:space="preserve"> for non-participants </w:t>
      </w:r>
      <w:r w:rsidR="00D275C8">
        <w:t>are not likely to be as secure and ongoing as J2SI</w:t>
      </w:r>
      <w:r w:rsidR="001C7B94">
        <w:t>,</w:t>
      </w:r>
      <w:r w:rsidR="00D275C8">
        <w:t xml:space="preserve"> the actual margin of improvement for J2SI relative to non-J2SI participants is likely even greater.</w:t>
      </w:r>
      <w:r w:rsidR="00925B9D">
        <w:t xml:space="preserve"> </w:t>
      </w:r>
      <w:r w:rsidR="00C552E7">
        <w:t>This is measured over the entire period and does not represent the outcome for J2SI participants</w:t>
      </w:r>
      <w:r w:rsidR="00553A91">
        <w:t>; post-program effects may also drive an even greater benefit.</w:t>
      </w:r>
    </w:p>
    <w:p w14:paraId="347CFCCD" w14:textId="54D70614" w:rsidR="000A04E2" w:rsidRDefault="00B13706" w:rsidP="00393BCC">
      <w:pPr>
        <w:pStyle w:val="Bullet1stlevel"/>
        <w:spacing w:before="60" w:after="60"/>
      </w:pPr>
      <w:r>
        <w:t xml:space="preserve">Does not capture J2SI PAD clients </w:t>
      </w:r>
      <w:r w:rsidR="000C3641">
        <w:t xml:space="preserve">who </w:t>
      </w:r>
      <w:r>
        <w:t xml:space="preserve">fell out of stable housing each year. For the purposes of the analysis, a </w:t>
      </w:r>
      <w:r w:rsidR="00D431DA">
        <w:t>five per cent</w:t>
      </w:r>
      <w:r>
        <w:t xml:space="preserve"> annual attrition rate has been applied. </w:t>
      </w:r>
    </w:p>
    <w:p w14:paraId="37FAC369" w14:textId="5DEAC7B8" w:rsidR="00475485" w:rsidRDefault="00B25873" w:rsidP="009572B1">
      <w:pPr>
        <w:pStyle w:val="BodyText"/>
      </w:pPr>
      <w:r>
        <w:t>The benefit for improved quality of life has thus been calculated at $14,593,839.</w:t>
      </w:r>
    </w:p>
    <w:p w14:paraId="02CFC593" w14:textId="6C730290" w:rsidR="00B13706" w:rsidRPr="00B37312" w:rsidRDefault="00B13706" w:rsidP="00B37312">
      <w:pPr>
        <w:pStyle w:val="Heading2"/>
      </w:pPr>
      <w:bookmarkStart w:id="118" w:name="_CBA_results"/>
      <w:bookmarkStart w:id="119" w:name="_Toc178064014"/>
      <w:bookmarkEnd w:id="118"/>
      <w:r w:rsidRPr="00B37312">
        <w:t xml:space="preserve">CBA </w:t>
      </w:r>
      <w:r w:rsidR="002118C0">
        <w:t>results</w:t>
      </w:r>
      <w:bookmarkEnd w:id="119"/>
    </w:p>
    <w:p w14:paraId="6492C9A9" w14:textId="77EC3679" w:rsidR="00467835" w:rsidRDefault="00B13706" w:rsidP="00F90AAE">
      <w:pPr>
        <w:pStyle w:val="BodyText"/>
      </w:pPr>
      <w:r>
        <w:t xml:space="preserve">The </w:t>
      </w:r>
      <w:r w:rsidR="002118C0">
        <w:t>results</w:t>
      </w:r>
      <w:r>
        <w:t xml:space="preserve"> of the CBA are summarised in </w:t>
      </w:r>
      <w:r w:rsidR="008D7AA8">
        <w:fldChar w:fldCharType="begin"/>
      </w:r>
      <w:r w:rsidR="008D7AA8">
        <w:instrText xml:space="preserve"> REF _Ref150257755 \h </w:instrText>
      </w:r>
      <w:r w:rsidR="008D7AA8">
        <w:fldChar w:fldCharType="separate"/>
      </w:r>
      <w:r w:rsidR="005B05CA" w:rsidRPr="006C4C4F">
        <w:t xml:space="preserve">Table </w:t>
      </w:r>
      <w:r w:rsidR="005B05CA">
        <w:rPr>
          <w:noProof/>
        </w:rPr>
        <w:t>16</w:t>
      </w:r>
      <w:r w:rsidR="008D7AA8">
        <w:fldChar w:fldCharType="end"/>
      </w:r>
      <w:r>
        <w:t>.</w:t>
      </w:r>
      <w:r w:rsidDel="00484FAE">
        <w:t xml:space="preserve"> </w:t>
      </w:r>
      <w:r>
        <w:t xml:space="preserve">The outputs are shown in </w:t>
      </w:r>
      <w:r w:rsidRPr="00955F9A">
        <w:t>FY24</w:t>
      </w:r>
      <w:r>
        <w:t xml:space="preserve"> net present values and are incremental to the service a</w:t>
      </w:r>
      <w:r w:rsidR="00955F9A">
        <w:t>s</w:t>
      </w:r>
      <w:r>
        <w:t xml:space="preserve"> usual </w:t>
      </w:r>
      <w:r w:rsidR="00467835">
        <w:t>non-intervention group.</w:t>
      </w:r>
    </w:p>
    <w:p w14:paraId="3211F2E4" w14:textId="19EDA30D" w:rsidR="00B13706" w:rsidRDefault="006F2D7F" w:rsidP="00134FF5">
      <w:pPr>
        <w:pStyle w:val="Caption"/>
      </w:pPr>
      <w:bookmarkStart w:id="120" w:name="_Ref150257755"/>
      <w:bookmarkStart w:id="121" w:name="_Toc174547317"/>
      <w:r w:rsidRPr="006C4C4F">
        <w:t xml:space="preserve">Table </w:t>
      </w:r>
      <w:r>
        <w:fldChar w:fldCharType="begin"/>
      </w:r>
      <w:r>
        <w:instrText xml:space="preserve"> SEQ Table \* ARABIC </w:instrText>
      </w:r>
      <w:r>
        <w:fldChar w:fldCharType="separate"/>
      </w:r>
      <w:r w:rsidR="005B05CA">
        <w:rPr>
          <w:noProof/>
        </w:rPr>
        <w:t>16</w:t>
      </w:r>
      <w:r>
        <w:rPr>
          <w:noProof/>
        </w:rPr>
        <w:fldChar w:fldCharType="end"/>
      </w:r>
      <w:bookmarkEnd w:id="120"/>
      <w:r w:rsidR="00B13706" w:rsidRPr="006C4C4F">
        <w:t xml:space="preserve">: Cost Benefit </w:t>
      </w:r>
      <w:r w:rsidR="00B13706" w:rsidRPr="0042227F">
        <w:t>Analysis Outputs – Net Present Value</w:t>
      </w:r>
      <w:bookmarkEnd w:id="121"/>
    </w:p>
    <w:tbl>
      <w:tblPr>
        <w:tblStyle w:val="KPMGTable"/>
        <w:tblW w:w="10099" w:type="dxa"/>
        <w:tblLook w:val="0420" w:firstRow="1" w:lastRow="0" w:firstColumn="0" w:lastColumn="0" w:noHBand="0" w:noVBand="1"/>
      </w:tblPr>
      <w:tblGrid>
        <w:gridCol w:w="8171"/>
        <w:gridCol w:w="1928"/>
      </w:tblGrid>
      <w:tr w:rsidR="00F45B02" w:rsidRPr="0032576D" w14:paraId="39CBA215" w14:textId="77777777" w:rsidTr="00A072EC">
        <w:trPr>
          <w:cnfStyle w:val="100000000000" w:firstRow="1" w:lastRow="0" w:firstColumn="0" w:lastColumn="0" w:oddVBand="0" w:evenVBand="0" w:oddHBand="0" w:evenHBand="0" w:firstRowFirstColumn="0" w:firstRowLastColumn="0" w:lastRowFirstColumn="0" w:lastRowLastColumn="0"/>
        </w:trPr>
        <w:tc>
          <w:tcPr>
            <w:tcW w:w="8171" w:type="dxa"/>
            <w:shd w:val="clear" w:color="auto" w:fill="CAF1FF" w:themeFill="accent2" w:themeFillTint="33"/>
            <w:hideMark/>
          </w:tcPr>
          <w:p w14:paraId="7A71E539" w14:textId="77777777" w:rsidR="00F45B02" w:rsidRPr="00ED5B10" w:rsidRDefault="00F45B02" w:rsidP="00ED5B10">
            <w:pPr>
              <w:spacing w:before="40" w:after="40"/>
              <w:rPr>
                <w:rFonts w:eastAsia="Times New Roman" w:cs="Arial"/>
                <w:b/>
                <w:color w:val="00338D" w:themeColor="text2"/>
                <w:sz w:val="18"/>
                <w:szCs w:val="18"/>
                <w:lang w:eastAsia="en-AU"/>
              </w:rPr>
            </w:pPr>
            <w:r w:rsidRPr="00ED5B10">
              <w:rPr>
                <w:rFonts w:eastAsia="Times New Roman" w:cs="Arial"/>
                <w:b/>
                <w:color w:val="auto"/>
                <w:sz w:val="18"/>
                <w:szCs w:val="18"/>
                <w:lang w:eastAsia="en-AU"/>
              </w:rPr>
              <w:t>Evaluation Values ($m, 2023-24$)</w:t>
            </w:r>
          </w:p>
        </w:tc>
        <w:tc>
          <w:tcPr>
            <w:tcW w:w="1928" w:type="dxa"/>
            <w:shd w:val="clear" w:color="auto" w:fill="CAF1FF" w:themeFill="accent2" w:themeFillTint="33"/>
            <w:noWrap/>
            <w:hideMark/>
          </w:tcPr>
          <w:p w14:paraId="7E73C14D" w14:textId="77777777" w:rsidR="00F45B02" w:rsidRPr="00ED5B10" w:rsidRDefault="00F45B02" w:rsidP="00ED5B10">
            <w:pPr>
              <w:spacing w:before="40" w:after="40"/>
              <w:jc w:val="right"/>
              <w:rPr>
                <w:rFonts w:eastAsia="Times New Roman" w:cs="Arial"/>
                <w:b/>
                <w:color w:val="00338D" w:themeColor="text2"/>
                <w:sz w:val="18"/>
                <w:szCs w:val="18"/>
                <w:lang w:eastAsia="en-AU"/>
              </w:rPr>
            </w:pPr>
            <w:r w:rsidRPr="00ED5B10">
              <w:rPr>
                <w:rFonts w:eastAsia="Times New Roman" w:cs="Arial"/>
                <w:b/>
                <w:color w:val="00338D" w:themeColor="text2"/>
                <w:sz w:val="18"/>
                <w:szCs w:val="18"/>
                <w:lang w:eastAsia="en-AU"/>
              </w:rPr>
              <w:t> </w:t>
            </w:r>
          </w:p>
        </w:tc>
      </w:tr>
      <w:tr w:rsidR="00F45B02" w:rsidRPr="0032576D" w14:paraId="348E008C" w14:textId="77777777" w:rsidTr="00A072EC">
        <w:tc>
          <w:tcPr>
            <w:tcW w:w="8171" w:type="dxa"/>
            <w:shd w:val="clear" w:color="auto" w:fill="F0F0F0" w:themeFill="background2"/>
            <w:hideMark/>
          </w:tcPr>
          <w:p w14:paraId="6208C782" w14:textId="29F11F49" w:rsidR="00F45B02" w:rsidRPr="00ED5B10" w:rsidRDefault="00F45B02" w:rsidP="00ED5B10">
            <w:pPr>
              <w:spacing w:before="40" w:after="40"/>
              <w:rPr>
                <w:rFonts w:eastAsia="Times New Roman" w:cs="Arial"/>
                <w:b/>
                <w:color w:val="000000"/>
                <w:sz w:val="18"/>
                <w:szCs w:val="18"/>
                <w:lang w:eastAsia="en-AU"/>
              </w:rPr>
            </w:pPr>
            <w:r w:rsidRPr="00ED5B10">
              <w:rPr>
                <w:rFonts w:eastAsia="Times New Roman" w:cs="Arial"/>
                <w:b/>
                <w:color w:val="000000"/>
                <w:sz w:val="18"/>
                <w:szCs w:val="18"/>
                <w:lang w:eastAsia="en-AU"/>
              </w:rPr>
              <w:t xml:space="preserve">Program Costs </w:t>
            </w:r>
          </w:p>
        </w:tc>
        <w:tc>
          <w:tcPr>
            <w:tcW w:w="1928" w:type="dxa"/>
            <w:shd w:val="clear" w:color="auto" w:fill="F0F0F0" w:themeFill="background2"/>
            <w:hideMark/>
          </w:tcPr>
          <w:p w14:paraId="05DAC396" w14:textId="77777777" w:rsidR="00F45B02" w:rsidRPr="00ED5B10" w:rsidRDefault="00F45B02" w:rsidP="00ED5B10">
            <w:pPr>
              <w:spacing w:before="40" w:after="40"/>
              <w:jc w:val="right"/>
              <w:rPr>
                <w:rFonts w:eastAsia="Times New Roman" w:cs="Arial"/>
                <w:b/>
                <w:color w:val="FFFFFF"/>
                <w:sz w:val="18"/>
                <w:szCs w:val="18"/>
                <w:lang w:eastAsia="en-AU"/>
              </w:rPr>
            </w:pPr>
            <w:r w:rsidRPr="00ED5B10">
              <w:rPr>
                <w:rFonts w:eastAsia="Times New Roman" w:cs="Arial"/>
                <w:b/>
                <w:color w:val="FFFFFF"/>
                <w:sz w:val="18"/>
                <w:szCs w:val="18"/>
                <w:lang w:eastAsia="en-AU"/>
              </w:rPr>
              <w:t> </w:t>
            </w:r>
          </w:p>
        </w:tc>
      </w:tr>
      <w:tr w:rsidR="00F45B02" w:rsidRPr="00E8445E" w14:paraId="46A6987B" w14:textId="77777777" w:rsidTr="00A072EC">
        <w:tc>
          <w:tcPr>
            <w:tcW w:w="8171" w:type="dxa"/>
            <w:hideMark/>
          </w:tcPr>
          <w:p w14:paraId="46B7D765" w14:textId="77777777" w:rsidR="00F45B02" w:rsidRPr="00ED5B10" w:rsidRDefault="00F45B02" w:rsidP="00ED5B10">
            <w:pPr>
              <w:spacing w:before="40" w:after="40"/>
              <w:rPr>
                <w:rFonts w:eastAsia="Times New Roman" w:cs="Arial"/>
                <w:b/>
                <w:color w:val="000000"/>
                <w:sz w:val="18"/>
                <w:szCs w:val="18"/>
                <w:lang w:eastAsia="en-AU"/>
              </w:rPr>
            </w:pPr>
            <w:r w:rsidRPr="00ED5B10">
              <w:rPr>
                <w:rFonts w:eastAsia="Times New Roman" w:cs="Arial"/>
                <w:b/>
                <w:color w:val="000000"/>
                <w:sz w:val="18"/>
                <w:szCs w:val="18"/>
                <w:lang w:eastAsia="en-AU"/>
              </w:rPr>
              <w:t>Total costs</w:t>
            </w:r>
          </w:p>
        </w:tc>
        <w:tc>
          <w:tcPr>
            <w:tcW w:w="1928" w:type="dxa"/>
            <w:noWrap/>
            <w:hideMark/>
          </w:tcPr>
          <w:p w14:paraId="15CF240C" w14:textId="77777777" w:rsidR="00F45B02" w:rsidRPr="00ED5B10" w:rsidRDefault="00F45B02" w:rsidP="00ED5B10">
            <w:pPr>
              <w:spacing w:before="40" w:after="40"/>
              <w:jc w:val="right"/>
              <w:rPr>
                <w:rFonts w:eastAsia="Times New Roman" w:cs="Arial"/>
                <w:b/>
                <w:color w:val="000000"/>
                <w:sz w:val="18"/>
                <w:szCs w:val="18"/>
                <w:lang w:eastAsia="en-AU"/>
              </w:rPr>
            </w:pPr>
            <w:r w:rsidRPr="00ED5B10">
              <w:rPr>
                <w:rFonts w:eastAsia="Times New Roman" w:cs="Arial"/>
                <w:b/>
                <w:color w:val="000000"/>
                <w:sz w:val="18"/>
                <w:szCs w:val="18"/>
                <w:lang w:eastAsia="en-AU"/>
              </w:rPr>
              <w:t>15.61 M</w:t>
            </w:r>
          </w:p>
        </w:tc>
      </w:tr>
      <w:tr w:rsidR="00A072EC" w:rsidRPr="0032576D" w14:paraId="08CABB5B" w14:textId="77777777" w:rsidTr="00A072EC">
        <w:tc>
          <w:tcPr>
            <w:tcW w:w="8171" w:type="dxa"/>
            <w:shd w:val="clear" w:color="auto" w:fill="F0F0F0" w:themeFill="background2"/>
            <w:hideMark/>
          </w:tcPr>
          <w:p w14:paraId="78CD0B4D" w14:textId="77777777" w:rsidR="00A072EC" w:rsidRPr="00ED5B10" w:rsidRDefault="00A072EC" w:rsidP="00ED5B10">
            <w:pPr>
              <w:spacing w:before="40" w:after="40"/>
              <w:rPr>
                <w:rFonts w:eastAsia="Times New Roman" w:cs="Arial"/>
                <w:b/>
                <w:color w:val="000000"/>
                <w:sz w:val="18"/>
                <w:szCs w:val="18"/>
                <w:lang w:eastAsia="en-AU"/>
              </w:rPr>
            </w:pPr>
            <w:r w:rsidRPr="00ED5B10">
              <w:rPr>
                <w:rFonts w:eastAsia="Times New Roman" w:cs="Arial"/>
                <w:b/>
                <w:color w:val="000000"/>
                <w:sz w:val="18"/>
                <w:szCs w:val="18"/>
                <w:lang w:eastAsia="en-AU"/>
              </w:rPr>
              <w:t xml:space="preserve">Avoided cost benefits </w:t>
            </w:r>
          </w:p>
        </w:tc>
        <w:tc>
          <w:tcPr>
            <w:tcW w:w="1928" w:type="dxa"/>
            <w:shd w:val="clear" w:color="auto" w:fill="F0F0F0" w:themeFill="background2"/>
          </w:tcPr>
          <w:p w14:paraId="797B431D" w14:textId="14AAD57E" w:rsidR="00A072EC" w:rsidRPr="00ED5B10" w:rsidRDefault="00A072EC" w:rsidP="00ED5B10">
            <w:pPr>
              <w:spacing w:before="40" w:after="40"/>
              <w:rPr>
                <w:rFonts w:eastAsia="Times New Roman" w:cs="Arial"/>
                <w:b/>
                <w:color w:val="000000"/>
                <w:sz w:val="18"/>
                <w:szCs w:val="18"/>
                <w:lang w:eastAsia="en-AU"/>
              </w:rPr>
            </w:pPr>
          </w:p>
        </w:tc>
      </w:tr>
      <w:tr w:rsidR="00F45B02" w:rsidRPr="0032576D" w14:paraId="44394CBA" w14:textId="77777777" w:rsidTr="00A072EC">
        <w:tc>
          <w:tcPr>
            <w:tcW w:w="8171" w:type="dxa"/>
            <w:noWrap/>
            <w:hideMark/>
          </w:tcPr>
          <w:p w14:paraId="648251AC" w14:textId="2A1BB01B" w:rsidR="00F45B02" w:rsidRPr="00B53FAA" w:rsidRDefault="00B53FAA" w:rsidP="00ED5B10">
            <w:pPr>
              <w:spacing w:before="40" w:after="40"/>
              <w:rPr>
                <w:rFonts w:eastAsia="Times New Roman" w:cs="Arial"/>
                <w:color w:val="000000"/>
                <w:sz w:val="18"/>
                <w:szCs w:val="20"/>
                <w:lang w:eastAsia="en-AU"/>
              </w:rPr>
            </w:pPr>
            <w:r w:rsidRPr="003C67D4">
              <w:rPr>
                <w:sz w:val="18"/>
                <w:szCs w:val="20"/>
              </w:rPr>
              <w:t>ED</w:t>
            </w:r>
          </w:p>
        </w:tc>
        <w:tc>
          <w:tcPr>
            <w:tcW w:w="1928" w:type="dxa"/>
            <w:noWrap/>
            <w:hideMark/>
          </w:tcPr>
          <w:p w14:paraId="7684157D" w14:textId="033FD4FA"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0.41 M</w:t>
            </w:r>
          </w:p>
        </w:tc>
      </w:tr>
      <w:tr w:rsidR="00F45B02" w:rsidRPr="0032576D" w14:paraId="6021B192" w14:textId="77777777" w:rsidTr="00A072EC">
        <w:tc>
          <w:tcPr>
            <w:tcW w:w="8171" w:type="dxa"/>
            <w:noWrap/>
            <w:hideMark/>
          </w:tcPr>
          <w:p w14:paraId="65416032" w14:textId="42DA3424" w:rsidR="00F45B02" w:rsidRPr="00B53FAA" w:rsidRDefault="00B53FAA" w:rsidP="00ED5B10">
            <w:pPr>
              <w:spacing w:before="40" w:after="40"/>
              <w:rPr>
                <w:rFonts w:eastAsia="Times New Roman" w:cs="Arial"/>
                <w:color w:val="000000"/>
                <w:sz w:val="18"/>
                <w:szCs w:val="20"/>
                <w:lang w:eastAsia="en-AU"/>
              </w:rPr>
            </w:pPr>
            <w:r w:rsidRPr="003C67D4">
              <w:rPr>
                <w:sz w:val="18"/>
                <w:szCs w:val="20"/>
              </w:rPr>
              <w:t>Acute</w:t>
            </w:r>
          </w:p>
        </w:tc>
        <w:tc>
          <w:tcPr>
            <w:tcW w:w="1928" w:type="dxa"/>
            <w:noWrap/>
            <w:hideMark/>
          </w:tcPr>
          <w:p w14:paraId="18145C32" w14:textId="480F2132"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2.10 M</w:t>
            </w:r>
          </w:p>
        </w:tc>
      </w:tr>
      <w:tr w:rsidR="00F45B02" w:rsidRPr="0032576D" w14:paraId="0574C5BE" w14:textId="77777777" w:rsidTr="00A072EC">
        <w:tc>
          <w:tcPr>
            <w:tcW w:w="8171" w:type="dxa"/>
            <w:noWrap/>
            <w:hideMark/>
          </w:tcPr>
          <w:p w14:paraId="07A60BDA" w14:textId="07795D06" w:rsidR="00F45B02" w:rsidRPr="00B53FAA" w:rsidRDefault="00B53FAA" w:rsidP="00ED5B10">
            <w:pPr>
              <w:spacing w:before="40" w:after="40"/>
              <w:rPr>
                <w:rFonts w:eastAsia="Times New Roman" w:cs="Arial"/>
                <w:color w:val="000000"/>
                <w:sz w:val="18"/>
                <w:szCs w:val="20"/>
                <w:lang w:eastAsia="en-AU"/>
              </w:rPr>
            </w:pPr>
            <w:r w:rsidRPr="003C67D4">
              <w:rPr>
                <w:sz w:val="18"/>
                <w:szCs w:val="20"/>
              </w:rPr>
              <w:t>Non-admitted care</w:t>
            </w:r>
          </w:p>
        </w:tc>
        <w:tc>
          <w:tcPr>
            <w:tcW w:w="1928" w:type="dxa"/>
            <w:noWrap/>
            <w:hideMark/>
          </w:tcPr>
          <w:p w14:paraId="08216D8F" w14:textId="55F26B32"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0.02 M</w:t>
            </w:r>
          </w:p>
        </w:tc>
      </w:tr>
      <w:tr w:rsidR="00F45B02" w:rsidRPr="0032576D" w14:paraId="58F45658" w14:textId="77777777" w:rsidTr="00A072EC">
        <w:tc>
          <w:tcPr>
            <w:tcW w:w="8171" w:type="dxa"/>
            <w:noWrap/>
            <w:hideMark/>
          </w:tcPr>
          <w:p w14:paraId="6BD2C5BD" w14:textId="500749F6" w:rsidR="00F45B02" w:rsidRPr="00B53FAA" w:rsidRDefault="00B53FAA" w:rsidP="00ED5B10">
            <w:pPr>
              <w:spacing w:before="40" w:after="40"/>
              <w:rPr>
                <w:rFonts w:eastAsia="Times New Roman" w:cs="Arial"/>
                <w:color w:val="000000"/>
                <w:sz w:val="18"/>
                <w:szCs w:val="20"/>
                <w:lang w:eastAsia="en-AU"/>
              </w:rPr>
            </w:pPr>
            <w:r w:rsidRPr="003C67D4">
              <w:rPr>
                <w:sz w:val="18"/>
                <w:szCs w:val="20"/>
              </w:rPr>
              <w:t>Community health</w:t>
            </w:r>
          </w:p>
        </w:tc>
        <w:tc>
          <w:tcPr>
            <w:tcW w:w="1928" w:type="dxa"/>
            <w:noWrap/>
            <w:hideMark/>
          </w:tcPr>
          <w:p w14:paraId="0FF8DAF3" w14:textId="42AD3251"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-0.12 M</w:t>
            </w:r>
          </w:p>
        </w:tc>
      </w:tr>
      <w:tr w:rsidR="00F45B02" w:rsidRPr="0032576D" w14:paraId="5B902436" w14:textId="77777777" w:rsidTr="00A072EC">
        <w:tc>
          <w:tcPr>
            <w:tcW w:w="8171" w:type="dxa"/>
            <w:hideMark/>
          </w:tcPr>
          <w:p w14:paraId="30A16568" w14:textId="09702000" w:rsidR="00F45B02" w:rsidRPr="00B53FAA" w:rsidRDefault="00B53FAA" w:rsidP="00ED5B10">
            <w:pPr>
              <w:spacing w:before="40" w:after="40"/>
              <w:rPr>
                <w:rFonts w:eastAsia="Times New Roman" w:cs="Arial"/>
                <w:color w:val="000000"/>
                <w:sz w:val="18"/>
                <w:szCs w:val="20"/>
                <w:lang w:eastAsia="en-AU"/>
              </w:rPr>
            </w:pPr>
            <w:r w:rsidRPr="003C67D4">
              <w:rPr>
                <w:sz w:val="18"/>
                <w:szCs w:val="20"/>
              </w:rPr>
              <w:t>Community mental health</w:t>
            </w:r>
          </w:p>
        </w:tc>
        <w:tc>
          <w:tcPr>
            <w:tcW w:w="1928" w:type="dxa"/>
            <w:noWrap/>
            <w:hideMark/>
          </w:tcPr>
          <w:p w14:paraId="3ABC0ECA" w14:textId="2D8859EC"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0.20 M</w:t>
            </w:r>
          </w:p>
        </w:tc>
      </w:tr>
      <w:tr w:rsidR="00F45B02" w:rsidRPr="0032576D" w14:paraId="66E2AFAF" w14:textId="77777777" w:rsidTr="00A072EC">
        <w:tc>
          <w:tcPr>
            <w:tcW w:w="8171" w:type="dxa"/>
            <w:noWrap/>
            <w:hideMark/>
          </w:tcPr>
          <w:p w14:paraId="43CA1ABC" w14:textId="712CBC42" w:rsidR="00F45B02" w:rsidRPr="00B53FAA" w:rsidRDefault="00B53FAA" w:rsidP="00ED5B10">
            <w:pPr>
              <w:spacing w:before="40" w:after="40"/>
              <w:rPr>
                <w:rFonts w:eastAsia="Times New Roman" w:cs="Arial"/>
                <w:color w:val="000000"/>
                <w:sz w:val="18"/>
                <w:szCs w:val="20"/>
                <w:lang w:eastAsia="en-AU"/>
              </w:rPr>
            </w:pPr>
            <w:r w:rsidRPr="003C67D4">
              <w:rPr>
                <w:sz w:val="18"/>
                <w:szCs w:val="20"/>
              </w:rPr>
              <w:t>Clinical mental health</w:t>
            </w:r>
          </w:p>
        </w:tc>
        <w:tc>
          <w:tcPr>
            <w:tcW w:w="1928" w:type="dxa"/>
            <w:noWrap/>
            <w:hideMark/>
          </w:tcPr>
          <w:p w14:paraId="3B708673" w14:textId="37A0304B"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3.</w:t>
            </w:r>
            <w:r w:rsidR="00A52D1B">
              <w:rPr>
                <w:sz w:val="18"/>
                <w:szCs w:val="20"/>
              </w:rPr>
              <w:t>61</w:t>
            </w:r>
            <w:r w:rsidRPr="003C67D4">
              <w:rPr>
                <w:sz w:val="18"/>
                <w:szCs w:val="20"/>
              </w:rPr>
              <w:t xml:space="preserve"> M</w:t>
            </w:r>
          </w:p>
        </w:tc>
      </w:tr>
      <w:tr w:rsidR="00F45B02" w:rsidRPr="0032576D" w14:paraId="375D27C0" w14:textId="77777777" w:rsidTr="00A072EC">
        <w:tc>
          <w:tcPr>
            <w:tcW w:w="8171" w:type="dxa"/>
            <w:noWrap/>
            <w:hideMark/>
          </w:tcPr>
          <w:p w14:paraId="217AB879" w14:textId="7C7EE52E" w:rsidR="00F45B02" w:rsidRPr="00B53FAA" w:rsidRDefault="00B53FAA" w:rsidP="00ED5B10">
            <w:pPr>
              <w:spacing w:before="40" w:after="40"/>
              <w:rPr>
                <w:rFonts w:eastAsia="Times New Roman" w:cs="Arial"/>
                <w:color w:val="000000"/>
                <w:sz w:val="18"/>
                <w:szCs w:val="20"/>
                <w:lang w:eastAsia="en-AU"/>
              </w:rPr>
            </w:pPr>
            <w:r w:rsidRPr="003C67D4">
              <w:rPr>
                <w:sz w:val="18"/>
                <w:szCs w:val="20"/>
              </w:rPr>
              <w:t>Homelessness</w:t>
            </w:r>
          </w:p>
        </w:tc>
        <w:tc>
          <w:tcPr>
            <w:tcW w:w="1928" w:type="dxa"/>
            <w:noWrap/>
            <w:hideMark/>
          </w:tcPr>
          <w:p w14:paraId="7C03C302" w14:textId="2B2B0EA6" w:rsidR="00F45B02" w:rsidRPr="00B53FAA" w:rsidRDefault="00B53FAA" w:rsidP="00ED5B10">
            <w:pPr>
              <w:spacing w:before="40" w:after="40"/>
              <w:jc w:val="right"/>
              <w:rPr>
                <w:rFonts w:eastAsia="Times New Roman" w:cs="Arial"/>
                <w:color w:val="auto"/>
                <w:sz w:val="18"/>
                <w:szCs w:val="20"/>
                <w:lang w:eastAsia="en-AU"/>
              </w:rPr>
            </w:pPr>
            <w:r w:rsidRPr="003C67D4">
              <w:rPr>
                <w:sz w:val="18"/>
                <w:szCs w:val="20"/>
              </w:rPr>
              <w:t>8.85 M</w:t>
            </w:r>
          </w:p>
        </w:tc>
      </w:tr>
      <w:tr w:rsidR="00B53FAA" w:rsidRPr="0032576D" w14:paraId="041A8809" w14:textId="77777777" w:rsidTr="00A072EC">
        <w:tc>
          <w:tcPr>
            <w:tcW w:w="8171" w:type="dxa"/>
            <w:noWrap/>
          </w:tcPr>
          <w:p w14:paraId="35D6634F" w14:textId="1D6DB9ED" w:rsidR="00B53FAA" w:rsidRPr="00B53FAA" w:rsidRDefault="00B53FAA" w:rsidP="00B53FAA">
            <w:pPr>
              <w:spacing w:before="40" w:after="40"/>
              <w:rPr>
                <w:rFonts w:eastAsia="Times New Roman" w:cs="Arial"/>
                <w:color w:val="000000"/>
                <w:sz w:val="18"/>
                <w:szCs w:val="20"/>
                <w:lang w:eastAsia="en-AU"/>
              </w:rPr>
            </w:pPr>
            <w:r w:rsidRPr="003C67D4">
              <w:rPr>
                <w:sz w:val="18"/>
                <w:szCs w:val="20"/>
              </w:rPr>
              <w:t>Corrections</w:t>
            </w:r>
          </w:p>
        </w:tc>
        <w:tc>
          <w:tcPr>
            <w:tcW w:w="1928" w:type="dxa"/>
            <w:noWrap/>
          </w:tcPr>
          <w:p w14:paraId="7CAC969A" w14:textId="1582848E" w:rsidR="00B53FAA" w:rsidRPr="00B53FAA" w:rsidRDefault="00B53FAA" w:rsidP="00B53FAA">
            <w:pPr>
              <w:spacing w:before="40" w:after="40"/>
              <w:jc w:val="right"/>
              <w:rPr>
                <w:rFonts w:eastAsia="Times New Roman" w:cs="Arial"/>
                <w:color w:val="auto"/>
                <w:sz w:val="18"/>
                <w:szCs w:val="20"/>
                <w:lang w:eastAsia="en-AU"/>
              </w:rPr>
            </w:pPr>
            <w:r w:rsidRPr="003C67D4">
              <w:rPr>
                <w:sz w:val="18"/>
                <w:szCs w:val="20"/>
              </w:rPr>
              <w:t>4.54 M</w:t>
            </w:r>
          </w:p>
        </w:tc>
      </w:tr>
      <w:tr w:rsidR="00B53FAA" w:rsidRPr="0032576D" w14:paraId="372DB029" w14:textId="77777777" w:rsidTr="00A072EC">
        <w:tc>
          <w:tcPr>
            <w:tcW w:w="8171" w:type="dxa"/>
            <w:noWrap/>
          </w:tcPr>
          <w:p w14:paraId="1C215192" w14:textId="4B23EBB1" w:rsidR="00B53FAA" w:rsidRPr="00B53FAA" w:rsidRDefault="00B53FAA" w:rsidP="00B53FAA">
            <w:pPr>
              <w:spacing w:before="40" w:after="40"/>
              <w:rPr>
                <w:rFonts w:eastAsia="Times New Roman" w:cs="Arial"/>
                <w:color w:val="000000"/>
                <w:sz w:val="18"/>
                <w:szCs w:val="20"/>
                <w:lang w:eastAsia="en-AU"/>
              </w:rPr>
            </w:pPr>
            <w:r w:rsidRPr="003C67D4">
              <w:rPr>
                <w:sz w:val="18"/>
                <w:szCs w:val="20"/>
              </w:rPr>
              <w:t>Ambulance</w:t>
            </w:r>
          </w:p>
        </w:tc>
        <w:tc>
          <w:tcPr>
            <w:tcW w:w="1928" w:type="dxa"/>
            <w:noWrap/>
          </w:tcPr>
          <w:p w14:paraId="45430543" w14:textId="3C15B04E" w:rsidR="00B53FAA" w:rsidRPr="00B53FAA" w:rsidRDefault="00B53FAA" w:rsidP="00B53FAA">
            <w:pPr>
              <w:spacing w:before="40" w:after="40"/>
              <w:jc w:val="right"/>
              <w:rPr>
                <w:rFonts w:eastAsia="Times New Roman" w:cs="Arial"/>
                <w:color w:val="auto"/>
                <w:sz w:val="18"/>
                <w:szCs w:val="20"/>
                <w:lang w:eastAsia="en-AU"/>
              </w:rPr>
            </w:pPr>
            <w:r w:rsidRPr="003C67D4">
              <w:rPr>
                <w:sz w:val="18"/>
                <w:szCs w:val="20"/>
              </w:rPr>
              <w:t>0.72 M</w:t>
            </w:r>
          </w:p>
        </w:tc>
      </w:tr>
      <w:tr w:rsidR="001C1C65" w:rsidRPr="0032576D" w14:paraId="0F6C8330" w14:textId="77777777" w:rsidTr="00A072EC">
        <w:tc>
          <w:tcPr>
            <w:tcW w:w="8171" w:type="dxa"/>
            <w:noWrap/>
          </w:tcPr>
          <w:p w14:paraId="4A30F39D" w14:textId="42F577DF" w:rsidR="001C1C65" w:rsidRPr="001C1C65" w:rsidRDefault="00652387" w:rsidP="00B53FAA">
            <w:pPr>
              <w:spacing w:before="40" w:after="40"/>
              <w:rPr>
                <w:sz w:val="18"/>
                <w:szCs w:val="20"/>
              </w:rPr>
            </w:pPr>
            <w:r w:rsidRPr="003C67D4">
              <w:rPr>
                <w:sz w:val="18"/>
                <w:szCs w:val="20"/>
              </w:rPr>
              <w:t>Family violence &amp; sexual assault services</w:t>
            </w:r>
          </w:p>
        </w:tc>
        <w:tc>
          <w:tcPr>
            <w:tcW w:w="1928" w:type="dxa"/>
            <w:noWrap/>
          </w:tcPr>
          <w:p w14:paraId="52FEAE2B" w14:textId="5E047DFA" w:rsidR="001C1C65" w:rsidRPr="001C1C65" w:rsidRDefault="00652387" w:rsidP="00B53FAA">
            <w:pPr>
              <w:spacing w:before="40" w:after="40"/>
              <w:jc w:val="right"/>
              <w:rPr>
                <w:sz w:val="18"/>
                <w:szCs w:val="20"/>
              </w:rPr>
            </w:pPr>
            <w:r w:rsidRPr="003C67D4">
              <w:rPr>
                <w:sz w:val="18"/>
                <w:szCs w:val="20"/>
              </w:rPr>
              <w:t>-0.64 M</w:t>
            </w:r>
          </w:p>
        </w:tc>
      </w:tr>
      <w:tr w:rsidR="00A072EC" w:rsidRPr="0032576D" w14:paraId="7E1B50E7" w14:textId="77777777" w:rsidTr="00A072EC">
        <w:tc>
          <w:tcPr>
            <w:tcW w:w="8171" w:type="dxa"/>
            <w:shd w:val="clear" w:color="auto" w:fill="F0F0F0" w:themeFill="background2"/>
            <w:hideMark/>
          </w:tcPr>
          <w:p w14:paraId="43407E4A" w14:textId="77777777" w:rsidR="00A072EC" w:rsidRPr="00E8445E" w:rsidRDefault="00A072EC" w:rsidP="00ED5B10">
            <w:pPr>
              <w:spacing w:before="40" w:after="40"/>
              <w:rPr>
                <w:rFonts w:eastAsia="Times New Roman" w:cs="Arial"/>
                <w:i/>
                <w:iCs/>
                <w:color w:val="000000"/>
                <w:sz w:val="18"/>
                <w:szCs w:val="18"/>
                <w:lang w:eastAsia="en-AU"/>
              </w:rPr>
            </w:pPr>
            <w:r w:rsidRPr="00ED5B10">
              <w:rPr>
                <w:rFonts w:eastAsia="Times New Roman" w:cs="Arial"/>
                <w:b/>
                <w:color w:val="000000"/>
                <w:sz w:val="18"/>
                <w:szCs w:val="18"/>
                <w:lang w:eastAsia="en-AU"/>
              </w:rPr>
              <w:t>Quality of life benefit</w:t>
            </w:r>
            <w:r w:rsidRPr="00E8445E">
              <w:rPr>
                <w:rFonts w:eastAsia="Times New Roman" w:cs="Arial"/>
                <w:i/>
                <w:iCs/>
                <w:color w:val="000000"/>
                <w:sz w:val="18"/>
                <w:szCs w:val="18"/>
                <w:lang w:eastAsia="en-AU"/>
              </w:rPr>
              <w:t xml:space="preserve"> </w:t>
            </w:r>
          </w:p>
        </w:tc>
        <w:tc>
          <w:tcPr>
            <w:tcW w:w="1928" w:type="dxa"/>
            <w:shd w:val="clear" w:color="auto" w:fill="F0F0F0" w:themeFill="background2"/>
          </w:tcPr>
          <w:p w14:paraId="0BCACCB1" w14:textId="5273E5B7" w:rsidR="00A072EC" w:rsidRPr="00E8445E" w:rsidRDefault="00A072EC" w:rsidP="00ED5B10">
            <w:pPr>
              <w:spacing w:before="40" w:after="40"/>
              <w:rPr>
                <w:rFonts w:eastAsia="Times New Roman" w:cs="Arial"/>
                <w:i/>
                <w:iCs/>
                <w:color w:val="000000"/>
                <w:sz w:val="18"/>
                <w:szCs w:val="18"/>
                <w:lang w:eastAsia="en-AU"/>
              </w:rPr>
            </w:pPr>
          </w:p>
        </w:tc>
      </w:tr>
      <w:tr w:rsidR="00F45B02" w:rsidRPr="0032576D" w14:paraId="5860E340" w14:textId="77777777" w:rsidTr="00A072EC">
        <w:tc>
          <w:tcPr>
            <w:tcW w:w="8171" w:type="dxa"/>
            <w:hideMark/>
          </w:tcPr>
          <w:p w14:paraId="78FBAD5E" w14:textId="77777777" w:rsidR="00F45B02" w:rsidRPr="00ED5B10" w:rsidRDefault="00F45B02" w:rsidP="00ED5B10">
            <w:pPr>
              <w:spacing w:before="40" w:after="40"/>
              <w:rPr>
                <w:rFonts w:eastAsia="Times New Roman" w:cs="Arial"/>
                <w:color w:val="000000"/>
                <w:sz w:val="18"/>
                <w:szCs w:val="18"/>
                <w:lang w:eastAsia="en-AU"/>
              </w:rPr>
            </w:pPr>
            <w:r w:rsidRPr="00ED5B10">
              <w:rPr>
                <w:rFonts w:eastAsia="Times New Roman" w:cs="Arial"/>
                <w:color w:val="000000"/>
                <w:sz w:val="18"/>
                <w:szCs w:val="18"/>
                <w:lang w:eastAsia="en-AU"/>
              </w:rPr>
              <w:t xml:space="preserve">Improvement in QALY's </w:t>
            </w:r>
          </w:p>
        </w:tc>
        <w:tc>
          <w:tcPr>
            <w:tcW w:w="1928" w:type="dxa"/>
            <w:noWrap/>
            <w:hideMark/>
          </w:tcPr>
          <w:p w14:paraId="6A36EE4D" w14:textId="2DDDB060" w:rsidR="00F45B02" w:rsidRPr="00ED5B10" w:rsidRDefault="000D591E" w:rsidP="00ED5B10">
            <w:pPr>
              <w:spacing w:before="40" w:after="40"/>
              <w:jc w:val="right"/>
              <w:rPr>
                <w:rFonts w:eastAsia="Times New Roman" w:cs="Arial"/>
                <w:color w:val="auto"/>
                <w:sz w:val="18"/>
                <w:szCs w:val="18"/>
                <w:lang w:eastAsia="en-AU"/>
              </w:rPr>
            </w:pPr>
            <w:r>
              <w:rPr>
                <w:rFonts w:eastAsia="Times New Roman" w:cs="Arial"/>
                <w:color w:val="auto"/>
                <w:sz w:val="18"/>
                <w:szCs w:val="18"/>
                <w:lang w:eastAsia="en-AU"/>
              </w:rPr>
              <w:t xml:space="preserve">14.6 </w:t>
            </w:r>
            <w:r w:rsidR="00F45B02" w:rsidRPr="00ED5B10">
              <w:rPr>
                <w:rFonts w:eastAsia="Times New Roman" w:cs="Arial"/>
                <w:color w:val="auto"/>
                <w:sz w:val="18"/>
                <w:szCs w:val="18"/>
                <w:lang w:eastAsia="en-AU"/>
              </w:rPr>
              <w:t>M</w:t>
            </w:r>
          </w:p>
        </w:tc>
      </w:tr>
      <w:tr w:rsidR="00F45B02" w:rsidRPr="0032576D" w14:paraId="203B7637" w14:textId="77777777" w:rsidTr="00A072EC">
        <w:tc>
          <w:tcPr>
            <w:tcW w:w="8171" w:type="dxa"/>
            <w:noWrap/>
            <w:hideMark/>
          </w:tcPr>
          <w:p w14:paraId="17FB01F1" w14:textId="77777777" w:rsidR="00F45B02" w:rsidRPr="00ED5B10" w:rsidRDefault="00F45B02" w:rsidP="00ED5B10">
            <w:pPr>
              <w:spacing w:before="40" w:after="40"/>
              <w:rPr>
                <w:rFonts w:eastAsia="Times New Roman" w:cs="Arial"/>
                <w:b/>
                <w:color w:val="000000"/>
                <w:sz w:val="18"/>
                <w:szCs w:val="18"/>
                <w:lang w:eastAsia="en-AU"/>
              </w:rPr>
            </w:pPr>
            <w:r w:rsidRPr="00ED5B10">
              <w:rPr>
                <w:rFonts w:eastAsia="Times New Roman" w:cs="Arial"/>
                <w:b/>
                <w:color w:val="000000"/>
                <w:sz w:val="18"/>
                <w:szCs w:val="18"/>
                <w:lang w:eastAsia="en-AU"/>
              </w:rPr>
              <w:t>Total benefits</w:t>
            </w:r>
          </w:p>
        </w:tc>
        <w:tc>
          <w:tcPr>
            <w:tcW w:w="1928" w:type="dxa"/>
            <w:noWrap/>
            <w:hideMark/>
          </w:tcPr>
          <w:p w14:paraId="13863F6A" w14:textId="519113C4" w:rsidR="00F45B02" w:rsidRPr="00ED5B10" w:rsidRDefault="000836C6" w:rsidP="00ED5B10">
            <w:pPr>
              <w:spacing w:before="40" w:after="40"/>
              <w:jc w:val="right"/>
              <w:rPr>
                <w:rFonts w:eastAsia="Times New Roman" w:cs="Arial"/>
                <w:b/>
                <w:color w:val="auto"/>
                <w:sz w:val="18"/>
                <w:szCs w:val="18"/>
                <w:lang w:eastAsia="en-AU"/>
              </w:rPr>
            </w:pPr>
            <w:r>
              <w:rPr>
                <w:rFonts w:eastAsia="Times New Roman" w:cs="Arial"/>
                <w:b/>
                <w:color w:val="auto"/>
                <w:sz w:val="18"/>
                <w:szCs w:val="18"/>
                <w:lang w:eastAsia="en-AU"/>
              </w:rPr>
              <w:t>34.</w:t>
            </w:r>
            <w:r w:rsidR="00994568">
              <w:rPr>
                <w:rFonts w:eastAsia="Times New Roman" w:cs="Arial"/>
                <w:b/>
                <w:color w:val="auto"/>
                <w:sz w:val="18"/>
                <w:szCs w:val="18"/>
                <w:lang w:eastAsia="en-AU"/>
              </w:rPr>
              <w:t>29</w:t>
            </w:r>
            <w:r w:rsidR="00F45B02" w:rsidRPr="00ED5B10">
              <w:rPr>
                <w:rFonts w:eastAsia="Times New Roman" w:cs="Arial"/>
                <w:b/>
                <w:color w:val="auto"/>
                <w:sz w:val="18"/>
                <w:szCs w:val="18"/>
                <w:lang w:eastAsia="en-AU"/>
              </w:rPr>
              <w:t xml:space="preserve"> M</w:t>
            </w:r>
          </w:p>
        </w:tc>
      </w:tr>
      <w:tr w:rsidR="00F45B02" w:rsidRPr="0032576D" w14:paraId="7B87E104" w14:textId="77777777" w:rsidTr="00A072EC">
        <w:tc>
          <w:tcPr>
            <w:tcW w:w="8171" w:type="dxa"/>
            <w:shd w:val="clear" w:color="auto" w:fill="F0F0F0" w:themeFill="background2"/>
            <w:hideMark/>
          </w:tcPr>
          <w:p w14:paraId="2432D201" w14:textId="77777777" w:rsidR="00F45B02" w:rsidRPr="00ED5B10" w:rsidRDefault="00F45B02" w:rsidP="00ED5B10">
            <w:pPr>
              <w:spacing w:before="40" w:after="40"/>
              <w:rPr>
                <w:rFonts w:eastAsia="Times New Roman" w:cs="Arial"/>
                <w:b/>
                <w:color w:val="auto"/>
                <w:sz w:val="18"/>
                <w:szCs w:val="18"/>
                <w:lang w:eastAsia="en-AU"/>
              </w:rPr>
            </w:pPr>
            <w:r w:rsidRPr="00ED5B10">
              <w:rPr>
                <w:rFonts w:eastAsia="Times New Roman" w:cs="Arial"/>
                <w:b/>
                <w:color w:val="auto"/>
                <w:sz w:val="18"/>
                <w:szCs w:val="18"/>
                <w:lang w:eastAsia="en-AU"/>
              </w:rPr>
              <w:t>Results - Economic Performance Measures</w:t>
            </w:r>
          </w:p>
        </w:tc>
        <w:tc>
          <w:tcPr>
            <w:tcW w:w="1928" w:type="dxa"/>
            <w:shd w:val="clear" w:color="auto" w:fill="F0F0F0" w:themeFill="background2"/>
            <w:hideMark/>
          </w:tcPr>
          <w:p w14:paraId="4CAF48C7" w14:textId="77777777" w:rsidR="00F45B02" w:rsidRPr="00ED5B10" w:rsidRDefault="00F45B02" w:rsidP="00ED5B10">
            <w:pPr>
              <w:spacing w:before="40" w:after="40"/>
              <w:jc w:val="right"/>
              <w:rPr>
                <w:rFonts w:eastAsia="Times New Roman" w:cs="Arial"/>
                <w:b/>
                <w:color w:val="auto"/>
                <w:sz w:val="18"/>
                <w:szCs w:val="18"/>
                <w:lang w:eastAsia="en-AU"/>
              </w:rPr>
            </w:pPr>
            <w:r w:rsidRPr="00ED5B10">
              <w:rPr>
                <w:rFonts w:eastAsia="Times New Roman" w:cs="Arial"/>
                <w:b/>
                <w:color w:val="auto"/>
                <w:sz w:val="18"/>
                <w:szCs w:val="18"/>
                <w:lang w:eastAsia="en-AU"/>
              </w:rPr>
              <w:t> </w:t>
            </w:r>
          </w:p>
        </w:tc>
      </w:tr>
      <w:tr w:rsidR="00F45B02" w:rsidRPr="0032576D" w14:paraId="04E092E3" w14:textId="77777777" w:rsidTr="00A072EC">
        <w:tc>
          <w:tcPr>
            <w:tcW w:w="8171" w:type="dxa"/>
            <w:shd w:val="clear" w:color="auto" w:fill="CAF1FF" w:themeFill="accent2" w:themeFillTint="33"/>
            <w:hideMark/>
          </w:tcPr>
          <w:p w14:paraId="26D057C8" w14:textId="77777777" w:rsidR="00F45B02" w:rsidRPr="00A072EC" w:rsidRDefault="00F45B02" w:rsidP="00ED5B10">
            <w:pPr>
              <w:spacing w:before="40" w:after="40"/>
              <w:rPr>
                <w:rFonts w:eastAsia="Times New Roman" w:cs="Arial"/>
                <w:b/>
                <w:color w:val="002669" w:themeColor="text2" w:themeShade="BF"/>
                <w:sz w:val="18"/>
                <w:szCs w:val="18"/>
                <w:lang w:eastAsia="en-AU"/>
              </w:rPr>
            </w:pPr>
            <w:r w:rsidRPr="00A072EC">
              <w:rPr>
                <w:rFonts w:eastAsia="Times New Roman" w:cs="Arial"/>
                <w:b/>
                <w:color w:val="002669" w:themeColor="text2" w:themeShade="BF"/>
                <w:sz w:val="18"/>
                <w:szCs w:val="18"/>
                <w:lang w:eastAsia="en-AU"/>
              </w:rPr>
              <w:t>Net Present Value (NPV)</w:t>
            </w:r>
          </w:p>
        </w:tc>
        <w:tc>
          <w:tcPr>
            <w:tcW w:w="1928" w:type="dxa"/>
            <w:shd w:val="clear" w:color="auto" w:fill="CAF1FF" w:themeFill="accent2" w:themeFillTint="33"/>
            <w:noWrap/>
            <w:hideMark/>
          </w:tcPr>
          <w:p w14:paraId="21C45AEA" w14:textId="0E338A0B" w:rsidR="00F45B02" w:rsidRPr="00A072EC" w:rsidRDefault="00B53FAA" w:rsidP="00ED5B10">
            <w:pPr>
              <w:spacing w:before="40" w:after="40"/>
              <w:jc w:val="right"/>
              <w:rPr>
                <w:rFonts w:eastAsia="Times New Roman" w:cs="Arial"/>
                <w:b/>
                <w:color w:val="002669" w:themeColor="text2" w:themeShade="BF"/>
                <w:sz w:val="18"/>
                <w:szCs w:val="18"/>
                <w:lang w:eastAsia="en-AU"/>
              </w:rPr>
            </w:pPr>
            <w:r w:rsidRPr="00A072EC">
              <w:rPr>
                <w:rFonts w:eastAsia="Times New Roman" w:cs="Arial"/>
                <w:b/>
                <w:color w:val="002669" w:themeColor="text2" w:themeShade="BF"/>
                <w:sz w:val="18"/>
                <w:szCs w:val="18"/>
                <w:lang w:eastAsia="en-AU"/>
              </w:rPr>
              <w:t>1</w:t>
            </w:r>
            <w:r w:rsidR="008741DE" w:rsidRPr="00A072EC">
              <w:rPr>
                <w:rFonts w:eastAsia="Times New Roman" w:cs="Arial"/>
                <w:b/>
                <w:color w:val="002669" w:themeColor="text2" w:themeShade="BF"/>
                <w:sz w:val="18"/>
                <w:szCs w:val="18"/>
                <w:lang w:eastAsia="en-AU"/>
              </w:rPr>
              <w:t>8.</w:t>
            </w:r>
            <w:r w:rsidR="00362543" w:rsidRPr="00A072EC">
              <w:rPr>
                <w:rFonts w:eastAsia="Times New Roman" w:cs="Arial"/>
                <w:b/>
                <w:color w:val="002669" w:themeColor="text2" w:themeShade="BF"/>
                <w:sz w:val="18"/>
                <w:szCs w:val="18"/>
                <w:lang w:eastAsia="en-AU"/>
              </w:rPr>
              <w:t>68</w:t>
            </w:r>
            <w:r w:rsidRPr="00A072EC">
              <w:rPr>
                <w:rFonts w:eastAsia="Times New Roman" w:cs="Arial"/>
                <w:b/>
                <w:color w:val="002669" w:themeColor="text2" w:themeShade="BF"/>
                <w:sz w:val="18"/>
                <w:szCs w:val="18"/>
                <w:lang w:eastAsia="en-AU"/>
              </w:rPr>
              <w:t xml:space="preserve"> </w:t>
            </w:r>
            <w:r w:rsidR="00F45B02" w:rsidRPr="00A072EC">
              <w:rPr>
                <w:rFonts w:eastAsia="Times New Roman" w:cs="Arial"/>
                <w:b/>
                <w:color w:val="002669" w:themeColor="text2" w:themeShade="BF"/>
                <w:sz w:val="18"/>
                <w:szCs w:val="18"/>
                <w:lang w:eastAsia="en-AU"/>
              </w:rPr>
              <w:t>M</w:t>
            </w:r>
          </w:p>
        </w:tc>
      </w:tr>
      <w:tr w:rsidR="00F45B02" w:rsidRPr="0032576D" w14:paraId="254F28DF" w14:textId="77777777" w:rsidTr="00A072EC">
        <w:tc>
          <w:tcPr>
            <w:tcW w:w="8171" w:type="dxa"/>
            <w:shd w:val="clear" w:color="auto" w:fill="CAF1FF" w:themeFill="accent2" w:themeFillTint="33"/>
            <w:hideMark/>
          </w:tcPr>
          <w:p w14:paraId="366FB3B5" w14:textId="77777777" w:rsidR="00F45B02" w:rsidRPr="00A072EC" w:rsidRDefault="00F45B02" w:rsidP="00ED5B10">
            <w:pPr>
              <w:spacing w:before="40" w:after="40"/>
              <w:rPr>
                <w:rFonts w:eastAsia="Times New Roman" w:cs="Arial"/>
                <w:b/>
                <w:color w:val="002669" w:themeColor="text2" w:themeShade="BF"/>
                <w:sz w:val="18"/>
                <w:szCs w:val="18"/>
                <w:lang w:eastAsia="en-AU"/>
              </w:rPr>
            </w:pPr>
            <w:r w:rsidRPr="00A072EC">
              <w:rPr>
                <w:rFonts w:eastAsia="Times New Roman" w:cs="Arial"/>
                <w:b/>
                <w:color w:val="002669" w:themeColor="text2" w:themeShade="BF"/>
                <w:sz w:val="18"/>
                <w:szCs w:val="18"/>
                <w:lang w:eastAsia="en-AU"/>
              </w:rPr>
              <w:t>Benefit Cost Ratio (BCR)</w:t>
            </w:r>
          </w:p>
        </w:tc>
        <w:tc>
          <w:tcPr>
            <w:tcW w:w="1928" w:type="dxa"/>
            <w:shd w:val="clear" w:color="auto" w:fill="CAF1FF" w:themeFill="accent2" w:themeFillTint="33"/>
            <w:noWrap/>
            <w:hideMark/>
          </w:tcPr>
          <w:p w14:paraId="764DE4CB" w14:textId="60974203" w:rsidR="00F45B02" w:rsidRPr="00A072EC" w:rsidRDefault="008741DE" w:rsidP="00ED5B10">
            <w:pPr>
              <w:spacing w:before="40" w:after="40"/>
              <w:jc w:val="right"/>
              <w:rPr>
                <w:rFonts w:eastAsia="Times New Roman" w:cs="Arial"/>
                <w:b/>
                <w:color w:val="002669" w:themeColor="text2" w:themeShade="BF"/>
                <w:sz w:val="18"/>
                <w:szCs w:val="18"/>
                <w:lang w:eastAsia="en-AU"/>
              </w:rPr>
            </w:pPr>
            <w:r w:rsidRPr="00A072EC">
              <w:rPr>
                <w:rFonts w:eastAsia="Times New Roman" w:cs="Arial"/>
                <w:b/>
                <w:color w:val="002669" w:themeColor="text2" w:themeShade="BF"/>
                <w:sz w:val="18"/>
                <w:szCs w:val="18"/>
                <w:lang w:eastAsia="en-AU"/>
              </w:rPr>
              <w:t>2.</w:t>
            </w:r>
            <w:r w:rsidR="00362543" w:rsidRPr="00A072EC">
              <w:rPr>
                <w:rFonts w:eastAsia="Times New Roman" w:cs="Arial"/>
                <w:b/>
                <w:color w:val="002669" w:themeColor="text2" w:themeShade="BF"/>
                <w:sz w:val="18"/>
                <w:szCs w:val="18"/>
                <w:lang w:eastAsia="en-AU"/>
              </w:rPr>
              <w:t>20</w:t>
            </w:r>
          </w:p>
        </w:tc>
      </w:tr>
    </w:tbl>
    <w:p w14:paraId="57331B38" w14:textId="175D9243" w:rsidR="002118C0" w:rsidRDefault="002D1634" w:rsidP="00393BCC">
      <w:pPr>
        <w:pStyle w:val="BodyText"/>
        <w:keepLines/>
      </w:pPr>
      <w:r>
        <w:t>Results from the CBA show that t</w:t>
      </w:r>
      <w:r w:rsidR="00B13706" w:rsidRPr="00BB6C5B">
        <w:t>here is an estimated net benefit of the J2SI PAD of $</w:t>
      </w:r>
      <w:r w:rsidR="008741DE">
        <w:t>18.</w:t>
      </w:r>
      <w:r w:rsidR="00362543" w:rsidRPr="00E03F53">
        <w:t>68</w:t>
      </w:r>
      <w:r w:rsidR="005A5B86" w:rsidRPr="00E03F53">
        <w:t xml:space="preserve"> </w:t>
      </w:r>
      <w:r w:rsidR="00B13706" w:rsidRPr="00E03F53">
        <w:t>m</w:t>
      </w:r>
      <w:r w:rsidR="005A5B86" w:rsidRPr="00E03F53">
        <w:t>illion</w:t>
      </w:r>
      <w:r w:rsidR="006F4F2C">
        <w:t xml:space="preserve"> (i.e. </w:t>
      </w:r>
      <w:r w:rsidR="005A5B86" w:rsidRPr="00E03F53">
        <w:t>NPV</w:t>
      </w:r>
      <w:r w:rsidR="006F4F2C">
        <w:t>)</w:t>
      </w:r>
      <w:r w:rsidR="00B13706" w:rsidRPr="00BB6C5B">
        <w:t xml:space="preserve">, with a BCR of </w:t>
      </w:r>
      <w:r w:rsidR="00362543">
        <w:t>2.2</w:t>
      </w:r>
      <w:r w:rsidR="00567A1B">
        <w:t xml:space="preserve"> </w:t>
      </w:r>
      <w:r w:rsidR="000526CF">
        <w:t xml:space="preserve">over the </w:t>
      </w:r>
      <w:r w:rsidR="000526CF" w:rsidRPr="007A006E">
        <w:t>analysis period</w:t>
      </w:r>
      <w:r w:rsidR="00EF2AE1">
        <w:t xml:space="preserve">. This finding indicates that the J2SI PAD represents ‘value for money’ compared to service as usual, with the quantified benefits of the program outweighing the cost. </w:t>
      </w:r>
      <w:r w:rsidR="00B13706" w:rsidRPr="00BB6C5B">
        <w:t xml:space="preserve">It is </w:t>
      </w:r>
      <w:r w:rsidR="00EF2AE1">
        <w:t xml:space="preserve">further </w:t>
      </w:r>
      <w:r w:rsidR="00B13706" w:rsidRPr="00BB6C5B">
        <w:t xml:space="preserve">noted that a conservative approach to the quantification of benefits has been taken, and the true economic benefit is likely higher. Overall, the BCR ranges from between </w:t>
      </w:r>
      <w:r w:rsidR="00BB6C5B">
        <w:t>1.</w:t>
      </w:r>
      <w:r w:rsidR="00003C3D">
        <w:t>7</w:t>
      </w:r>
      <w:r w:rsidR="008235A2">
        <w:t>1</w:t>
      </w:r>
      <w:r w:rsidR="00DC6D2B" w:rsidRPr="00BB6C5B">
        <w:t xml:space="preserve"> </w:t>
      </w:r>
      <w:r w:rsidR="00B13706" w:rsidRPr="00BB6C5B">
        <w:t>(10</w:t>
      </w:r>
      <w:r w:rsidR="00D431DA">
        <w:t xml:space="preserve"> per cent</w:t>
      </w:r>
      <w:r w:rsidR="00B13706" w:rsidRPr="00BB6C5B">
        <w:t>) to</w:t>
      </w:r>
      <w:r w:rsidR="00B13706">
        <w:t xml:space="preserve"> </w:t>
      </w:r>
      <w:r w:rsidR="00DC6D2B">
        <w:t>2.</w:t>
      </w:r>
      <w:r w:rsidR="000D591E">
        <w:t>6</w:t>
      </w:r>
      <w:r w:rsidR="008235A2">
        <w:t>8</w:t>
      </w:r>
      <w:r w:rsidR="00DC6D2B">
        <w:t xml:space="preserve"> </w:t>
      </w:r>
      <w:r w:rsidR="00B13706" w:rsidRPr="00BB6C5B">
        <w:t>(</w:t>
      </w:r>
      <w:r w:rsidR="00DC6D2B">
        <w:t xml:space="preserve">0 </w:t>
      </w:r>
      <w:r w:rsidR="00D431DA">
        <w:t>per cent</w:t>
      </w:r>
      <w:r w:rsidR="00B13706" w:rsidRPr="00BB6C5B">
        <w:t>) based on changes to the discount rate.</w:t>
      </w:r>
    </w:p>
    <w:p w14:paraId="2CF7842C" w14:textId="0B32C70D" w:rsidR="002118C0" w:rsidRDefault="00A13D91" w:rsidP="009572B1">
      <w:pPr>
        <w:pStyle w:val="BodyTextkeepwithnext"/>
      </w:pPr>
      <w:r>
        <w:t>D</w:t>
      </w:r>
      <w:r w:rsidR="00291A72">
        <w:t xml:space="preserve">rivers of the positive </w:t>
      </w:r>
      <w:r>
        <w:t xml:space="preserve">BCR and NPV include:  </w:t>
      </w:r>
    </w:p>
    <w:p w14:paraId="0D721115" w14:textId="019C1A65" w:rsidR="002118C0" w:rsidRDefault="002118C0" w:rsidP="00632D10">
      <w:pPr>
        <w:pStyle w:val="Bullet1stlevel"/>
      </w:pPr>
      <w:r w:rsidRPr="009D084C">
        <w:t>A reduction in clients</w:t>
      </w:r>
      <w:r w:rsidR="0032665E">
        <w:t>’</w:t>
      </w:r>
      <w:r w:rsidRPr="009D084C">
        <w:t xml:space="preserve"> </w:t>
      </w:r>
      <w:r>
        <w:t>monthly use of clinical mental health services across all service types analysed,</w:t>
      </w:r>
      <w:r w:rsidRPr="009D084C">
        <w:t xml:space="preserve"> resulting in a</w:t>
      </w:r>
      <w:r w:rsidR="00AF20AE">
        <w:t>n avoided</w:t>
      </w:r>
      <w:r w:rsidRPr="009D084C">
        <w:t xml:space="preserve"> cost of </w:t>
      </w:r>
      <w:r w:rsidRPr="007A006E">
        <w:t>$3.</w:t>
      </w:r>
      <w:r w:rsidR="009F5459">
        <w:t>6</w:t>
      </w:r>
      <w:r w:rsidR="005A5B86">
        <w:t xml:space="preserve"> </w:t>
      </w:r>
      <w:r w:rsidRPr="007A006E">
        <w:t>m</w:t>
      </w:r>
      <w:r w:rsidR="005A5B86">
        <w:t>illion</w:t>
      </w:r>
      <w:r w:rsidRPr="009D084C">
        <w:t xml:space="preserve"> across the analysis period</w:t>
      </w:r>
      <w:r>
        <w:t>;</w:t>
      </w:r>
    </w:p>
    <w:p w14:paraId="6C06074D" w14:textId="374D9239" w:rsidR="002118C0" w:rsidRPr="009D084C" w:rsidRDefault="002118C0" w:rsidP="00632D10">
      <w:pPr>
        <w:pStyle w:val="Bullet1stlevel"/>
      </w:pPr>
      <w:r w:rsidRPr="009D084C">
        <w:t>A reduction in clients</w:t>
      </w:r>
      <w:r w:rsidR="0032665E">
        <w:t>’</w:t>
      </w:r>
      <w:r w:rsidRPr="009D084C">
        <w:t xml:space="preserve"> </w:t>
      </w:r>
      <w:r>
        <w:t xml:space="preserve">monthly use of </w:t>
      </w:r>
      <w:r w:rsidR="00C13426">
        <w:t xml:space="preserve">homelessness </w:t>
      </w:r>
      <w:r>
        <w:t>services across all service types analysed, resulting in a</w:t>
      </w:r>
      <w:r w:rsidR="00AF20AE">
        <w:t>n avoided</w:t>
      </w:r>
      <w:r>
        <w:t xml:space="preserve"> cost of </w:t>
      </w:r>
      <w:r w:rsidRPr="007A006E">
        <w:t>$8.</w:t>
      </w:r>
      <w:r w:rsidR="00C75CB3">
        <w:t>8</w:t>
      </w:r>
      <w:r w:rsidR="005A5B86">
        <w:t xml:space="preserve"> </w:t>
      </w:r>
      <w:r w:rsidRPr="007A006E">
        <w:t>m</w:t>
      </w:r>
      <w:r w:rsidR="005A5B86">
        <w:t>illion</w:t>
      </w:r>
      <w:r w:rsidRPr="009D084C">
        <w:t xml:space="preserve"> across the analysis period</w:t>
      </w:r>
      <w:r w:rsidR="00272B50">
        <w:rPr>
          <w:rFonts w:ascii="ZWAdobeF" w:hAnsi="ZWAdobeF" w:cs="ZWAdobeF"/>
          <w:color w:val="auto"/>
          <w:sz w:val="2"/>
          <w:szCs w:val="2"/>
        </w:rPr>
        <w:t>33F</w:t>
      </w:r>
      <w:r w:rsidR="00125CA2">
        <w:rPr>
          <w:rFonts w:ascii="ZWAdobeF" w:hAnsi="ZWAdobeF" w:cs="ZWAdobeF"/>
          <w:color w:val="auto"/>
          <w:sz w:val="2"/>
          <w:szCs w:val="2"/>
        </w:rPr>
        <w:t>33F</w:t>
      </w:r>
      <w:r>
        <w:rPr>
          <w:rStyle w:val="FootnoteReference"/>
        </w:rPr>
        <w:footnoteReference w:id="53"/>
      </w:r>
      <w:r>
        <w:t xml:space="preserve">; </w:t>
      </w:r>
    </w:p>
    <w:p w14:paraId="07F0D30D" w14:textId="570A0B55" w:rsidR="00A13D91" w:rsidRDefault="002118C0" w:rsidP="00632D10">
      <w:pPr>
        <w:pStyle w:val="Bullet1stlevel"/>
      </w:pPr>
      <w:r w:rsidRPr="0017712B">
        <w:lastRenderedPageBreak/>
        <w:t>A reduction in clients</w:t>
      </w:r>
      <w:r w:rsidR="0032665E">
        <w:t>’</w:t>
      </w:r>
      <w:r w:rsidRPr="0017712B">
        <w:t xml:space="preserve"> </w:t>
      </w:r>
      <w:r>
        <w:t xml:space="preserve">monthly </w:t>
      </w:r>
      <w:r w:rsidRPr="0017712B">
        <w:t>days in custody, resulting in a</w:t>
      </w:r>
      <w:r w:rsidR="00AF20AE">
        <w:t>n avoided</w:t>
      </w:r>
      <w:r w:rsidRPr="0017712B">
        <w:t xml:space="preserve"> cost of </w:t>
      </w:r>
      <w:r w:rsidRPr="007A006E">
        <w:t>$4.</w:t>
      </w:r>
      <w:r w:rsidR="00C75CB3">
        <w:t>5</w:t>
      </w:r>
      <w:r w:rsidR="005A5B86">
        <w:t xml:space="preserve"> </w:t>
      </w:r>
      <w:r w:rsidRPr="007A006E">
        <w:t>m</w:t>
      </w:r>
      <w:r w:rsidR="005A5B86">
        <w:t>illion</w:t>
      </w:r>
      <w:r w:rsidRPr="0017712B">
        <w:t xml:space="preserve"> across the analysis period</w:t>
      </w:r>
      <w:r w:rsidR="00A13D91">
        <w:t>; and</w:t>
      </w:r>
    </w:p>
    <w:p w14:paraId="7755C1E7" w14:textId="5D25DD88" w:rsidR="000526CF" w:rsidRDefault="00443E87" w:rsidP="00632D10">
      <w:pPr>
        <w:pStyle w:val="Bullet1stlevel"/>
      </w:pPr>
      <w:r>
        <w:t xml:space="preserve">The estimated </w:t>
      </w:r>
      <w:r w:rsidR="000526CF">
        <w:t>value of clients</w:t>
      </w:r>
      <w:r w:rsidR="0032665E">
        <w:t>’</w:t>
      </w:r>
      <w:r w:rsidR="000526CF">
        <w:t xml:space="preserve"> improved</w:t>
      </w:r>
      <w:r>
        <w:t xml:space="preserve"> quality of life </w:t>
      </w:r>
      <w:r w:rsidR="00567A1B" w:rsidRPr="007A006E">
        <w:t>of $</w:t>
      </w:r>
      <w:r w:rsidR="000D591E">
        <w:t>14.6</w:t>
      </w:r>
      <w:r w:rsidR="005A5B86">
        <w:t xml:space="preserve"> </w:t>
      </w:r>
      <w:r w:rsidR="00567A1B" w:rsidRPr="007A006E">
        <w:t>m</w:t>
      </w:r>
      <w:r w:rsidR="005A5B86">
        <w:t>illion</w:t>
      </w:r>
      <w:r w:rsidR="00567A1B">
        <w:t xml:space="preserve">. </w:t>
      </w:r>
    </w:p>
    <w:p w14:paraId="4783FD66" w14:textId="25196381" w:rsidR="002118C0" w:rsidRDefault="000379DE" w:rsidP="009572B1">
      <w:pPr>
        <w:pStyle w:val="BodyText"/>
      </w:pPr>
      <w:r>
        <w:t xml:space="preserve">In addition to seeing a decrease in the use of a range of services, J2SI PAD clients were found to increase </w:t>
      </w:r>
      <w:r w:rsidR="00411701">
        <w:t xml:space="preserve">their level of </w:t>
      </w:r>
      <w:r>
        <w:t xml:space="preserve">engagement with </w:t>
      </w:r>
      <w:r w:rsidR="00411701">
        <w:t xml:space="preserve">some </w:t>
      </w:r>
      <w:r w:rsidR="002118C0">
        <w:t xml:space="preserve">community </w:t>
      </w:r>
      <w:r w:rsidR="0005686A" w:rsidRPr="007E4A3C">
        <w:t>mental health, allied health, community supports</w:t>
      </w:r>
      <w:r w:rsidR="0005686A">
        <w:t xml:space="preserve">, </w:t>
      </w:r>
      <w:r w:rsidR="0005686A" w:rsidRPr="007E4A3C">
        <w:t>nursing services</w:t>
      </w:r>
      <w:r w:rsidR="0005686A">
        <w:t>, family violence and sexual assault services</w:t>
      </w:r>
      <w:r>
        <w:t>,</w:t>
      </w:r>
      <w:r w:rsidR="00411701">
        <w:t xml:space="preserve"> relative to the non-intervention group. Consistent with the findings </w:t>
      </w:r>
      <w:r w:rsidR="00BF19A9">
        <w:t>from</w:t>
      </w:r>
      <w:r w:rsidR="00411701">
        <w:t xml:space="preserve"> the </w:t>
      </w:r>
      <w:r w:rsidR="00501997">
        <w:t>outcomes</w:t>
      </w:r>
      <w:r w:rsidR="00411701">
        <w:t xml:space="preserve"> evaluation, this increased engagement </w:t>
      </w:r>
      <w:r w:rsidR="00BF19A9">
        <w:t xml:space="preserve">may </w:t>
      </w:r>
      <w:r w:rsidR="00411701">
        <w:t xml:space="preserve">have contributed to a reduction in other tertiary services, and </w:t>
      </w:r>
      <w:r w:rsidR="003A6D52">
        <w:t xml:space="preserve">may </w:t>
      </w:r>
      <w:r w:rsidR="00411701">
        <w:t>signal increased help seeking behaviour.</w:t>
      </w:r>
      <w:r w:rsidR="008F2456">
        <w:t xml:space="preserve"> </w:t>
      </w:r>
    </w:p>
    <w:p w14:paraId="40F6A1CC" w14:textId="37FCECB5" w:rsidR="00AC2247" w:rsidRDefault="00D55C89" w:rsidP="009572B1">
      <w:pPr>
        <w:pStyle w:val="BodyText"/>
      </w:pPr>
      <w:r w:rsidRPr="00D55C89">
        <w:t>Unit costs for this analysis were sourced from Victorian Government data and are an input</w:t>
      </w:r>
      <w:r w:rsidR="00DE0A67">
        <w:t xml:space="preserve"> </w:t>
      </w:r>
      <w:r w:rsidR="00342996">
        <w:t>into the avoided cost to the Victorian government of providing an additional unit of service</w:t>
      </w:r>
      <w:r w:rsidR="00AC2247" w:rsidRPr="00C27E1A">
        <w:t>. While these costs are defined and applied on a per-unit basis, they are an average of both the fixed and variable costs of service provision and will not reflect the reali</w:t>
      </w:r>
      <w:r w:rsidR="00AC2247">
        <w:t>s</w:t>
      </w:r>
      <w:r w:rsidR="00AC2247" w:rsidRPr="00C27E1A">
        <w:t>ed avoided cost of service provision arising from reduced service demand at the individual person level. The unit cost can change from year to year depending on when they are calculated and the data available (with an expectation these will change and be updated in the future).</w:t>
      </w:r>
    </w:p>
    <w:p w14:paraId="0AA63F20" w14:textId="1DF31859" w:rsidR="007813A7" w:rsidRDefault="007813A7" w:rsidP="007A2CBF">
      <w:pPr>
        <w:pStyle w:val="Heading3"/>
      </w:pPr>
      <w:r>
        <w:t>Sensitivity testing</w:t>
      </w:r>
    </w:p>
    <w:p w14:paraId="0EA183CC" w14:textId="757D6B9A" w:rsidR="004C1C4F" w:rsidRDefault="00B13706" w:rsidP="009572B1">
      <w:pPr>
        <w:pStyle w:val="BodyText"/>
      </w:pPr>
      <w:r w:rsidRPr="0042227F">
        <w:t xml:space="preserve">Scenario and sensitivity analysis of the CBA is presented </w:t>
      </w:r>
      <w:r w:rsidR="00B737E7" w:rsidRPr="0042227F">
        <w:t>below</w:t>
      </w:r>
      <w:r w:rsidR="00EF2AE1">
        <w:t xml:space="preserve"> (</w:t>
      </w:r>
      <w:r w:rsidR="008D7AA8">
        <w:fldChar w:fldCharType="begin"/>
      </w:r>
      <w:r w:rsidR="008D7AA8">
        <w:instrText xml:space="preserve"> REF _Ref150244000 \h </w:instrText>
      </w:r>
      <w:r w:rsidR="009572B1">
        <w:instrText xml:space="preserve"> \* MERGEFORMAT </w:instrText>
      </w:r>
      <w:r w:rsidR="008D7AA8">
        <w:fldChar w:fldCharType="separate"/>
      </w:r>
      <w:r w:rsidR="005B05CA">
        <w:t xml:space="preserve">Table </w:t>
      </w:r>
      <w:r w:rsidR="005B05CA">
        <w:rPr>
          <w:noProof/>
        </w:rPr>
        <w:t>17</w:t>
      </w:r>
      <w:r w:rsidR="008D7AA8">
        <w:fldChar w:fldCharType="end"/>
      </w:r>
      <w:r w:rsidR="00EF2AE1">
        <w:t>)</w:t>
      </w:r>
      <w:r w:rsidR="00B737E7" w:rsidRPr="0042227F">
        <w:t>.</w:t>
      </w:r>
      <w:r w:rsidRPr="0042227F">
        <w:t xml:space="preserve"> The BCR is projected to range from between </w:t>
      </w:r>
      <w:r w:rsidR="00E54FB6">
        <w:t>1.</w:t>
      </w:r>
      <w:r w:rsidR="008E51E5">
        <w:t>43</w:t>
      </w:r>
      <w:r w:rsidRPr="0042227F">
        <w:t xml:space="preserve"> (pessimistic scenario) and </w:t>
      </w:r>
      <w:r w:rsidR="00E54FB6">
        <w:t>2.</w:t>
      </w:r>
      <w:r w:rsidR="00025D98">
        <w:t>68</w:t>
      </w:r>
      <w:r w:rsidRPr="0042227F">
        <w:t xml:space="preserve"> (optimistic scenario) when considering alternative cost, benefit and </w:t>
      </w:r>
      <w:r w:rsidR="00E54FB6">
        <w:t>period</w:t>
      </w:r>
      <w:r w:rsidRPr="0042227F">
        <w:t xml:space="preserve"> sensitivities.</w:t>
      </w:r>
      <w:r w:rsidR="00572CF5">
        <w:t xml:space="preserve"> </w:t>
      </w:r>
    </w:p>
    <w:p w14:paraId="09B6913C" w14:textId="5A0B209B" w:rsidR="00572CF5" w:rsidRDefault="00572CF5" w:rsidP="009572B1">
      <w:pPr>
        <w:pStyle w:val="BodyText"/>
      </w:pPr>
      <w:r>
        <w:t xml:space="preserve">An additional scenario aligned to the EIIF is included with the following parameters: </w:t>
      </w:r>
    </w:p>
    <w:p w14:paraId="130AEB75" w14:textId="038AE566" w:rsidR="00572CF5" w:rsidRDefault="009C7E7E" w:rsidP="002A7355">
      <w:pPr>
        <w:pStyle w:val="BodyText10"/>
        <w:numPr>
          <w:ilvl w:val="0"/>
          <w:numId w:val="35"/>
        </w:numPr>
      </w:pPr>
      <w:r>
        <w:t>Evaluation period 10 years from 2019;</w:t>
      </w:r>
    </w:p>
    <w:p w14:paraId="32A79B52" w14:textId="7D4A4DC5" w:rsidR="009C7E7E" w:rsidRDefault="009C7E7E" w:rsidP="002A7355">
      <w:pPr>
        <w:pStyle w:val="BodyText10"/>
        <w:numPr>
          <w:ilvl w:val="0"/>
          <w:numId w:val="35"/>
        </w:numPr>
      </w:pPr>
      <w:r>
        <w:t>QALY improvement related benefits excluded</w:t>
      </w:r>
      <w:r w:rsidR="007E0EF1">
        <w:t>;</w:t>
      </w:r>
    </w:p>
    <w:p w14:paraId="09B6405F" w14:textId="0E4B076B" w:rsidR="007E0EF1" w:rsidRDefault="007E0EF1" w:rsidP="002A7355">
      <w:pPr>
        <w:pStyle w:val="BodyText10"/>
        <w:numPr>
          <w:ilvl w:val="0"/>
          <w:numId w:val="35"/>
        </w:numPr>
      </w:pPr>
      <w:r>
        <w:t>Induced costs removed;</w:t>
      </w:r>
    </w:p>
    <w:p w14:paraId="77EA086C" w14:textId="73575737" w:rsidR="007E0EF1" w:rsidRDefault="007E0EF1" w:rsidP="002A7355">
      <w:pPr>
        <w:pStyle w:val="BodyText10"/>
        <w:numPr>
          <w:ilvl w:val="0"/>
          <w:numId w:val="35"/>
        </w:numPr>
      </w:pPr>
      <w:r>
        <w:t>No discounting of costs or benefits;</w:t>
      </w:r>
      <w:r w:rsidR="00F234DA">
        <w:t xml:space="preserve"> and</w:t>
      </w:r>
    </w:p>
    <w:p w14:paraId="6791637A" w14:textId="2B2E9D57" w:rsidR="007E0EF1" w:rsidRDefault="007E0EF1" w:rsidP="002A7355">
      <w:pPr>
        <w:pStyle w:val="BodyText10"/>
        <w:numPr>
          <w:ilvl w:val="0"/>
          <w:numId w:val="35"/>
        </w:numPr>
      </w:pPr>
      <w:r>
        <w:t>Both standing charge</w:t>
      </w:r>
      <w:r w:rsidR="00F234DA">
        <w:t>s</w:t>
      </w:r>
      <w:r>
        <w:t xml:space="preserve"> and outcome payments included in costs</w:t>
      </w:r>
      <w:r w:rsidR="00F234DA">
        <w:t>.</w:t>
      </w:r>
    </w:p>
    <w:p w14:paraId="3FDBFB73" w14:textId="49C45A34" w:rsidR="00EF2AE1" w:rsidRDefault="00EF2AE1" w:rsidP="00134FF5">
      <w:pPr>
        <w:pStyle w:val="Caption"/>
      </w:pPr>
      <w:bookmarkStart w:id="122" w:name="_Ref150244000"/>
      <w:bookmarkStart w:id="123" w:name="_Toc174547318"/>
      <w:r>
        <w:t xml:space="preserve">Table </w:t>
      </w:r>
      <w:r>
        <w:fldChar w:fldCharType="begin"/>
      </w:r>
      <w:r>
        <w:instrText xml:space="preserve"> SEQ Table \* ARABIC </w:instrText>
      </w:r>
      <w:r>
        <w:fldChar w:fldCharType="separate"/>
      </w:r>
      <w:r w:rsidR="005B05CA">
        <w:rPr>
          <w:noProof/>
        </w:rPr>
        <w:t>17</w:t>
      </w:r>
      <w:r>
        <w:rPr>
          <w:noProof/>
        </w:rPr>
        <w:fldChar w:fldCharType="end"/>
      </w:r>
      <w:bookmarkEnd w:id="122"/>
      <w:r>
        <w:t>: Sensitivity analysis</w:t>
      </w:r>
      <w:bookmarkEnd w:id="123"/>
    </w:p>
    <w:tbl>
      <w:tblPr>
        <w:tblStyle w:val="KPMGTable"/>
        <w:tblW w:w="9880" w:type="dxa"/>
        <w:tblLook w:val="04A0" w:firstRow="1" w:lastRow="0" w:firstColumn="1" w:lastColumn="0" w:noHBand="0" w:noVBand="1"/>
      </w:tblPr>
      <w:tblGrid>
        <w:gridCol w:w="3119"/>
        <w:gridCol w:w="1984"/>
        <w:gridCol w:w="2268"/>
        <w:gridCol w:w="1276"/>
        <w:gridCol w:w="1233"/>
      </w:tblGrid>
      <w:tr w:rsidR="00B4423B" w:rsidRPr="00B4423B" w14:paraId="3E7C67EC" w14:textId="77777777" w:rsidTr="00F14DC0">
        <w:trPr>
          <w:cnfStyle w:val="100000000000" w:firstRow="1" w:lastRow="0" w:firstColumn="0" w:lastColumn="0" w:oddVBand="0" w:evenVBand="0" w:oddHBand="0" w:evenHBand="0" w:firstRowFirstColumn="0" w:firstRowLastColumn="0" w:lastRowFirstColumn="0" w:lastRowLastColumn="0"/>
          <w:trHeight w:val="311"/>
          <w:tblHead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690F3313" w14:textId="0B850BCB" w:rsidR="00B4423B" w:rsidRPr="00DD75BF" w:rsidRDefault="00DD75BF" w:rsidP="0032665E">
            <w:pPr>
              <w:pStyle w:val="TableHeading"/>
              <w:rPr>
                <w:sz w:val="16"/>
                <w:szCs w:val="20"/>
              </w:rPr>
            </w:pPr>
            <w:r>
              <w:rPr>
                <w:sz w:val="16"/>
                <w:szCs w:val="20"/>
              </w:rPr>
              <w:t>Test</w:t>
            </w:r>
          </w:p>
        </w:tc>
        <w:tc>
          <w:tcPr>
            <w:tcW w:w="1984" w:type="dxa"/>
            <w:noWrap/>
            <w:hideMark/>
          </w:tcPr>
          <w:p w14:paraId="07274E47" w14:textId="5C248708" w:rsidR="00B4423B" w:rsidRPr="00DD75BF" w:rsidRDefault="00B4423B" w:rsidP="00393BCC">
            <w:pPr>
              <w:pStyle w:val="TableHeading"/>
              <w:jc w:val="right"/>
              <w:cnfStyle w:val="100000000000" w:firstRow="1" w:lastRow="0" w:firstColumn="0" w:lastColumn="0" w:oddVBand="0" w:evenVBand="0" w:oddHBand="0" w:evenHBand="0" w:firstRowFirstColumn="0" w:firstRowLastColumn="0" w:lastRowFirstColumn="0" w:lastRowLastColumn="0"/>
              <w:rPr>
                <w:rFonts w:eastAsia="Times New Roman" w:cs="Arial"/>
                <w:sz w:val="16"/>
                <w:szCs w:val="20"/>
                <w:lang w:eastAsia="en-AU"/>
              </w:rPr>
            </w:pPr>
            <w:r w:rsidRPr="00DD75BF">
              <w:rPr>
                <w:sz w:val="16"/>
                <w:szCs w:val="20"/>
              </w:rPr>
              <w:t xml:space="preserve">Program </w:t>
            </w:r>
            <w:r w:rsidRPr="00DD75BF">
              <w:rPr>
                <w:rFonts w:eastAsia="Times New Roman" w:cs="Arial"/>
                <w:sz w:val="16"/>
                <w:szCs w:val="20"/>
                <w:lang w:eastAsia="en-AU"/>
              </w:rPr>
              <w:t>costs</w:t>
            </w:r>
            <w:r w:rsidR="007B2AED" w:rsidRPr="00DD75BF">
              <w:rPr>
                <w:rFonts w:eastAsia="Times New Roman" w:cs="Arial"/>
                <w:sz w:val="16"/>
                <w:szCs w:val="20"/>
                <w:lang w:eastAsia="en-AU"/>
              </w:rPr>
              <w:t>($)</w:t>
            </w:r>
          </w:p>
        </w:tc>
        <w:tc>
          <w:tcPr>
            <w:tcW w:w="2268" w:type="dxa"/>
            <w:noWrap/>
            <w:hideMark/>
          </w:tcPr>
          <w:p w14:paraId="09F29C43" w14:textId="35BAFAE7" w:rsidR="00B4423B" w:rsidRPr="00DD75BF" w:rsidRDefault="00B4423B" w:rsidP="00393BCC">
            <w:pPr>
              <w:pStyle w:val="TableHeading"/>
              <w:jc w:val="right"/>
              <w:cnfStyle w:val="100000000000" w:firstRow="1" w:lastRow="0" w:firstColumn="0" w:lastColumn="0" w:oddVBand="0" w:evenVBand="0" w:oddHBand="0" w:evenHBand="0" w:firstRowFirstColumn="0" w:firstRowLastColumn="0" w:lastRowFirstColumn="0" w:lastRowLastColumn="0"/>
              <w:rPr>
                <w:rFonts w:eastAsia="Times New Roman" w:cs="Arial"/>
                <w:sz w:val="16"/>
                <w:szCs w:val="20"/>
                <w:lang w:eastAsia="en-AU"/>
              </w:rPr>
            </w:pPr>
            <w:r w:rsidRPr="00DD75BF">
              <w:rPr>
                <w:sz w:val="16"/>
                <w:szCs w:val="20"/>
              </w:rPr>
              <w:t>Program benefits</w:t>
            </w:r>
            <w:r w:rsidR="007B2AED" w:rsidRPr="00DD75BF">
              <w:rPr>
                <w:rFonts w:eastAsia="Times New Roman" w:cs="Arial"/>
                <w:sz w:val="16"/>
                <w:szCs w:val="20"/>
                <w:lang w:eastAsia="en-AU"/>
              </w:rPr>
              <w:t>($)</w:t>
            </w:r>
          </w:p>
        </w:tc>
        <w:tc>
          <w:tcPr>
            <w:tcW w:w="1276" w:type="dxa"/>
            <w:noWrap/>
            <w:hideMark/>
          </w:tcPr>
          <w:p w14:paraId="3B617F19" w14:textId="080BFB67" w:rsidR="00B4423B" w:rsidRPr="00DD75BF" w:rsidRDefault="00B4423B" w:rsidP="00393BCC">
            <w:pPr>
              <w:pStyle w:val="TableHeading"/>
              <w:jc w:val="right"/>
              <w:cnfStyle w:val="100000000000" w:firstRow="1" w:lastRow="0" w:firstColumn="0" w:lastColumn="0" w:oddVBand="0" w:evenVBand="0" w:oddHBand="0" w:evenHBand="0" w:firstRowFirstColumn="0" w:firstRowLastColumn="0" w:lastRowFirstColumn="0" w:lastRowLastColumn="0"/>
              <w:rPr>
                <w:rFonts w:eastAsia="Times New Roman" w:cs="Arial"/>
                <w:sz w:val="16"/>
                <w:szCs w:val="20"/>
                <w:lang w:eastAsia="en-AU"/>
              </w:rPr>
            </w:pPr>
            <w:r w:rsidRPr="00DD75BF">
              <w:rPr>
                <w:sz w:val="16"/>
                <w:szCs w:val="20"/>
              </w:rPr>
              <w:t>NPV</w:t>
            </w:r>
            <w:r w:rsidR="007B2AED" w:rsidRPr="00DD75BF">
              <w:rPr>
                <w:rFonts w:eastAsia="Times New Roman" w:cs="Arial"/>
                <w:sz w:val="16"/>
                <w:szCs w:val="20"/>
                <w:lang w:eastAsia="en-AU"/>
              </w:rPr>
              <w:t>($)</w:t>
            </w:r>
          </w:p>
        </w:tc>
        <w:tc>
          <w:tcPr>
            <w:tcW w:w="1233" w:type="dxa"/>
            <w:noWrap/>
            <w:hideMark/>
          </w:tcPr>
          <w:p w14:paraId="2655A3DF" w14:textId="77777777" w:rsidR="00B4423B" w:rsidRPr="00DD75BF" w:rsidRDefault="00B4423B" w:rsidP="00393BCC">
            <w:pPr>
              <w:pStyle w:val="TableHeading"/>
              <w:jc w:val="right"/>
              <w:cnfStyle w:val="100000000000" w:firstRow="1" w:lastRow="0" w:firstColumn="0" w:lastColumn="0" w:oddVBand="0" w:evenVBand="0" w:oddHBand="0" w:evenHBand="0" w:firstRowFirstColumn="0" w:firstRowLastColumn="0" w:lastRowFirstColumn="0" w:lastRowLastColumn="0"/>
              <w:rPr>
                <w:rFonts w:eastAsia="Times New Roman" w:cs="Arial"/>
                <w:sz w:val="16"/>
                <w:szCs w:val="20"/>
                <w:lang w:eastAsia="en-AU"/>
              </w:rPr>
            </w:pPr>
            <w:r w:rsidRPr="00DD75BF">
              <w:rPr>
                <w:sz w:val="16"/>
                <w:szCs w:val="20"/>
              </w:rPr>
              <w:t>BCR</w:t>
            </w:r>
          </w:p>
        </w:tc>
      </w:tr>
      <w:tr w:rsidR="008E51E5" w:rsidRPr="00B4423B" w14:paraId="174E9774"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5AB8E45" w14:textId="4A91163F" w:rsidR="008E51E5" w:rsidRPr="00DD75BF" w:rsidRDefault="008E51E5" w:rsidP="00393BCC">
            <w:pPr>
              <w:pStyle w:val="Tabletext"/>
              <w:rPr>
                <w:lang w:eastAsia="en-AU"/>
              </w:rPr>
            </w:pPr>
            <w:r w:rsidRPr="00DD75BF">
              <w:rPr>
                <w:lang w:eastAsia="en-AU"/>
              </w:rPr>
              <w:t>NPV (4%) – Base scenario</w:t>
            </w:r>
          </w:p>
        </w:tc>
        <w:tc>
          <w:tcPr>
            <w:tcW w:w="1984" w:type="dxa"/>
            <w:noWrap/>
            <w:hideMark/>
          </w:tcPr>
          <w:p w14:paraId="617DB61F" w14:textId="61B0009E"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15.6 M</w:t>
            </w:r>
          </w:p>
        </w:tc>
        <w:tc>
          <w:tcPr>
            <w:tcW w:w="2268" w:type="dxa"/>
            <w:noWrap/>
            <w:hideMark/>
          </w:tcPr>
          <w:p w14:paraId="2EC0A0EC" w14:textId="0721DA80"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34.3 M</w:t>
            </w:r>
          </w:p>
        </w:tc>
        <w:tc>
          <w:tcPr>
            <w:tcW w:w="1276" w:type="dxa"/>
            <w:noWrap/>
            <w:hideMark/>
          </w:tcPr>
          <w:p w14:paraId="2EEA5986" w14:textId="6D1DE1BA"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18.7 M</w:t>
            </w:r>
          </w:p>
        </w:tc>
        <w:tc>
          <w:tcPr>
            <w:tcW w:w="1233" w:type="dxa"/>
            <w:noWrap/>
            <w:hideMark/>
          </w:tcPr>
          <w:p w14:paraId="6F7930B6" w14:textId="1FB6C2E5"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2.20</w:t>
            </w:r>
          </w:p>
        </w:tc>
      </w:tr>
      <w:tr w:rsidR="008E51E5" w:rsidRPr="00B4423B" w14:paraId="2A407986"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D14EED2" w14:textId="54F3079F"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NPV (0%)</w:t>
            </w:r>
          </w:p>
        </w:tc>
        <w:tc>
          <w:tcPr>
            <w:tcW w:w="1984" w:type="dxa"/>
            <w:noWrap/>
            <w:hideMark/>
          </w:tcPr>
          <w:p w14:paraId="671AB22C" w14:textId="0ADB31A5"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17.1 M</w:t>
            </w:r>
          </w:p>
        </w:tc>
        <w:tc>
          <w:tcPr>
            <w:tcW w:w="2268" w:type="dxa"/>
            <w:noWrap/>
            <w:hideMark/>
          </w:tcPr>
          <w:p w14:paraId="0632318E" w14:textId="6FE1B8C1"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45.7 M</w:t>
            </w:r>
          </w:p>
        </w:tc>
        <w:tc>
          <w:tcPr>
            <w:tcW w:w="1276" w:type="dxa"/>
            <w:noWrap/>
            <w:hideMark/>
          </w:tcPr>
          <w:p w14:paraId="4EA3D9D2" w14:textId="74DAE6DC"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28.7 M</w:t>
            </w:r>
          </w:p>
        </w:tc>
        <w:tc>
          <w:tcPr>
            <w:tcW w:w="1233" w:type="dxa"/>
            <w:noWrap/>
            <w:hideMark/>
          </w:tcPr>
          <w:p w14:paraId="7EE820D5" w14:textId="42F96EAE"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2.68</w:t>
            </w:r>
          </w:p>
        </w:tc>
      </w:tr>
      <w:tr w:rsidR="008E51E5" w:rsidRPr="00B4423B" w14:paraId="4A52CB7D"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tcPr>
          <w:p w14:paraId="678BF172" w14:textId="4FF4CA80"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NPV (1%)</w:t>
            </w:r>
          </w:p>
        </w:tc>
        <w:tc>
          <w:tcPr>
            <w:tcW w:w="1984" w:type="dxa"/>
            <w:noWrap/>
          </w:tcPr>
          <w:p w14:paraId="7EBA8970" w14:textId="0DA4D8F1"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16.7 M</w:t>
            </w:r>
          </w:p>
        </w:tc>
        <w:tc>
          <w:tcPr>
            <w:tcW w:w="2268" w:type="dxa"/>
            <w:noWrap/>
          </w:tcPr>
          <w:p w14:paraId="55378486" w14:textId="4C6AA694"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42.4 M</w:t>
            </w:r>
          </w:p>
        </w:tc>
        <w:tc>
          <w:tcPr>
            <w:tcW w:w="1276" w:type="dxa"/>
            <w:noWrap/>
          </w:tcPr>
          <w:p w14:paraId="4DE3E5D1" w14:textId="3EEFFB77"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25.7 M</w:t>
            </w:r>
          </w:p>
        </w:tc>
        <w:tc>
          <w:tcPr>
            <w:tcW w:w="1233" w:type="dxa"/>
            <w:noWrap/>
          </w:tcPr>
          <w:p w14:paraId="3AF4544C" w14:textId="5F06E8EB"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2.54</w:t>
            </w:r>
          </w:p>
        </w:tc>
      </w:tr>
      <w:tr w:rsidR="008E51E5" w:rsidRPr="00B4423B" w14:paraId="30365A63"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682E41F" w14:textId="009D04B2"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NPV (7%)</w:t>
            </w:r>
          </w:p>
        </w:tc>
        <w:tc>
          <w:tcPr>
            <w:tcW w:w="1984" w:type="dxa"/>
            <w:noWrap/>
            <w:hideMark/>
          </w:tcPr>
          <w:p w14:paraId="667635F4" w14:textId="6B46C3FA"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14.7 M</w:t>
            </w:r>
          </w:p>
        </w:tc>
        <w:tc>
          <w:tcPr>
            <w:tcW w:w="2268" w:type="dxa"/>
            <w:noWrap/>
            <w:hideMark/>
          </w:tcPr>
          <w:p w14:paraId="6000B06C" w14:textId="6DEF60CE"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28.3 M</w:t>
            </w:r>
          </w:p>
        </w:tc>
        <w:tc>
          <w:tcPr>
            <w:tcW w:w="1276" w:type="dxa"/>
            <w:noWrap/>
            <w:hideMark/>
          </w:tcPr>
          <w:p w14:paraId="157D16D3" w14:textId="27131E02"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13.6 M</w:t>
            </w:r>
          </w:p>
        </w:tc>
        <w:tc>
          <w:tcPr>
            <w:tcW w:w="1233" w:type="dxa"/>
            <w:noWrap/>
            <w:hideMark/>
          </w:tcPr>
          <w:p w14:paraId="7AE14C3B" w14:textId="0A384797"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1.92</w:t>
            </w:r>
          </w:p>
        </w:tc>
      </w:tr>
      <w:tr w:rsidR="008E51E5" w:rsidRPr="00B4423B" w14:paraId="214354ED"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036519F" w14:textId="1D6715BD"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NPV (10%)</w:t>
            </w:r>
          </w:p>
        </w:tc>
        <w:tc>
          <w:tcPr>
            <w:tcW w:w="1984" w:type="dxa"/>
            <w:noWrap/>
            <w:hideMark/>
          </w:tcPr>
          <w:p w14:paraId="2EE60972" w14:textId="43FB8F48"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13.9 M</w:t>
            </w:r>
          </w:p>
        </w:tc>
        <w:tc>
          <w:tcPr>
            <w:tcW w:w="2268" w:type="dxa"/>
            <w:noWrap/>
            <w:hideMark/>
          </w:tcPr>
          <w:p w14:paraId="4A05153C" w14:textId="3C5145FE"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23.7 M</w:t>
            </w:r>
          </w:p>
        </w:tc>
        <w:tc>
          <w:tcPr>
            <w:tcW w:w="1276" w:type="dxa"/>
            <w:noWrap/>
            <w:hideMark/>
          </w:tcPr>
          <w:p w14:paraId="400C68D4" w14:textId="63CFA4E7"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9.8 M</w:t>
            </w:r>
          </w:p>
        </w:tc>
        <w:tc>
          <w:tcPr>
            <w:tcW w:w="1233" w:type="dxa"/>
            <w:noWrap/>
            <w:hideMark/>
          </w:tcPr>
          <w:p w14:paraId="371E522D" w14:textId="0DE2FB01"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1.71</w:t>
            </w:r>
          </w:p>
        </w:tc>
      </w:tr>
      <w:tr w:rsidR="008E51E5" w:rsidRPr="00B4423B" w14:paraId="54C5C398"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2F1DD400" w14:textId="66379FA6"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Evaluation Period - 8 years</w:t>
            </w:r>
          </w:p>
        </w:tc>
        <w:tc>
          <w:tcPr>
            <w:tcW w:w="1984" w:type="dxa"/>
            <w:noWrap/>
            <w:hideMark/>
          </w:tcPr>
          <w:p w14:paraId="265ADDEA" w14:textId="17D8C32B"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15.6 M</w:t>
            </w:r>
          </w:p>
        </w:tc>
        <w:tc>
          <w:tcPr>
            <w:tcW w:w="2268" w:type="dxa"/>
            <w:noWrap/>
            <w:hideMark/>
          </w:tcPr>
          <w:p w14:paraId="070032A7" w14:textId="05CDC6B7"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22.3 M</w:t>
            </w:r>
          </w:p>
        </w:tc>
        <w:tc>
          <w:tcPr>
            <w:tcW w:w="1276" w:type="dxa"/>
            <w:noWrap/>
            <w:hideMark/>
          </w:tcPr>
          <w:p w14:paraId="2DA3DF93" w14:textId="229E7059"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6.7 M</w:t>
            </w:r>
          </w:p>
        </w:tc>
        <w:tc>
          <w:tcPr>
            <w:tcW w:w="1233" w:type="dxa"/>
            <w:noWrap/>
            <w:hideMark/>
          </w:tcPr>
          <w:p w14:paraId="02C4D902" w14:textId="0B76E48F"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1.43</w:t>
            </w:r>
          </w:p>
        </w:tc>
      </w:tr>
      <w:tr w:rsidR="008E51E5" w:rsidRPr="00B4423B" w14:paraId="5B38FC4E"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1ED7BF5" w14:textId="3EF7CEF6"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Evaluation Period - 10 years</w:t>
            </w:r>
          </w:p>
        </w:tc>
        <w:tc>
          <w:tcPr>
            <w:tcW w:w="1984" w:type="dxa"/>
            <w:noWrap/>
            <w:hideMark/>
          </w:tcPr>
          <w:p w14:paraId="4EB93966" w14:textId="6BFED248"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15.6 M</w:t>
            </w:r>
          </w:p>
        </w:tc>
        <w:tc>
          <w:tcPr>
            <w:tcW w:w="2268" w:type="dxa"/>
            <w:noWrap/>
            <w:hideMark/>
          </w:tcPr>
          <w:p w14:paraId="32DBDE44" w14:textId="13457147"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26.5 M</w:t>
            </w:r>
          </w:p>
        </w:tc>
        <w:tc>
          <w:tcPr>
            <w:tcW w:w="1276" w:type="dxa"/>
            <w:noWrap/>
            <w:hideMark/>
          </w:tcPr>
          <w:p w14:paraId="37EA92DF" w14:textId="1FA20EE7"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10.9 M</w:t>
            </w:r>
          </w:p>
        </w:tc>
        <w:tc>
          <w:tcPr>
            <w:tcW w:w="1233" w:type="dxa"/>
            <w:noWrap/>
            <w:hideMark/>
          </w:tcPr>
          <w:p w14:paraId="3D114962" w14:textId="70BC9EA4"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1.70</w:t>
            </w:r>
          </w:p>
        </w:tc>
      </w:tr>
      <w:tr w:rsidR="008E51E5" w:rsidRPr="00B4423B" w14:paraId="23389BE7"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4343605" w14:textId="77777777"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Costs +20%</w:t>
            </w:r>
          </w:p>
        </w:tc>
        <w:tc>
          <w:tcPr>
            <w:tcW w:w="1984" w:type="dxa"/>
            <w:noWrap/>
            <w:hideMark/>
          </w:tcPr>
          <w:p w14:paraId="5209370E" w14:textId="314A6C06"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18.7 M</w:t>
            </w:r>
          </w:p>
        </w:tc>
        <w:tc>
          <w:tcPr>
            <w:tcW w:w="2268" w:type="dxa"/>
            <w:noWrap/>
            <w:hideMark/>
          </w:tcPr>
          <w:p w14:paraId="4691FABD" w14:textId="3166CC9F"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34.3 M</w:t>
            </w:r>
          </w:p>
        </w:tc>
        <w:tc>
          <w:tcPr>
            <w:tcW w:w="1276" w:type="dxa"/>
            <w:noWrap/>
            <w:hideMark/>
          </w:tcPr>
          <w:p w14:paraId="694CF8A7" w14:textId="48EA67F9"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15.6 M</w:t>
            </w:r>
          </w:p>
        </w:tc>
        <w:tc>
          <w:tcPr>
            <w:tcW w:w="1233" w:type="dxa"/>
            <w:noWrap/>
            <w:hideMark/>
          </w:tcPr>
          <w:p w14:paraId="48EC1042" w14:textId="17C85D95"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1.83</w:t>
            </w:r>
          </w:p>
        </w:tc>
      </w:tr>
      <w:tr w:rsidR="008E51E5" w:rsidRPr="00B4423B" w14:paraId="2C64CEB2"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4DC1C449" w14:textId="77777777"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Costs -20%</w:t>
            </w:r>
          </w:p>
        </w:tc>
        <w:tc>
          <w:tcPr>
            <w:tcW w:w="1984" w:type="dxa"/>
            <w:noWrap/>
            <w:hideMark/>
          </w:tcPr>
          <w:p w14:paraId="1D93F66B" w14:textId="28965CD1"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12.5 M</w:t>
            </w:r>
          </w:p>
        </w:tc>
        <w:tc>
          <w:tcPr>
            <w:tcW w:w="2268" w:type="dxa"/>
            <w:noWrap/>
            <w:hideMark/>
          </w:tcPr>
          <w:p w14:paraId="50612ECD" w14:textId="0767C75E"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34.3 M</w:t>
            </w:r>
          </w:p>
        </w:tc>
        <w:tc>
          <w:tcPr>
            <w:tcW w:w="1276" w:type="dxa"/>
            <w:noWrap/>
            <w:hideMark/>
          </w:tcPr>
          <w:p w14:paraId="3B4D56B3" w14:textId="576C3528"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21.8 M</w:t>
            </w:r>
          </w:p>
        </w:tc>
        <w:tc>
          <w:tcPr>
            <w:tcW w:w="1233" w:type="dxa"/>
            <w:noWrap/>
            <w:hideMark/>
          </w:tcPr>
          <w:p w14:paraId="2103DDE8" w14:textId="4E4B2C7F"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2.75</w:t>
            </w:r>
          </w:p>
        </w:tc>
      </w:tr>
      <w:tr w:rsidR="008E51E5" w:rsidRPr="00B4423B" w14:paraId="082517EC"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25A4C18" w14:textId="77777777"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Benefits +20%</w:t>
            </w:r>
          </w:p>
        </w:tc>
        <w:tc>
          <w:tcPr>
            <w:tcW w:w="1984" w:type="dxa"/>
            <w:noWrap/>
            <w:hideMark/>
          </w:tcPr>
          <w:p w14:paraId="4D260EDB" w14:textId="7C1C2398"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15.6 M</w:t>
            </w:r>
          </w:p>
        </w:tc>
        <w:tc>
          <w:tcPr>
            <w:tcW w:w="2268" w:type="dxa"/>
            <w:noWrap/>
            <w:hideMark/>
          </w:tcPr>
          <w:p w14:paraId="4814D51B" w14:textId="1BBD052C"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41.2 M</w:t>
            </w:r>
          </w:p>
        </w:tc>
        <w:tc>
          <w:tcPr>
            <w:tcW w:w="1276" w:type="dxa"/>
            <w:noWrap/>
            <w:hideMark/>
          </w:tcPr>
          <w:p w14:paraId="624035B6" w14:textId="6130E070"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25.5 M</w:t>
            </w:r>
          </w:p>
        </w:tc>
        <w:tc>
          <w:tcPr>
            <w:tcW w:w="1233" w:type="dxa"/>
            <w:noWrap/>
            <w:hideMark/>
          </w:tcPr>
          <w:p w14:paraId="54597D34" w14:textId="61BECF0C"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2.64</w:t>
            </w:r>
          </w:p>
        </w:tc>
      </w:tr>
      <w:tr w:rsidR="008E51E5" w:rsidRPr="00B4423B" w14:paraId="1BC66484" w14:textId="77777777" w:rsidTr="00A072EC">
        <w:trPr>
          <w:trHeight w:val="311"/>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2137F05" w14:textId="77777777" w:rsidR="008E51E5" w:rsidRPr="00DD75BF" w:rsidRDefault="008E51E5" w:rsidP="00393BCC">
            <w:pPr>
              <w:pStyle w:val="Tabletext"/>
              <w:rPr>
                <w:rFonts w:eastAsia="Times New Roman" w:cs="Arial"/>
                <w:color w:val="000000"/>
                <w:sz w:val="16"/>
                <w:szCs w:val="20"/>
                <w:lang w:eastAsia="en-AU"/>
              </w:rPr>
            </w:pPr>
            <w:r w:rsidRPr="00DD75BF">
              <w:rPr>
                <w:rFonts w:eastAsia="Times New Roman" w:cs="Arial"/>
                <w:color w:val="000000"/>
                <w:sz w:val="16"/>
                <w:szCs w:val="20"/>
                <w:lang w:eastAsia="en-AU"/>
              </w:rPr>
              <w:t>Benefits -20%</w:t>
            </w:r>
          </w:p>
        </w:tc>
        <w:tc>
          <w:tcPr>
            <w:tcW w:w="1984" w:type="dxa"/>
            <w:noWrap/>
            <w:hideMark/>
          </w:tcPr>
          <w:p w14:paraId="10FCA4D5" w14:textId="2C941558"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15.6 M</w:t>
            </w:r>
          </w:p>
        </w:tc>
        <w:tc>
          <w:tcPr>
            <w:tcW w:w="2268" w:type="dxa"/>
            <w:noWrap/>
            <w:hideMark/>
          </w:tcPr>
          <w:p w14:paraId="474C33D4" w14:textId="4ECB23BC"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27.4 M</w:t>
            </w:r>
          </w:p>
        </w:tc>
        <w:tc>
          <w:tcPr>
            <w:tcW w:w="1276" w:type="dxa"/>
            <w:noWrap/>
            <w:hideMark/>
          </w:tcPr>
          <w:p w14:paraId="516D2B8C" w14:textId="0343F89D"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11.8 M</w:t>
            </w:r>
          </w:p>
        </w:tc>
        <w:tc>
          <w:tcPr>
            <w:tcW w:w="1233" w:type="dxa"/>
            <w:noWrap/>
            <w:hideMark/>
          </w:tcPr>
          <w:p w14:paraId="642C8A66" w14:textId="20552681" w:rsidR="008E51E5" w:rsidRPr="008E51E5" w:rsidRDefault="008E51E5" w:rsidP="00393BCC">
            <w:pPr>
              <w:pStyle w:val="Tabletext"/>
              <w:jc w:val="right"/>
              <w:cnfStyle w:val="000000000000" w:firstRow="0" w:lastRow="0" w:firstColumn="0" w:lastColumn="0" w:oddVBand="0" w:evenVBand="0" w:oddHBand="0" w:evenHBand="0" w:firstRowFirstColumn="0" w:firstRowLastColumn="0" w:lastRowFirstColumn="0" w:lastRowLastColumn="0"/>
              <w:rPr>
                <w:rFonts w:cs="Arial"/>
                <w:szCs w:val="20"/>
              </w:rPr>
            </w:pPr>
            <w:r w:rsidRPr="008E51E5">
              <w:t>1.76</w:t>
            </w:r>
          </w:p>
        </w:tc>
      </w:tr>
    </w:tbl>
    <w:p w14:paraId="1C79A489" w14:textId="77777777" w:rsidR="004B3F96" w:rsidRDefault="004B3F96" w:rsidP="007E6624"/>
    <w:p w14:paraId="4988904C" w14:textId="35211009" w:rsidR="004B3F96" w:rsidRDefault="004B3F96" w:rsidP="00741666">
      <w:pPr>
        <w:pStyle w:val="BodyText"/>
        <w:tabs>
          <w:tab w:val="left" w:pos="750"/>
        </w:tabs>
        <w:sectPr w:rsidR="004B3F96" w:rsidSect="005B0986">
          <w:pgSz w:w="11906" w:h="16838"/>
          <w:pgMar w:top="851" w:right="851" w:bottom="851" w:left="851" w:header="567" w:footer="283" w:gutter="0"/>
          <w:cols w:space="708"/>
          <w:docGrid w:linePitch="360"/>
        </w:sectPr>
      </w:pPr>
    </w:p>
    <w:p w14:paraId="0B5454CA" w14:textId="6BD6E815" w:rsidR="00D40701" w:rsidRDefault="00F01861" w:rsidP="00F01861">
      <w:r>
        <w:rPr>
          <w:noProof/>
        </w:rPr>
        <w:lastRenderedPageBreak/>
        <w:drawing>
          <wp:inline distT="0" distB="0" distL="0" distR="0" wp14:anchorId="73AE29AD" wp14:editId="2CAE7126">
            <wp:extent cx="6480000" cy="9166064"/>
            <wp:effectExtent l="0" t="0" r="0" b="0"/>
            <wp:docPr id="7" name="Picture 7" descr="Appe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ppendices"/>
                    <pic:cNvPicPr>
                      <a:picLocks noChangeAspect="1" noChangeArrowheads="1"/>
                    </pic:cNvPicPr>
                  </pic:nvPicPr>
                  <pic:blipFill>
                    <a:blip r:embed="rId52" cstate="print">
                      <a:extLst>
                        <a:ext uri="{28A0092B-C50C-407E-A947-70E740481C1C}">
                          <a14:useLocalDpi xmlns:a14="http://schemas.microsoft.com/office/drawing/2010/main"/>
                        </a:ext>
                      </a:extLst>
                    </a:blip>
                    <a:stretch>
                      <a:fillRect/>
                    </a:stretch>
                  </pic:blipFill>
                  <pic:spPr bwMode="auto">
                    <a:xfrm>
                      <a:off x="0" y="0"/>
                      <a:ext cx="6480000" cy="9166064"/>
                    </a:xfrm>
                    <a:prstGeom prst="rect">
                      <a:avLst/>
                    </a:prstGeom>
                    <a:noFill/>
                  </pic:spPr>
                </pic:pic>
              </a:graphicData>
            </a:graphic>
          </wp:inline>
        </w:drawing>
      </w:r>
    </w:p>
    <w:p w14:paraId="1E9033AB" w14:textId="350491A6" w:rsidR="00D40701" w:rsidRPr="00D40701" w:rsidRDefault="00D40701" w:rsidP="00D40701">
      <w:pPr>
        <w:pStyle w:val="Covertitle2White"/>
        <w:sectPr w:rsidR="00D40701" w:rsidRPr="00D40701" w:rsidSect="00F01861">
          <w:headerReference w:type="even" r:id="rId53"/>
          <w:headerReference w:type="default" r:id="rId54"/>
          <w:footerReference w:type="even" r:id="rId55"/>
          <w:footerReference w:type="default" r:id="rId56"/>
          <w:headerReference w:type="first" r:id="rId57"/>
          <w:footerReference w:type="first" r:id="rId58"/>
          <w:pgSz w:w="11906" w:h="16838"/>
          <w:pgMar w:top="851" w:right="851" w:bottom="851" w:left="851" w:header="567" w:footer="284" w:gutter="0"/>
          <w:cols w:space="708"/>
          <w:docGrid w:linePitch="360"/>
        </w:sectPr>
      </w:pPr>
    </w:p>
    <w:p w14:paraId="34088A4A" w14:textId="0343C05A" w:rsidR="00E54DE1" w:rsidRDefault="00994C5A" w:rsidP="00851655">
      <w:pPr>
        <w:pStyle w:val="Appendixheading"/>
        <w:spacing w:before="0"/>
        <w:ind w:left="0"/>
      </w:pPr>
      <w:bookmarkStart w:id="124" w:name="_Ref150257301"/>
      <w:bookmarkStart w:id="125" w:name="_Toc178064015"/>
      <w:r>
        <w:lastRenderedPageBreak/>
        <w:t>:</w:t>
      </w:r>
      <w:r w:rsidR="001D497F">
        <w:t xml:space="preserve"> </w:t>
      </w:r>
      <w:r w:rsidR="00E54DE1">
        <w:t>Program logic</w:t>
      </w:r>
      <w:bookmarkEnd w:id="124"/>
      <w:bookmarkEnd w:id="125"/>
      <w:r w:rsidR="00E54DE1">
        <w:t xml:space="preserve"> </w:t>
      </w:r>
    </w:p>
    <w:p w14:paraId="46AE127F" w14:textId="72D84C23" w:rsidR="00E54DE1" w:rsidRPr="00BA70B8" w:rsidRDefault="00BA70B8" w:rsidP="009572B1">
      <w:pPr>
        <w:pStyle w:val="BodyText"/>
        <w:rPr>
          <w:rFonts w:cs="Arial"/>
          <w:b/>
        </w:rPr>
      </w:pPr>
      <w:r>
        <w:t xml:space="preserve">The below table summarises key findings against the Program Outcomes and Policy Outcomes defined in the </w:t>
      </w:r>
      <w:r w:rsidR="006A33C5">
        <w:t>p</w:t>
      </w:r>
      <w:r>
        <w:t xml:space="preserve">rogram logic </w:t>
      </w:r>
      <w:r w:rsidR="00453CE9">
        <w:t>developed for this evaluation</w:t>
      </w:r>
      <w:r w:rsidR="00613252" w:rsidRPr="00393441">
        <w:rPr>
          <w:rFonts w:cs="Arial"/>
        </w:rPr>
        <w:t>.</w:t>
      </w:r>
      <w:r w:rsidR="00613252">
        <w:rPr>
          <w:rFonts w:cs="Arial"/>
          <w:b/>
        </w:rPr>
        <w:t xml:space="preserve"> </w:t>
      </w:r>
    </w:p>
    <w:p w14:paraId="2F38D5FF" w14:textId="3AD85608" w:rsidR="00613252" w:rsidRPr="003E0F9A" w:rsidRDefault="00613252" w:rsidP="00134FF5">
      <w:pPr>
        <w:pStyle w:val="Caption"/>
      </w:pPr>
      <w:bookmarkStart w:id="126" w:name="_Toc173934734"/>
      <w:r w:rsidRPr="003E0F9A">
        <w:t xml:space="preserve">Table </w:t>
      </w:r>
      <w:r w:rsidR="00F60C64">
        <w:t xml:space="preserve">A - </w:t>
      </w:r>
      <w:r>
        <w:fldChar w:fldCharType="begin"/>
      </w:r>
      <w:r>
        <w:instrText xml:space="preserve"> SEQ Table_A_- \* ARABIC </w:instrText>
      </w:r>
      <w:r>
        <w:fldChar w:fldCharType="separate"/>
      </w:r>
      <w:r w:rsidR="00125CA2">
        <w:rPr>
          <w:noProof/>
        </w:rPr>
        <w:t>1</w:t>
      </w:r>
      <w:r>
        <w:rPr>
          <w:noProof/>
        </w:rPr>
        <w:fldChar w:fldCharType="end"/>
      </w:r>
      <w:r w:rsidRPr="003E0F9A">
        <w:t xml:space="preserve">: Key findings against program logic outcomes </w:t>
      </w:r>
      <w:r w:rsidR="00F01861">
        <w:t xml:space="preserve">- </w:t>
      </w:r>
      <w:r w:rsidR="00F01861" w:rsidRPr="003C1A31">
        <w:t>Program outcomes</w:t>
      </w:r>
      <w:bookmarkEnd w:id="126"/>
    </w:p>
    <w:tbl>
      <w:tblPr>
        <w:tblStyle w:val="KPMGTable"/>
        <w:tblW w:w="4723" w:type="pct"/>
        <w:tblLook w:val="04A0" w:firstRow="1" w:lastRow="0" w:firstColumn="1" w:lastColumn="0" w:noHBand="0" w:noVBand="1"/>
      </w:tblPr>
      <w:tblGrid>
        <w:gridCol w:w="3680"/>
        <w:gridCol w:w="5959"/>
      </w:tblGrid>
      <w:tr w:rsidR="00C76481" w:rsidRPr="007E5BB7" w14:paraId="7BCE5D8D" w14:textId="77777777" w:rsidTr="00C76481">
        <w:trPr>
          <w:cnfStyle w:val="100000000000" w:firstRow="1" w:lastRow="0" w:firstColumn="0" w:lastColumn="0" w:oddVBand="0" w:evenVBand="0" w:oddHBand="0" w:evenHBand="0" w:firstRowFirstColumn="0" w:firstRowLastColumn="0" w:lastRowFirstColumn="0" w:lastRowLastColumn="0"/>
          <w:trHeight w:val="498"/>
          <w:tblHeader/>
        </w:trPr>
        <w:tc>
          <w:tcPr>
            <w:cnfStyle w:val="001000000000" w:firstRow="0" w:lastRow="0" w:firstColumn="1" w:lastColumn="0" w:oddVBand="0" w:evenVBand="0" w:oddHBand="0" w:evenHBand="0" w:firstRowFirstColumn="0" w:firstRowLastColumn="0" w:lastRowFirstColumn="0" w:lastRowLastColumn="0"/>
            <w:tcW w:w="3680" w:type="dxa"/>
            <w:vAlign w:val="center"/>
          </w:tcPr>
          <w:p w14:paraId="1F087545" w14:textId="2C5E3EE5" w:rsidR="00C76481" w:rsidRPr="00871F93" w:rsidRDefault="00C76481" w:rsidP="00A072EC">
            <w:pPr>
              <w:pStyle w:val="TableHeading"/>
            </w:pPr>
            <w:bookmarkStart w:id="127" w:name="_Ref149902948"/>
            <w:r w:rsidRPr="00871F93">
              <w:t>Outcome area</w:t>
            </w:r>
          </w:p>
        </w:tc>
        <w:tc>
          <w:tcPr>
            <w:tcW w:w="5959" w:type="dxa"/>
            <w:vAlign w:val="center"/>
          </w:tcPr>
          <w:p w14:paraId="46CA309B" w14:textId="04A10856" w:rsidR="00C76481" w:rsidRPr="00871F93" w:rsidRDefault="00C76481" w:rsidP="00A072EC">
            <w:pPr>
              <w:pStyle w:val="TableHeading"/>
              <w:cnfStyle w:val="100000000000" w:firstRow="1" w:lastRow="0" w:firstColumn="0" w:lastColumn="0" w:oddVBand="0" w:evenVBand="0" w:oddHBand="0" w:evenHBand="0" w:firstRowFirstColumn="0" w:firstRowLastColumn="0" w:lastRowFirstColumn="0" w:lastRowLastColumn="0"/>
            </w:pPr>
            <w:r w:rsidRPr="00871F93">
              <w:t>Key finding</w:t>
            </w:r>
          </w:p>
        </w:tc>
      </w:tr>
      <w:tr w:rsidR="00C76481" w:rsidRPr="007E5BB7" w14:paraId="2A2EFCD6" w14:textId="77777777" w:rsidTr="00C76481">
        <w:trPr>
          <w:trHeight w:val="927"/>
        </w:trPr>
        <w:tc>
          <w:tcPr>
            <w:cnfStyle w:val="001000000000" w:firstRow="0" w:lastRow="0" w:firstColumn="1" w:lastColumn="0" w:oddVBand="0" w:evenVBand="0" w:oddHBand="0" w:evenHBand="0" w:firstRowFirstColumn="0" w:firstRowLastColumn="0" w:lastRowFirstColumn="0" w:lastRowLastColumn="0"/>
            <w:tcW w:w="3680" w:type="dxa"/>
            <w:vAlign w:val="center"/>
          </w:tcPr>
          <w:p w14:paraId="4EB381A8" w14:textId="1AC2872F" w:rsidR="00C76481" w:rsidRPr="00871F93" w:rsidRDefault="00C76481" w:rsidP="003C1A31">
            <w:pPr>
              <w:pStyle w:val="Tabletext"/>
            </w:pPr>
            <w:r w:rsidRPr="00871F93">
              <w:t>Increased percentage of clients in stable housing, relative to control group</w:t>
            </w:r>
          </w:p>
        </w:tc>
        <w:tc>
          <w:tcPr>
            <w:tcW w:w="5959" w:type="dxa"/>
            <w:vAlign w:val="center"/>
          </w:tcPr>
          <w:p w14:paraId="2D630FEF" w14:textId="53206D45" w:rsidR="00C76481" w:rsidRPr="00871F93" w:rsidRDefault="00C76481" w:rsidP="003C1A31">
            <w:pPr>
              <w:pStyle w:val="Tabletext"/>
              <w:cnfStyle w:val="000000000000" w:firstRow="0" w:lastRow="0" w:firstColumn="0" w:lastColumn="0" w:oddVBand="0" w:evenVBand="0" w:oddHBand="0" w:evenHBand="0" w:firstRowFirstColumn="0" w:firstRowLastColumn="0" w:lastRowFirstColumn="0" w:lastRowLastColumn="0"/>
            </w:pPr>
            <w:r w:rsidRPr="00871F93">
              <w:t xml:space="preserve">The J2SI PAD increased the percentage of clients in stable housing for </w:t>
            </w:r>
            <w:r>
              <w:t>all</w:t>
            </w:r>
            <w:r w:rsidRPr="00871F93">
              <w:t xml:space="preserve"> majority of cohorts, relative to control group.</w:t>
            </w:r>
          </w:p>
        </w:tc>
      </w:tr>
      <w:tr w:rsidR="00C76481" w:rsidRPr="007E5BB7" w14:paraId="0B12038D" w14:textId="77777777" w:rsidTr="00C76481">
        <w:trPr>
          <w:trHeight w:val="382"/>
        </w:trPr>
        <w:tc>
          <w:tcPr>
            <w:cnfStyle w:val="001000000000" w:firstRow="0" w:lastRow="0" w:firstColumn="1" w:lastColumn="0" w:oddVBand="0" w:evenVBand="0" w:oddHBand="0" w:evenHBand="0" w:firstRowFirstColumn="0" w:firstRowLastColumn="0" w:lastRowFirstColumn="0" w:lastRowLastColumn="0"/>
            <w:tcW w:w="3680" w:type="dxa"/>
            <w:vAlign w:val="center"/>
          </w:tcPr>
          <w:p w14:paraId="67A67675" w14:textId="401B60E9" w:rsidR="00C76481" w:rsidRPr="00871F93" w:rsidRDefault="00C76481" w:rsidP="00987B0C">
            <w:pPr>
              <w:pStyle w:val="Tabletext"/>
            </w:pPr>
            <w:r w:rsidRPr="00871F93">
              <w:t xml:space="preserve">Relative rate of improvement in the average number of hospital bed days (in the 12 months prior to measurement), compared to baseline, relative to control group </w:t>
            </w:r>
          </w:p>
        </w:tc>
        <w:tc>
          <w:tcPr>
            <w:tcW w:w="5959" w:type="dxa"/>
            <w:vAlign w:val="center"/>
          </w:tcPr>
          <w:p w14:paraId="48DC3D81" w14:textId="6F734F5E"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 xml:space="preserve">The J2SI PAD reduced the average number of hospital bed days for </w:t>
            </w:r>
            <w:r>
              <w:t>all</w:t>
            </w:r>
            <w:r w:rsidRPr="00871F93">
              <w:t xml:space="preserve"> cohorts, relative to control group.</w:t>
            </w:r>
          </w:p>
        </w:tc>
      </w:tr>
    </w:tbl>
    <w:p w14:paraId="6EA3C27F" w14:textId="5F7FCD62" w:rsidR="00F01861" w:rsidRPr="003E0F9A" w:rsidRDefault="00F01861" w:rsidP="00F01861">
      <w:pPr>
        <w:pStyle w:val="Caption"/>
      </w:pPr>
      <w:bookmarkStart w:id="128" w:name="_Toc173934735"/>
      <w:r w:rsidRPr="003E0F9A">
        <w:t xml:space="preserve">Table </w:t>
      </w:r>
      <w:r>
        <w:t xml:space="preserve">A - </w:t>
      </w:r>
      <w:r>
        <w:fldChar w:fldCharType="begin"/>
      </w:r>
      <w:r>
        <w:instrText xml:space="preserve"> SEQ Table_A_- \* ARABIC </w:instrText>
      </w:r>
      <w:r>
        <w:fldChar w:fldCharType="separate"/>
      </w:r>
      <w:r>
        <w:rPr>
          <w:noProof/>
        </w:rPr>
        <w:t>2</w:t>
      </w:r>
      <w:r>
        <w:rPr>
          <w:noProof/>
        </w:rPr>
        <w:fldChar w:fldCharType="end"/>
      </w:r>
      <w:r w:rsidRPr="003E0F9A">
        <w:t xml:space="preserve">: Key findings against program logic outcomes </w:t>
      </w:r>
      <w:r>
        <w:t>- Policy</w:t>
      </w:r>
      <w:r w:rsidRPr="003C1A31">
        <w:t xml:space="preserve"> outcomes</w:t>
      </w:r>
      <w:bookmarkEnd w:id="128"/>
    </w:p>
    <w:tbl>
      <w:tblPr>
        <w:tblStyle w:val="KPMGTable"/>
        <w:tblW w:w="4723" w:type="pct"/>
        <w:tblCellMar>
          <w:top w:w="85" w:type="dxa"/>
          <w:bottom w:w="85" w:type="dxa"/>
        </w:tblCellMar>
        <w:tblLook w:val="04A0" w:firstRow="1" w:lastRow="0" w:firstColumn="1" w:lastColumn="0" w:noHBand="0" w:noVBand="1"/>
      </w:tblPr>
      <w:tblGrid>
        <w:gridCol w:w="3728"/>
        <w:gridCol w:w="5911"/>
      </w:tblGrid>
      <w:tr w:rsidR="00C76481" w:rsidRPr="007E5BB7" w14:paraId="493CC6C6" w14:textId="77777777" w:rsidTr="00F14DC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28" w:type="dxa"/>
            <w:vAlign w:val="center"/>
          </w:tcPr>
          <w:p w14:paraId="781F0F5E" w14:textId="36705602" w:rsidR="00C76481" w:rsidRPr="00F01861" w:rsidRDefault="00C76481" w:rsidP="00A072EC">
            <w:pPr>
              <w:pStyle w:val="TableHeadingsub"/>
              <w:jc w:val="left"/>
              <w:rPr>
                <w:rFonts w:eastAsiaTheme="minorHAnsi" w:cstheme="minorBidi"/>
                <w:color w:val="1E49E2" w:themeColor="accent1"/>
                <w:szCs w:val="22"/>
              </w:rPr>
            </w:pPr>
            <w:r w:rsidRPr="00F01861">
              <w:rPr>
                <w:rFonts w:eastAsiaTheme="minorHAnsi" w:cstheme="minorBidi"/>
                <w:color w:val="1E49E2" w:themeColor="accent1"/>
                <w:szCs w:val="22"/>
              </w:rPr>
              <w:t>Outcome area</w:t>
            </w:r>
          </w:p>
        </w:tc>
        <w:tc>
          <w:tcPr>
            <w:tcW w:w="5911" w:type="dxa"/>
            <w:vAlign w:val="center"/>
          </w:tcPr>
          <w:p w14:paraId="5A9D7BA3" w14:textId="0EA063BF" w:rsidR="00C76481" w:rsidRPr="00F01861" w:rsidRDefault="00C76481" w:rsidP="00A072EC">
            <w:pPr>
              <w:pStyle w:val="TableHeadingsub"/>
              <w:jc w:val="left"/>
              <w:cnfStyle w:val="100000000000" w:firstRow="1" w:lastRow="0" w:firstColumn="0" w:lastColumn="0" w:oddVBand="0" w:evenVBand="0" w:oddHBand="0" w:evenHBand="0" w:firstRowFirstColumn="0" w:firstRowLastColumn="0" w:lastRowFirstColumn="0" w:lastRowLastColumn="0"/>
              <w:rPr>
                <w:rFonts w:eastAsiaTheme="minorHAnsi" w:cstheme="minorBidi"/>
                <w:color w:val="1E49E2" w:themeColor="accent1"/>
                <w:szCs w:val="22"/>
              </w:rPr>
            </w:pPr>
            <w:r w:rsidRPr="00F01861">
              <w:rPr>
                <w:rFonts w:eastAsiaTheme="minorHAnsi" w:cstheme="minorBidi"/>
                <w:color w:val="1E49E2" w:themeColor="accent1"/>
                <w:szCs w:val="22"/>
              </w:rPr>
              <w:t>Key finding</w:t>
            </w:r>
          </w:p>
        </w:tc>
      </w:tr>
      <w:tr w:rsidR="00C76481" w:rsidRPr="007E5BB7" w14:paraId="69513007"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3101E8B5" w14:textId="4F99C6FE" w:rsidR="00C76481" w:rsidRPr="00871F93" w:rsidRDefault="00C76481" w:rsidP="00987B0C">
            <w:pPr>
              <w:pStyle w:val="Tabletext"/>
            </w:pPr>
            <w:r w:rsidRPr="00871F93">
              <w:t>People receiving services are at the ‘centre’ of care and are given dignity and control over their own care</w:t>
            </w:r>
          </w:p>
        </w:tc>
        <w:tc>
          <w:tcPr>
            <w:tcW w:w="5911" w:type="dxa"/>
            <w:vAlign w:val="center"/>
          </w:tcPr>
          <w:p w14:paraId="5DC5EB2C" w14:textId="6227497F"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Average client satisfaction with SHM services remained high (above 4/5) across all phases, including responses to questions about dignity and person-centred care.</w:t>
            </w:r>
          </w:p>
        </w:tc>
      </w:tr>
      <w:tr w:rsidR="00C76481" w:rsidRPr="007E5BB7" w14:paraId="73B3793A"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7669A6C3" w14:textId="69C7BBD9" w:rsidR="00C76481" w:rsidRPr="00871F93" w:rsidRDefault="00C76481" w:rsidP="00987B0C">
            <w:pPr>
              <w:pStyle w:val="Tabletext"/>
            </w:pPr>
            <w:r w:rsidRPr="00871F93">
              <w:t>The design and delivery of J2SI SII is place-based and community-centred</w:t>
            </w:r>
          </w:p>
        </w:tc>
        <w:tc>
          <w:tcPr>
            <w:tcW w:w="5911" w:type="dxa"/>
            <w:vAlign w:val="center"/>
          </w:tcPr>
          <w:p w14:paraId="0F9BEB56" w14:textId="3DAF9FE5"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J2SI PAD led to improvement, on average, in clients’ social participation. Evidence was heard that the PAD actively fostered cross-agency collaboration between SHM and Homes Victoria housing offices which sought to build and maintain connection with their community and that this informed approaches to social housing offers and tenancy support.</w:t>
            </w:r>
          </w:p>
        </w:tc>
      </w:tr>
      <w:tr w:rsidR="00C76481" w:rsidRPr="007E5BB7" w14:paraId="3437559C"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254FFD76" w14:textId="0E8CBEED" w:rsidR="00C76481" w:rsidRPr="00871F93" w:rsidRDefault="00C76481" w:rsidP="00987B0C">
            <w:pPr>
              <w:pStyle w:val="Tabletext"/>
            </w:pPr>
            <w:r w:rsidRPr="00871F93">
              <w:t>Service users can easily navigate services provided through J2SI as a SII</w:t>
            </w:r>
          </w:p>
        </w:tc>
        <w:tc>
          <w:tcPr>
            <w:tcW w:w="5911" w:type="dxa"/>
            <w:vAlign w:val="center"/>
          </w:tcPr>
          <w:p w14:paraId="17E3D700" w14:textId="129E3EAD"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 xml:space="preserve">Average client satisfaction scores remained high across all phases, including questions relating to overall positive change in the client’s life (above 4.7/5 for all phases) and assistance to navigate the service system (above 4.3/5 for all phases). Service delivery staff described an active approach to connecting clients to services, including follow-up services following the support period. </w:t>
            </w:r>
          </w:p>
        </w:tc>
      </w:tr>
      <w:tr w:rsidR="00C76481" w:rsidRPr="007E5BB7" w14:paraId="2403B621"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71D871AB" w14:textId="6F58C67C" w:rsidR="00C76481" w:rsidRPr="00871F93" w:rsidRDefault="00C76481" w:rsidP="00987B0C">
            <w:pPr>
              <w:pStyle w:val="Tabletext"/>
            </w:pPr>
            <w:r w:rsidRPr="00871F93">
              <w:t>Safety and wellbeing of service users are prioritised</w:t>
            </w:r>
          </w:p>
        </w:tc>
        <w:tc>
          <w:tcPr>
            <w:tcW w:w="5911" w:type="dxa"/>
            <w:vAlign w:val="center"/>
          </w:tcPr>
          <w:p w14:paraId="2CCFADE9" w14:textId="30159417"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The intensive case worker approach</w:t>
            </w:r>
            <w:r>
              <w:t>,</w:t>
            </w:r>
            <w:r w:rsidRPr="00871F93">
              <w:t xml:space="preserve"> coupled with housing-first principles</w:t>
            </w:r>
            <w:r>
              <w:t>,</w:t>
            </w:r>
            <w:r w:rsidRPr="00871F93">
              <w:t xml:space="preserve"> enabled SHM to prioritise the safety of clients and work towards their wellbeing goals. Average client satisfaction scores to question about perceived safety remained high (over 4.5/5 for all cohorts). </w:t>
            </w:r>
          </w:p>
        </w:tc>
      </w:tr>
      <w:tr w:rsidR="00C76481" w:rsidRPr="009A6E67" w14:paraId="4F1BBDC3"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7FE73B7A" w14:textId="266FD438" w:rsidR="00C76481" w:rsidRPr="00871F93" w:rsidRDefault="00C76481" w:rsidP="00987B0C">
            <w:pPr>
              <w:pStyle w:val="Tabletext"/>
            </w:pPr>
            <w:r w:rsidRPr="00871F93">
              <w:t xml:space="preserve">The problem of long-term homelessness, and the impacted cohort of individuals, are well articulated and understood </w:t>
            </w:r>
          </w:p>
        </w:tc>
        <w:tc>
          <w:tcPr>
            <w:tcW w:w="5911" w:type="dxa"/>
            <w:vAlign w:val="center"/>
          </w:tcPr>
          <w:p w14:paraId="4352D587" w14:textId="1B4B04C2"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The program reached the client base for which it was intended, and was limited to clients experiencing long</w:t>
            </w:r>
            <w:r>
              <w:noBreakHyphen/>
            </w:r>
            <w:r w:rsidRPr="00871F93">
              <w:t>term homelessness. SHM service delivery staff demonstrated strong capabilities in working with complex cohorts to achieve program outcomes.</w:t>
            </w:r>
          </w:p>
        </w:tc>
      </w:tr>
      <w:tr w:rsidR="00C76481" w:rsidRPr="007E5BB7" w14:paraId="268C56CC"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5526EBE9" w14:textId="0FA82761" w:rsidR="00C76481" w:rsidRPr="00871F93" w:rsidRDefault="00C76481" w:rsidP="00987B0C">
            <w:pPr>
              <w:pStyle w:val="Tabletext"/>
            </w:pPr>
            <w:r w:rsidRPr="00871F93">
              <w:t>The right incentives are in place to drive desired outcomes</w:t>
            </w:r>
          </w:p>
        </w:tc>
        <w:tc>
          <w:tcPr>
            <w:tcW w:w="5911" w:type="dxa"/>
            <w:vAlign w:val="center"/>
          </w:tcPr>
          <w:p w14:paraId="00EF4315" w14:textId="05A0D6A9"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 xml:space="preserve">The payable outcomes were an element which drove improved J2SI PAD program outcomes, while financial penalties incentivised provision of social housing to J2SI PAD clients by </w:t>
            </w:r>
            <w:r>
              <w:t>g</w:t>
            </w:r>
            <w:r w:rsidRPr="00871F93">
              <w:t>overnment.</w:t>
            </w:r>
          </w:p>
        </w:tc>
      </w:tr>
      <w:tr w:rsidR="00C76481" w:rsidRPr="007E5BB7" w14:paraId="1C9E9EA0"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2494E23E" w14:textId="61976FF0" w:rsidR="00C76481" w:rsidRPr="00871F93" w:rsidRDefault="00C76481" w:rsidP="00987B0C">
            <w:pPr>
              <w:pStyle w:val="Tabletext"/>
            </w:pPr>
            <w:r w:rsidRPr="00871F93">
              <w:t>Measurable benefits are delivered to people transitioning out of homelessness</w:t>
            </w:r>
          </w:p>
        </w:tc>
        <w:tc>
          <w:tcPr>
            <w:tcW w:w="5911" w:type="dxa"/>
            <w:vAlign w:val="center"/>
          </w:tcPr>
          <w:p w14:paraId="7818C2AF" w14:textId="2A9F7307"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A strong majority of J2SI PAD clients (92.45</w:t>
            </w:r>
            <w:r>
              <w:t xml:space="preserve"> per cent</w:t>
            </w:r>
            <w:r w:rsidRPr="00871F93">
              <w:t xml:space="preserve"> of </w:t>
            </w:r>
            <w:r>
              <w:t>C</w:t>
            </w:r>
            <w:r w:rsidRPr="00871F93">
              <w:t>ohort 3.1 and 84.31</w:t>
            </w:r>
            <w:r>
              <w:t xml:space="preserve"> per cent</w:t>
            </w:r>
            <w:r w:rsidRPr="00871F93">
              <w:t xml:space="preserve"> of </w:t>
            </w:r>
            <w:r>
              <w:t>C</w:t>
            </w:r>
            <w:r w:rsidRPr="00871F93">
              <w:t xml:space="preserve">ohort 3.2) remained in stable housing at the final 48 month payable outcomes reporting period. Clients responded very positively to </w:t>
            </w:r>
            <w:r>
              <w:t xml:space="preserve">the </w:t>
            </w:r>
            <w:r w:rsidRPr="00871F93">
              <w:t xml:space="preserve">client satisfaction survey question about </w:t>
            </w:r>
            <w:r>
              <w:t xml:space="preserve">the </w:t>
            </w:r>
            <w:r w:rsidRPr="00871F93">
              <w:t>overall positive change SHM had made in their lives (above 4.7/5 on average for all phases).</w:t>
            </w:r>
          </w:p>
        </w:tc>
      </w:tr>
      <w:tr w:rsidR="00C76481" w:rsidRPr="007E5BB7" w14:paraId="2BB11986"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3810986A" w14:textId="7CBE21E7" w:rsidR="00C76481" w:rsidRPr="00871F93" w:rsidRDefault="00C76481" w:rsidP="00987B0C">
            <w:pPr>
              <w:pStyle w:val="Tabletext"/>
            </w:pPr>
            <w:r w:rsidRPr="00871F93">
              <w:lastRenderedPageBreak/>
              <w:t>Measurable benefits are delivered to the Victorian government</w:t>
            </w:r>
          </w:p>
        </w:tc>
        <w:tc>
          <w:tcPr>
            <w:tcW w:w="5911" w:type="dxa"/>
            <w:vAlign w:val="center"/>
          </w:tcPr>
          <w:p w14:paraId="64D19617" w14:textId="5FB1A4DC"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A number of benefits to the Victorian Government are detailed across this report</w:t>
            </w:r>
            <w:r>
              <w:t>,</w:t>
            </w:r>
            <w:r w:rsidRPr="00871F93">
              <w:t xml:space="preserve"> including avoided costs, increased accountability and rigour, increased collaboration and capability uplift</w:t>
            </w:r>
            <w:r>
              <w:t xml:space="preserve">. </w:t>
            </w:r>
          </w:p>
        </w:tc>
      </w:tr>
      <w:tr w:rsidR="00C76481" w:rsidRPr="007E5BB7" w14:paraId="07180C81"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5205842A" w14:textId="08F08D35" w:rsidR="00C76481" w:rsidRPr="00871F93" w:rsidRDefault="00C76481" w:rsidP="00987B0C">
            <w:pPr>
              <w:pStyle w:val="Tabletext"/>
            </w:pPr>
            <w:r w:rsidRPr="00871F93">
              <w:t xml:space="preserve">J2SI is effective as a SII, and there is capability and capacity to deliver on this funding structure </w:t>
            </w:r>
          </w:p>
        </w:tc>
        <w:tc>
          <w:tcPr>
            <w:tcW w:w="5911" w:type="dxa"/>
            <w:vAlign w:val="center"/>
          </w:tcPr>
          <w:p w14:paraId="4095DFDD" w14:textId="0D469384"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 xml:space="preserve">The J2SI PAD consistently achieved payable outcomes targets across all phases. Key personnel across </w:t>
            </w:r>
            <w:r>
              <w:t>g</w:t>
            </w:r>
            <w:r w:rsidRPr="00871F93">
              <w:t>overnment and SHM were instrumental in the effective delivery of the program, and underwent capability uplift</w:t>
            </w:r>
            <w:r>
              <w:t xml:space="preserve">. </w:t>
            </w:r>
          </w:p>
        </w:tc>
      </w:tr>
      <w:tr w:rsidR="00C76481" w:rsidRPr="007E5BB7" w14:paraId="317347A8"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39C8DF05" w14:textId="7676ED9A" w:rsidR="00C76481" w:rsidRPr="00871F93" w:rsidRDefault="00C76481" w:rsidP="00987B0C">
            <w:pPr>
              <w:pStyle w:val="Tabletext"/>
            </w:pPr>
            <w:r w:rsidRPr="00871F93">
              <w:t xml:space="preserve">The impact investing transaction structure of J2SI shapes wider government service delivery, including in other Australian States and Territories </w:t>
            </w:r>
          </w:p>
        </w:tc>
        <w:tc>
          <w:tcPr>
            <w:tcW w:w="5911" w:type="dxa"/>
            <w:vAlign w:val="center"/>
          </w:tcPr>
          <w:p w14:paraId="00DBC28F" w14:textId="08DA081A"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 xml:space="preserve">The J2SI PAD had a significant impact on other Victorian Government programs and policy, informing the broader PADs initiative, the J2SI </w:t>
            </w:r>
            <w:r>
              <w:t>PbR</w:t>
            </w:r>
            <w:r w:rsidRPr="00871F93">
              <w:t xml:space="preserve">, the </w:t>
            </w:r>
            <w:r>
              <w:t>EIIF</w:t>
            </w:r>
            <w:r w:rsidRPr="00871F93">
              <w:t xml:space="preserve">, and other housing-first programs. </w:t>
            </w:r>
          </w:p>
        </w:tc>
      </w:tr>
      <w:tr w:rsidR="00C76481" w:rsidRPr="007E5BB7" w14:paraId="35713150" w14:textId="77777777" w:rsidTr="00F14DC0">
        <w:tc>
          <w:tcPr>
            <w:cnfStyle w:val="001000000000" w:firstRow="0" w:lastRow="0" w:firstColumn="1" w:lastColumn="0" w:oddVBand="0" w:evenVBand="0" w:oddHBand="0" w:evenHBand="0" w:firstRowFirstColumn="0" w:firstRowLastColumn="0" w:lastRowFirstColumn="0" w:lastRowLastColumn="0"/>
            <w:tcW w:w="3728" w:type="dxa"/>
            <w:vAlign w:val="center"/>
          </w:tcPr>
          <w:p w14:paraId="20BC16B7" w14:textId="414CFC4B" w:rsidR="00C76481" w:rsidRPr="00871F93" w:rsidRDefault="00C76481" w:rsidP="00987B0C">
            <w:pPr>
              <w:pStyle w:val="Tabletext"/>
            </w:pPr>
            <w:r w:rsidRPr="00871F93">
              <w:t>Risks and returns are shared between investors, service providers and government</w:t>
            </w:r>
          </w:p>
        </w:tc>
        <w:tc>
          <w:tcPr>
            <w:tcW w:w="5911" w:type="dxa"/>
            <w:vAlign w:val="center"/>
          </w:tcPr>
          <w:p w14:paraId="689D426A" w14:textId="6795DCCF" w:rsidR="00C76481" w:rsidRPr="00871F93" w:rsidRDefault="00C76481" w:rsidP="00987B0C">
            <w:pPr>
              <w:pStyle w:val="Tabletext"/>
              <w:cnfStyle w:val="000000000000" w:firstRow="0" w:lastRow="0" w:firstColumn="0" w:lastColumn="0" w:oddVBand="0" w:evenVBand="0" w:oddHBand="0" w:evenHBand="0" w:firstRowFirstColumn="0" w:firstRowLastColumn="0" w:lastRowFirstColumn="0" w:lastRowLastColumn="0"/>
            </w:pPr>
            <w:r w:rsidRPr="00871F93">
              <w:t xml:space="preserve">The J2SI PAD enabled shared responsibility over program risks and solutions to program issues that arose between </w:t>
            </w:r>
            <w:r>
              <w:t>g</w:t>
            </w:r>
            <w:r w:rsidRPr="00871F93">
              <w:t>overnment and service provider</w:t>
            </w:r>
            <w:r>
              <w:t>s</w:t>
            </w:r>
            <w:r w:rsidRPr="00871F93">
              <w:t>.</w:t>
            </w:r>
          </w:p>
        </w:tc>
      </w:tr>
    </w:tbl>
    <w:p w14:paraId="6AAC67C3" w14:textId="77777777" w:rsidR="00E54DE1" w:rsidRDefault="00E54DE1" w:rsidP="00E54DE1">
      <w:pPr>
        <w:pStyle w:val="BodyText"/>
      </w:pPr>
    </w:p>
    <w:bookmarkEnd w:id="127"/>
    <w:p w14:paraId="690A86D3" w14:textId="13AA75D7" w:rsidR="009811FA" w:rsidRPr="00F73065" w:rsidRDefault="009811FA" w:rsidP="009811FA">
      <w:pPr>
        <w:pStyle w:val="ListBullet2"/>
        <w:rPr>
          <w:rFonts w:ascii="ZWAdobeF" w:eastAsia="Univers 45 Light" w:hAnsi="ZWAdobeF" w:cs="ZWAdobeF"/>
          <w:color w:val="auto"/>
          <w:sz w:val="2"/>
          <w:szCs w:val="2"/>
        </w:rPr>
        <w:sectPr w:rsidR="009811FA" w:rsidRPr="00F73065" w:rsidSect="005B0986">
          <w:headerReference w:type="even" r:id="rId59"/>
          <w:headerReference w:type="default" r:id="rId60"/>
          <w:footerReference w:type="even" r:id="rId61"/>
          <w:footerReference w:type="default" r:id="rId62"/>
          <w:headerReference w:type="first" r:id="rId63"/>
          <w:footerReference w:type="first" r:id="rId64"/>
          <w:pgSz w:w="11906" w:h="16838"/>
          <w:pgMar w:top="851" w:right="851" w:bottom="851" w:left="851" w:header="567" w:footer="283" w:gutter="0"/>
          <w:cols w:space="708"/>
          <w:docGrid w:linePitch="360"/>
        </w:sectPr>
      </w:pPr>
    </w:p>
    <w:p w14:paraId="6D064375" w14:textId="21F5A376" w:rsidR="009E2650" w:rsidRDefault="003C0733" w:rsidP="00851655">
      <w:pPr>
        <w:pStyle w:val="Appendixheading"/>
        <w:spacing w:before="0" w:after="360" w:line="180" w:lineRule="auto"/>
        <w:ind w:left="0"/>
      </w:pPr>
      <w:bookmarkStart w:id="129" w:name="_Ref150257334"/>
      <w:bookmarkStart w:id="130" w:name="_Ref150257335"/>
      <w:bookmarkStart w:id="131" w:name="_Ref150450884"/>
      <w:bookmarkStart w:id="132" w:name="_Toc178064016"/>
      <w:r>
        <w:lastRenderedPageBreak/>
        <w:t>:</w:t>
      </w:r>
      <w:r w:rsidR="00F32B6D">
        <w:t xml:space="preserve"> </w:t>
      </w:r>
      <w:bookmarkEnd w:id="129"/>
      <w:bookmarkEnd w:id="130"/>
      <w:r w:rsidR="00452129">
        <w:t xml:space="preserve">Summary of outcomes for </w:t>
      </w:r>
      <w:r w:rsidR="00712C90">
        <w:t>Government and Sacred Heart Mission</w:t>
      </w:r>
      <w:bookmarkEnd w:id="131"/>
      <w:bookmarkEnd w:id="132"/>
    </w:p>
    <w:p w14:paraId="5DDD673E" w14:textId="787D97AC" w:rsidR="00D54A27" w:rsidRPr="00CE66C3" w:rsidRDefault="00CE66C3" w:rsidP="00CE66C3">
      <w:pPr>
        <w:pStyle w:val="BodyText"/>
      </w:pPr>
      <w:r>
        <w:t>The below tables summarise the outcom</w:t>
      </w:r>
      <w:r w:rsidR="003166B7">
        <w:t>e</w:t>
      </w:r>
      <w:r>
        <w:t xml:space="preserve">s </w:t>
      </w:r>
      <w:r w:rsidR="001B3424">
        <w:t xml:space="preserve">of delivering the J2SI PAD </w:t>
      </w:r>
      <w:r>
        <w:t xml:space="preserve">for </w:t>
      </w:r>
      <w:r w:rsidR="00AA3312">
        <w:t>g</w:t>
      </w:r>
      <w:r w:rsidR="00F206F3">
        <w:t xml:space="preserve">overnment and </w:t>
      </w:r>
      <w:r w:rsidR="001B3424">
        <w:t xml:space="preserve">for Sacred Heart Mission, as per the Evaluation Questions. A summary of client outcomes is available </w:t>
      </w:r>
      <w:r w:rsidR="007E4065">
        <w:t xml:space="preserve">on </w:t>
      </w:r>
      <w:r w:rsidR="0027019B">
        <w:t>p</w:t>
      </w:r>
      <w:r w:rsidR="007E4065" w:rsidRPr="00256B51">
        <w:t xml:space="preserve">age </w:t>
      </w:r>
      <w:r w:rsidR="00256B51">
        <w:fldChar w:fldCharType="begin"/>
      </w:r>
      <w:r w:rsidR="00256B51">
        <w:instrText xml:space="preserve"> PAGEREF _Ref150416655 \h </w:instrText>
      </w:r>
      <w:r w:rsidR="00256B51">
        <w:fldChar w:fldCharType="separate"/>
      </w:r>
      <w:r w:rsidR="00DA5898">
        <w:rPr>
          <w:noProof/>
        </w:rPr>
        <w:t>13</w:t>
      </w:r>
      <w:r w:rsidR="00256B51">
        <w:fldChar w:fldCharType="end"/>
      </w:r>
      <w:r w:rsidR="007E4065">
        <w:t xml:space="preserve">. </w:t>
      </w:r>
    </w:p>
    <w:tbl>
      <w:tblPr>
        <w:tblStyle w:val="Style1"/>
        <w:tblW w:w="0" w:type="auto"/>
        <w:tblLook w:val="04A0" w:firstRow="1" w:lastRow="0" w:firstColumn="1" w:lastColumn="0" w:noHBand="0" w:noVBand="1"/>
      </w:tblPr>
      <w:tblGrid>
        <w:gridCol w:w="10194"/>
      </w:tblGrid>
      <w:tr w:rsidR="009E2650" w14:paraId="1849DFD4" w14:textId="77777777" w:rsidTr="00F01861">
        <w:tc>
          <w:tcPr>
            <w:tcW w:w="10194" w:type="dxa"/>
            <w:tcBorders>
              <w:top w:val="single" w:sz="18" w:space="0" w:color="7213EA" w:themeColor="accent3"/>
              <w:bottom w:val="single" w:sz="18" w:space="0" w:color="7213EA" w:themeColor="accent3"/>
            </w:tcBorders>
            <w:shd w:val="clear" w:color="auto" w:fill="F3EBF9"/>
          </w:tcPr>
          <w:p w14:paraId="1DC9F735" w14:textId="4CA0BEE3" w:rsidR="009E2650" w:rsidRPr="0052685E" w:rsidRDefault="009E2650">
            <w:pPr>
              <w:pStyle w:val="BodyText"/>
              <w:rPr>
                <w:b/>
                <w:bCs/>
              </w:rPr>
            </w:pPr>
            <w:r w:rsidRPr="0052685E">
              <w:rPr>
                <w:b/>
                <w:bCs/>
              </w:rPr>
              <w:t xml:space="preserve">Summary: </w:t>
            </w:r>
            <w:r w:rsidRPr="0052685E">
              <w:rPr>
                <w:b/>
              </w:rPr>
              <w:t xml:space="preserve">Outcomes for </w:t>
            </w:r>
            <w:r w:rsidR="00AA3312">
              <w:rPr>
                <w:b/>
                <w:bCs/>
              </w:rPr>
              <w:t>g</w:t>
            </w:r>
            <w:r w:rsidRPr="0052685E">
              <w:rPr>
                <w:b/>
                <w:bCs/>
              </w:rPr>
              <w:t xml:space="preserve">overnment </w:t>
            </w:r>
          </w:p>
          <w:p w14:paraId="681D6965" w14:textId="4DC7F72F" w:rsidR="009E2650" w:rsidRDefault="009E2650">
            <w:pPr>
              <w:pStyle w:val="BodyText"/>
            </w:pPr>
            <w:r>
              <w:t xml:space="preserve">Key outcomes for </w:t>
            </w:r>
            <w:r w:rsidR="00AA3312">
              <w:t>g</w:t>
            </w:r>
            <w:r>
              <w:t>overnment stakeholders observed in this evaluation included:</w:t>
            </w:r>
          </w:p>
          <w:p w14:paraId="4B6129EC" w14:textId="64D6A090" w:rsidR="009E2650" w:rsidRDefault="009E2650" w:rsidP="00B776E1">
            <w:pPr>
              <w:pStyle w:val="BodyText"/>
              <w:numPr>
                <w:ilvl w:val="0"/>
                <w:numId w:val="7"/>
              </w:numPr>
            </w:pPr>
            <w:r>
              <w:t xml:space="preserve">For all </w:t>
            </w:r>
            <w:r w:rsidR="00AA3312">
              <w:t>g</w:t>
            </w:r>
            <w:r>
              <w:t xml:space="preserve">overnment stakeholders, particularly housing stakeholders and the Government Contract Manager, new ways of working based on joint governance and shared responsibility. These helped to increase </w:t>
            </w:r>
            <w:r w:rsidR="00AA3312">
              <w:t>g</w:t>
            </w:r>
            <w:r>
              <w:t>overnment accountability for their contribution to the J2SI PAD and working towards client outcomes.</w:t>
            </w:r>
          </w:p>
          <w:p w14:paraId="69922197" w14:textId="18DA9439" w:rsidR="009E2650" w:rsidRDefault="009E2650" w:rsidP="00B776E1">
            <w:pPr>
              <w:pStyle w:val="BodyText"/>
              <w:numPr>
                <w:ilvl w:val="0"/>
                <w:numId w:val="7"/>
              </w:numPr>
            </w:pPr>
            <w:r>
              <w:t xml:space="preserve">For all </w:t>
            </w:r>
            <w:r w:rsidR="00AA3312">
              <w:t>g</w:t>
            </w:r>
            <w:r>
              <w:t xml:space="preserve">overnment stakeholders, impact on broader homelessness policy and programs based on learnings from the J2SI PAD, most notably seen through the J2SI </w:t>
            </w:r>
            <w:r w:rsidR="00282C65">
              <w:t>PbR</w:t>
            </w:r>
            <w:r>
              <w:t xml:space="preserve"> and H2H programs, as well as the expansion of the PADs program and EIIF.</w:t>
            </w:r>
          </w:p>
          <w:p w14:paraId="261F9C69" w14:textId="77777777" w:rsidR="009E2650" w:rsidRDefault="009E2650" w:rsidP="00B776E1">
            <w:pPr>
              <w:pStyle w:val="BodyText"/>
              <w:numPr>
                <w:ilvl w:val="0"/>
                <w:numId w:val="7"/>
              </w:numPr>
            </w:pPr>
            <w:r>
              <w:t>For all stakeholders, a stronger relationship with the service provider and a consistent degree of collaboration from the program governance level to day-to-day service delivery.</w:t>
            </w:r>
          </w:p>
          <w:p w14:paraId="25C039F8" w14:textId="6B7F7865" w:rsidR="009E2650" w:rsidRDefault="009E2650" w:rsidP="00B776E1">
            <w:pPr>
              <w:pStyle w:val="BodyText"/>
              <w:numPr>
                <w:ilvl w:val="0"/>
                <w:numId w:val="7"/>
              </w:numPr>
            </w:pPr>
            <w:r>
              <w:t>For DTF, increased capabilities in social impact programs and outcomes-based funding, including the expansion of the EIIF program and development of purpose-built</w:t>
            </w:r>
            <w:r w:rsidR="00C70712">
              <w:t>,</w:t>
            </w:r>
            <w:r>
              <w:t xml:space="preserve"> in-house tools based on learnings from the J2SI PAD</w:t>
            </w:r>
            <w:r w:rsidR="007E4065">
              <w:t>.</w:t>
            </w:r>
            <w:r>
              <w:t xml:space="preserve"> </w:t>
            </w:r>
          </w:p>
          <w:p w14:paraId="5A7CA00E" w14:textId="77777777" w:rsidR="009E2650" w:rsidRDefault="009E2650" w:rsidP="00B776E1">
            <w:pPr>
              <w:pStyle w:val="BodyText"/>
              <w:numPr>
                <w:ilvl w:val="0"/>
                <w:numId w:val="7"/>
              </w:numPr>
            </w:pPr>
            <w:r>
              <w:t>For data analysis stakeholders, increased rigour and exposure to areas outside business as usual, contributing to capability uplift and efficiencies in the process over time.</w:t>
            </w:r>
          </w:p>
          <w:p w14:paraId="7A15256E" w14:textId="77777777" w:rsidR="009E2650" w:rsidRDefault="009E2650" w:rsidP="00B776E1">
            <w:pPr>
              <w:pStyle w:val="BodyText"/>
              <w:numPr>
                <w:ilvl w:val="0"/>
                <w:numId w:val="7"/>
              </w:numPr>
            </w:pPr>
            <w:r>
              <w:t xml:space="preserve">For housing stakeholders, development of a new and more efficient structure to deliver housing into the J2SI PAD via a centralised agency, reducing duplication and inconsistencies between housing offices. </w:t>
            </w:r>
          </w:p>
        </w:tc>
      </w:tr>
    </w:tbl>
    <w:p w14:paraId="651C8D06" w14:textId="77777777" w:rsidR="009E2650" w:rsidRDefault="009E2650" w:rsidP="009E2650">
      <w:pPr>
        <w:pStyle w:val="BodyText"/>
      </w:pPr>
    </w:p>
    <w:tbl>
      <w:tblPr>
        <w:tblStyle w:val="Style1"/>
        <w:tblW w:w="0" w:type="auto"/>
        <w:tblLook w:val="04A0" w:firstRow="1" w:lastRow="0" w:firstColumn="1" w:lastColumn="0" w:noHBand="0" w:noVBand="1"/>
      </w:tblPr>
      <w:tblGrid>
        <w:gridCol w:w="10194"/>
      </w:tblGrid>
      <w:tr w:rsidR="009E2650" w14:paraId="02E1AB3C" w14:textId="77777777" w:rsidTr="00F01861">
        <w:tc>
          <w:tcPr>
            <w:tcW w:w="10194" w:type="dxa"/>
            <w:tcBorders>
              <w:top w:val="single" w:sz="18" w:space="0" w:color="7213EA" w:themeColor="accent3"/>
              <w:bottom w:val="single" w:sz="18" w:space="0" w:color="7213EA" w:themeColor="accent3"/>
            </w:tcBorders>
            <w:shd w:val="clear" w:color="auto" w:fill="F3EBF9"/>
          </w:tcPr>
          <w:p w14:paraId="135B0430" w14:textId="77777777" w:rsidR="009E2650" w:rsidRPr="00364E2B" w:rsidRDefault="009E2650">
            <w:pPr>
              <w:pStyle w:val="BodyText"/>
              <w:rPr>
                <w:b/>
                <w:bCs/>
              </w:rPr>
            </w:pPr>
            <w:r w:rsidRPr="00364E2B">
              <w:rPr>
                <w:b/>
                <w:bCs/>
              </w:rPr>
              <w:t xml:space="preserve">Summary: Outcomes for Sacred Heart Mission  </w:t>
            </w:r>
          </w:p>
          <w:p w14:paraId="25BC5338" w14:textId="77777777" w:rsidR="009E2650" w:rsidRDefault="009E2650">
            <w:pPr>
              <w:pStyle w:val="BodyText"/>
            </w:pPr>
            <w:r>
              <w:t>Outcomes for Sacred Heart Mission stakeholders observed in this evaluation included:</w:t>
            </w:r>
          </w:p>
          <w:p w14:paraId="44D16482" w14:textId="6AC175A3" w:rsidR="009E2650" w:rsidRDefault="009E2650" w:rsidP="00B776E1">
            <w:pPr>
              <w:pStyle w:val="BodyText"/>
              <w:numPr>
                <w:ilvl w:val="0"/>
                <w:numId w:val="8"/>
              </w:numPr>
            </w:pPr>
            <w:r>
              <w:t xml:space="preserve">Stronger partnerships and further strengthened reputation with </w:t>
            </w:r>
            <w:r w:rsidR="00AA3312">
              <w:t>g</w:t>
            </w:r>
            <w:r>
              <w:t xml:space="preserve">overnment stakeholders, particularly observed with housing departments, which positively influenced </w:t>
            </w:r>
            <w:r w:rsidR="00AA3312">
              <w:t>g</w:t>
            </w:r>
            <w:r>
              <w:t>overnment willingness to provide additional social housing into SHM programs (both J2SI and non-J2SI).</w:t>
            </w:r>
          </w:p>
          <w:p w14:paraId="3009AEE9" w14:textId="77777777" w:rsidR="009E2650" w:rsidRDefault="009E2650" w:rsidP="00B776E1">
            <w:pPr>
              <w:pStyle w:val="BodyText"/>
              <w:numPr>
                <w:ilvl w:val="0"/>
                <w:numId w:val="8"/>
              </w:numPr>
            </w:pPr>
            <w:r>
              <w:t xml:space="preserve">Strengthened internal capabilities, in both governance roles and service delivery roles, through a strategic focus on bringing key skills in-house and processes for knowledge sharing across the J2SI PAD delivery team. </w:t>
            </w:r>
          </w:p>
          <w:p w14:paraId="7E87F8C2" w14:textId="77777777" w:rsidR="009E2650" w:rsidRDefault="009E2650" w:rsidP="00B776E1">
            <w:pPr>
              <w:pStyle w:val="BodyText"/>
              <w:numPr>
                <w:ilvl w:val="0"/>
                <w:numId w:val="8"/>
              </w:numPr>
            </w:pPr>
            <w:r>
              <w:t xml:space="preserve">Increased rigour in the collection and interpretation of client data to support payable outcomes. </w:t>
            </w:r>
          </w:p>
          <w:p w14:paraId="415F1BB2" w14:textId="1C6A2860" w:rsidR="009E2650" w:rsidRDefault="009E2650" w:rsidP="00B776E1">
            <w:pPr>
              <w:pStyle w:val="BodyText"/>
              <w:numPr>
                <w:ilvl w:val="0"/>
                <w:numId w:val="8"/>
              </w:numPr>
            </w:pPr>
            <w:r>
              <w:t xml:space="preserve">Key learnings from the J2SI PAD directly led to SHM continued commissioning to develop and deliver the J2SI </w:t>
            </w:r>
            <w:r w:rsidR="00282C65">
              <w:t>PbR</w:t>
            </w:r>
            <w:r>
              <w:t xml:space="preserve">. </w:t>
            </w:r>
          </w:p>
          <w:p w14:paraId="78B640D2" w14:textId="5979AB06" w:rsidR="009E2650" w:rsidRDefault="009E2650" w:rsidP="00B776E1">
            <w:pPr>
              <w:pStyle w:val="BodyText"/>
              <w:numPr>
                <w:ilvl w:val="0"/>
                <w:numId w:val="8"/>
              </w:numPr>
            </w:pPr>
            <w:r>
              <w:t xml:space="preserve">Strengthened evidence base for what works in homelessness service delivery, leading to a change in </w:t>
            </w:r>
            <w:r w:rsidR="00C70712">
              <w:t xml:space="preserve">the </w:t>
            </w:r>
            <w:r>
              <w:t xml:space="preserve">organisational service model towards a continuum of care model, reflecting elements of the J2SI PAD. </w:t>
            </w:r>
          </w:p>
        </w:tc>
      </w:tr>
    </w:tbl>
    <w:p w14:paraId="77123864" w14:textId="77777777" w:rsidR="00F1626B" w:rsidRDefault="00F1626B" w:rsidP="001D22AE">
      <w:pPr>
        <w:sectPr w:rsidR="00F1626B" w:rsidSect="005B0986">
          <w:headerReference w:type="even" r:id="rId65"/>
          <w:headerReference w:type="default" r:id="rId66"/>
          <w:footerReference w:type="even" r:id="rId67"/>
          <w:footerReference w:type="default" r:id="rId68"/>
          <w:headerReference w:type="first" r:id="rId69"/>
          <w:footerReference w:type="first" r:id="rId70"/>
          <w:pgSz w:w="11906" w:h="16838"/>
          <w:pgMar w:top="851" w:right="851" w:bottom="851" w:left="851" w:header="567" w:footer="284" w:gutter="0"/>
          <w:cols w:space="708"/>
          <w:docGrid w:linePitch="360"/>
        </w:sectPr>
      </w:pPr>
    </w:p>
    <w:p w14:paraId="1999A7B7" w14:textId="713497ED" w:rsidR="00016CC0" w:rsidRDefault="002E5489" w:rsidP="00F14DC0">
      <w:pPr>
        <w:pStyle w:val="Heading1TOCNoShow"/>
        <w:spacing w:before="240"/>
      </w:pPr>
      <w:r>
        <w:rPr>
          <w:szCs w:val="96"/>
        </w:rPr>
        <w:lastRenderedPageBreak/>
        <w:t xml:space="preserve">  </w:t>
      </w:r>
    </w:p>
    <w:p w14:paraId="36C3D167" w14:textId="0E7473AE" w:rsidR="009B0015" w:rsidRPr="00615E0B" w:rsidRDefault="005510B2" w:rsidP="005213A9">
      <w:pPr>
        <w:pStyle w:val="CVName"/>
        <w:spacing w:before="1080"/>
      </w:pPr>
      <w:r w:rsidRPr="00615E0B">
        <w:t>Oliver Crane</w:t>
      </w:r>
    </w:p>
    <w:p w14:paraId="11451F8F" w14:textId="5488469A" w:rsidR="009B0015" w:rsidRPr="00615E0B" w:rsidRDefault="009A1EA4" w:rsidP="009B0015">
      <w:pPr>
        <w:pStyle w:val="CVTitle"/>
      </w:pPr>
      <w:r w:rsidRPr="00615E0B">
        <w:t>Director</w:t>
      </w:r>
    </w:p>
    <w:p w14:paraId="46A65A52" w14:textId="77777777" w:rsidR="00B91BC4" w:rsidRPr="00615E0B" w:rsidRDefault="00B91BC4" w:rsidP="005213A9">
      <w:pPr>
        <w:pStyle w:val="CVphone-email"/>
        <w:spacing w:after="60"/>
      </w:pPr>
      <w:r w:rsidRPr="00615E0B">
        <w:t>+61 3 9288 5291</w:t>
      </w:r>
    </w:p>
    <w:p w14:paraId="3E218BD3" w14:textId="46A6BE1B" w:rsidR="009B0015" w:rsidRDefault="0061017C" w:rsidP="005213A9">
      <w:pPr>
        <w:pStyle w:val="CVphone-email"/>
        <w:spacing w:before="0"/>
      </w:pPr>
      <w:hyperlink r:id="rId71" w:history="1">
        <w:r w:rsidR="00315049" w:rsidRPr="00FA4253">
          <w:rPr>
            <w:rStyle w:val="Hyperlink"/>
          </w:rPr>
          <w:t>olilvercrane@kpmg.com.au</w:t>
        </w:r>
      </w:hyperlink>
    </w:p>
    <w:p w14:paraId="538B3FC6" w14:textId="2B16C1C1" w:rsidR="009B0015" w:rsidRPr="00615E0B" w:rsidRDefault="009A1EA4" w:rsidP="005213A9">
      <w:pPr>
        <w:pStyle w:val="CVName"/>
        <w:spacing w:before="480"/>
      </w:pPr>
      <w:r w:rsidRPr="00615E0B">
        <w:t>Caitlin Stone</w:t>
      </w:r>
    </w:p>
    <w:p w14:paraId="201A7775" w14:textId="64551F4B" w:rsidR="009B0015" w:rsidRPr="00615E0B" w:rsidRDefault="009A1EA4" w:rsidP="009B0015">
      <w:pPr>
        <w:pStyle w:val="CVTitle"/>
      </w:pPr>
      <w:r w:rsidRPr="00615E0B">
        <w:t>Associate Director</w:t>
      </w:r>
    </w:p>
    <w:p w14:paraId="1592D304" w14:textId="77777777" w:rsidR="00615E0B" w:rsidRPr="00615E0B" w:rsidRDefault="00615E0B" w:rsidP="005213A9">
      <w:pPr>
        <w:pStyle w:val="CVphone-email"/>
        <w:spacing w:after="60"/>
      </w:pPr>
      <w:r w:rsidRPr="00615E0B">
        <w:t>+61 3 8663 8214</w:t>
      </w:r>
    </w:p>
    <w:p w14:paraId="6B94396B" w14:textId="707CE40C" w:rsidR="00D54A27" w:rsidRDefault="0061017C" w:rsidP="005213A9">
      <w:pPr>
        <w:pStyle w:val="CVphone-email"/>
        <w:spacing w:before="60"/>
      </w:pPr>
      <w:hyperlink r:id="rId72" w:history="1">
        <w:r w:rsidR="00791C94" w:rsidRPr="009D2AAB">
          <w:rPr>
            <w:rStyle w:val="Hyperlink"/>
          </w:rPr>
          <w:t>cstone2@kpmg.com</w:t>
        </w:r>
      </w:hyperlink>
    </w:p>
    <w:p w14:paraId="78E29A95" w14:textId="77777777" w:rsidR="00315049" w:rsidRPr="004D1BFE" w:rsidRDefault="00315049" w:rsidP="00982E06">
      <w:pPr>
        <w:pStyle w:val="disclaimerbodytext"/>
        <w:spacing w:before="3720"/>
        <w:rPr>
          <w:sz w:val="16"/>
          <w:szCs w:val="18"/>
        </w:rPr>
      </w:pPr>
      <w:r w:rsidRPr="004D1BFE">
        <w:rPr>
          <w:sz w:val="16"/>
          <w:szCs w:val="18"/>
        </w:rPr>
        <w:t>This report has been prepared as outlined with the Department of Treasury and Finance in the Scope Section of the engagement letter 31 August 2021, and variation dated 27 July 2023. The services provided in connection with this engagement comprise an advisory engagement, which is not subject to assurance or other standards issued by the Australian Auditing and Assurance Standards Board and, consequently no opinions or conclusions intended to convey assurance have been expressed.</w:t>
      </w:r>
    </w:p>
    <w:p w14:paraId="285142BD" w14:textId="77777777" w:rsidR="00315049" w:rsidRPr="004D1BFE" w:rsidRDefault="00315049" w:rsidP="00315049">
      <w:pPr>
        <w:pStyle w:val="disclaimerbodytext"/>
        <w:rPr>
          <w:sz w:val="16"/>
          <w:szCs w:val="18"/>
        </w:rPr>
      </w:pPr>
      <w:r w:rsidRPr="004D1BFE">
        <w:rPr>
          <w:sz w:val="16"/>
          <w:szCs w:val="18"/>
        </w:rPr>
        <w:t xml:space="preserve">The findings in this report are based on the collection of qualitative and quantitative data for the purpose of evaluation, with findings based on the data and information provided by the Department of Treasury and Finance, Department of Families, Fairness and Housing and Sacred Heart Mission. </w:t>
      </w:r>
    </w:p>
    <w:p w14:paraId="507A02D5" w14:textId="77777777" w:rsidR="00315049" w:rsidRPr="004D1BFE" w:rsidRDefault="00315049" w:rsidP="00315049">
      <w:pPr>
        <w:pStyle w:val="disclaimerbodytext"/>
        <w:rPr>
          <w:sz w:val="16"/>
          <w:szCs w:val="18"/>
        </w:rPr>
      </w:pPr>
      <w:r w:rsidRPr="004D1BFE">
        <w:rPr>
          <w:sz w:val="16"/>
          <w:szCs w:val="18"/>
        </w:rPr>
        <w:t>No warranty of completeness, accuracy or reliability is given in relation to the statements and representations made by, and the information and documentation obtained as part of the process.</w:t>
      </w:r>
    </w:p>
    <w:p w14:paraId="73CB8BBA" w14:textId="77777777" w:rsidR="00315049" w:rsidRPr="004D1BFE" w:rsidRDefault="00315049" w:rsidP="00315049">
      <w:pPr>
        <w:pStyle w:val="disclaimerbodytext"/>
        <w:rPr>
          <w:sz w:val="16"/>
          <w:szCs w:val="18"/>
        </w:rPr>
      </w:pPr>
      <w:r w:rsidRPr="004D1BFE">
        <w:rPr>
          <w:sz w:val="16"/>
          <w:szCs w:val="18"/>
        </w:rPr>
        <w:t>KPMG have indicated within this report the sources of the information provided. We have not sought to independently verify those sources unless otherwise noted within the report.</w:t>
      </w:r>
    </w:p>
    <w:p w14:paraId="57E66D64" w14:textId="5800BC09" w:rsidR="00CA59F0" w:rsidRPr="005213A9" w:rsidRDefault="00315049" w:rsidP="00FD67DF">
      <w:pPr>
        <w:pStyle w:val="disclaimerbodytext"/>
        <w:rPr>
          <w:sz w:val="16"/>
          <w:szCs w:val="18"/>
        </w:rPr>
      </w:pPr>
      <w:r w:rsidRPr="004D1BFE">
        <w:rPr>
          <w:sz w:val="16"/>
          <w:szCs w:val="18"/>
        </w:rPr>
        <w:t>KPMG is under no obligation in any circumstance to update this report, in either oral or written form, for events occurring after the report has been issued in final form.</w:t>
      </w:r>
    </w:p>
    <w:sectPr w:rsidR="00CA59F0" w:rsidRPr="005213A9" w:rsidSect="005213A9">
      <w:footerReference w:type="even" r:id="rId73"/>
      <w:footerReference w:type="default" r:id="rId74"/>
      <w:footerReference w:type="first" r:id="rId75"/>
      <w:pgSz w:w="11906" w:h="16838"/>
      <w:pgMar w:top="1560" w:right="851" w:bottom="851" w:left="851" w:header="567"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CD081C" w14:textId="77777777" w:rsidR="00FB0540" w:rsidRDefault="00FB0540" w:rsidP="00FD0D02">
      <w:pPr>
        <w:spacing w:before="0" w:after="0"/>
      </w:pPr>
      <w:r>
        <w:separator/>
      </w:r>
    </w:p>
  </w:endnote>
  <w:endnote w:type="continuationSeparator" w:id="0">
    <w:p w14:paraId="50CD8113" w14:textId="77777777" w:rsidR="00FB0540" w:rsidRDefault="00FB0540" w:rsidP="00FD0D02">
      <w:pPr>
        <w:spacing w:before="0" w:after="0"/>
      </w:pPr>
      <w:r>
        <w:continuationSeparator/>
      </w:r>
    </w:p>
  </w:endnote>
  <w:endnote w:type="continuationNotice" w:id="1">
    <w:p w14:paraId="2DEE718A" w14:textId="77777777" w:rsidR="00FB0540" w:rsidRDefault="00FB054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9999999">
    <w:panose1 w:val="00000000000000000000"/>
    <w:charset w:val="00"/>
    <w:family w:val="roman"/>
    <w:notTrueType/>
    <w:pitch w:val="default"/>
  </w:font>
  <w:font w:name="Arial Bold">
    <w:altName w:val="Arial"/>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PMG Bold">
    <w:altName w:val="Calibri"/>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Batang"/>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ZWAdobeF">
    <w:altName w:val="Calibri"/>
    <w:panose1 w:val="00000000000000000000"/>
    <w:charset w:val="00"/>
    <w:family w:val="auto"/>
    <w:pitch w:val="variable"/>
    <w:sig w:usb0="20002A87" w:usb1="00000000" w:usb2="00000000" w:usb3="00000000" w:csb0="000001FF" w:csb1="00000000"/>
  </w:font>
  <w:font w:name="Univers for KPMG Light">
    <w:charset w:val="00"/>
    <w:family w:val="swiss"/>
    <w:pitch w:val="variable"/>
    <w:sig w:usb0="800002AF" w:usb1="5000204A" w:usb2="00000000" w:usb3="00000000" w:csb0="0000009F" w:csb1="00000000"/>
  </w:font>
  <w:font w:name="Cambria">
    <w:panose1 w:val="02040503050406030204"/>
    <w:charset w:val="00"/>
    <w:family w:val="roman"/>
    <w:pitch w:val="variable"/>
    <w:sig w:usb0="E00006FF" w:usb1="420024FF" w:usb2="02000000" w:usb3="00000000" w:csb0="0000019F" w:csb1="00000000"/>
  </w:font>
  <w:font w:name="Univers 45 Light">
    <w:charset w:val="00"/>
    <w:family w:val="auto"/>
    <w:pitch w:val="variable"/>
    <w:sig w:usb0="8000002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F2B3FF" w14:textId="0CABE056" w:rsidR="006966AE" w:rsidRDefault="006966A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3DB45E" w14:textId="1F06FB23" w:rsidR="006966AE" w:rsidRDefault="006966A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B9FDF1" w14:textId="25BCC774" w:rsidR="006966AE" w:rsidRDefault="006966AE">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5EAB9" w14:textId="284B15E8" w:rsidR="006966AE" w:rsidRDefault="006966A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3D0B44" w14:textId="076A6947" w:rsidR="006966AE" w:rsidRDefault="006966AE">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FA9D9A" w14:textId="23D9ADD7" w:rsidR="006966AE" w:rsidRDefault="006966AE">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771084" w14:textId="15BE5FFA" w:rsidR="006966AE" w:rsidRDefault="006966AE">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F15156" w14:textId="09D342CF" w:rsidR="006966AE" w:rsidRDefault="006966AE">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BCA3D9" w14:textId="4055299D" w:rsidR="006966AE" w:rsidRDefault="006966AE">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24D26" w14:textId="54BB00B3" w:rsidR="006966AE" w:rsidRDefault="006966AE">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05F5C5" w14:textId="69388EC8" w:rsidR="006966AE" w:rsidRDefault="006966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71F83" w14:textId="0BFD556D" w:rsidR="006966AE" w:rsidRDefault="006966A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A6D601" w14:textId="55096695" w:rsidR="006966AE" w:rsidRDefault="006966AE">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8A0F20" w14:textId="34D04F58" w:rsidR="006966AE" w:rsidRDefault="006966AE">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54BE03" w14:textId="1E3949A4" w:rsidR="006966AE" w:rsidRDefault="006966AE">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F0BF11" w14:textId="0B3F9CC5" w:rsidR="00EC3179" w:rsidRPr="00EC3179" w:rsidRDefault="00EC3179" w:rsidP="00EC3179">
    <w:pPr>
      <w:pStyle w:val="Header"/>
      <w:spacing w:before="60"/>
      <w:rPr>
        <w:szCs w:val="16"/>
      </w:rPr>
    </w:pPr>
  </w:p>
  <w:p w14:paraId="4CA3C43B" w14:textId="77777777" w:rsidR="00EC3179" w:rsidRPr="00EC3179" w:rsidRDefault="00EC3179" w:rsidP="00EC3179">
    <w:pPr>
      <w:pStyle w:val="Footer"/>
      <w:spacing w:before="60"/>
      <w:rPr>
        <w:color w:val="595959" w:themeColor="text1" w:themeTint="A6"/>
        <w:sz w:val="16"/>
        <w:szCs w:val="16"/>
      </w:rPr>
    </w:pPr>
    <w:r w:rsidRPr="00EC3179">
      <w:rPr>
        <w:color w:val="595959" w:themeColor="text1" w:themeTint="A6"/>
        <w:sz w:val="16"/>
        <w:szCs w:val="16"/>
      </w:rPr>
      <w:t xml:space="preserve">©2023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EC3179">
      <w:rPr>
        <w:color w:val="595959" w:themeColor="text1" w:themeTint="A6"/>
        <w:sz w:val="16"/>
        <w:szCs w:val="16"/>
      </w:rPr>
      <w:br/>
    </w:r>
    <w:r w:rsidRPr="00EC3179">
      <w:rPr>
        <w:b/>
        <w:bCs/>
        <w:color w:val="595959" w:themeColor="text1" w:themeTint="A6"/>
        <w:sz w:val="16"/>
        <w:szCs w:val="16"/>
      </w:rPr>
      <w:t>Document Classification: KPMG Confidential</w:t>
    </w:r>
  </w:p>
  <w:p w14:paraId="41ABD7B6" w14:textId="77777777" w:rsidR="00277CAB" w:rsidRPr="00EC3179" w:rsidRDefault="00EC3179" w:rsidP="00EC3179">
    <w:pPr>
      <w:pStyle w:val="Header"/>
      <w:spacing w:before="60"/>
      <w:rPr>
        <w:color w:val="595959" w:themeColor="text1" w:themeTint="A6"/>
        <w:szCs w:val="16"/>
      </w:rPr>
    </w:pPr>
    <w:r w:rsidRPr="00EC3179">
      <w:rPr>
        <w:color w:val="595959" w:themeColor="text1" w:themeTint="A6"/>
        <w:szCs w:val="16"/>
      </w:rPr>
      <w:t>Liability limited by a scheme approved under Professional Standards Legislation.</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531C0" w14:textId="796F38EE" w:rsidR="006966AE" w:rsidRDefault="006966A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A6333E" w14:textId="045C4D35" w:rsidR="006966AE" w:rsidRDefault="006966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A4694D" w14:textId="0D9539B8" w:rsidR="006966AE" w:rsidRDefault="006966A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946320" w14:textId="29E3EE68" w:rsidR="00621EBD" w:rsidRDefault="00621EBD" w:rsidP="00783BF1">
    <w:pPr>
      <w:pStyle w:val="Header"/>
    </w:pPr>
  </w:p>
  <w:p w14:paraId="6FEF83DA" w14:textId="21F5BE5B" w:rsidR="00783BF1" w:rsidRPr="00B24FDD" w:rsidRDefault="00783BF1" w:rsidP="00783BF1">
    <w:pPr>
      <w:pStyle w:val="Header"/>
      <w:rPr>
        <w:color w:val="595959" w:themeColor="text1" w:themeTint="A6"/>
      </w:rPr>
    </w:pPr>
    <w:r w:rsidRPr="00B24FDD">
      <w:rPr>
        <w:color w:val="595959" w:themeColor="text1" w:themeTint="A6"/>
      </w:rPr>
      <w:t xml:space="preserve">KPMG  |  </w:t>
    </w:r>
    <w:r w:rsidRPr="00B24FDD">
      <w:rPr>
        <w:color w:val="595959" w:themeColor="text1" w:themeTint="A6"/>
      </w:rPr>
      <w:fldChar w:fldCharType="begin"/>
    </w:r>
    <w:r w:rsidRPr="00B24FDD">
      <w:rPr>
        <w:color w:val="595959" w:themeColor="text1" w:themeTint="A6"/>
      </w:rPr>
      <w:instrText xml:space="preserve"> PAGE   \* MERGEFORMAT </w:instrText>
    </w:r>
    <w:r w:rsidRPr="00B24FDD">
      <w:rPr>
        <w:color w:val="595959" w:themeColor="text1" w:themeTint="A6"/>
      </w:rPr>
      <w:fldChar w:fldCharType="separate"/>
    </w:r>
    <w:r w:rsidRPr="00B24FDD">
      <w:rPr>
        <w:color w:val="595959" w:themeColor="text1" w:themeTint="A6"/>
      </w:rPr>
      <w:t>1</w:t>
    </w:r>
    <w:r w:rsidRPr="00B24FDD">
      <w:rPr>
        <w:color w:val="595959" w:themeColor="text1" w:themeTint="A6"/>
      </w:rPr>
      <w:fldChar w:fldCharType="end"/>
    </w:r>
  </w:p>
  <w:p w14:paraId="0793B709" w14:textId="48D581E7" w:rsidR="00042C09" w:rsidRPr="00B24FDD" w:rsidRDefault="00042C09" w:rsidP="00FD0D02">
    <w:pPr>
      <w:pStyle w:val="Footer"/>
      <w:spacing w:after="0"/>
      <w:rPr>
        <w:color w:val="595959" w:themeColor="text1" w:themeTint="A6"/>
      </w:rPr>
    </w:pPr>
    <w:r w:rsidRPr="00B24FDD">
      <w:rPr>
        <w:color w:val="595959" w:themeColor="text1" w:themeTint="A6"/>
      </w:rPr>
      <w:t>©202</w:t>
    </w:r>
    <w:r w:rsidR="00A162EC" w:rsidRPr="00B24FDD">
      <w:rPr>
        <w:color w:val="595959" w:themeColor="text1" w:themeTint="A6"/>
      </w:rPr>
      <w:t>3</w:t>
    </w:r>
    <w:r w:rsidRPr="00B24FDD">
      <w:rPr>
        <w:color w:val="595959" w:themeColor="text1" w:themeTint="A6"/>
      </w:rPr>
      <w:t xml:space="preserve"> KPMG, an Australian partnership and a member firm of the KPMG global organisation of independent member firms affiliated with KPMG International Limited, a private English company limited by guarantee. All rights reserved. The KPMG name and logo are trademarks used under license by the independent member firms of the KPMG global organisation. </w:t>
    </w:r>
    <w:r w:rsidRPr="00B24FDD">
      <w:rPr>
        <w:color w:val="595959" w:themeColor="text1" w:themeTint="A6"/>
      </w:rPr>
      <w:br/>
    </w:r>
    <w:r w:rsidRPr="00B24FDD">
      <w:rPr>
        <w:b/>
        <w:bCs/>
        <w:color w:val="595959" w:themeColor="text1" w:themeTint="A6"/>
      </w:rPr>
      <w:t>Document Classification: KPMG Confidential</w:t>
    </w:r>
  </w:p>
  <w:p w14:paraId="48E18D11" w14:textId="77777777" w:rsidR="00042C09" w:rsidRPr="00B24FDD" w:rsidRDefault="00042C09" w:rsidP="00FD0D02">
    <w:pPr>
      <w:pStyle w:val="Header"/>
      <w:rPr>
        <w:color w:val="595959" w:themeColor="text1" w:themeTint="A6"/>
      </w:rPr>
    </w:pPr>
    <w:r w:rsidRPr="00B24FDD">
      <w:rPr>
        <w:color w:val="595959" w:themeColor="text1" w:themeTint="A6"/>
      </w:rPr>
      <w:t>Liability limited by a scheme approved under Professional Standards Legislation.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0513C" w14:textId="53610D39" w:rsidR="006966AE" w:rsidRDefault="006966A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8B9D0" w14:textId="0711BA01" w:rsidR="006966AE" w:rsidRDefault="006966A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5F4875" w14:textId="5FB26B13" w:rsidR="006966AE" w:rsidRDefault="006966A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88BF93" w14:textId="50C54952" w:rsidR="006966AE" w:rsidRDefault="006966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9BE5C5E" w14:textId="77777777" w:rsidR="00FB0540" w:rsidRDefault="00FB0540" w:rsidP="00FD0D02">
      <w:pPr>
        <w:spacing w:before="0" w:after="0"/>
      </w:pPr>
      <w:r>
        <w:separator/>
      </w:r>
    </w:p>
  </w:footnote>
  <w:footnote w:type="continuationSeparator" w:id="0">
    <w:p w14:paraId="547F311F" w14:textId="77777777" w:rsidR="00FB0540" w:rsidRDefault="00FB0540" w:rsidP="00FD0D02">
      <w:pPr>
        <w:spacing w:before="0" w:after="0"/>
      </w:pPr>
      <w:r>
        <w:continuationSeparator/>
      </w:r>
    </w:p>
  </w:footnote>
  <w:footnote w:type="continuationNotice" w:id="1">
    <w:p w14:paraId="5750531E" w14:textId="77777777" w:rsidR="00FB0540" w:rsidRDefault="00FB0540">
      <w:pPr>
        <w:spacing w:before="0" w:after="0"/>
      </w:pPr>
    </w:p>
  </w:footnote>
  <w:footnote w:id="2">
    <w:p w14:paraId="11B6F370" w14:textId="77777777" w:rsidR="00182143" w:rsidRPr="00C53784" w:rsidRDefault="00182143" w:rsidP="00182143">
      <w:pPr>
        <w:pStyle w:val="FootnoteText"/>
        <w:rPr>
          <w:rFonts w:cs="Arial"/>
          <w:szCs w:val="14"/>
        </w:rPr>
      </w:pPr>
      <w:r w:rsidRPr="00C53784">
        <w:rPr>
          <w:rStyle w:val="FootnoteReference"/>
          <w:rFonts w:cs="Arial"/>
          <w:szCs w:val="14"/>
        </w:rPr>
        <w:footnoteRef/>
      </w:r>
      <w:r w:rsidRPr="00C53784">
        <w:rPr>
          <w:rFonts w:cs="Arial"/>
          <w:szCs w:val="14"/>
        </w:rPr>
        <w:t xml:space="preserve"> Sacred Heart Mission. (2023). Journey to Social Inclusion (J2SI). Sacred Heart Mission. </w:t>
      </w:r>
      <w:r>
        <w:rPr>
          <w:rFonts w:cs="Arial"/>
          <w:szCs w:val="14"/>
        </w:rPr>
        <w:t xml:space="preserve">Accessed from: </w:t>
      </w:r>
      <w:hyperlink r:id="rId1" w:history="1">
        <w:r w:rsidRPr="00C61AB8">
          <w:rPr>
            <w:rStyle w:val="Hyperlink"/>
            <w:rFonts w:cs="Arial"/>
            <w:szCs w:val="14"/>
          </w:rPr>
          <w:t>https://www.sacredheartmission.org/service/housing-support/journey-to-social-inclusion/</w:t>
        </w:r>
      </w:hyperlink>
    </w:p>
  </w:footnote>
  <w:footnote w:id="3">
    <w:p w14:paraId="713B037E" w14:textId="08FFD471" w:rsidR="00433245" w:rsidRDefault="00433245" w:rsidP="00DF21BD">
      <w:pPr>
        <w:pStyle w:val="FootnoteText"/>
      </w:pPr>
      <w:r>
        <w:rPr>
          <w:rStyle w:val="FootnoteReference"/>
        </w:rPr>
        <w:footnoteRef/>
      </w:r>
      <w:r>
        <w:t xml:space="preserve"> </w:t>
      </w:r>
      <w:r w:rsidR="00DF21BD">
        <w:t>Johnson, G., Kuehnle, D., Parkinson, S., Sesa, S. &amp; Tseng, Y. (2014) Resolving long-term homelessness: A randomised controlled trial examining the 36 month costs, benefits and social outcomes from the Journey to Social Inclusion pilot program. Sacred Heart Mission, St Kilda.</w:t>
      </w:r>
    </w:p>
  </w:footnote>
  <w:footnote w:id="4">
    <w:p w14:paraId="4BA75ECE" w14:textId="51B3B789" w:rsidR="00433245" w:rsidRDefault="00433245">
      <w:pPr>
        <w:pStyle w:val="FootnoteText"/>
      </w:pPr>
      <w:r>
        <w:rPr>
          <w:rStyle w:val="FootnoteReference"/>
        </w:rPr>
        <w:footnoteRef/>
      </w:r>
      <w:r>
        <w:t xml:space="preserve"> </w:t>
      </w:r>
      <w:r w:rsidR="00F6162D" w:rsidRPr="00F6162D">
        <w:t>Seivwright, A., Callis, Z., Thielking, M., &amp; Flatau, P. (2020). Chronic homelessness in Melbourne: third-year outcomes of Journey to Social Inclusion Phase 2 study participants.</w:t>
      </w:r>
    </w:p>
  </w:footnote>
  <w:footnote w:id="5">
    <w:p w14:paraId="0931CC9B" w14:textId="0C8B4879" w:rsidR="00E63F03" w:rsidRPr="008C48A1" w:rsidRDefault="00E63F03" w:rsidP="00E63F03">
      <w:pPr>
        <w:pStyle w:val="FootnoteText"/>
        <w:rPr>
          <w:rFonts w:cs="Arial"/>
          <w:szCs w:val="14"/>
        </w:rPr>
      </w:pPr>
      <w:r w:rsidRPr="003F34C8">
        <w:rPr>
          <w:rStyle w:val="FootnoteReference"/>
          <w:rFonts w:cs="Arial"/>
          <w:szCs w:val="14"/>
        </w:rPr>
        <w:footnoteRef/>
      </w:r>
      <w:r w:rsidRPr="003F34C8">
        <w:rPr>
          <w:rFonts w:cs="Arial"/>
          <w:szCs w:val="14"/>
        </w:rPr>
        <w:t xml:space="preserve"> </w:t>
      </w:r>
      <w:r w:rsidR="00341964" w:rsidRPr="00341964">
        <w:rPr>
          <w:rFonts w:cs="Arial"/>
          <w:szCs w:val="14"/>
        </w:rPr>
        <w:t>The Housing First model prescribes safe and permanent housing as the first priority for people experiencing homelessness.</w:t>
      </w:r>
    </w:p>
  </w:footnote>
  <w:footnote w:id="6">
    <w:p w14:paraId="25BF09B4" w14:textId="3907DED9" w:rsidR="00D27838" w:rsidRDefault="00D27838">
      <w:pPr>
        <w:pStyle w:val="FootnoteText"/>
      </w:pPr>
      <w:r>
        <w:rPr>
          <w:rStyle w:val="FootnoteReference"/>
        </w:rPr>
        <w:footnoteRef/>
      </w:r>
      <w:r>
        <w:t xml:space="preserve"> </w:t>
      </w:r>
      <w:r w:rsidRPr="00D27838">
        <w:t>TICSPOT© has been developed and tested by SHM over many years. The survey was validated by the Centre for Social Impact, University of Western Australia in June 2019. © Sacred Heart Mission Inc. 2019.   All rights reserved</w:t>
      </w:r>
    </w:p>
  </w:footnote>
  <w:footnote w:id="7">
    <w:p w14:paraId="39171070" w14:textId="77777777" w:rsidR="00A32A21" w:rsidRPr="00BD5855" w:rsidRDefault="00A32A21" w:rsidP="00A32A21">
      <w:pPr>
        <w:pStyle w:val="FootnoteText"/>
        <w:rPr>
          <w:rFonts w:cs="Arial"/>
          <w:szCs w:val="14"/>
        </w:rPr>
      </w:pPr>
      <w:r w:rsidRPr="00BD5855">
        <w:rPr>
          <w:rStyle w:val="FootnoteReference"/>
          <w:rFonts w:cs="Arial"/>
          <w:szCs w:val="14"/>
        </w:rPr>
        <w:footnoteRef/>
      </w:r>
      <w:r w:rsidRPr="00BD5855">
        <w:rPr>
          <w:rFonts w:cs="Arial"/>
          <w:szCs w:val="14"/>
        </w:rPr>
        <w:t xml:space="preserve"> The JWG provided overarching advice/guidance across the J2SI PAD, with representation from DFFH/Homes Vic, SHM and DTF</w:t>
      </w:r>
    </w:p>
  </w:footnote>
  <w:footnote w:id="8">
    <w:p w14:paraId="51365B1E" w14:textId="0B3A48BA" w:rsidR="006F6807" w:rsidRPr="008466DB" w:rsidRDefault="006F6807">
      <w:pPr>
        <w:pStyle w:val="FootnoteText"/>
        <w:rPr>
          <w:rFonts w:cs="Arial"/>
          <w:szCs w:val="14"/>
        </w:rPr>
      </w:pPr>
      <w:r w:rsidRPr="008466DB">
        <w:rPr>
          <w:rStyle w:val="FootnoteReference"/>
          <w:rFonts w:cs="Arial"/>
          <w:szCs w:val="14"/>
        </w:rPr>
        <w:footnoteRef/>
      </w:r>
      <w:r w:rsidRPr="008466DB">
        <w:rPr>
          <w:rFonts w:cs="Arial"/>
          <w:szCs w:val="14"/>
        </w:rPr>
        <w:t xml:space="preserve"> See Page</w:t>
      </w:r>
      <w:r w:rsidR="008466DB" w:rsidRPr="008466DB">
        <w:rPr>
          <w:rFonts w:cs="Arial"/>
          <w:szCs w:val="14"/>
        </w:rPr>
        <w:t xml:space="preserve"> </w:t>
      </w:r>
      <w:r w:rsidR="008466DB" w:rsidRPr="008466DB">
        <w:rPr>
          <w:rFonts w:cs="Arial"/>
          <w:szCs w:val="14"/>
        </w:rPr>
        <w:fldChar w:fldCharType="begin"/>
      </w:r>
      <w:r w:rsidR="008466DB" w:rsidRPr="008466DB">
        <w:rPr>
          <w:rFonts w:cs="Arial"/>
          <w:szCs w:val="14"/>
        </w:rPr>
        <w:instrText xml:space="preserve"> PAGEREF _Ref150415567 \h </w:instrText>
      </w:r>
      <w:r w:rsidR="008466DB" w:rsidRPr="008466DB">
        <w:rPr>
          <w:rFonts w:cs="Arial"/>
          <w:szCs w:val="14"/>
        </w:rPr>
      </w:r>
      <w:r w:rsidR="008466DB" w:rsidRPr="008466DB">
        <w:rPr>
          <w:rFonts w:cs="Arial"/>
          <w:szCs w:val="14"/>
        </w:rPr>
        <w:fldChar w:fldCharType="separate"/>
      </w:r>
      <w:r w:rsidR="008466DB" w:rsidRPr="008466DB">
        <w:rPr>
          <w:rFonts w:cs="Arial"/>
          <w:noProof/>
          <w:szCs w:val="14"/>
        </w:rPr>
        <w:t>v</w:t>
      </w:r>
      <w:r w:rsidR="008466DB" w:rsidRPr="008466DB">
        <w:rPr>
          <w:rFonts w:cs="Arial"/>
          <w:szCs w:val="14"/>
        </w:rPr>
        <w:fldChar w:fldCharType="end"/>
      </w:r>
      <w:r w:rsidR="00671632">
        <w:rPr>
          <w:rFonts w:cs="Arial"/>
          <w:szCs w:val="14"/>
        </w:rPr>
        <w:t>i</w:t>
      </w:r>
      <w:r w:rsidRPr="008466DB">
        <w:rPr>
          <w:rFonts w:cs="Arial"/>
          <w:szCs w:val="14"/>
        </w:rPr>
        <w:t xml:space="preserve"> for an overview of client outcomes</w:t>
      </w:r>
    </w:p>
  </w:footnote>
  <w:footnote w:id="9">
    <w:p w14:paraId="63680509" w14:textId="77777777" w:rsidR="00F01861" w:rsidRPr="003C67D4" w:rsidRDefault="00F01861" w:rsidP="00F01861">
      <w:pPr>
        <w:pStyle w:val="FootnoteText"/>
        <w:rPr>
          <w:rFonts w:cs="Arial"/>
          <w:szCs w:val="14"/>
        </w:rPr>
      </w:pPr>
      <w:r w:rsidRPr="003C67D4">
        <w:rPr>
          <w:rStyle w:val="FootnoteReference"/>
          <w:rFonts w:cs="Arial"/>
          <w:szCs w:val="14"/>
        </w:rPr>
        <w:footnoteRef/>
      </w:r>
      <w:r w:rsidRPr="003C67D4">
        <w:rPr>
          <w:rFonts w:cs="Arial"/>
          <w:szCs w:val="14"/>
        </w:rPr>
        <w:t xml:space="preserve"> Average across the three cohorts</w:t>
      </w:r>
    </w:p>
  </w:footnote>
  <w:footnote w:id="10">
    <w:p w14:paraId="28960F20" w14:textId="77777777" w:rsidR="00F01861" w:rsidRPr="003E361D" w:rsidRDefault="00F01861" w:rsidP="00F01861">
      <w:pPr>
        <w:pStyle w:val="FootnoteText"/>
        <w:rPr>
          <w:szCs w:val="14"/>
        </w:rPr>
      </w:pPr>
      <w:r w:rsidRPr="003C67D4">
        <w:rPr>
          <w:rStyle w:val="FootnoteReference"/>
          <w:rFonts w:cs="Arial"/>
          <w:szCs w:val="14"/>
        </w:rPr>
        <w:footnoteRef/>
      </w:r>
      <w:r w:rsidRPr="003C67D4">
        <w:rPr>
          <w:rFonts w:cs="Arial"/>
          <w:szCs w:val="14"/>
        </w:rPr>
        <w:t xml:space="preserve"> This is the difference between entry and exit TICSPOT </w:t>
      </w:r>
      <w:r w:rsidRPr="003E361D">
        <w:rPr>
          <w:rFonts w:cs="Arial"/>
          <w:szCs w:val="14"/>
        </w:rPr>
        <w:t>scores</w:t>
      </w:r>
      <w:r w:rsidRPr="00160E2A">
        <w:rPr>
          <w:rFonts w:cs="Arial"/>
          <w:szCs w:val="14"/>
        </w:rPr>
        <w:t>.</w:t>
      </w:r>
    </w:p>
  </w:footnote>
  <w:footnote w:id="11">
    <w:p w14:paraId="59DADD5A" w14:textId="77777777" w:rsidR="00F01861" w:rsidRPr="003E361D" w:rsidRDefault="00F01861" w:rsidP="00F01861">
      <w:pPr>
        <w:pStyle w:val="FootnoteText"/>
        <w:rPr>
          <w:szCs w:val="14"/>
        </w:rPr>
      </w:pPr>
      <w:r w:rsidRPr="003E361D">
        <w:rPr>
          <w:rStyle w:val="FootnoteReference"/>
          <w:szCs w:val="14"/>
        </w:rPr>
        <w:footnoteRef/>
      </w:r>
      <w:r w:rsidRPr="003E361D">
        <w:rPr>
          <w:szCs w:val="14"/>
        </w:rPr>
        <w:t xml:space="preserve"> Average across the three cohorts </w:t>
      </w:r>
    </w:p>
  </w:footnote>
  <w:footnote w:id="12">
    <w:p w14:paraId="3C6AABE6" w14:textId="77777777" w:rsidR="00F01861" w:rsidRDefault="00F01861" w:rsidP="00F01861">
      <w:pPr>
        <w:pStyle w:val="FootnoteText"/>
      </w:pPr>
      <w:r>
        <w:rPr>
          <w:rStyle w:val="FootnoteReference"/>
        </w:rPr>
        <w:footnoteRef/>
      </w:r>
      <w:r>
        <w:t xml:space="preserve"> The baseline represents clients’ average monthly service use in the 2.5 years prior to commending in the program</w:t>
      </w:r>
    </w:p>
  </w:footnote>
  <w:footnote w:id="13">
    <w:p w14:paraId="6BC13670" w14:textId="3341537A" w:rsidR="00A60F39" w:rsidRPr="00A60F39" w:rsidRDefault="00A60F39">
      <w:pPr>
        <w:pStyle w:val="FootnoteText"/>
        <w:rPr>
          <w:rFonts w:cs="Arial"/>
          <w:szCs w:val="14"/>
        </w:rPr>
      </w:pPr>
      <w:r w:rsidRPr="00A60F39">
        <w:rPr>
          <w:rStyle w:val="FootnoteReference"/>
          <w:rFonts w:cs="Arial"/>
          <w:szCs w:val="14"/>
        </w:rPr>
        <w:footnoteRef/>
      </w:r>
      <w:r w:rsidRPr="00A60F39">
        <w:rPr>
          <w:rFonts w:cs="Arial"/>
          <w:szCs w:val="14"/>
        </w:rPr>
        <w:t xml:space="preserve"> An analysis period of 10 years from the end of the funding disbursement has been adopted to enable all costs and benefits to be captured, recognising that the program benefits are expected to be realised beyond the program’s service delivery period. Program benefits were measured during the funding period and have been extrapolated at the actual level measured during the subsequent period. Indicative testing suggested most benefits continued to be realised in the period post</w:t>
      </w:r>
      <w:r w:rsidR="00500497">
        <w:rPr>
          <w:rFonts w:cs="Arial"/>
          <w:szCs w:val="14"/>
        </w:rPr>
        <w:noBreakHyphen/>
      </w:r>
      <w:r w:rsidRPr="00A60F39">
        <w:rPr>
          <w:rFonts w:cs="Arial"/>
          <w:szCs w:val="14"/>
        </w:rPr>
        <w:t xml:space="preserve">program and most continued to improve over time. Benefit realisation post program also factors in a </w:t>
      </w:r>
      <w:r w:rsidR="00D431DA">
        <w:rPr>
          <w:rFonts w:cs="Arial"/>
          <w:szCs w:val="14"/>
        </w:rPr>
        <w:t>five per cent</w:t>
      </w:r>
      <w:r w:rsidRPr="00A60F39">
        <w:rPr>
          <w:rFonts w:cs="Arial"/>
          <w:szCs w:val="14"/>
        </w:rPr>
        <w:t xml:space="preserve"> attrition rate per year for participants.</w:t>
      </w:r>
    </w:p>
  </w:footnote>
  <w:footnote w:id="14">
    <w:p w14:paraId="7FEC0DED" w14:textId="5664369C" w:rsidR="00AC5D8E" w:rsidRDefault="00AC5D8E">
      <w:pPr>
        <w:pStyle w:val="FootnoteText"/>
      </w:pPr>
      <w:r>
        <w:rPr>
          <w:rStyle w:val="FootnoteReference"/>
        </w:rPr>
        <w:footnoteRef/>
      </w:r>
      <w:r>
        <w:t xml:space="preserve"> </w:t>
      </w:r>
      <w:r w:rsidR="005E466A" w:rsidRPr="00B036F2">
        <w:t xml:space="preserve">This figure has been calculated by taking the </w:t>
      </w:r>
      <w:r w:rsidR="004B6CAE" w:rsidRPr="00B036F2">
        <w:t>annual</w:t>
      </w:r>
      <w:r w:rsidR="007E1B0D" w:rsidRPr="00B036F2">
        <w:t xml:space="preserve"> program </w:t>
      </w:r>
      <w:r w:rsidR="004B6CAE" w:rsidRPr="00B036F2">
        <w:t xml:space="preserve">net </w:t>
      </w:r>
      <w:r w:rsidR="007E1B0D" w:rsidRPr="00B036F2">
        <w:t xml:space="preserve">benefit </w:t>
      </w:r>
      <w:r w:rsidR="004B6CAE" w:rsidRPr="00B036F2">
        <w:t xml:space="preserve">(historical and projected - in real terms at a </w:t>
      </w:r>
      <w:r w:rsidR="00B53241" w:rsidRPr="00B036F2">
        <w:t>four per cent</w:t>
      </w:r>
      <w:r w:rsidR="004B6CAE" w:rsidRPr="00B036F2">
        <w:t xml:space="preserve"> discount rate), and dividing this net benefit by the </w:t>
      </w:r>
      <w:r w:rsidR="00505379">
        <w:t xml:space="preserve">incremental </w:t>
      </w:r>
      <w:r w:rsidR="00AD479D">
        <w:t>number</w:t>
      </w:r>
      <w:r w:rsidR="00AD479D" w:rsidRPr="00B036F2">
        <w:t xml:space="preserve"> of J2SI PAD participants in stable housing</w:t>
      </w:r>
      <w:r w:rsidR="005B12EC">
        <w:t xml:space="preserve"> </w:t>
      </w:r>
      <w:r w:rsidR="002956E1">
        <w:t>relative to the non-intervention group</w:t>
      </w:r>
      <w:r w:rsidR="00834588" w:rsidRPr="00B036F2">
        <w:t xml:space="preserve">, adjusting for a </w:t>
      </w:r>
      <w:r w:rsidR="00B53241" w:rsidRPr="00B036F2">
        <w:t>five per cent</w:t>
      </w:r>
      <w:r w:rsidR="00834588" w:rsidRPr="00B036F2">
        <w:t xml:space="preserve"> attrition rate – i.e. </w:t>
      </w:r>
      <w:r w:rsidR="00B53241" w:rsidRPr="00B036F2">
        <w:t>five per cent</w:t>
      </w:r>
      <w:r w:rsidR="00834588" w:rsidRPr="00B036F2">
        <w:t xml:space="preserve"> of </w:t>
      </w:r>
      <w:r w:rsidR="00505379">
        <w:t>people</w:t>
      </w:r>
      <w:r w:rsidR="00834588" w:rsidRPr="00B036F2">
        <w:t xml:space="preserve"> fall out of stable housing each year and stop accruing benefit.</w:t>
      </w:r>
      <w:r w:rsidR="00834588">
        <w:t xml:space="preserve"> </w:t>
      </w:r>
    </w:p>
  </w:footnote>
  <w:footnote w:id="15">
    <w:p w14:paraId="67709529" w14:textId="1CA2744B" w:rsidR="004E0DB8" w:rsidRDefault="004E0DB8">
      <w:pPr>
        <w:pStyle w:val="FootnoteText"/>
      </w:pPr>
      <w:r>
        <w:rPr>
          <w:rStyle w:val="FootnoteReference"/>
        </w:rPr>
        <w:footnoteRef/>
      </w:r>
      <w:r>
        <w:t xml:space="preserve"> </w:t>
      </w:r>
      <w:r w:rsidR="000B1CEA">
        <w:t>Although the 30</w:t>
      </w:r>
      <w:r w:rsidR="00C23BDD">
        <w:t>-</w:t>
      </w:r>
      <w:r w:rsidR="000B1CEA">
        <w:t xml:space="preserve">day criterion may been seen as a sub-set of the 42 day </w:t>
      </w:r>
      <w:r w:rsidR="00334310">
        <w:t>criterion</w:t>
      </w:r>
      <w:r w:rsidR="000B1CEA">
        <w:t xml:space="preserve">, </w:t>
      </w:r>
      <w:r w:rsidR="00334310">
        <w:t>p</w:t>
      </w:r>
      <w:r w:rsidR="00A523C5">
        <w:t xml:space="preserve">eople were </w:t>
      </w:r>
      <w:r w:rsidR="00334310">
        <w:t>identified within the data as meeting either the 30 o</w:t>
      </w:r>
      <w:r w:rsidR="00104F84">
        <w:t>r 42</w:t>
      </w:r>
      <w:r w:rsidR="00C23BDD">
        <w:t>-</w:t>
      </w:r>
      <w:r w:rsidR="00104F84">
        <w:t xml:space="preserve">day criterion. As such, </w:t>
      </w:r>
      <w:r w:rsidR="003D224F">
        <w:t xml:space="preserve">they have been separated out here. </w:t>
      </w:r>
      <w:r w:rsidR="00104F84">
        <w:t xml:space="preserve"> </w:t>
      </w:r>
    </w:p>
  </w:footnote>
  <w:footnote w:id="16">
    <w:p w14:paraId="74DD6066" w14:textId="5948D5CB" w:rsidR="005B72B7" w:rsidRPr="001C6929" w:rsidRDefault="005B72B7">
      <w:pPr>
        <w:pStyle w:val="FootnoteText"/>
        <w:rPr>
          <w:rFonts w:cs="Arial"/>
          <w:szCs w:val="14"/>
        </w:rPr>
      </w:pPr>
      <w:r w:rsidRPr="001C6929">
        <w:rPr>
          <w:rStyle w:val="FootnoteReference"/>
          <w:rFonts w:cs="Arial"/>
          <w:szCs w:val="14"/>
        </w:rPr>
        <w:footnoteRef/>
      </w:r>
      <w:r w:rsidRPr="001C6929">
        <w:rPr>
          <w:rFonts w:cs="Arial"/>
          <w:szCs w:val="14"/>
        </w:rPr>
        <w:t xml:space="preserve"> Reference to ‘3’ reflects that the J2SI PAD was the ‘third’ iteration of the </w:t>
      </w:r>
      <w:r w:rsidR="001C6929" w:rsidRPr="001C6929">
        <w:rPr>
          <w:rFonts w:cs="Arial"/>
          <w:szCs w:val="14"/>
        </w:rPr>
        <w:t>J2SI program. This is discussed further on the page that follows.</w:t>
      </w:r>
    </w:p>
  </w:footnote>
  <w:footnote w:id="17">
    <w:p w14:paraId="699855DD" w14:textId="2AAF93DA" w:rsidR="001A482B" w:rsidRPr="00C53784" w:rsidRDefault="001A482B">
      <w:pPr>
        <w:pStyle w:val="FootnoteText"/>
        <w:rPr>
          <w:rFonts w:cs="Arial"/>
          <w:szCs w:val="14"/>
        </w:rPr>
      </w:pPr>
      <w:r w:rsidRPr="00C53784">
        <w:rPr>
          <w:rStyle w:val="FootnoteReference"/>
          <w:rFonts w:cs="Arial"/>
          <w:szCs w:val="14"/>
        </w:rPr>
        <w:footnoteRef/>
      </w:r>
      <w:r w:rsidRPr="00C53784">
        <w:rPr>
          <w:rFonts w:cs="Arial"/>
          <w:szCs w:val="14"/>
        </w:rPr>
        <w:t xml:space="preserve"> </w:t>
      </w:r>
      <w:r w:rsidR="00C11249" w:rsidRPr="00C53784">
        <w:rPr>
          <w:rFonts w:cs="Arial"/>
          <w:szCs w:val="14"/>
        </w:rPr>
        <w:t>Sacred Heart Mission</w:t>
      </w:r>
      <w:r w:rsidR="000B0AE4" w:rsidRPr="00C53784">
        <w:rPr>
          <w:rFonts w:cs="Arial"/>
          <w:szCs w:val="14"/>
        </w:rPr>
        <w:t>. (</w:t>
      </w:r>
      <w:r w:rsidR="000073F1" w:rsidRPr="00C53784">
        <w:rPr>
          <w:rFonts w:cs="Arial"/>
          <w:szCs w:val="14"/>
        </w:rPr>
        <w:t>2023</w:t>
      </w:r>
      <w:r w:rsidR="000B0AE4" w:rsidRPr="00C53784">
        <w:rPr>
          <w:rFonts w:cs="Arial"/>
          <w:szCs w:val="14"/>
        </w:rPr>
        <w:t xml:space="preserve">). </w:t>
      </w:r>
      <w:r w:rsidR="000073F1" w:rsidRPr="00C53784">
        <w:rPr>
          <w:rFonts w:cs="Arial"/>
          <w:szCs w:val="14"/>
        </w:rPr>
        <w:t>Journey to Social Inclusion (J2SI)</w:t>
      </w:r>
      <w:r w:rsidR="000B0AE4" w:rsidRPr="00C53784">
        <w:rPr>
          <w:rFonts w:cs="Arial"/>
          <w:szCs w:val="14"/>
        </w:rPr>
        <w:t xml:space="preserve">. </w:t>
      </w:r>
      <w:r w:rsidR="000073F1" w:rsidRPr="00C53784">
        <w:rPr>
          <w:rFonts w:cs="Arial"/>
          <w:szCs w:val="14"/>
        </w:rPr>
        <w:t>Sacred Heart Mission</w:t>
      </w:r>
      <w:r w:rsidR="000B0AE4" w:rsidRPr="00C53784">
        <w:rPr>
          <w:rFonts w:cs="Arial"/>
          <w:szCs w:val="14"/>
        </w:rPr>
        <w:t>.</w:t>
      </w:r>
      <w:r w:rsidRPr="00C53784">
        <w:rPr>
          <w:rFonts w:cs="Arial"/>
          <w:szCs w:val="14"/>
        </w:rPr>
        <w:t xml:space="preserve"> </w:t>
      </w:r>
      <w:r w:rsidR="00C53784">
        <w:rPr>
          <w:rFonts w:cs="Arial"/>
          <w:szCs w:val="14"/>
        </w:rPr>
        <w:t xml:space="preserve">Accessed from: </w:t>
      </w:r>
      <w:hyperlink r:id="rId2" w:history="1">
        <w:r w:rsidR="00453B68" w:rsidRPr="00C61AB8">
          <w:rPr>
            <w:rStyle w:val="Hyperlink"/>
            <w:rFonts w:cs="Arial"/>
            <w:szCs w:val="14"/>
          </w:rPr>
          <w:t>https://www.sacredheartmission.org/service/housing-support/journey-to-social-inclusion/</w:t>
        </w:r>
      </w:hyperlink>
    </w:p>
  </w:footnote>
  <w:footnote w:id="18">
    <w:p w14:paraId="7A5DFFAF" w14:textId="5F1DA2C4" w:rsidR="008C48A1" w:rsidRPr="008C48A1" w:rsidRDefault="008C48A1">
      <w:pPr>
        <w:pStyle w:val="FootnoteText"/>
        <w:rPr>
          <w:rFonts w:cs="Arial"/>
          <w:szCs w:val="14"/>
        </w:rPr>
      </w:pPr>
      <w:r w:rsidRPr="00FC3759">
        <w:rPr>
          <w:rStyle w:val="FootnoteReference"/>
          <w:rFonts w:cs="Arial"/>
          <w:szCs w:val="14"/>
        </w:rPr>
        <w:footnoteRef/>
      </w:r>
      <w:r w:rsidRPr="00FC3759">
        <w:rPr>
          <w:rFonts w:cs="Arial"/>
          <w:szCs w:val="14"/>
        </w:rPr>
        <w:t xml:space="preserve"> </w:t>
      </w:r>
      <w:r w:rsidR="00FC3759" w:rsidRPr="00FC3759">
        <w:rPr>
          <w:rFonts w:cs="Arial"/>
          <w:szCs w:val="14"/>
        </w:rPr>
        <w:t>The Housing First model prescribes safe and permanent housing as the first priority for people experiencing homelessness.</w:t>
      </w:r>
    </w:p>
  </w:footnote>
  <w:footnote w:id="19">
    <w:p w14:paraId="59F322A6" w14:textId="7FC15F70" w:rsidR="00AC2247" w:rsidRDefault="00AC2247">
      <w:pPr>
        <w:pStyle w:val="FootnoteText"/>
      </w:pPr>
      <w:r>
        <w:rPr>
          <w:rStyle w:val="FootnoteReference"/>
        </w:rPr>
        <w:footnoteRef/>
      </w:r>
      <w:r>
        <w:t xml:space="preserve"> </w:t>
      </w:r>
      <w:r w:rsidRPr="00D27838">
        <w:t>TICSPOT© has been developed and tested by SHM over many years. The survey was validated by the Centre for Social Impact, University of Western Australia in June 2019. © Sacred Heart Mission Inc. 2019.   All rights reserved</w:t>
      </w:r>
    </w:p>
  </w:footnote>
  <w:footnote w:id="20">
    <w:p w14:paraId="716EEF6E" w14:textId="7932BD4A" w:rsidR="002B5172" w:rsidRDefault="002B5172" w:rsidP="002B5172">
      <w:pPr>
        <w:pStyle w:val="FootnoteText"/>
      </w:pPr>
      <w:r>
        <w:rPr>
          <w:rStyle w:val="FootnoteReference"/>
        </w:rPr>
        <w:footnoteRef/>
      </w:r>
      <w:r>
        <w:t xml:space="preserve"> This definition of stable housing is stricter than standard definitions. The AIHW defines stable housing for the purposes of the Specialist Homelessness Services Collection, as a person </w:t>
      </w:r>
      <w:r w:rsidR="00C06028">
        <w:t>who</w:t>
      </w:r>
      <w:r>
        <w:t xml:space="preserve"> ends support from Specialist Homelessness Services agencies </w:t>
      </w:r>
      <w:r w:rsidRPr="00C87596">
        <w:t xml:space="preserve">in public or community housing (renter or rent free), private or other housing (renter, rent free or owner), or </w:t>
      </w:r>
      <w:r w:rsidR="00C06028">
        <w:t>i</w:t>
      </w:r>
      <w:r w:rsidRPr="00C87596">
        <w:t>nstitutional settings</w:t>
      </w:r>
      <w:r>
        <w:t>.</w:t>
      </w:r>
    </w:p>
  </w:footnote>
  <w:footnote w:id="21">
    <w:p w14:paraId="2B1C9A5A" w14:textId="16CA0DF5" w:rsidR="00EA7EFB" w:rsidRDefault="00EA7EFB" w:rsidP="00F86630">
      <w:pPr>
        <w:pStyle w:val="FootnoteText"/>
      </w:pPr>
      <w:r>
        <w:rPr>
          <w:rStyle w:val="FootnoteReference"/>
        </w:rPr>
        <w:footnoteRef/>
      </w:r>
      <w:r>
        <w:t xml:space="preserve"> </w:t>
      </w:r>
      <w:r w:rsidR="00F86630">
        <w:t>Johnson, G., Kuehnle, D., Parkinson, S., Sesa, S. &amp; Tseng, Y. (2014) Resolving long-term homelessness: A randomised controlled trial examining the 36 month costs, benefits and social outcomes from the Journey to Social Inclusion pilot program. Sacred Heart Mission, St Kilda.</w:t>
      </w:r>
    </w:p>
  </w:footnote>
  <w:footnote w:id="22">
    <w:p w14:paraId="3B7C9CBE" w14:textId="05274E9E" w:rsidR="00EA7EFB" w:rsidRDefault="00EA7EFB">
      <w:pPr>
        <w:pStyle w:val="FootnoteText"/>
      </w:pPr>
      <w:r>
        <w:rPr>
          <w:rStyle w:val="FootnoteReference"/>
        </w:rPr>
        <w:footnoteRef/>
      </w:r>
      <w:r>
        <w:t xml:space="preserve"> </w:t>
      </w:r>
      <w:r w:rsidR="00F86630">
        <w:t>Seivwright, A., Callis, Z., Thielking, M., &amp; Flatau, P. (2020). Chronic homelessness in Melbourne: third-year outcomes of Journey to Social Inclusion Phase 2 study participants</w:t>
      </w:r>
      <w:r w:rsidR="00010745">
        <w:t>.</w:t>
      </w:r>
    </w:p>
  </w:footnote>
  <w:footnote w:id="23">
    <w:p w14:paraId="58EDD587" w14:textId="16A112A1" w:rsidR="00B3584B" w:rsidRPr="004541EF" w:rsidRDefault="00B3584B" w:rsidP="00B3584B">
      <w:pPr>
        <w:pStyle w:val="FootnoteText"/>
        <w:rPr>
          <w:rFonts w:cs="Arial"/>
        </w:rPr>
      </w:pPr>
      <w:r w:rsidRPr="004541EF">
        <w:rPr>
          <w:rStyle w:val="FootnoteReference"/>
          <w:rFonts w:cs="Arial"/>
          <w:szCs w:val="14"/>
        </w:rPr>
        <w:footnoteRef/>
      </w:r>
      <w:r w:rsidRPr="004541EF">
        <w:rPr>
          <w:rFonts w:cs="Arial"/>
          <w:szCs w:val="14"/>
        </w:rPr>
        <w:t xml:space="preserve"> Control group data for J2SI</w:t>
      </w:r>
      <w:r w:rsidR="007D620F">
        <w:rPr>
          <w:rFonts w:cs="Arial"/>
          <w:szCs w:val="14"/>
        </w:rPr>
        <w:t xml:space="preserve"> Phase 2</w:t>
      </w:r>
      <w:r w:rsidRPr="004541EF">
        <w:rPr>
          <w:rFonts w:cs="Arial"/>
          <w:szCs w:val="14"/>
        </w:rPr>
        <w:t xml:space="preserve"> </w:t>
      </w:r>
      <w:r w:rsidR="00B03BD1">
        <w:rPr>
          <w:rFonts w:cs="Arial"/>
          <w:szCs w:val="14"/>
        </w:rPr>
        <w:t>RCT</w:t>
      </w:r>
      <w:r w:rsidRPr="004541EF">
        <w:rPr>
          <w:rFonts w:cs="Arial"/>
          <w:szCs w:val="14"/>
        </w:rPr>
        <w:t xml:space="preserve"> was collected </w:t>
      </w:r>
      <w:r w:rsidR="002C6046">
        <w:rPr>
          <w:rFonts w:cs="Arial"/>
          <w:szCs w:val="14"/>
        </w:rPr>
        <w:t>from January 201</w:t>
      </w:r>
      <w:r w:rsidR="00701A73">
        <w:rPr>
          <w:rFonts w:cs="Arial"/>
          <w:szCs w:val="14"/>
        </w:rPr>
        <w:t>5</w:t>
      </w:r>
      <w:r w:rsidR="002C6046">
        <w:rPr>
          <w:rFonts w:cs="Arial"/>
          <w:szCs w:val="14"/>
        </w:rPr>
        <w:t xml:space="preserve"> </w:t>
      </w:r>
      <w:r w:rsidR="00727EF5">
        <w:rPr>
          <w:rFonts w:cs="Arial"/>
          <w:szCs w:val="14"/>
        </w:rPr>
        <w:t>to October 2019</w:t>
      </w:r>
      <w:r w:rsidRPr="004541EF">
        <w:rPr>
          <w:rFonts w:cs="Arial"/>
          <w:szCs w:val="14"/>
        </w:rPr>
        <w:t xml:space="preserve">. </w:t>
      </w:r>
    </w:p>
  </w:footnote>
  <w:footnote w:id="24">
    <w:p w14:paraId="62ED9E0B" w14:textId="36A1A305" w:rsidR="00504E94" w:rsidRPr="003C67D4" w:rsidRDefault="00504E94" w:rsidP="00504E94">
      <w:pPr>
        <w:pStyle w:val="FootnoteText"/>
        <w:rPr>
          <w:rFonts w:cs="Arial"/>
          <w:szCs w:val="14"/>
        </w:rPr>
      </w:pPr>
      <w:r w:rsidRPr="003C67D4">
        <w:rPr>
          <w:rStyle w:val="FootnoteReference"/>
          <w:rFonts w:cs="Arial"/>
          <w:szCs w:val="14"/>
        </w:rPr>
        <w:footnoteRef/>
      </w:r>
      <w:r w:rsidRPr="003C67D4">
        <w:rPr>
          <w:rFonts w:cs="Arial"/>
          <w:szCs w:val="14"/>
        </w:rPr>
        <w:t xml:space="preserve"> Average across the three cohorts</w:t>
      </w:r>
      <w:r w:rsidR="0061047F">
        <w:rPr>
          <w:rFonts w:cs="Arial"/>
          <w:szCs w:val="14"/>
        </w:rPr>
        <w:t>.</w:t>
      </w:r>
    </w:p>
  </w:footnote>
  <w:footnote w:id="25">
    <w:p w14:paraId="50D4F352" w14:textId="6CCE1DE0" w:rsidR="00E61618" w:rsidRPr="00AF2660" w:rsidRDefault="00E61618" w:rsidP="00E61618">
      <w:pPr>
        <w:pStyle w:val="FootnoteText"/>
        <w:rPr>
          <w:szCs w:val="14"/>
        </w:rPr>
      </w:pPr>
      <w:r w:rsidRPr="00AF2660">
        <w:rPr>
          <w:rStyle w:val="FootnoteReference"/>
          <w:rFonts w:cs="Arial"/>
          <w:szCs w:val="14"/>
        </w:rPr>
        <w:footnoteRef/>
      </w:r>
      <w:r w:rsidR="00504E94" w:rsidRPr="003C67D4">
        <w:rPr>
          <w:rFonts w:cs="Arial"/>
          <w:szCs w:val="14"/>
        </w:rPr>
        <w:t xml:space="preserve"> This is the difference between entry and exit TICSPOT </w:t>
      </w:r>
      <w:r w:rsidR="00504E94" w:rsidRPr="003E361D">
        <w:rPr>
          <w:rFonts w:cs="Arial"/>
          <w:szCs w:val="14"/>
        </w:rPr>
        <w:t>scores</w:t>
      </w:r>
      <w:r w:rsidR="00504E94" w:rsidRPr="00160E2A">
        <w:rPr>
          <w:rFonts w:cs="Arial"/>
          <w:szCs w:val="14"/>
        </w:rPr>
        <w:t>.</w:t>
      </w:r>
    </w:p>
  </w:footnote>
  <w:footnote w:id="26">
    <w:p w14:paraId="5BA9EB60" w14:textId="2407C6DE" w:rsidR="003D2CE2" w:rsidRPr="00AF2660" w:rsidRDefault="003D2CE2">
      <w:pPr>
        <w:pStyle w:val="FootnoteText"/>
        <w:rPr>
          <w:rFonts w:cs="Arial"/>
          <w:szCs w:val="14"/>
        </w:rPr>
      </w:pPr>
      <w:r w:rsidRPr="003C67D4">
        <w:rPr>
          <w:rStyle w:val="FootnoteReference"/>
          <w:rFonts w:cs="Arial"/>
          <w:szCs w:val="14"/>
        </w:rPr>
        <w:footnoteRef/>
      </w:r>
      <w:r w:rsidRPr="003C67D4">
        <w:rPr>
          <w:rFonts w:cs="Arial"/>
          <w:szCs w:val="14"/>
        </w:rPr>
        <w:t xml:space="preserve"> </w:t>
      </w:r>
      <w:r w:rsidR="0059674B" w:rsidRPr="003C67D4">
        <w:rPr>
          <w:rFonts w:cs="Arial"/>
          <w:szCs w:val="14"/>
        </w:rPr>
        <w:t xml:space="preserve">Payable outcome results for Cohort 3.3 are reported </w:t>
      </w:r>
      <w:r w:rsidR="008630B0" w:rsidRPr="003C67D4">
        <w:rPr>
          <w:rFonts w:cs="Arial"/>
          <w:szCs w:val="14"/>
        </w:rPr>
        <w:t>for the 36</w:t>
      </w:r>
      <w:r w:rsidR="0061047F">
        <w:rPr>
          <w:rFonts w:cs="Arial"/>
          <w:szCs w:val="14"/>
        </w:rPr>
        <w:t>-</w:t>
      </w:r>
      <w:r w:rsidR="008630B0" w:rsidRPr="003C67D4">
        <w:rPr>
          <w:rFonts w:cs="Arial"/>
          <w:szCs w:val="14"/>
        </w:rPr>
        <w:t>month measurement data, as the 48</w:t>
      </w:r>
      <w:r w:rsidR="0061047F">
        <w:rPr>
          <w:rFonts w:cs="Arial"/>
          <w:szCs w:val="14"/>
        </w:rPr>
        <w:t>-</w:t>
      </w:r>
      <w:r w:rsidR="008630B0" w:rsidRPr="003C67D4">
        <w:rPr>
          <w:rFonts w:cs="Arial"/>
          <w:szCs w:val="14"/>
        </w:rPr>
        <w:t xml:space="preserve">month measurement </w:t>
      </w:r>
      <w:r w:rsidR="00E54989" w:rsidRPr="003C67D4">
        <w:rPr>
          <w:rFonts w:cs="Arial"/>
          <w:szCs w:val="14"/>
        </w:rPr>
        <w:t xml:space="preserve">data is not yet </w:t>
      </w:r>
      <w:r w:rsidR="00CE3F74" w:rsidRPr="003C67D4">
        <w:rPr>
          <w:rFonts w:cs="Arial"/>
          <w:szCs w:val="14"/>
        </w:rPr>
        <w:t>available</w:t>
      </w:r>
      <w:r w:rsidR="003111D6" w:rsidRPr="003C67D4">
        <w:rPr>
          <w:rFonts w:cs="Arial"/>
          <w:szCs w:val="14"/>
        </w:rPr>
        <w:t>.</w:t>
      </w:r>
      <w:r w:rsidR="0059674B" w:rsidRPr="003C67D4">
        <w:rPr>
          <w:rFonts w:cs="Arial"/>
          <w:szCs w:val="14"/>
        </w:rPr>
        <w:t xml:space="preserve"> </w:t>
      </w:r>
    </w:p>
  </w:footnote>
  <w:footnote w:id="27">
    <w:p w14:paraId="664CAED0" w14:textId="6431FD45" w:rsidR="003572E1" w:rsidRDefault="003572E1">
      <w:pPr>
        <w:pStyle w:val="FootnoteText"/>
      </w:pPr>
      <w:r>
        <w:rPr>
          <w:rStyle w:val="FootnoteReference"/>
        </w:rPr>
        <w:footnoteRef/>
      </w:r>
      <w:r w:rsidR="00176137">
        <w:t xml:space="preserve"> </w:t>
      </w:r>
      <w:r w:rsidR="00176137" w:rsidRPr="00176137">
        <w:t>When interpreting results from the TICSPOT survey, a score of 5 represents the ‘most’ positive response to the question asked, while a score of 1 represents the ‘least’ positive response. In some instances, this can appear counterintuitive to the question asked, however standardising the scoring in this way allows for the comparison of responses between questions.</w:t>
      </w:r>
    </w:p>
  </w:footnote>
  <w:footnote w:id="28">
    <w:p w14:paraId="33963B8C" w14:textId="1E595581" w:rsidR="007B44AB" w:rsidRPr="00AF2660" w:rsidRDefault="007B44AB">
      <w:pPr>
        <w:pStyle w:val="FootnoteText"/>
        <w:rPr>
          <w:szCs w:val="14"/>
        </w:rPr>
      </w:pPr>
      <w:r w:rsidRPr="00AF2660">
        <w:rPr>
          <w:rStyle w:val="FootnoteReference"/>
          <w:szCs w:val="14"/>
        </w:rPr>
        <w:footnoteRef/>
      </w:r>
      <w:r w:rsidR="003572E1" w:rsidRPr="00AF2660">
        <w:rPr>
          <w:szCs w:val="14"/>
        </w:rPr>
        <w:t xml:space="preserve"> No significance testing was undertaken as part of the analysis of TICSPOT survey responses</w:t>
      </w:r>
      <w:r w:rsidR="0054322F" w:rsidRPr="003C67D4">
        <w:rPr>
          <w:szCs w:val="14"/>
        </w:rPr>
        <w:t>.</w:t>
      </w:r>
      <w:r w:rsidR="003572E1" w:rsidRPr="00AF2660">
        <w:rPr>
          <w:szCs w:val="14"/>
        </w:rPr>
        <w:t xml:space="preserve"> </w:t>
      </w:r>
    </w:p>
  </w:footnote>
  <w:footnote w:id="29">
    <w:p w14:paraId="07789064" w14:textId="5964F2C9" w:rsidR="007B44AB" w:rsidRDefault="007B44AB">
      <w:pPr>
        <w:pStyle w:val="FootnoteText"/>
      </w:pPr>
      <w:r w:rsidRPr="00AF2660">
        <w:rPr>
          <w:rStyle w:val="FootnoteReference"/>
          <w:szCs w:val="14"/>
        </w:rPr>
        <w:footnoteRef/>
      </w:r>
      <w:r w:rsidRPr="00AF2660">
        <w:rPr>
          <w:szCs w:val="14"/>
        </w:rPr>
        <w:t xml:space="preserve"> This section comments on changes in client score</w:t>
      </w:r>
      <w:r w:rsidR="00F34ADA" w:rsidRPr="00AF2660">
        <w:rPr>
          <w:szCs w:val="14"/>
        </w:rPr>
        <w:t xml:space="preserve">s from entry (initial) to exit. Further commentary on trends is provided </w:t>
      </w:r>
      <w:r w:rsidR="0002494C" w:rsidRPr="00AF2660">
        <w:rPr>
          <w:szCs w:val="14"/>
        </w:rPr>
        <w:t xml:space="preserve">in the accompanying Appendix on </w:t>
      </w:r>
      <w:r w:rsidR="008A038B">
        <w:rPr>
          <w:szCs w:val="14"/>
        </w:rPr>
        <w:t>p</w:t>
      </w:r>
      <w:r w:rsidR="0002494C" w:rsidRPr="00AF2660">
        <w:rPr>
          <w:szCs w:val="14"/>
        </w:rPr>
        <w:t xml:space="preserve">age </w:t>
      </w:r>
      <w:r w:rsidR="0002494C" w:rsidRPr="00AF2660">
        <w:rPr>
          <w:szCs w:val="14"/>
        </w:rPr>
        <w:fldChar w:fldCharType="begin"/>
      </w:r>
      <w:r w:rsidR="0002494C" w:rsidRPr="00AF2660">
        <w:rPr>
          <w:szCs w:val="14"/>
        </w:rPr>
        <w:instrText xml:space="preserve"> PAGEREF _Ref150236874 \h </w:instrText>
      </w:r>
      <w:r w:rsidR="0002494C" w:rsidRPr="00AF2660">
        <w:rPr>
          <w:szCs w:val="14"/>
        </w:rPr>
      </w:r>
      <w:r w:rsidR="0002494C" w:rsidRPr="00AF2660">
        <w:rPr>
          <w:szCs w:val="14"/>
        </w:rPr>
        <w:fldChar w:fldCharType="separate"/>
      </w:r>
      <w:r w:rsidR="0002494C" w:rsidRPr="00AF2660">
        <w:rPr>
          <w:noProof/>
          <w:szCs w:val="14"/>
        </w:rPr>
        <w:t>55</w:t>
      </w:r>
      <w:r w:rsidR="0002494C" w:rsidRPr="00AF2660">
        <w:rPr>
          <w:szCs w:val="14"/>
        </w:rPr>
        <w:fldChar w:fldCharType="end"/>
      </w:r>
      <w:r w:rsidR="0002494C" w:rsidRPr="00AF2660">
        <w:rPr>
          <w:szCs w:val="14"/>
        </w:rPr>
        <w:t>.</w:t>
      </w:r>
    </w:p>
  </w:footnote>
  <w:footnote w:id="30">
    <w:p w14:paraId="7871016E" w14:textId="4ABEA356" w:rsidR="00D00E9A" w:rsidRDefault="00D00E9A">
      <w:pPr>
        <w:pStyle w:val="FootnoteText"/>
      </w:pPr>
      <w:r>
        <w:rPr>
          <w:rStyle w:val="FootnoteReference"/>
        </w:rPr>
        <w:footnoteRef/>
      </w:r>
      <w:r w:rsidR="00160228">
        <w:t xml:space="preserve"> With the exception of responses relating to clients needing to manage housing issues</w:t>
      </w:r>
    </w:p>
  </w:footnote>
  <w:footnote w:id="31">
    <w:p w14:paraId="0D681FB1" w14:textId="269281A9" w:rsidR="005D6957" w:rsidRDefault="005D6957">
      <w:pPr>
        <w:pStyle w:val="FootnoteText"/>
      </w:pPr>
      <w:r>
        <w:rPr>
          <w:rStyle w:val="FootnoteReference"/>
        </w:rPr>
        <w:footnoteRef/>
      </w:r>
      <w:r>
        <w:t xml:space="preserve"> </w:t>
      </w:r>
      <w:r w:rsidRPr="005D6957">
        <w:t xml:space="preserve">Initial = program entry survey, R01 = review 1 (6 months), R02 = review 2 (12 months), R03 = review 3 (18 months), R04 = review 4 (24 months), R05 = review 5 (30 months), Exit = program exit </w:t>
      </w:r>
    </w:p>
  </w:footnote>
  <w:footnote w:id="32">
    <w:p w14:paraId="1A331654" w14:textId="2884C869" w:rsidR="008C22A8" w:rsidRDefault="008C22A8">
      <w:pPr>
        <w:pStyle w:val="FootnoteText"/>
      </w:pPr>
    </w:p>
  </w:footnote>
  <w:footnote w:id="33">
    <w:p w14:paraId="03FABE33" w14:textId="5E8F35C8" w:rsidR="000D1D50" w:rsidRPr="000D1D50" w:rsidRDefault="000D1D50">
      <w:pPr>
        <w:pStyle w:val="FootnoteText"/>
        <w:rPr>
          <w:rFonts w:cs="Arial"/>
          <w:szCs w:val="14"/>
        </w:rPr>
      </w:pPr>
      <w:r w:rsidRPr="000D1D50">
        <w:rPr>
          <w:rStyle w:val="FootnoteReference"/>
          <w:rFonts w:cs="Arial"/>
          <w:szCs w:val="14"/>
        </w:rPr>
        <w:footnoteRef/>
      </w:r>
      <w:r w:rsidRPr="000D1D50">
        <w:rPr>
          <w:rFonts w:cs="Arial"/>
          <w:szCs w:val="14"/>
        </w:rPr>
        <w:t xml:space="preserve"> When interpreting results from the TICSPOT survey, a score of 5 represents the ‘most’ positive response to the question asked, while a score of 1 represents the ‘least’ positive response. In some instances, this can appear counterintuitive to the question asked, however standardising the scoring in this way allows for the comparison of responses between questions.</w:t>
      </w:r>
    </w:p>
  </w:footnote>
  <w:footnote w:id="34">
    <w:p w14:paraId="006C9BFF" w14:textId="77777777" w:rsidR="00504E94" w:rsidRPr="003E361D" w:rsidRDefault="00504E94" w:rsidP="00504E94">
      <w:pPr>
        <w:pStyle w:val="FootnoteText"/>
        <w:rPr>
          <w:szCs w:val="14"/>
        </w:rPr>
      </w:pPr>
      <w:r w:rsidRPr="003E361D">
        <w:rPr>
          <w:rStyle w:val="FootnoteReference"/>
          <w:szCs w:val="14"/>
        </w:rPr>
        <w:footnoteRef/>
      </w:r>
      <w:r w:rsidRPr="003E361D">
        <w:rPr>
          <w:szCs w:val="14"/>
        </w:rPr>
        <w:t xml:space="preserve"> Average across the three cohorts </w:t>
      </w:r>
    </w:p>
  </w:footnote>
  <w:footnote w:id="35">
    <w:p w14:paraId="61A93E81" w14:textId="5196A920" w:rsidR="00504E94" w:rsidRDefault="00504E94" w:rsidP="00504E94">
      <w:pPr>
        <w:pStyle w:val="FootnoteText"/>
      </w:pPr>
      <w:r>
        <w:rPr>
          <w:rStyle w:val="FootnoteReference"/>
        </w:rPr>
        <w:footnoteRef/>
      </w:r>
      <w:r>
        <w:t xml:space="preserve"> The baseline represents clients</w:t>
      </w:r>
      <w:r w:rsidR="00754971">
        <w:t>’</w:t>
      </w:r>
      <w:r>
        <w:t xml:space="preserve"> average monthly service use in the 2.5 years prior to commending in the program</w:t>
      </w:r>
    </w:p>
  </w:footnote>
  <w:footnote w:id="36">
    <w:p w14:paraId="574BBF70" w14:textId="6EED2C3C" w:rsidR="005D56DC" w:rsidRPr="006F0064" w:rsidRDefault="005D56DC">
      <w:pPr>
        <w:pStyle w:val="FootnoteText"/>
        <w:rPr>
          <w:rFonts w:cs="Arial"/>
          <w:szCs w:val="14"/>
        </w:rPr>
      </w:pPr>
      <w:r w:rsidRPr="006F0064">
        <w:rPr>
          <w:rStyle w:val="FootnoteReference"/>
          <w:rFonts w:cs="Arial"/>
          <w:szCs w:val="14"/>
        </w:rPr>
        <w:footnoteRef/>
      </w:r>
      <w:r w:rsidR="002F490A" w:rsidRPr="006F0064">
        <w:rPr>
          <w:rFonts w:cs="Arial"/>
          <w:szCs w:val="14"/>
        </w:rPr>
        <w:t xml:space="preserve"> </w:t>
      </w:r>
      <w:r w:rsidR="006F0064" w:rsidRPr="006F0064">
        <w:rPr>
          <w:rFonts w:cs="Arial"/>
          <w:szCs w:val="14"/>
        </w:rPr>
        <w:t xml:space="preserve">Service utilisation trends are only shown until </w:t>
      </w:r>
      <w:r w:rsidR="008A54CE" w:rsidRPr="006F0064">
        <w:rPr>
          <w:rFonts w:cs="Arial"/>
          <w:szCs w:val="14"/>
        </w:rPr>
        <w:t xml:space="preserve">30 months for total clients and for Cohort 3 clients, </w:t>
      </w:r>
      <w:r w:rsidR="002D1ADC">
        <w:rPr>
          <w:rFonts w:cs="Arial"/>
          <w:szCs w:val="14"/>
        </w:rPr>
        <w:t xml:space="preserve">as the linked data is only available until December 2022. At this point, J2SI PAD Cohort 3 </w:t>
      </w:r>
      <w:r w:rsidR="0041255F">
        <w:rPr>
          <w:rFonts w:cs="Arial"/>
          <w:szCs w:val="14"/>
        </w:rPr>
        <w:t xml:space="preserve">clients </w:t>
      </w:r>
      <w:r w:rsidR="002D1ADC">
        <w:rPr>
          <w:rFonts w:cs="Arial"/>
          <w:szCs w:val="14"/>
        </w:rPr>
        <w:t xml:space="preserve">still had approximately </w:t>
      </w:r>
      <w:r w:rsidR="0041255F">
        <w:rPr>
          <w:rFonts w:cs="Arial"/>
          <w:szCs w:val="14"/>
        </w:rPr>
        <w:t>eight</w:t>
      </w:r>
      <w:r w:rsidR="002D1ADC">
        <w:rPr>
          <w:rFonts w:cs="Arial"/>
          <w:szCs w:val="14"/>
        </w:rPr>
        <w:t xml:space="preserve"> months of the program </w:t>
      </w:r>
      <w:r w:rsidR="0041255F">
        <w:rPr>
          <w:rFonts w:cs="Arial"/>
          <w:szCs w:val="14"/>
        </w:rPr>
        <w:t>remaining</w:t>
      </w:r>
      <w:r w:rsidR="002D1ADC">
        <w:rPr>
          <w:rFonts w:cs="Arial"/>
          <w:szCs w:val="14"/>
        </w:rPr>
        <w:t xml:space="preserve">. </w:t>
      </w:r>
      <w:r w:rsidR="00D62578">
        <w:rPr>
          <w:rFonts w:cs="Arial"/>
          <w:szCs w:val="14"/>
        </w:rPr>
        <w:t xml:space="preserve">Please note the ‘baseline’ measurement included within the </w:t>
      </w:r>
      <w:r w:rsidR="0057308B">
        <w:rPr>
          <w:rFonts w:cs="Arial"/>
          <w:szCs w:val="14"/>
        </w:rPr>
        <w:t>VSIIDR service use</w:t>
      </w:r>
      <w:r w:rsidR="00054B33">
        <w:rPr>
          <w:rFonts w:cs="Arial"/>
          <w:szCs w:val="14"/>
        </w:rPr>
        <w:t>d</w:t>
      </w:r>
      <w:r w:rsidR="0057308B">
        <w:rPr>
          <w:rFonts w:cs="Arial"/>
          <w:szCs w:val="14"/>
        </w:rPr>
        <w:t xml:space="preserve"> graphs throughout this section represent </w:t>
      </w:r>
      <w:r w:rsidR="00012194">
        <w:rPr>
          <w:rFonts w:cs="Arial"/>
          <w:szCs w:val="14"/>
        </w:rPr>
        <w:t>clients’</w:t>
      </w:r>
      <w:r w:rsidR="0057308B">
        <w:rPr>
          <w:rFonts w:cs="Arial"/>
          <w:szCs w:val="14"/>
        </w:rPr>
        <w:t xml:space="preserve"> average </w:t>
      </w:r>
      <w:r w:rsidR="00FE2102">
        <w:rPr>
          <w:rFonts w:cs="Arial"/>
          <w:szCs w:val="14"/>
        </w:rPr>
        <w:t>presentation/use/hours per month per person in the 2.5 years prior to the client entering into the program.</w:t>
      </w:r>
    </w:p>
  </w:footnote>
  <w:footnote w:id="37">
    <w:p w14:paraId="700168F7" w14:textId="7D7263E7" w:rsidR="001A7EBB" w:rsidRPr="00453B68" w:rsidRDefault="001A7EBB" w:rsidP="009572B1">
      <w:pPr>
        <w:pStyle w:val="FootnoteText"/>
        <w:rPr>
          <w:rFonts w:cs="Arial"/>
          <w:szCs w:val="14"/>
        </w:rPr>
      </w:pPr>
      <w:r w:rsidRPr="00453B68">
        <w:rPr>
          <w:rStyle w:val="FootnoteReference"/>
          <w:rFonts w:cs="Arial"/>
          <w:szCs w:val="14"/>
        </w:rPr>
        <w:footnoteRef/>
      </w:r>
      <w:r w:rsidRPr="00453B68">
        <w:rPr>
          <w:rFonts w:cs="Arial"/>
          <w:szCs w:val="14"/>
        </w:rPr>
        <w:t xml:space="preserve"> </w:t>
      </w:r>
      <w:r w:rsidR="00841627" w:rsidRPr="00453B68">
        <w:rPr>
          <w:rFonts w:cs="Arial"/>
          <w:szCs w:val="14"/>
        </w:rPr>
        <w:t>Parliament of Victoria Legislative Council (2018). Inquiry into the Public Housing Renewal Program. Accessed from</w:t>
      </w:r>
      <w:r w:rsidR="00D06F1B">
        <w:rPr>
          <w:rFonts w:cs="Arial"/>
          <w:szCs w:val="14"/>
        </w:rPr>
        <w:t>:</w:t>
      </w:r>
      <w:r w:rsidR="00841627" w:rsidRPr="00453B68">
        <w:rPr>
          <w:rFonts w:cs="Arial"/>
          <w:szCs w:val="14"/>
        </w:rPr>
        <w:t xml:space="preserve"> </w:t>
      </w:r>
      <w:hyperlink r:id="rId3" w:history="1">
        <w:r w:rsidR="00841627" w:rsidRPr="00453B68">
          <w:rPr>
            <w:rStyle w:val="Hyperlink"/>
            <w:rFonts w:cs="Arial"/>
            <w:szCs w:val="14"/>
          </w:rPr>
          <w:t>https://new.parliament.vic.gov.au/4a80e1/contentassets/c0fced4491df40e5a8e95c27aa7350c3/lsic_58-11_phrp_text_web.pdf</w:t>
        </w:r>
      </w:hyperlink>
      <w:r w:rsidR="00841627" w:rsidRPr="00453B68">
        <w:rPr>
          <w:rFonts w:cs="Arial"/>
          <w:szCs w:val="14"/>
        </w:rPr>
        <w:t xml:space="preserve">. </w:t>
      </w:r>
    </w:p>
  </w:footnote>
  <w:footnote w:id="38">
    <w:p w14:paraId="4CFACA85" w14:textId="148CED25" w:rsidR="00404A64" w:rsidRDefault="00404A64">
      <w:pPr>
        <w:pStyle w:val="FootnoteText"/>
      </w:pPr>
      <w:r w:rsidRPr="00453B68">
        <w:rPr>
          <w:rStyle w:val="FootnoteReference"/>
          <w:rFonts w:cs="Arial"/>
          <w:szCs w:val="14"/>
        </w:rPr>
        <w:footnoteRef/>
      </w:r>
      <w:r w:rsidRPr="00453B68">
        <w:rPr>
          <w:rFonts w:cs="Arial"/>
          <w:szCs w:val="14"/>
        </w:rPr>
        <w:t xml:space="preserve"> Homes Victoria</w:t>
      </w:r>
      <w:r w:rsidR="009563CC" w:rsidRPr="00453B68">
        <w:rPr>
          <w:rFonts w:cs="Arial"/>
          <w:szCs w:val="14"/>
        </w:rPr>
        <w:t xml:space="preserve"> (2023).</w:t>
      </w:r>
      <w:r w:rsidRPr="00453B68">
        <w:rPr>
          <w:rFonts w:cs="Arial"/>
          <w:szCs w:val="14"/>
        </w:rPr>
        <w:t xml:space="preserve"> Applications on the Victorian Housing Register (VHR)</w:t>
      </w:r>
      <w:r w:rsidR="009563CC" w:rsidRPr="00453B68">
        <w:rPr>
          <w:rFonts w:cs="Arial"/>
          <w:szCs w:val="14"/>
        </w:rPr>
        <w:t xml:space="preserve"> [web]. Accessed from</w:t>
      </w:r>
      <w:r w:rsidR="00D06F1B">
        <w:rPr>
          <w:rFonts w:cs="Arial"/>
          <w:szCs w:val="14"/>
        </w:rPr>
        <w:t>:</w:t>
      </w:r>
      <w:r w:rsidR="009563CC" w:rsidRPr="00453B68">
        <w:rPr>
          <w:rFonts w:cs="Arial"/>
          <w:szCs w:val="14"/>
        </w:rPr>
        <w:t xml:space="preserve"> </w:t>
      </w:r>
      <w:hyperlink r:id="rId4" w:history="1">
        <w:r w:rsidR="009563CC" w:rsidRPr="00453B68">
          <w:rPr>
            <w:rStyle w:val="Hyperlink"/>
            <w:rFonts w:cs="Arial"/>
            <w:szCs w:val="14"/>
          </w:rPr>
          <w:t>https://www.homes.vic.gov.au/applications-victorian-housing-register-vhr</w:t>
        </w:r>
      </w:hyperlink>
      <w:r w:rsidR="009563CC" w:rsidRPr="00453B68">
        <w:rPr>
          <w:rFonts w:cs="Arial"/>
          <w:szCs w:val="14"/>
        </w:rPr>
        <w:t>.</w:t>
      </w:r>
      <w:r w:rsidR="009563CC">
        <w:t xml:space="preserve"> </w:t>
      </w:r>
    </w:p>
  </w:footnote>
  <w:footnote w:id="39">
    <w:p w14:paraId="0215A793" w14:textId="77777777" w:rsidR="00EB7C3F" w:rsidRPr="0056344A" w:rsidRDefault="00EB7C3F" w:rsidP="00EB7C3F">
      <w:pPr>
        <w:pStyle w:val="FootnoteText"/>
        <w:rPr>
          <w:rFonts w:cs="Arial"/>
          <w:szCs w:val="14"/>
        </w:rPr>
      </w:pPr>
      <w:r w:rsidRPr="0056344A">
        <w:rPr>
          <w:rStyle w:val="FootnoteReference"/>
          <w:rFonts w:cs="Arial"/>
          <w:szCs w:val="14"/>
        </w:rPr>
        <w:footnoteRef/>
      </w:r>
      <w:r w:rsidRPr="0056344A">
        <w:rPr>
          <w:rFonts w:cs="Arial"/>
          <w:szCs w:val="14"/>
        </w:rPr>
        <w:t xml:space="preserve"> AHURI. (2018) What is the Housing First model and how does it help those experiencing homelessness? Accessed from: https://www.ahuri.edu.au/analysis/brief/what-housing-first-model-and-how-does-it-help-those-experiencing-homelessness</w:t>
      </w:r>
    </w:p>
  </w:footnote>
  <w:footnote w:id="40">
    <w:p w14:paraId="338F5953" w14:textId="390D66A8" w:rsidR="00080FB5" w:rsidRPr="007A2619" w:rsidRDefault="00080FB5">
      <w:pPr>
        <w:pStyle w:val="FootnoteText"/>
        <w:rPr>
          <w:rFonts w:cs="Arial"/>
          <w:szCs w:val="14"/>
        </w:rPr>
      </w:pPr>
      <w:r w:rsidRPr="007A2619">
        <w:rPr>
          <w:rStyle w:val="FootnoteReference"/>
          <w:rFonts w:cs="Arial"/>
          <w:szCs w:val="14"/>
        </w:rPr>
        <w:footnoteRef/>
      </w:r>
      <w:r w:rsidRPr="007A2619">
        <w:rPr>
          <w:rFonts w:cs="Arial"/>
          <w:szCs w:val="14"/>
        </w:rPr>
        <w:t xml:space="preserve"> The seven</w:t>
      </w:r>
      <w:r w:rsidR="007A2619" w:rsidRPr="007A2619">
        <w:rPr>
          <w:rFonts w:cs="Arial"/>
          <w:szCs w:val="14"/>
        </w:rPr>
        <w:t xml:space="preserve"> client</w:t>
      </w:r>
      <w:r w:rsidRPr="007A2619">
        <w:rPr>
          <w:rFonts w:cs="Arial"/>
          <w:szCs w:val="14"/>
        </w:rPr>
        <w:t xml:space="preserve"> </w:t>
      </w:r>
      <w:r w:rsidR="001231BB" w:rsidRPr="007A2619">
        <w:rPr>
          <w:rFonts w:cs="Arial"/>
          <w:szCs w:val="14"/>
        </w:rPr>
        <w:t>outcome</w:t>
      </w:r>
      <w:r w:rsidR="007A2619" w:rsidRPr="007A2619">
        <w:rPr>
          <w:rFonts w:cs="Arial"/>
          <w:szCs w:val="14"/>
        </w:rPr>
        <w:t xml:space="preserve">s </w:t>
      </w:r>
      <w:r w:rsidR="001231BB" w:rsidRPr="007A2619">
        <w:rPr>
          <w:rFonts w:cs="Arial"/>
          <w:szCs w:val="14"/>
        </w:rPr>
        <w:t>collected as part of the PbR are: increased stable housing,</w:t>
      </w:r>
      <w:r w:rsidR="007A2619" w:rsidRPr="007A2619">
        <w:rPr>
          <w:rFonts w:cs="Arial"/>
          <w:szCs w:val="14"/>
        </w:rPr>
        <w:t xml:space="preserve"> reduced hospital bed days, reduced rough sleeping episodes, reduced ED presentations, reduced police interactions, increased independence and increased social connectiveness</w:t>
      </w:r>
    </w:p>
  </w:footnote>
  <w:footnote w:id="41">
    <w:p w14:paraId="337BF239" w14:textId="2D98B76F" w:rsidR="00937DBC" w:rsidRPr="00A72BFD" w:rsidRDefault="00937DBC" w:rsidP="00937DBC">
      <w:pPr>
        <w:pStyle w:val="FootnoteText"/>
        <w:rPr>
          <w:rFonts w:cs="Arial"/>
          <w:szCs w:val="14"/>
        </w:rPr>
      </w:pPr>
      <w:r w:rsidRPr="00A72BFD">
        <w:rPr>
          <w:rStyle w:val="FootnoteReference"/>
          <w:rFonts w:cs="Arial"/>
          <w:szCs w:val="14"/>
        </w:rPr>
        <w:footnoteRef/>
      </w:r>
      <w:r w:rsidR="00754B67">
        <w:rPr>
          <w:rFonts w:cs="Arial"/>
          <w:szCs w:val="14"/>
        </w:rPr>
        <w:t xml:space="preserve"> </w:t>
      </w:r>
      <w:r w:rsidR="00754B67" w:rsidRPr="00754B67">
        <w:rPr>
          <w:rFonts w:cs="Arial"/>
          <w:szCs w:val="14"/>
        </w:rPr>
        <w:t>Parkinson, S., &amp; Johnson, G. (2014). Integrated intensive case management in practice: Final process evaluation of the Journey to Social Inclusion program. Available at SSRN 3475963.</w:t>
      </w:r>
    </w:p>
  </w:footnote>
  <w:footnote w:id="42">
    <w:p w14:paraId="35083239" w14:textId="3B16C356" w:rsidR="00937DBC" w:rsidRDefault="00937DBC" w:rsidP="00937DBC">
      <w:pPr>
        <w:pStyle w:val="FootnoteText"/>
      </w:pPr>
      <w:r w:rsidRPr="00A72BFD">
        <w:rPr>
          <w:rStyle w:val="FootnoteReference"/>
          <w:rFonts w:cs="Arial"/>
          <w:szCs w:val="14"/>
        </w:rPr>
        <w:footnoteRef/>
      </w:r>
      <w:r w:rsidRPr="00A72BFD">
        <w:rPr>
          <w:rFonts w:cs="Arial"/>
          <w:szCs w:val="14"/>
        </w:rPr>
        <w:t xml:space="preserve"> </w:t>
      </w:r>
      <w:r w:rsidR="00F615FA" w:rsidRPr="00F615FA">
        <w:rPr>
          <w:rFonts w:cs="Arial"/>
          <w:szCs w:val="14"/>
        </w:rPr>
        <w:t>Seivwright, A., Callis, Z., Thielking, M., &amp; Flatau, P. (2020). Chronic homelessness in Melbourne: third-year outcomes of Journey to Social Inclusion Phase 2 study participants.</w:t>
      </w:r>
    </w:p>
  </w:footnote>
  <w:footnote w:id="43">
    <w:p w14:paraId="62C07FCD" w14:textId="6799B2B3" w:rsidR="00D17052" w:rsidRDefault="00D17052">
      <w:pPr>
        <w:pStyle w:val="FootnoteText"/>
      </w:pPr>
      <w:r>
        <w:rPr>
          <w:rStyle w:val="FootnoteReference"/>
        </w:rPr>
        <w:footnoteRef/>
      </w:r>
      <w:r>
        <w:t xml:space="preserve"> </w:t>
      </w:r>
      <w:r w:rsidR="008B6306" w:rsidRPr="008B6306">
        <w:rPr>
          <w:rFonts w:cs="Arial"/>
          <w:szCs w:val="14"/>
        </w:rPr>
        <w:t>J2SI JWG – Meeting 11 – 11 March 2021 – Year 4 Support for Cohort 1 (internal documentation provided to KPMG)</w:t>
      </w:r>
    </w:p>
  </w:footnote>
  <w:footnote w:id="44">
    <w:p w14:paraId="0BC00881" w14:textId="1DE472CF" w:rsidR="00BE2F02" w:rsidRPr="002A21FE" w:rsidRDefault="00BE2F02" w:rsidP="00BE2F02">
      <w:pPr>
        <w:pStyle w:val="FootnoteText"/>
        <w:rPr>
          <w:rFonts w:cs="Arial"/>
          <w:szCs w:val="14"/>
        </w:rPr>
      </w:pPr>
      <w:r w:rsidRPr="002A21FE">
        <w:rPr>
          <w:rStyle w:val="FootnoteReference"/>
          <w:rFonts w:cs="Arial"/>
          <w:szCs w:val="14"/>
        </w:rPr>
        <w:footnoteRef/>
      </w:r>
      <w:r w:rsidRPr="002A21FE">
        <w:rPr>
          <w:rFonts w:cs="Arial"/>
          <w:szCs w:val="14"/>
        </w:rPr>
        <w:t xml:space="preserve"> </w:t>
      </w:r>
      <w:r w:rsidR="00650316" w:rsidRPr="002A21FE">
        <w:rPr>
          <w:rFonts w:cs="Arial"/>
          <w:szCs w:val="14"/>
        </w:rPr>
        <w:t>State of Victoria</w:t>
      </w:r>
      <w:r w:rsidR="00F615FA" w:rsidRPr="002A21FE">
        <w:rPr>
          <w:rFonts w:cs="Arial"/>
          <w:szCs w:val="14"/>
        </w:rPr>
        <w:t xml:space="preserve">. (2022). Partnerships Addressing Disadvantage. </w:t>
      </w:r>
      <w:r w:rsidR="00650316" w:rsidRPr="002A21FE">
        <w:rPr>
          <w:rFonts w:cs="Arial"/>
          <w:szCs w:val="14"/>
        </w:rPr>
        <w:t>Department of Treasury and Finance. Accessed from:</w:t>
      </w:r>
      <w:r w:rsidR="00F615FA" w:rsidRPr="002A21FE">
        <w:rPr>
          <w:rFonts w:cs="Arial"/>
          <w:szCs w:val="14"/>
        </w:rPr>
        <w:t xml:space="preserve"> </w:t>
      </w:r>
      <w:hyperlink r:id="rId5" w:history="1">
        <w:r w:rsidR="00F615FA" w:rsidRPr="002A21FE">
          <w:rPr>
            <w:rStyle w:val="Hyperlink"/>
            <w:rFonts w:cs="Arial"/>
            <w:szCs w:val="14"/>
          </w:rPr>
          <w:t>https://www.dtf.vic.gov.au/funds-programs-and-policies/partnerships-addressing-disadvantage</w:t>
        </w:r>
      </w:hyperlink>
      <w:r w:rsidR="00F615FA" w:rsidRPr="002A21FE">
        <w:rPr>
          <w:rFonts w:cs="Arial"/>
          <w:szCs w:val="14"/>
        </w:rPr>
        <w:t xml:space="preserve"> </w:t>
      </w:r>
    </w:p>
  </w:footnote>
  <w:footnote w:id="45">
    <w:p w14:paraId="6112F821" w14:textId="69FD9206" w:rsidR="00BE2F02" w:rsidRPr="00923E2A" w:rsidRDefault="00BE2F02" w:rsidP="00BE2F02">
      <w:pPr>
        <w:pStyle w:val="FootnoteText"/>
        <w:rPr>
          <w:szCs w:val="14"/>
        </w:rPr>
      </w:pPr>
      <w:r w:rsidRPr="0086546C">
        <w:rPr>
          <w:rStyle w:val="FootnoteReference"/>
          <w:rFonts w:cs="Arial"/>
          <w:sz w:val="16"/>
          <w:szCs w:val="16"/>
        </w:rPr>
        <w:footnoteRef/>
      </w:r>
      <w:r w:rsidR="00650316">
        <w:t xml:space="preserve"> State of Victoria. (</w:t>
      </w:r>
      <w:r w:rsidR="00650316" w:rsidRPr="00923E2A">
        <w:t>2022</w:t>
      </w:r>
      <w:r w:rsidR="00650316">
        <w:t xml:space="preserve">). </w:t>
      </w:r>
      <w:r w:rsidR="0063166A">
        <w:t>Early Intervention Investment Framework</w:t>
      </w:r>
      <w:r w:rsidR="00650316">
        <w:t xml:space="preserve">. Department of Treasury and Finance. Accessed from: </w:t>
      </w:r>
      <w:r w:rsidRPr="0086546C">
        <w:t xml:space="preserve"> </w:t>
      </w:r>
      <w:hyperlink r:id="rId6" w:history="1">
        <w:r w:rsidR="00650316" w:rsidRPr="00455692">
          <w:rPr>
            <w:rStyle w:val="Hyperlink"/>
            <w:rFonts w:cs="Arial"/>
            <w:szCs w:val="14"/>
          </w:rPr>
          <w:t>https://www.dtf.vic.gov.au/funds-programs-and-policies/early-intervention-investment-framework</w:t>
        </w:r>
      </w:hyperlink>
      <w:r w:rsidR="00650316" w:rsidRPr="00923E2A">
        <w:rPr>
          <w:szCs w:val="14"/>
        </w:rPr>
        <w:t xml:space="preserve"> </w:t>
      </w:r>
    </w:p>
  </w:footnote>
  <w:footnote w:id="46">
    <w:p w14:paraId="31DF7AD2" w14:textId="195F470B" w:rsidR="00C265D8" w:rsidRPr="00AD72E3" w:rsidRDefault="00C265D8">
      <w:pPr>
        <w:pStyle w:val="FootnoteText"/>
        <w:rPr>
          <w:rFonts w:cs="Arial"/>
          <w:szCs w:val="14"/>
        </w:rPr>
      </w:pPr>
      <w:r w:rsidRPr="00AD72E3">
        <w:rPr>
          <w:rStyle w:val="FootnoteReference"/>
          <w:rFonts w:cs="Arial"/>
          <w:szCs w:val="14"/>
        </w:rPr>
        <w:footnoteRef/>
      </w:r>
      <w:r w:rsidRPr="00AD72E3">
        <w:rPr>
          <w:rFonts w:cs="Arial"/>
          <w:szCs w:val="14"/>
        </w:rPr>
        <w:t xml:space="preserve"> TICSPOT 2.0</w:t>
      </w:r>
      <w:r w:rsidR="0043567E" w:rsidRPr="00AD72E3">
        <w:rPr>
          <w:rFonts w:cs="Arial"/>
          <w:szCs w:val="14"/>
        </w:rPr>
        <w:t xml:space="preserve"> was refined </w:t>
      </w:r>
      <w:r w:rsidR="0048079E" w:rsidRPr="00AD72E3">
        <w:rPr>
          <w:rFonts w:cs="Arial"/>
          <w:szCs w:val="14"/>
        </w:rPr>
        <w:t>to reduce</w:t>
      </w:r>
      <w:r w:rsidR="00786DCC">
        <w:rPr>
          <w:rFonts w:cs="Arial"/>
          <w:szCs w:val="14"/>
        </w:rPr>
        <w:t xml:space="preserve"> the</w:t>
      </w:r>
      <w:r w:rsidR="0043567E" w:rsidRPr="00AD72E3">
        <w:rPr>
          <w:rFonts w:cs="Arial"/>
          <w:szCs w:val="14"/>
        </w:rPr>
        <w:t xml:space="preserve"> length</w:t>
      </w:r>
      <w:r w:rsidR="006966AF">
        <w:rPr>
          <w:rFonts w:cs="Arial"/>
          <w:szCs w:val="14"/>
        </w:rPr>
        <w:t xml:space="preserve"> of time</w:t>
      </w:r>
      <w:r w:rsidR="00786DCC">
        <w:rPr>
          <w:rFonts w:cs="Arial"/>
          <w:szCs w:val="14"/>
        </w:rPr>
        <w:t xml:space="preserve"> </w:t>
      </w:r>
      <w:r w:rsidR="00A471AC">
        <w:rPr>
          <w:rFonts w:cs="Arial"/>
          <w:szCs w:val="14"/>
        </w:rPr>
        <w:t xml:space="preserve">required </w:t>
      </w:r>
      <w:r w:rsidR="00786DCC">
        <w:rPr>
          <w:rFonts w:cs="Arial"/>
          <w:szCs w:val="14"/>
        </w:rPr>
        <w:t>to complete each survey</w:t>
      </w:r>
      <w:r w:rsidR="0048079E" w:rsidRPr="00AD72E3">
        <w:rPr>
          <w:rFonts w:cs="Arial"/>
          <w:szCs w:val="14"/>
        </w:rPr>
        <w:t>,</w:t>
      </w:r>
      <w:r w:rsidR="0043567E" w:rsidRPr="00AD72E3">
        <w:rPr>
          <w:rFonts w:cs="Arial"/>
          <w:szCs w:val="14"/>
        </w:rPr>
        <w:t xml:space="preserve"> and </w:t>
      </w:r>
      <w:r w:rsidR="00C54B08" w:rsidRPr="00AD72E3">
        <w:rPr>
          <w:rFonts w:cs="Arial"/>
          <w:szCs w:val="14"/>
        </w:rPr>
        <w:t xml:space="preserve">applied more efficient </w:t>
      </w:r>
      <w:r w:rsidR="00F75F93" w:rsidRPr="00AD72E3">
        <w:rPr>
          <w:rFonts w:cs="Arial"/>
          <w:szCs w:val="14"/>
        </w:rPr>
        <w:t xml:space="preserve">data input, analysis and report generation functions, compared to the original TICSPOT survey used for J2SI </w:t>
      </w:r>
      <w:r w:rsidR="009C7EFD">
        <w:rPr>
          <w:rFonts w:cs="Arial"/>
          <w:szCs w:val="14"/>
        </w:rPr>
        <w:t xml:space="preserve">Phase 2 </w:t>
      </w:r>
      <w:r w:rsidR="0048079E" w:rsidRPr="00AD72E3">
        <w:rPr>
          <w:rFonts w:cs="Arial"/>
          <w:szCs w:val="14"/>
        </w:rPr>
        <w:t xml:space="preserve">RCT and other SHM programs. </w:t>
      </w:r>
    </w:p>
  </w:footnote>
  <w:footnote w:id="47">
    <w:p w14:paraId="641F8E94" w14:textId="77777777" w:rsidR="00E0660D" w:rsidRPr="0091235F" w:rsidRDefault="00E0660D" w:rsidP="00E0660D">
      <w:pPr>
        <w:pStyle w:val="FootnoteText"/>
        <w:rPr>
          <w:rFonts w:cs="Arial"/>
          <w:szCs w:val="14"/>
        </w:rPr>
      </w:pPr>
      <w:r w:rsidRPr="0091235F">
        <w:rPr>
          <w:rStyle w:val="FootnoteReference"/>
          <w:rFonts w:cs="Arial"/>
          <w:szCs w:val="14"/>
        </w:rPr>
        <w:footnoteRef/>
      </w:r>
      <w:r w:rsidRPr="0091235F">
        <w:rPr>
          <w:rFonts w:cs="Arial"/>
          <w:szCs w:val="14"/>
        </w:rPr>
        <w:t xml:space="preserve"> It is noted, however, that that </w:t>
      </w:r>
      <w:r w:rsidR="00282C65" w:rsidRPr="0091235F">
        <w:rPr>
          <w:rFonts w:cs="Arial"/>
          <w:szCs w:val="14"/>
        </w:rPr>
        <w:t>PbR</w:t>
      </w:r>
      <w:r w:rsidRPr="0091235F">
        <w:rPr>
          <w:rFonts w:cs="Arial"/>
          <w:szCs w:val="14"/>
        </w:rPr>
        <w:t xml:space="preserve"> retains the same two payable outcomes as the PAD, with other client outcome measures being for program reporting only.</w:t>
      </w:r>
    </w:p>
  </w:footnote>
  <w:footnote w:id="48">
    <w:p w14:paraId="63109D0D" w14:textId="1352FBAB" w:rsidR="00887D90" w:rsidRPr="00D77DCF" w:rsidRDefault="00887D90" w:rsidP="00887D90">
      <w:pPr>
        <w:pStyle w:val="FootnoteText"/>
        <w:rPr>
          <w:rFonts w:cs="Arial"/>
          <w:szCs w:val="14"/>
        </w:rPr>
      </w:pPr>
      <w:r w:rsidRPr="00B066D0">
        <w:rPr>
          <w:rStyle w:val="FootnoteReference"/>
          <w:rFonts w:cs="Arial"/>
          <w:szCs w:val="14"/>
        </w:rPr>
        <w:footnoteRef/>
      </w:r>
      <w:r w:rsidR="00772451" w:rsidRPr="00B066D0">
        <w:rPr>
          <w:rFonts w:cs="Arial"/>
          <w:szCs w:val="14"/>
        </w:rPr>
        <w:t xml:space="preserve"> </w:t>
      </w:r>
      <w:r w:rsidR="00E26570" w:rsidRPr="00B066D0">
        <w:rPr>
          <w:rFonts w:cs="Arial"/>
          <w:szCs w:val="14"/>
        </w:rPr>
        <w:t>PADs</w:t>
      </w:r>
      <w:r w:rsidR="00E26570">
        <w:rPr>
          <w:rFonts w:cs="Arial"/>
          <w:szCs w:val="14"/>
        </w:rPr>
        <w:t xml:space="preserve"> currently underway which have been introduced since the J2SI PAD are the Living Learning, Side by Side, and Arc programs</w:t>
      </w:r>
      <w:r w:rsidR="00811110">
        <w:rPr>
          <w:rFonts w:cs="Arial"/>
          <w:szCs w:val="14"/>
        </w:rPr>
        <w:t xml:space="preserve"> focusing </w:t>
      </w:r>
      <w:r w:rsidR="00D11CF7">
        <w:rPr>
          <w:rFonts w:cs="Arial"/>
          <w:szCs w:val="14"/>
        </w:rPr>
        <w:t xml:space="preserve">respectively </w:t>
      </w:r>
      <w:r w:rsidR="00811110">
        <w:rPr>
          <w:rFonts w:cs="Arial"/>
          <w:szCs w:val="14"/>
        </w:rPr>
        <w:t xml:space="preserve">on education and wraparound mental health support for young people, students and family support for primary school students, and </w:t>
      </w:r>
      <w:r w:rsidR="00D11CF7">
        <w:rPr>
          <w:rFonts w:cs="Arial"/>
          <w:szCs w:val="14"/>
        </w:rPr>
        <w:t xml:space="preserve">homelessness </w:t>
      </w:r>
      <w:r w:rsidR="00811110">
        <w:rPr>
          <w:rFonts w:cs="Arial"/>
          <w:szCs w:val="14"/>
        </w:rPr>
        <w:t>supp</w:t>
      </w:r>
      <w:r w:rsidR="00D11CF7">
        <w:rPr>
          <w:rFonts w:cs="Arial"/>
          <w:szCs w:val="14"/>
        </w:rPr>
        <w:t>ort post-release from prison.</w:t>
      </w:r>
    </w:p>
  </w:footnote>
  <w:footnote w:id="49">
    <w:p w14:paraId="3B0DFBB8" w14:textId="06CDB2DD" w:rsidR="00B82AFD" w:rsidRDefault="00B82AFD">
      <w:pPr>
        <w:pStyle w:val="FootnoteText"/>
      </w:pPr>
      <w:r>
        <w:rPr>
          <w:rStyle w:val="FootnoteReference"/>
        </w:rPr>
        <w:footnoteRef/>
      </w:r>
      <w:r>
        <w:t xml:space="preserve"> It is acknowledged that DFFH Executives were not consulted as part of this </w:t>
      </w:r>
      <w:r w:rsidR="00056124">
        <w:t>evaluation</w:t>
      </w:r>
      <w:r w:rsidR="00310F2D">
        <w:t>.</w:t>
      </w:r>
    </w:p>
  </w:footnote>
  <w:footnote w:id="50">
    <w:p w14:paraId="68883658" w14:textId="10C2F572" w:rsidR="003122ED" w:rsidRDefault="003122ED">
      <w:pPr>
        <w:pStyle w:val="FootnoteText"/>
      </w:pPr>
      <w:r>
        <w:rPr>
          <w:rStyle w:val="FootnoteReference"/>
        </w:rPr>
        <w:footnoteRef/>
      </w:r>
      <w:r>
        <w:t xml:space="preserve"> </w:t>
      </w:r>
      <w:r w:rsidR="007B7601">
        <w:t>At a high level, n</w:t>
      </w:r>
      <w:r w:rsidR="00F0511D">
        <w:t xml:space="preserve">ominal total represents </w:t>
      </w:r>
      <w:r w:rsidR="00441337">
        <w:t xml:space="preserve">the expenditure in the period </w:t>
      </w:r>
      <w:r w:rsidR="001C7B94">
        <w:t>in which</w:t>
      </w:r>
      <w:r w:rsidR="00441337">
        <w:t xml:space="preserve"> it was incurred, while </w:t>
      </w:r>
      <w:r w:rsidR="00565012">
        <w:t xml:space="preserve">the </w:t>
      </w:r>
      <w:r w:rsidR="00441337">
        <w:t xml:space="preserve">real total </w:t>
      </w:r>
      <w:r w:rsidR="0010119F">
        <w:t xml:space="preserve">brings all expenditure into </w:t>
      </w:r>
      <w:r w:rsidR="00D83D3F">
        <w:t xml:space="preserve">FY24 dollars, and discounts future </w:t>
      </w:r>
      <w:r w:rsidR="00565012">
        <w:t>costs to account for the time value of money</w:t>
      </w:r>
      <w:r w:rsidR="001C7B94">
        <w:t>,</w:t>
      </w:r>
      <w:r w:rsidR="00565012">
        <w:t xml:space="preserve"> i.e. a dollar today is worth more than a dollar in future periods. </w:t>
      </w:r>
    </w:p>
  </w:footnote>
  <w:footnote w:id="51">
    <w:p w14:paraId="077785B1" w14:textId="5A3632E4" w:rsidR="00504774" w:rsidRDefault="00504774">
      <w:pPr>
        <w:pStyle w:val="FootnoteText"/>
      </w:pPr>
      <w:r>
        <w:rPr>
          <w:rStyle w:val="FootnoteReference"/>
        </w:rPr>
        <w:footnoteRef/>
      </w:r>
      <w:r>
        <w:t xml:space="preserve"> The nominal cost figure differs from the cost used in the CBA as these have been escalated into the Price Year then discounted to the Base Period.</w:t>
      </w:r>
    </w:p>
  </w:footnote>
  <w:footnote w:id="52">
    <w:p w14:paraId="06BEA656" w14:textId="6A25CD5E" w:rsidR="00FC159C" w:rsidRPr="00471307" w:rsidRDefault="00FC159C">
      <w:pPr>
        <w:pStyle w:val="FootnoteText"/>
        <w:rPr>
          <w:rFonts w:cs="Arial"/>
          <w:szCs w:val="14"/>
        </w:rPr>
      </w:pPr>
      <w:r w:rsidRPr="00471307">
        <w:rPr>
          <w:rStyle w:val="FootnoteReference"/>
          <w:rFonts w:cs="Arial"/>
          <w:szCs w:val="14"/>
        </w:rPr>
        <w:footnoteRef/>
      </w:r>
      <w:r w:rsidRPr="00471307">
        <w:rPr>
          <w:rFonts w:cs="Arial"/>
          <w:szCs w:val="14"/>
        </w:rPr>
        <w:t xml:space="preserve"> </w:t>
      </w:r>
      <w:r w:rsidR="004546C6" w:rsidRPr="00471307">
        <w:rPr>
          <w:rFonts w:cs="Arial"/>
          <w:szCs w:val="14"/>
        </w:rPr>
        <w:t>Homelessness and Quality Adjusted Life Years: Slopes and Cliffs in Health Inequalities a Cross-sectional Survey, International Journal of Epidemiology, R.W.</w:t>
      </w:r>
      <w:r w:rsidR="00D81B0A">
        <w:rPr>
          <w:rFonts w:cs="Arial"/>
          <w:szCs w:val="14"/>
        </w:rPr>
        <w:t> </w:t>
      </w:r>
      <w:r w:rsidR="004546C6" w:rsidRPr="00471307">
        <w:rPr>
          <w:rFonts w:cs="Arial"/>
          <w:szCs w:val="14"/>
        </w:rPr>
        <w:t>Albridge</w:t>
      </w:r>
    </w:p>
  </w:footnote>
  <w:footnote w:id="53">
    <w:p w14:paraId="34985734" w14:textId="52D96C21" w:rsidR="002118C0" w:rsidRPr="00D432BE" w:rsidRDefault="002118C0" w:rsidP="002118C0">
      <w:pPr>
        <w:pStyle w:val="FootnoteText"/>
        <w:rPr>
          <w:rFonts w:cs="Arial"/>
        </w:rPr>
      </w:pPr>
      <w:r w:rsidRPr="00D432BE">
        <w:rPr>
          <w:rStyle w:val="FootnoteReference"/>
          <w:rFonts w:cs="Arial"/>
          <w:sz w:val="16"/>
          <w:szCs w:val="16"/>
        </w:rPr>
        <w:footnoteRef/>
      </w:r>
      <w:r w:rsidRPr="00D432BE">
        <w:rPr>
          <w:rFonts w:cs="Arial"/>
          <w:sz w:val="16"/>
          <w:szCs w:val="16"/>
        </w:rPr>
        <w:t xml:space="preserve"> As noted in the cost input section above, cost</w:t>
      </w:r>
      <w:r w:rsidR="0032665E">
        <w:rPr>
          <w:rFonts w:cs="Arial"/>
          <w:sz w:val="16"/>
          <w:szCs w:val="16"/>
        </w:rPr>
        <w:t>s</w:t>
      </w:r>
      <w:r w:rsidRPr="00D432BE">
        <w:rPr>
          <w:rFonts w:cs="Arial"/>
          <w:sz w:val="16"/>
          <w:szCs w:val="16"/>
        </w:rPr>
        <w:t xml:space="preserve"> of the non-intervention group were not included as a cost input due to this group’s service use being captured here as a</w:t>
      </w:r>
      <w:r w:rsidR="00625F3B">
        <w:rPr>
          <w:rFonts w:cs="Arial"/>
          <w:sz w:val="16"/>
          <w:szCs w:val="16"/>
        </w:rPr>
        <w:t>n avoided</w:t>
      </w:r>
      <w:r w:rsidRPr="00D432BE">
        <w:rPr>
          <w:rFonts w:cs="Arial"/>
          <w:sz w:val="16"/>
          <w:szCs w:val="16"/>
        </w:rPr>
        <w:t xml:space="preserve"> cost.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FC2C6B" w14:textId="41EE96BE" w:rsidR="003A11DA" w:rsidRDefault="003A11DA">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17898F" w14:textId="5D0C3B75" w:rsidR="003A11DA" w:rsidRPr="00F01861" w:rsidRDefault="003A11DA" w:rsidP="00F0186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44CBFB" w14:textId="2811E46D" w:rsidR="00C34053" w:rsidRDefault="00C34053">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FBB863" w14:textId="3951E533" w:rsidR="003A11DA" w:rsidRDefault="003A11D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CE8DF3" w14:textId="15D2AC5F" w:rsidR="003A11DA" w:rsidRDefault="003A11D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9D6248" w14:textId="4E2B7FFE" w:rsidR="00D40701" w:rsidRDefault="00D4070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8AF302" w14:textId="75DA180D" w:rsidR="003A11DA" w:rsidRDefault="003A11DA">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4361DB" w14:textId="4AD99053" w:rsidR="003A11DA" w:rsidRDefault="003A11D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2B2939" w14:textId="3E74B297" w:rsidR="00D40701" w:rsidRDefault="00D4070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A4CC23" w14:textId="1782A5AF" w:rsidR="003A11DA" w:rsidRDefault="003A11D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86484" w14:textId="6BECF1BF" w:rsidR="00825C42" w:rsidRDefault="00825C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F952C" w14:textId="78604FCF" w:rsidR="00F94AB9" w:rsidRDefault="00F94AB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7572E" w14:textId="471FD0F5" w:rsidR="000F0640" w:rsidRDefault="000F0640">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3C0B3C" w14:textId="53829E29" w:rsidR="00825C42" w:rsidRDefault="00825C4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EE8B21" w14:textId="7919DC19" w:rsidR="003A11DA" w:rsidRDefault="003A11D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00A8EC" w14:textId="701DAC8E" w:rsidR="003A11DA" w:rsidRDefault="003A11D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6A5423" w14:textId="14117D30" w:rsidR="00042C09" w:rsidRDefault="00042C0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0FB9AF" w14:textId="3D71BEFE" w:rsidR="003A11DA" w:rsidRDefault="003A11D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C1706" w14:textId="4FB8F668" w:rsidR="003A11DA" w:rsidRDefault="003A11D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288314" w14:textId="7800CB68" w:rsidR="00C34053" w:rsidRDefault="00C34053">
    <w:pPr>
      <w:pStyle w:val="Header"/>
    </w:pPr>
    <w:r>
      <w:rPr>
        <w:noProof/>
        <w:lang w:eastAsia="en-AU"/>
      </w:rPr>
      <mc:AlternateContent>
        <mc:Choice Requires="wps">
          <w:drawing>
            <wp:anchor distT="0" distB="0" distL="114300" distR="114300" simplePos="0" relativeHeight="251658240" behindDoc="0" locked="0" layoutInCell="1" allowOverlap="0" wp14:anchorId="126451CB" wp14:editId="45E53FC4">
              <wp:simplePos x="0" y="0"/>
              <wp:positionH relativeFrom="page">
                <wp:align>left</wp:align>
              </wp:positionH>
              <wp:positionV relativeFrom="page">
                <wp:align>top</wp:align>
              </wp:positionV>
              <wp:extent cx="720000" cy="10692000"/>
              <wp:effectExtent l="0" t="0" r="4445" b="0"/>
              <wp:wrapNone/>
              <wp:docPr id="133" name="Rectangle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0000" cy="106920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38761" id="Rectangle 133" o:spid="_x0000_s1026" alt="&quot;&quot;" style="position:absolute;margin-left:0;margin-top:0;width:56.7pt;height:841.9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" o:allowoverlap="f" fillcolor="#7213ea [3206]" stroked="f" strokeweight="1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D6752F" w14:textId="05D1CF59" w:rsidR="003A11DA" w:rsidRDefault="003A11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AFA12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15EF23A"/>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EC78523A"/>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97EA4AC"/>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028B4BC2"/>
    <w:multiLevelType w:val="singleLevel"/>
    <w:tmpl w:val="0BDC520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5" w15:restartNumberingAfterBreak="0">
    <w:nsid w:val="05943CF9"/>
    <w:multiLevelType w:val="singleLevel"/>
    <w:tmpl w:val="7004ECD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6" w15:restartNumberingAfterBreak="0">
    <w:nsid w:val="06243824"/>
    <w:multiLevelType w:val="hybridMultilevel"/>
    <w:tmpl w:val="D4344E1E"/>
    <w:lvl w:ilvl="0" w:tplc="3DE4C586">
      <w:start w:val="1"/>
      <w:numFmt w:val="bullet"/>
      <w:lvlText w:val="•"/>
      <w:lvlJc w:val="left"/>
      <w:pPr>
        <w:tabs>
          <w:tab w:val="num" w:pos="720"/>
        </w:tabs>
        <w:ind w:left="720" w:hanging="360"/>
      </w:pPr>
      <w:rPr>
        <w:rFonts w:ascii="Arial" w:hAnsi="Arial" w:hint="default"/>
      </w:rPr>
    </w:lvl>
    <w:lvl w:ilvl="1" w:tplc="1FF68190" w:tentative="1">
      <w:start w:val="1"/>
      <w:numFmt w:val="bullet"/>
      <w:lvlText w:val="•"/>
      <w:lvlJc w:val="left"/>
      <w:pPr>
        <w:tabs>
          <w:tab w:val="num" w:pos="1440"/>
        </w:tabs>
        <w:ind w:left="1440" w:hanging="360"/>
      </w:pPr>
      <w:rPr>
        <w:rFonts w:ascii="Arial" w:hAnsi="Arial" w:hint="default"/>
      </w:rPr>
    </w:lvl>
    <w:lvl w:ilvl="2" w:tplc="1174FFB6" w:tentative="1">
      <w:start w:val="1"/>
      <w:numFmt w:val="bullet"/>
      <w:lvlText w:val="•"/>
      <w:lvlJc w:val="left"/>
      <w:pPr>
        <w:tabs>
          <w:tab w:val="num" w:pos="2160"/>
        </w:tabs>
        <w:ind w:left="2160" w:hanging="360"/>
      </w:pPr>
      <w:rPr>
        <w:rFonts w:ascii="Arial" w:hAnsi="Arial" w:hint="default"/>
      </w:rPr>
    </w:lvl>
    <w:lvl w:ilvl="3" w:tplc="9AF66D6E" w:tentative="1">
      <w:start w:val="1"/>
      <w:numFmt w:val="bullet"/>
      <w:lvlText w:val="•"/>
      <w:lvlJc w:val="left"/>
      <w:pPr>
        <w:tabs>
          <w:tab w:val="num" w:pos="2880"/>
        </w:tabs>
        <w:ind w:left="2880" w:hanging="360"/>
      </w:pPr>
      <w:rPr>
        <w:rFonts w:ascii="Arial" w:hAnsi="Arial" w:hint="default"/>
      </w:rPr>
    </w:lvl>
    <w:lvl w:ilvl="4" w:tplc="A9C6A036" w:tentative="1">
      <w:start w:val="1"/>
      <w:numFmt w:val="bullet"/>
      <w:lvlText w:val="•"/>
      <w:lvlJc w:val="left"/>
      <w:pPr>
        <w:tabs>
          <w:tab w:val="num" w:pos="3600"/>
        </w:tabs>
        <w:ind w:left="3600" w:hanging="360"/>
      </w:pPr>
      <w:rPr>
        <w:rFonts w:ascii="Arial" w:hAnsi="Arial" w:hint="default"/>
      </w:rPr>
    </w:lvl>
    <w:lvl w:ilvl="5" w:tplc="E00E0010" w:tentative="1">
      <w:start w:val="1"/>
      <w:numFmt w:val="bullet"/>
      <w:lvlText w:val="•"/>
      <w:lvlJc w:val="left"/>
      <w:pPr>
        <w:tabs>
          <w:tab w:val="num" w:pos="4320"/>
        </w:tabs>
        <w:ind w:left="4320" w:hanging="360"/>
      </w:pPr>
      <w:rPr>
        <w:rFonts w:ascii="Arial" w:hAnsi="Arial" w:hint="default"/>
      </w:rPr>
    </w:lvl>
    <w:lvl w:ilvl="6" w:tplc="D3B07EA0" w:tentative="1">
      <w:start w:val="1"/>
      <w:numFmt w:val="bullet"/>
      <w:lvlText w:val="•"/>
      <w:lvlJc w:val="left"/>
      <w:pPr>
        <w:tabs>
          <w:tab w:val="num" w:pos="5040"/>
        </w:tabs>
        <w:ind w:left="5040" w:hanging="360"/>
      </w:pPr>
      <w:rPr>
        <w:rFonts w:ascii="Arial" w:hAnsi="Arial" w:hint="default"/>
      </w:rPr>
    </w:lvl>
    <w:lvl w:ilvl="7" w:tplc="304AF6D8" w:tentative="1">
      <w:start w:val="1"/>
      <w:numFmt w:val="bullet"/>
      <w:lvlText w:val="•"/>
      <w:lvlJc w:val="left"/>
      <w:pPr>
        <w:tabs>
          <w:tab w:val="num" w:pos="5760"/>
        </w:tabs>
        <w:ind w:left="5760" w:hanging="360"/>
      </w:pPr>
      <w:rPr>
        <w:rFonts w:ascii="Arial" w:hAnsi="Arial" w:hint="default"/>
      </w:rPr>
    </w:lvl>
    <w:lvl w:ilvl="8" w:tplc="4FB4292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77D0144"/>
    <w:multiLevelType w:val="singleLevel"/>
    <w:tmpl w:val="2C86682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8" w15:restartNumberingAfterBreak="0">
    <w:nsid w:val="0A784F73"/>
    <w:multiLevelType w:val="hybridMultilevel"/>
    <w:tmpl w:val="4F70F298"/>
    <w:lvl w:ilvl="0" w:tplc="6602F13C">
      <w:start w:val="1"/>
      <w:numFmt w:val="bullet"/>
      <w:lvlText w:val="•"/>
      <w:lvlJc w:val="left"/>
      <w:pPr>
        <w:tabs>
          <w:tab w:val="num" w:pos="720"/>
        </w:tabs>
        <w:ind w:left="720" w:hanging="360"/>
      </w:pPr>
      <w:rPr>
        <w:rFonts w:ascii="Arial" w:hAnsi="Arial" w:hint="default"/>
      </w:rPr>
    </w:lvl>
    <w:lvl w:ilvl="1" w:tplc="3078CD7A" w:tentative="1">
      <w:start w:val="1"/>
      <w:numFmt w:val="bullet"/>
      <w:lvlText w:val="•"/>
      <w:lvlJc w:val="left"/>
      <w:pPr>
        <w:tabs>
          <w:tab w:val="num" w:pos="1440"/>
        </w:tabs>
        <w:ind w:left="1440" w:hanging="360"/>
      </w:pPr>
      <w:rPr>
        <w:rFonts w:ascii="Arial" w:hAnsi="Arial" w:hint="default"/>
      </w:rPr>
    </w:lvl>
    <w:lvl w:ilvl="2" w:tplc="6F64A6E6" w:tentative="1">
      <w:start w:val="1"/>
      <w:numFmt w:val="bullet"/>
      <w:lvlText w:val="•"/>
      <w:lvlJc w:val="left"/>
      <w:pPr>
        <w:tabs>
          <w:tab w:val="num" w:pos="2160"/>
        </w:tabs>
        <w:ind w:left="2160" w:hanging="360"/>
      </w:pPr>
      <w:rPr>
        <w:rFonts w:ascii="Arial" w:hAnsi="Arial" w:hint="default"/>
      </w:rPr>
    </w:lvl>
    <w:lvl w:ilvl="3" w:tplc="501A8F36" w:tentative="1">
      <w:start w:val="1"/>
      <w:numFmt w:val="bullet"/>
      <w:lvlText w:val="•"/>
      <w:lvlJc w:val="left"/>
      <w:pPr>
        <w:tabs>
          <w:tab w:val="num" w:pos="2880"/>
        </w:tabs>
        <w:ind w:left="2880" w:hanging="360"/>
      </w:pPr>
      <w:rPr>
        <w:rFonts w:ascii="Arial" w:hAnsi="Arial" w:hint="default"/>
      </w:rPr>
    </w:lvl>
    <w:lvl w:ilvl="4" w:tplc="B0E83C3A" w:tentative="1">
      <w:start w:val="1"/>
      <w:numFmt w:val="bullet"/>
      <w:lvlText w:val="•"/>
      <w:lvlJc w:val="left"/>
      <w:pPr>
        <w:tabs>
          <w:tab w:val="num" w:pos="3600"/>
        </w:tabs>
        <w:ind w:left="3600" w:hanging="360"/>
      </w:pPr>
      <w:rPr>
        <w:rFonts w:ascii="Arial" w:hAnsi="Arial" w:hint="default"/>
      </w:rPr>
    </w:lvl>
    <w:lvl w:ilvl="5" w:tplc="E18084D8" w:tentative="1">
      <w:start w:val="1"/>
      <w:numFmt w:val="bullet"/>
      <w:lvlText w:val="•"/>
      <w:lvlJc w:val="left"/>
      <w:pPr>
        <w:tabs>
          <w:tab w:val="num" w:pos="4320"/>
        </w:tabs>
        <w:ind w:left="4320" w:hanging="360"/>
      </w:pPr>
      <w:rPr>
        <w:rFonts w:ascii="Arial" w:hAnsi="Arial" w:hint="default"/>
      </w:rPr>
    </w:lvl>
    <w:lvl w:ilvl="6" w:tplc="DD301B42" w:tentative="1">
      <w:start w:val="1"/>
      <w:numFmt w:val="bullet"/>
      <w:lvlText w:val="•"/>
      <w:lvlJc w:val="left"/>
      <w:pPr>
        <w:tabs>
          <w:tab w:val="num" w:pos="5040"/>
        </w:tabs>
        <w:ind w:left="5040" w:hanging="360"/>
      </w:pPr>
      <w:rPr>
        <w:rFonts w:ascii="Arial" w:hAnsi="Arial" w:hint="default"/>
      </w:rPr>
    </w:lvl>
    <w:lvl w:ilvl="7" w:tplc="0C209F3C" w:tentative="1">
      <w:start w:val="1"/>
      <w:numFmt w:val="bullet"/>
      <w:lvlText w:val="•"/>
      <w:lvlJc w:val="left"/>
      <w:pPr>
        <w:tabs>
          <w:tab w:val="num" w:pos="5760"/>
        </w:tabs>
        <w:ind w:left="5760" w:hanging="360"/>
      </w:pPr>
      <w:rPr>
        <w:rFonts w:ascii="Arial" w:hAnsi="Arial" w:hint="default"/>
      </w:rPr>
    </w:lvl>
    <w:lvl w:ilvl="8" w:tplc="5C7C5C1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C7B74AA"/>
    <w:multiLevelType w:val="singleLevel"/>
    <w:tmpl w:val="D0A4A6E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0" w15:restartNumberingAfterBreak="0">
    <w:nsid w:val="12590449"/>
    <w:multiLevelType w:val="multilevel"/>
    <w:tmpl w:val="548ABC94"/>
    <w:lvl w:ilvl="0">
      <w:start w:val="1"/>
      <w:numFmt w:val="decimal"/>
      <w:lvlText w:val="%1"/>
      <w:lvlJc w:val="left"/>
      <w:pPr>
        <w:tabs>
          <w:tab w:val="num" w:pos="340"/>
        </w:tabs>
        <w:ind w:left="340" w:hanging="340"/>
      </w:pPr>
      <w:rPr>
        <w:rFonts w:ascii="Arial" w:hAnsi="Arial" w:cs="Arial"/>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1" w15:restartNumberingAfterBreak="0">
    <w:nsid w:val="18B916C9"/>
    <w:multiLevelType w:val="multilevel"/>
    <w:tmpl w:val="6CEACE94"/>
    <w:lvl w:ilvl="0">
      <w:start w:val="1"/>
      <w:numFmt w:val="decimal"/>
      <w:lvlText w:val="%1."/>
      <w:lvlJc w:val="left"/>
      <w:pPr>
        <w:tabs>
          <w:tab w:val="num" w:pos="340"/>
        </w:tabs>
        <w:ind w:left="340" w:hanging="340"/>
      </w:pPr>
      <w:rPr>
        <w:rFonts w:ascii="Arial Bold" w:hAnsi="Arial Bold" w:hint="default"/>
        <w:b/>
        <w:i w:val="0"/>
        <w:sz w:val="20"/>
      </w:rPr>
    </w:lvl>
    <w:lvl w:ilvl="1">
      <w:start w:val="1"/>
      <w:numFmt w:val="lowerLetter"/>
      <w:lvlText w:val="•"/>
      <w:lvlJc w:val="left"/>
      <w:pPr>
        <w:tabs>
          <w:tab w:val="num" w:pos="680"/>
        </w:tabs>
        <w:ind w:left="680" w:hanging="340"/>
      </w:pPr>
      <w:rPr>
        <w:rFonts w:ascii="Arial" w:hAnsi="Arial" w:cs="Arial"/>
        <w:sz w:val="24"/>
      </w:rPr>
    </w:lvl>
    <w:lvl w:ilvl="2">
      <w:start w:val="1"/>
      <w:numFmt w:val="lowerRoman"/>
      <w:lvlText w:val="-"/>
      <w:lvlJc w:val="left"/>
      <w:pPr>
        <w:tabs>
          <w:tab w:val="num" w:pos="1020"/>
        </w:tabs>
        <w:ind w:left="1020" w:hanging="340"/>
      </w:pPr>
      <w:rPr>
        <w:rFonts w:ascii="9999999" w:hAnsi="9999999"/>
      </w:rPr>
    </w:lvl>
    <w:lvl w:ilvl="3">
      <w:start w:val="1"/>
      <w:numFmt w:val="decimal"/>
      <w:lvlText w:val="•"/>
      <w:lvlJc w:val="left"/>
      <w:pPr>
        <w:tabs>
          <w:tab w:val="num" w:pos="1361"/>
        </w:tabs>
        <w:ind w:left="1361" w:hanging="341"/>
      </w:pPr>
      <w:rPr>
        <w:rFonts w:ascii="Arial" w:hAnsi="Arial" w:cs="Arial"/>
      </w:rPr>
    </w:lvl>
    <w:lvl w:ilvl="4">
      <w:start w:val="1"/>
      <w:numFmt w:val="lowerLetter"/>
      <w:lvlText w:val="-"/>
      <w:lvlJc w:val="left"/>
      <w:pPr>
        <w:tabs>
          <w:tab w:val="num" w:pos="1701"/>
        </w:tabs>
        <w:ind w:left="1701" w:hanging="340"/>
      </w:pPr>
      <w:rPr>
        <w:rFonts w:ascii="9999999" w:hAnsi="9999999"/>
      </w:rPr>
    </w:lvl>
    <w:lvl w:ilvl="5">
      <w:start w:val="1"/>
      <w:numFmt w:val="lowerRoman"/>
      <w:lvlText w:val="•"/>
      <w:lvlJc w:val="left"/>
      <w:pPr>
        <w:tabs>
          <w:tab w:val="num" w:pos="2041"/>
        </w:tabs>
        <w:ind w:left="2041" w:hanging="340"/>
      </w:pPr>
      <w:rPr>
        <w:rFonts w:ascii="Arial" w:hAnsi="Arial" w:cs="Arial"/>
      </w:rPr>
    </w:lvl>
    <w:lvl w:ilvl="6">
      <w:start w:val="1"/>
      <w:numFmt w:val="decimal"/>
      <w:lvlText w:val="-"/>
      <w:lvlJc w:val="left"/>
      <w:pPr>
        <w:tabs>
          <w:tab w:val="num" w:pos="2381"/>
        </w:tabs>
        <w:ind w:left="2381" w:hanging="340"/>
      </w:pPr>
      <w:rPr>
        <w:rFonts w:ascii="9999999" w:hAnsi="9999999"/>
      </w:rPr>
    </w:lvl>
    <w:lvl w:ilvl="7">
      <w:start w:val="1"/>
      <w:numFmt w:val="lowerLetter"/>
      <w:lvlText w:val="•"/>
      <w:lvlJc w:val="left"/>
      <w:pPr>
        <w:tabs>
          <w:tab w:val="num" w:pos="2721"/>
        </w:tabs>
        <w:ind w:left="2721" w:hanging="340"/>
      </w:pPr>
      <w:rPr>
        <w:rFonts w:ascii="Arial" w:hAnsi="Arial" w:cs="Arial"/>
      </w:rPr>
    </w:lvl>
    <w:lvl w:ilvl="8">
      <w:start w:val="1"/>
      <w:numFmt w:val="lowerRoman"/>
      <w:lvlText w:val="-"/>
      <w:lvlJc w:val="left"/>
      <w:pPr>
        <w:tabs>
          <w:tab w:val="num" w:pos="3061"/>
        </w:tabs>
        <w:ind w:left="3061" w:hanging="340"/>
      </w:pPr>
      <w:rPr>
        <w:rFonts w:ascii="9999999" w:hAnsi="9999999"/>
      </w:rPr>
    </w:lvl>
  </w:abstractNum>
  <w:abstractNum w:abstractNumId="12" w15:restartNumberingAfterBreak="0">
    <w:nsid w:val="22F95AD4"/>
    <w:multiLevelType w:val="multilevel"/>
    <w:tmpl w:val="97C63126"/>
    <w:lvl w:ilvl="0">
      <w:start w:val="1"/>
      <w:numFmt w:val="decimal"/>
      <w:lvlText w:val="%1."/>
      <w:lvlJc w:val="left"/>
      <w:pPr>
        <w:ind w:left="360" w:hanging="360"/>
      </w:pPr>
      <w:rPr>
        <w:rFonts w:hint="default"/>
        <w:b w:val="0"/>
        <w:bCs w:val="0"/>
        <w:color w:val="auto"/>
      </w:rPr>
    </w:lvl>
    <w:lvl w:ilvl="1">
      <w:start w:val="1"/>
      <w:numFmt w:val="upp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15:restartNumberingAfterBreak="0">
    <w:nsid w:val="24D9561D"/>
    <w:multiLevelType w:val="singleLevel"/>
    <w:tmpl w:val="5F6E75A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4" w15:restartNumberingAfterBreak="0">
    <w:nsid w:val="260957FD"/>
    <w:multiLevelType w:val="singleLevel"/>
    <w:tmpl w:val="D934543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5" w15:restartNumberingAfterBreak="0">
    <w:nsid w:val="2BC27878"/>
    <w:multiLevelType w:val="hybridMultilevel"/>
    <w:tmpl w:val="A5F06B8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6" w15:restartNumberingAfterBreak="0">
    <w:nsid w:val="35471F59"/>
    <w:multiLevelType w:val="singleLevel"/>
    <w:tmpl w:val="AFACD42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17" w15:restartNumberingAfterBreak="0">
    <w:nsid w:val="357F166A"/>
    <w:multiLevelType w:val="multilevel"/>
    <w:tmpl w:val="768EC260"/>
    <w:lvl w:ilvl="0">
      <w:start w:val="1"/>
      <w:numFmt w:val="upperLetter"/>
      <w:pStyle w:val="Appendixheading"/>
      <w:suff w:val="nothing"/>
      <w:lvlText w:val="Appendix %1"/>
      <w:lvlJc w:val="left"/>
      <w:pPr>
        <w:ind w:left="1984" w:firstLine="0"/>
      </w:pPr>
      <w:rPr>
        <w:rFonts w:hint="default"/>
      </w:rPr>
    </w:lvl>
    <w:lvl w:ilvl="1">
      <w:start w:val="1"/>
      <w:numFmt w:val="decimal"/>
      <w:pStyle w:val="AppendixHeading2"/>
      <w:lvlText w:val="%1.%2"/>
      <w:lvlJc w:val="left"/>
      <w:pPr>
        <w:tabs>
          <w:tab w:val="num" w:pos="720"/>
        </w:tabs>
        <w:ind w:left="720" w:hanging="720"/>
      </w:pPr>
      <w:rPr>
        <w:rFonts w:hint="default"/>
      </w:rPr>
    </w:lvl>
    <w:lvl w:ilvl="2">
      <w:start w:val="1"/>
      <w:numFmt w:val="decimal"/>
      <w:pStyle w:val="AppendixHeading3"/>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38776562"/>
    <w:multiLevelType w:val="hybridMultilevel"/>
    <w:tmpl w:val="3A2295B8"/>
    <w:lvl w:ilvl="0" w:tplc="55900B26">
      <w:start w:val="1"/>
      <w:numFmt w:val="bullet"/>
      <w:pStyle w:val="Bullet2ndlevel"/>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9662BE4"/>
    <w:multiLevelType w:val="hybridMultilevel"/>
    <w:tmpl w:val="ED602EA6"/>
    <w:lvl w:ilvl="0" w:tplc="7FD467AA">
      <w:start w:val="1"/>
      <w:numFmt w:val="bullet"/>
      <w:lvlText w:val=""/>
      <w:lvlJc w:val="left"/>
      <w:pPr>
        <w:tabs>
          <w:tab w:val="num" w:pos="340"/>
        </w:tabs>
        <w:ind w:left="340" w:hanging="340"/>
      </w:pPr>
      <w:rPr>
        <w:rFonts w:ascii="Symbol" w:hAnsi="Symbol" w:hint="default"/>
        <w:color w:val="auto"/>
        <w:sz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9B341D4"/>
    <w:multiLevelType w:val="hybridMultilevel"/>
    <w:tmpl w:val="5FEA2CEC"/>
    <w:lvl w:ilvl="0" w:tplc="24507972">
      <w:start w:val="92"/>
      <w:numFmt w:val="bullet"/>
      <w:lvlText w:val="-"/>
      <w:lvlJc w:val="left"/>
      <w:pPr>
        <w:ind w:left="700" w:hanging="360"/>
      </w:pPr>
      <w:rPr>
        <w:rFonts w:ascii="Arial" w:eastAsiaTheme="minorHAnsi"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21" w15:restartNumberingAfterBreak="0">
    <w:nsid w:val="3BB00425"/>
    <w:multiLevelType w:val="multilevel"/>
    <w:tmpl w:val="0C090001"/>
    <w:styleLink w:val="Bullets"/>
    <w:lvl w:ilvl="0">
      <w:start w:val="1"/>
      <w:numFmt w:val="bullet"/>
      <w:lvlText w:val="•"/>
      <w:lvlJc w:val="left"/>
      <w:pPr>
        <w:ind w:left="360" w:hanging="360"/>
      </w:pPr>
      <w:rPr>
        <w:rFonts w:ascii="Arial" w:hAnsi="Arial" w:hint="default"/>
        <w:color w:val="auto"/>
        <w:sz w:val="24"/>
      </w:rPr>
    </w:lvl>
    <w:lvl w:ilvl="1">
      <w:start w:val="1"/>
      <w:numFmt w:val="bullet"/>
      <w:lvlText w:val="‒"/>
      <w:lvlJc w:val="left"/>
      <w:pPr>
        <w:ind w:left="1440" w:hanging="360"/>
      </w:pPr>
      <w:rPr>
        <w:rFonts w:ascii="Arial" w:hAnsi="Arial" w:hint="default"/>
      </w:rPr>
    </w:lvl>
    <w:lvl w:ilvl="2">
      <w:start w:val="1"/>
      <w:numFmt w:val="bullet"/>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D982ECB"/>
    <w:multiLevelType w:val="singleLevel"/>
    <w:tmpl w:val="585AF8A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3" w15:restartNumberingAfterBreak="0">
    <w:nsid w:val="449E34F4"/>
    <w:multiLevelType w:val="singleLevel"/>
    <w:tmpl w:val="A7D63FE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4" w15:restartNumberingAfterBreak="0">
    <w:nsid w:val="51B550BC"/>
    <w:multiLevelType w:val="singleLevel"/>
    <w:tmpl w:val="FD903BF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5" w15:restartNumberingAfterBreak="0">
    <w:nsid w:val="57325462"/>
    <w:multiLevelType w:val="singleLevel"/>
    <w:tmpl w:val="A0929A1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6" w15:restartNumberingAfterBreak="0">
    <w:nsid w:val="58B556EA"/>
    <w:multiLevelType w:val="hybridMultilevel"/>
    <w:tmpl w:val="404AB960"/>
    <w:lvl w:ilvl="0" w:tplc="24507972">
      <w:start w:val="92"/>
      <w:numFmt w:val="bullet"/>
      <w:lvlText w:val="-"/>
      <w:lvlJc w:val="left"/>
      <w:pPr>
        <w:ind w:left="700" w:hanging="360"/>
      </w:pPr>
      <w:rPr>
        <w:rFonts w:ascii="Arial" w:eastAsiaTheme="minorHAnsi"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27" w15:restartNumberingAfterBreak="0">
    <w:nsid w:val="5BAF035A"/>
    <w:multiLevelType w:val="singleLevel"/>
    <w:tmpl w:val="EB2A661C"/>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28" w15:restartNumberingAfterBreak="0">
    <w:nsid w:val="5D0A0A2F"/>
    <w:multiLevelType w:val="multilevel"/>
    <w:tmpl w:val="BAAE527E"/>
    <w:lvl w:ilvl="0">
      <w:start w:val="1"/>
      <w:numFmt w:val="decimal"/>
      <w:pStyle w:val="Heading1"/>
      <w:lvlText w:val="%1"/>
      <w:lvlJc w:val="left"/>
      <w:pPr>
        <w:tabs>
          <w:tab w:val="num" w:pos="833"/>
        </w:tabs>
        <w:ind w:left="833" w:hanging="833"/>
      </w:pPr>
      <w:rPr>
        <w:rFonts w:hint="default"/>
      </w:rPr>
    </w:lvl>
    <w:lvl w:ilvl="1">
      <w:start w:val="1"/>
      <w:numFmt w:val="decimal"/>
      <w:pStyle w:val="Heading2"/>
      <w:lvlText w:val="%1.%2"/>
      <w:lvlJc w:val="left"/>
      <w:pPr>
        <w:tabs>
          <w:tab w:val="num" w:pos="833"/>
        </w:tabs>
        <w:ind w:left="833" w:hanging="833"/>
      </w:pPr>
      <w:rPr>
        <w:rFonts w:hint="default"/>
      </w:rPr>
    </w:lvl>
    <w:lvl w:ilvl="2">
      <w:start w:val="1"/>
      <w:numFmt w:val="decimal"/>
      <w:lvlText w:val="%1.%2.%3"/>
      <w:lvlJc w:val="left"/>
      <w:pPr>
        <w:tabs>
          <w:tab w:val="num" w:pos="833"/>
        </w:tabs>
        <w:ind w:left="833" w:hanging="833"/>
      </w:pPr>
      <w:rPr>
        <w:rFonts w:hint="default"/>
      </w:rPr>
    </w:lvl>
    <w:lvl w:ilvl="3">
      <w:start w:val="1"/>
      <w:numFmt w:val="decimal"/>
      <w:lvlText w:val="%1.%2.%3.%4"/>
      <w:lvlJc w:val="left"/>
      <w:pPr>
        <w:tabs>
          <w:tab w:val="num" w:pos="833"/>
        </w:tabs>
        <w:ind w:left="833" w:hanging="833"/>
      </w:pPr>
      <w:rPr>
        <w:rFonts w:hint="default"/>
      </w:rPr>
    </w:lvl>
    <w:lvl w:ilvl="4">
      <w:start w:val="1"/>
      <w:numFmt w:val="none"/>
      <w:pStyle w:val="Heading5"/>
      <w:suff w:val="nothing"/>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3F14FCB"/>
    <w:multiLevelType w:val="hybridMultilevel"/>
    <w:tmpl w:val="B5643320"/>
    <w:lvl w:ilvl="0" w:tplc="B68EE208">
      <w:start w:val="1"/>
      <w:numFmt w:val="bullet"/>
      <w:lvlText w:val="•"/>
      <w:lvlJc w:val="left"/>
      <w:pPr>
        <w:tabs>
          <w:tab w:val="num" w:pos="720"/>
        </w:tabs>
        <w:ind w:left="720" w:hanging="360"/>
      </w:pPr>
      <w:rPr>
        <w:rFonts w:ascii="Arial" w:hAnsi="Arial" w:hint="default"/>
      </w:rPr>
    </w:lvl>
    <w:lvl w:ilvl="1" w:tplc="104EEBF0" w:tentative="1">
      <w:start w:val="1"/>
      <w:numFmt w:val="bullet"/>
      <w:lvlText w:val="•"/>
      <w:lvlJc w:val="left"/>
      <w:pPr>
        <w:tabs>
          <w:tab w:val="num" w:pos="1440"/>
        </w:tabs>
        <w:ind w:left="1440" w:hanging="360"/>
      </w:pPr>
      <w:rPr>
        <w:rFonts w:ascii="Arial" w:hAnsi="Arial" w:hint="default"/>
      </w:rPr>
    </w:lvl>
    <w:lvl w:ilvl="2" w:tplc="F0A6B8A6" w:tentative="1">
      <w:start w:val="1"/>
      <w:numFmt w:val="bullet"/>
      <w:lvlText w:val="•"/>
      <w:lvlJc w:val="left"/>
      <w:pPr>
        <w:tabs>
          <w:tab w:val="num" w:pos="2160"/>
        </w:tabs>
        <w:ind w:left="2160" w:hanging="360"/>
      </w:pPr>
      <w:rPr>
        <w:rFonts w:ascii="Arial" w:hAnsi="Arial" w:hint="default"/>
      </w:rPr>
    </w:lvl>
    <w:lvl w:ilvl="3" w:tplc="50C28C10" w:tentative="1">
      <w:start w:val="1"/>
      <w:numFmt w:val="bullet"/>
      <w:lvlText w:val="•"/>
      <w:lvlJc w:val="left"/>
      <w:pPr>
        <w:tabs>
          <w:tab w:val="num" w:pos="2880"/>
        </w:tabs>
        <w:ind w:left="2880" w:hanging="360"/>
      </w:pPr>
      <w:rPr>
        <w:rFonts w:ascii="Arial" w:hAnsi="Arial" w:hint="default"/>
      </w:rPr>
    </w:lvl>
    <w:lvl w:ilvl="4" w:tplc="BCEC496A" w:tentative="1">
      <w:start w:val="1"/>
      <w:numFmt w:val="bullet"/>
      <w:lvlText w:val="•"/>
      <w:lvlJc w:val="left"/>
      <w:pPr>
        <w:tabs>
          <w:tab w:val="num" w:pos="3600"/>
        </w:tabs>
        <w:ind w:left="3600" w:hanging="360"/>
      </w:pPr>
      <w:rPr>
        <w:rFonts w:ascii="Arial" w:hAnsi="Arial" w:hint="default"/>
      </w:rPr>
    </w:lvl>
    <w:lvl w:ilvl="5" w:tplc="FF1ED9EC" w:tentative="1">
      <w:start w:val="1"/>
      <w:numFmt w:val="bullet"/>
      <w:lvlText w:val="•"/>
      <w:lvlJc w:val="left"/>
      <w:pPr>
        <w:tabs>
          <w:tab w:val="num" w:pos="4320"/>
        </w:tabs>
        <w:ind w:left="4320" w:hanging="360"/>
      </w:pPr>
      <w:rPr>
        <w:rFonts w:ascii="Arial" w:hAnsi="Arial" w:hint="default"/>
      </w:rPr>
    </w:lvl>
    <w:lvl w:ilvl="6" w:tplc="B8D0B742" w:tentative="1">
      <w:start w:val="1"/>
      <w:numFmt w:val="bullet"/>
      <w:lvlText w:val="•"/>
      <w:lvlJc w:val="left"/>
      <w:pPr>
        <w:tabs>
          <w:tab w:val="num" w:pos="5040"/>
        </w:tabs>
        <w:ind w:left="5040" w:hanging="360"/>
      </w:pPr>
      <w:rPr>
        <w:rFonts w:ascii="Arial" w:hAnsi="Arial" w:hint="default"/>
      </w:rPr>
    </w:lvl>
    <w:lvl w:ilvl="7" w:tplc="D06EC2B4" w:tentative="1">
      <w:start w:val="1"/>
      <w:numFmt w:val="bullet"/>
      <w:lvlText w:val="•"/>
      <w:lvlJc w:val="left"/>
      <w:pPr>
        <w:tabs>
          <w:tab w:val="num" w:pos="5760"/>
        </w:tabs>
        <w:ind w:left="5760" w:hanging="360"/>
      </w:pPr>
      <w:rPr>
        <w:rFonts w:ascii="Arial" w:hAnsi="Arial" w:hint="default"/>
      </w:rPr>
    </w:lvl>
    <w:lvl w:ilvl="8" w:tplc="1950507C"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51E7D09"/>
    <w:multiLevelType w:val="singleLevel"/>
    <w:tmpl w:val="1DD6FAC6"/>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1" w15:restartNumberingAfterBreak="0">
    <w:nsid w:val="65512DB7"/>
    <w:multiLevelType w:val="singleLevel"/>
    <w:tmpl w:val="AFA85458"/>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2" w15:restartNumberingAfterBreak="0">
    <w:nsid w:val="65C347B3"/>
    <w:multiLevelType w:val="multilevel"/>
    <w:tmpl w:val="97C63126"/>
    <w:lvl w:ilvl="0">
      <w:start w:val="1"/>
      <w:numFmt w:val="decimal"/>
      <w:lvlText w:val="%1."/>
      <w:lvlJc w:val="left"/>
      <w:pPr>
        <w:ind w:left="360" w:hanging="360"/>
      </w:pPr>
      <w:rPr>
        <w:rFonts w:hint="default"/>
        <w:b w:val="0"/>
        <w:bCs w:val="0"/>
        <w:color w:val="auto"/>
      </w:rPr>
    </w:lvl>
    <w:lvl w:ilvl="1">
      <w:start w:val="1"/>
      <w:numFmt w:val="upp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15:restartNumberingAfterBreak="0">
    <w:nsid w:val="66B90410"/>
    <w:multiLevelType w:val="hybridMultilevel"/>
    <w:tmpl w:val="DA06C6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B877000"/>
    <w:multiLevelType w:val="singleLevel"/>
    <w:tmpl w:val="E74629B6"/>
    <w:lvl w:ilvl="0">
      <w:start w:val="1"/>
      <w:numFmt w:val="bullet"/>
      <w:pStyle w:val="Tablebullet1"/>
      <w:lvlText w:val="•"/>
      <w:lvlJc w:val="left"/>
      <w:pPr>
        <w:tabs>
          <w:tab w:val="num" w:pos="340"/>
        </w:tabs>
        <w:ind w:left="340" w:hanging="340"/>
      </w:pPr>
      <w:rPr>
        <w:rFonts w:ascii="Arial" w:hAnsi="Arial" w:cs="Arial" w:hint="default"/>
        <w:color w:val="auto"/>
        <w:sz w:val="24"/>
      </w:rPr>
    </w:lvl>
  </w:abstractNum>
  <w:abstractNum w:abstractNumId="35" w15:restartNumberingAfterBreak="0">
    <w:nsid w:val="6B915F0E"/>
    <w:multiLevelType w:val="hybridMultilevel"/>
    <w:tmpl w:val="B07AB0B0"/>
    <w:lvl w:ilvl="0" w:tplc="0C090001">
      <w:start w:val="1"/>
      <w:numFmt w:val="bullet"/>
      <w:lvlText w:val=""/>
      <w:lvlJc w:val="left"/>
      <w:pPr>
        <w:ind w:left="717" w:hanging="360"/>
      </w:pPr>
      <w:rPr>
        <w:rFonts w:ascii="Symbol" w:hAnsi="Symbol" w:hint="default"/>
      </w:rPr>
    </w:lvl>
    <w:lvl w:ilvl="1" w:tplc="0C090003" w:tentative="1">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36" w15:restartNumberingAfterBreak="0">
    <w:nsid w:val="6C0B3474"/>
    <w:multiLevelType w:val="singleLevel"/>
    <w:tmpl w:val="79820192"/>
    <w:lvl w:ilvl="0">
      <w:start w:val="1"/>
      <w:numFmt w:val="bullet"/>
      <w:pStyle w:val="Bullet1stlevel"/>
      <w:lvlText w:val="•"/>
      <w:lvlJc w:val="left"/>
      <w:pPr>
        <w:tabs>
          <w:tab w:val="num" w:pos="340"/>
        </w:tabs>
        <w:ind w:left="340" w:hanging="340"/>
      </w:pPr>
      <w:rPr>
        <w:rFonts w:ascii="Arial" w:hAnsi="Arial" w:cs="Arial" w:hint="default"/>
        <w:color w:val="auto"/>
        <w:sz w:val="24"/>
      </w:rPr>
    </w:lvl>
  </w:abstractNum>
  <w:abstractNum w:abstractNumId="37" w15:restartNumberingAfterBreak="0">
    <w:nsid w:val="6D244FBB"/>
    <w:multiLevelType w:val="multilevel"/>
    <w:tmpl w:val="107CE504"/>
    <w:lvl w:ilvl="0">
      <w:start w:val="1"/>
      <w:numFmt w:val="decimal"/>
      <w:pStyle w:val="ListNumber"/>
      <w:lvlText w:val="%1."/>
      <w:lvlJc w:val="left"/>
      <w:pPr>
        <w:tabs>
          <w:tab w:val="num" w:pos="284"/>
        </w:tabs>
        <w:ind w:left="284" w:hanging="284"/>
      </w:pPr>
      <w:rPr>
        <w:rFonts w:ascii="Arial" w:hAnsi="Arial" w:cs="Arial" w:hint="default"/>
        <w:sz w:val="20"/>
      </w:rPr>
    </w:lvl>
    <w:lvl w:ilvl="1">
      <w:start w:val="1"/>
      <w:numFmt w:val="decimal"/>
      <w:pStyle w:val="ListNumber2"/>
      <w:lvlText w:val="%1.%2."/>
      <w:lvlJc w:val="left"/>
      <w:pPr>
        <w:tabs>
          <w:tab w:val="num" w:pos="567"/>
        </w:tabs>
        <w:ind w:left="851" w:hanging="567"/>
      </w:pPr>
      <w:rPr>
        <w:rFonts w:ascii="Arial" w:hAnsi="Arial" w:cs="Arial" w:hint="default"/>
        <w:sz w:val="20"/>
      </w:rPr>
    </w:lvl>
    <w:lvl w:ilvl="2">
      <w:start w:val="1"/>
      <w:numFmt w:val="decimal"/>
      <w:pStyle w:val="ListNumber3"/>
      <w:lvlText w:val="%1.%2.%3"/>
      <w:lvlJc w:val="left"/>
      <w:pPr>
        <w:tabs>
          <w:tab w:val="num" w:pos="1134"/>
        </w:tabs>
        <w:ind w:left="1418" w:hanging="567"/>
      </w:pPr>
      <w:rPr>
        <w:rFonts w:ascii="Arial" w:hAnsi="Arial" w:hint="default"/>
        <w:sz w:val="20"/>
      </w:rPr>
    </w:lvl>
    <w:lvl w:ilvl="3">
      <w:start w:val="1"/>
      <w:numFmt w:val="decimal"/>
      <w:lvlText w:val="%4—"/>
      <w:lvlJc w:val="left"/>
      <w:pPr>
        <w:tabs>
          <w:tab w:val="num" w:pos="1361"/>
        </w:tabs>
        <w:ind w:left="1361" w:hanging="341"/>
      </w:pPr>
      <w:rPr>
        <w:rFonts w:ascii="Arial" w:hAnsi="Arial" w:cs="Arial" w:hint="default"/>
      </w:rPr>
    </w:lvl>
    <w:lvl w:ilvl="4">
      <w:start w:val="1"/>
      <w:numFmt w:val="lowerLetter"/>
      <w:lvlText w:val="-"/>
      <w:lvlJc w:val="left"/>
      <w:pPr>
        <w:tabs>
          <w:tab w:val="num" w:pos="1701"/>
        </w:tabs>
        <w:ind w:left="1701" w:hanging="340"/>
      </w:pPr>
      <w:rPr>
        <w:rFonts w:ascii="9999999" w:hAnsi="9999999" w:hint="default"/>
      </w:rPr>
    </w:lvl>
    <w:lvl w:ilvl="5">
      <w:start w:val="1"/>
      <w:numFmt w:val="lowerRoman"/>
      <w:lvlText w:val="—"/>
      <w:lvlJc w:val="left"/>
      <w:pPr>
        <w:tabs>
          <w:tab w:val="num" w:pos="2041"/>
        </w:tabs>
        <w:ind w:left="2041" w:hanging="340"/>
      </w:pPr>
      <w:rPr>
        <w:rFonts w:ascii="Arial" w:hAnsi="Arial" w:cs="Arial" w:hint="default"/>
      </w:rPr>
    </w:lvl>
    <w:lvl w:ilvl="6">
      <w:start w:val="1"/>
      <w:numFmt w:val="decimal"/>
      <w:lvlText w:val="-"/>
      <w:lvlJc w:val="left"/>
      <w:pPr>
        <w:tabs>
          <w:tab w:val="num" w:pos="2381"/>
        </w:tabs>
        <w:ind w:left="2381" w:hanging="340"/>
      </w:pPr>
      <w:rPr>
        <w:rFonts w:ascii="9999999" w:hAnsi="9999999" w:hint="default"/>
      </w:rPr>
    </w:lvl>
    <w:lvl w:ilvl="7">
      <w:start w:val="1"/>
      <w:numFmt w:val="lowerLetter"/>
      <w:lvlText w:val="—"/>
      <w:lvlJc w:val="left"/>
      <w:pPr>
        <w:tabs>
          <w:tab w:val="num" w:pos="2721"/>
        </w:tabs>
        <w:ind w:left="2721" w:hanging="340"/>
      </w:pPr>
      <w:rPr>
        <w:rFonts w:ascii="Arial" w:hAnsi="Arial" w:cs="Arial" w:hint="default"/>
      </w:rPr>
    </w:lvl>
    <w:lvl w:ilvl="8">
      <w:start w:val="1"/>
      <w:numFmt w:val="lowerRoman"/>
      <w:lvlText w:val="-"/>
      <w:lvlJc w:val="left"/>
      <w:pPr>
        <w:tabs>
          <w:tab w:val="num" w:pos="3061"/>
        </w:tabs>
        <w:ind w:left="3061" w:hanging="340"/>
      </w:pPr>
      <w:rPr>
        <w:rFonts w:ascii="9999999" w:hAnsi="9999999" w:hint="default"/>
      </w:rPr>
    </w:lvl>
  </w:abstractNum>
  <w:abstractNum w:abstractNumId="38" w15:restartNumberingAfterBreak="0">
    <w:nsid w:val="6EC30F55"/>
    <w:multiLevelType w:val="singleLevel"/>
    <w:tmpl w:val="7E4E1264"/>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39" w15:restartNumberingAfterBreak="0">
    <w:nsid w:val="70B77572"/>
    <w:multiLevelType w:val="hybridMultilevel"/>
    <w:tmpl w:val="B26C6962"/>
    <w:lvl w:ilvl="0" w:tplc="5DF28974">
      <w:start w:val="1"/>
      <w:numFmt w:val="bullet"/>
      <w:lvlText w:val="•"/>
      <w:lvlJc w:val="left"/>
      <w:pPr>
        <w:tabs>
          <w:tab w:val="num" w:pos="720"/>
        </w:tabs>
        <w:ind w:left="720" w:hanging="360"/>
      </w:pPr>
      <w:rPr>
        <w:rFonts w:ascii="Arial" w:hAnsi="Arial" w:hint="default"/>
      </w:rPr>
    </w:lvl>
    <w:lvl w:ilvl="1" w:tplc="B73E3644" w:tentative="1">
      <w:start w:val="1"/>
      <w:numFmt w:val="bullet"/>
      <w:lvlText w:val="•"/>
      <w:lvlJc w:val="left"/>
      <w:pPr>
        <w:tabs>
          <w:tab w:val="num" w:pos="1440"/>
        </w:tabs>
        <w:ind w:left="1440" w:hanging="360"/>
      </w:pPr>
      <w:rPr>
        <w:rFonts w:ascii="Arial" w:hAnsi="Arial" w:hint="default"/>
      </w:rPr>
    </w:lvl>
    <w:lvl w:ilvl="2" w:tplc="61100FE4" w:tentative="1">
      <w:start w:val="1"/>
      <w:numFmt w:val="bullet"/>
      <w:lvlText w:val="•"/>
      <w:lvlJc w:val="left"/>
      <w:pPr>
        <w:tabs>
          <w:tab w:val="num" w:pos="2160"/>
        </w:tabs>
        <w:ind w:left="2160" w:hanging="360"/>
      </w:pPr>
      <w:rPr>
        <w:rFonts w:ascii="Arial" w:hAnsi="Arial" w:hint="default"/>
      </w:rPr>
    </w:lvl>
    <w:lvl w:ilvl="3" w:tplc="E4FC4C3C" w:tentative="1">
      <w:start w:val="1"/>
      <w:numFmt w:val="bullet"/>
      <w:lvlText w:val="•"/>
      <w:lvlJc w:val="left"/>
      <w:pPr>
        <w:tabs>
          <w:tab w:val="num" w:pos="2880"/>
        </w:tabs>
        <w:ind w:left="2880" w:hanging="360"/>
      </w:pPr>
      <w:rPr>
        <w:rFonts w:ascii="Arial" w:hAnsi="Arial" w:hint="default"/>
      </w:rPr>
    </w:lvl>
    <w:lvl w:ilvl="4" w:tplc="0CB03A6C" w:tentative="1">
      <w:start w:val="1"/>
      <w:numFmt w:val="bullet"/>
      <w:lvlText w:val="•"/>
      <w:lvlJc w:val="left"/>
      <w:pPr>
        <w:tabs>
          <w:tab w:val="num" w:pos="3600"/>
        </w:tabs>
        <w:ind w:left="3600" w:hanging="360"/>
      </w:pPr>
      <w:rPr>
        <w:rFonts w:ascii="Arial" w:hAnsi="Arial" w:hint="default"/>
      </w:rPr>
    </w:lvl>
    <w:lvl w:ilvl="5" w:tplc="9ED6211E" w:tentative="1">
      <w:start w:val="1"/>
      <w:numFmt w:val="bullet"/>
      <w:lvlText w:val="•"/>
      <w:lvlJc w:val="left"/>
      <w:pPr>
        <w:tabs>
          <w:tab w:val="num" w:pos="4320"/>
        </w:tabs>
        <w:ind w:left="4320" w:hanging="360"/>
      </w:pPr>
      <w:rPr>
        <w:rFonts w:ascii="Arial" w:hAnsi="Arial" w:hint="default"/>
      </w:rPr>
    </w:lvl>
    <w:lvl w:ilvl="6" w:tplc="E2E4E0BC" w:tentative="1">
      <w:start w:val="1"/>
      <w:numFmt w:val="bullet"/>
      <w:lvlText w:val="•"/>
      <w:lvlJc w:val="left"/>
      <w:pPr>
        <w:tabs>
          <w:tab w:val="num" w:pos="5040"/>
        </w:tabs>
        <w:ind w:left="5040" w:hanging="360"/>
      </w:pPr>
      <w:rPr>
        <w:rFonts w:ascii="Arial" w:hAnsi="Arial" w:hint="default"/>
      </w:rPr>
    </w:lvl>
    <w:lvl w:ilvl="7" w:tplc="127CA13C" w:tentative="1">
      <w:start w:val="1"/>
      <w:numFmt w:val="bullet"/>
      <w:lvlText w:val="•"/>
      <w:lvlJc w:val="left"/>
      <w:pPr>
        <w:tabs>
          <w:tab w:val="num" w:pos="5760"/>
        </w:tabs>
        <w:ind w:left="5760" w:hanging="360"/>
      </w:pPr>
      <w:rPr>
        <w:rFonts w:ascii="Arial" w:hAnsi="Arial" w:hint="default"/>
      </w:rPr>
    </w:lvl>
    <w:lvl w:ilvl="8" w:tplc="0EC2ADD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2A748C9"/>
    <w:multiLevelType w:val="multilevel"/>
    <w:tmpl w:val="97C63126"/>
    <w:lvl w:ilvl="0">
      <w:start w:val="1"/>
      <w:numFmt w:val="decimal"/>
      <w:lvlText w:val="%1."/>
      <w:lvlJc w:val="left"/>
      <w:pPr>
        <w:ind w:left="360" w:hanging="360"/>
      </w:pPr>
      <w:rPr>
        <w:rFonts w:hint="default"/>
        <w:b w:val="0"/>
        <w:bCs w:val="0"/>
        <w:color w:val="auto"/>
      </w:rPr>
    </w:lvl>
    <w:lvl w:ilvl="1">
      <w:start w:val="1"/>
      <w:numFmt w:val="upp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15:restartNumberingAfterBreak="0">
    <w:nsid w:val="74913C47"/>
    <w:multiLevelType w:val="singleLevel"/>
    <w:tmpl w:val="0BD67E5E"/>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2" w15:restartNumberingAfterBreak="0">
    <w:nsid w:val="762A0E02"/>
    <w:multiLevelType w:val="multilevel"/>
    <w:tmpl w:val="97C63126"/>
    <w:lvl w:ilvl="0">
      <w:start w:val="1"/>
      <w:numFmt w:val="decimal"/>
      <w:lvlText w:val="%1."/>
      <w:lvlJc w:val="left"/>
      <w:pPr>
        <w:ind w:left="360" w:hanging="360"/>
      </w:pPr>
      <w:rPr>
        <w:rFonts w:hint="default"/>
        <w:b w:val="0"/>
        <w:bCs w:val="0"/>
        <w:color w:val="auto"/>
      </w:rPr>
    </w:lvl>
    <w:lvl w:ilvl="1">
      <w:start w:val="1"/>
      <w:numFmt w:val="upp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15:restartNumberingAfterBreak="0">
    <w:nsid w:val="79004866"/>
    <w:multiLevelType w:val="singleLevel"/>
    <w:tmpl w:val="17E64EE0"/>
    <w:lvl w:ilvl="0">
      <w:start w:val="1"/>
      <w:numFmt w:val="bullet"/>
      <w:lvlText w:val="•"/>
      <w:lvlJc w:val="left"/>
      <w:pPr>
        <w:tabs>
          <w:tab w:val="num" w:pos="340"/>
        </w:tabs>
        <w:ind w:left="340" w:hanging="340"/>
      </w:pPr>
      <w:rPr>
        <w:rFonts w:ascii="Arial" w:hAnsi="Arial" w:cs="Arial" w:hint="default"/>
        <w:color w:val="auto"/>
        <w:sz w:val="24"/>
      </w:rPr>
    </w:lvl>
  </w:abstractNum>
  <w:abstractNum w:abstractNumId="44" w15:restartNumberingAfterBreak="0">
    <w:nsid w:val="7D4C1008"/>
    <w:multiLevelType w:val="singleLevel"/>
    <w:tmpl w:val="62D61A4C"/>
    <w:lvl w:ilvl="0">
      <w:start w:val="1"/>
      <w:numFmt w:val="bullet"/>
      <w:lvlText w:val="•"/>
      <w:lvlJc w:val="left"/>
      <w:pPr>
        <w:tabs>
          <w:tab w:val="num" w:pos="340"/>
        </w:tabs>
        <w:ind w:left="340" w:hanging="340"/>
      </w:pPr>
      <w:rPr>
        <w:rFonts w:ascii="Arial" w:hAnsi="Arial" w:cs="Arial" w:hint="default"/>
        <w:color w:val="auto"/>
        <w:sz w:val="24"/>
      </w:rPr>
    </w:lvl>
  </w:abstractNum>
  <w:num w:numId="1" w16cid:durableId="489909518">
    <w:abstractNumId w:val="37"/>
  </w:num>
  <w:num w:numId="2" w16cid:durableId="245963036">
    <w:abstractNumId w:val="21"/>
  </w:num>
  <w:num w:numId="3" w16cid:durableId="456072910">
    <w:abstractNumId w:val="5"/>
  </w:num>
  <w:num w:numId="4" w16cid:durableId="515730003">
    <w:abstractNumId w:val="19"/>
  </w:num>
  <w:num w:numId="5" w16cid:durableId="1131173028">
    <w:abstractNumId w:val="30"/>
  </w:num>
  <w:num w:numId="6" w16cid:durableId="1359770962">
    <w:abstractNumId w:val="13"/>
  </w:num>
  <w:num w:numId="7" w16cid:durableId="1264729842">
    <w:abstractNumId w:val="27"/>
  </w:num>
  <w:num w:numId="8" w16cid:durableId="455180133">
    <w:abstractNumId w:val="41"/>
  </w:num>
  <w:num w:numId="9" w16cid:durableId="1294604930">
    <w:abstractNumId w:val="14"/>
  </w:num>
  <w:num w:numId="10" w16cid:durableId="749692914">
    <w:abstractNumId w:val="34"/>
  </w:num>
  <w:num w:numId="11" w16cid:durableId="1525627331">
    <w:abstractNumId w:val="16"/>
  </w:num>
  <w:num w:numId="12" w16cid:durableId="577785348">
    <w:abstractNumId w:val="25"/>
  </w:num>
  <w:num w:numId="13" w16cid:durableId="1019549674">
    <w:abstractNumId w:val="20"/>
  </w:num>
  <w:num w:numId="14" w16cid:durableId="1240289405">
    <w:abstractNumId w:val="11"/>
  </w:num>
  <w:num w:numId="15" w16cid:durableId="1221862306">
    <w:abstractNumId w:val="38"/>
  </w:num>
  <w:num w:numId="16" w16cid:durableId="946085082">
    <w:abstractNumId w:val="10"/>
  </w:num>
  <w:num w:numId="17" w16cid:durableId="815686259">
    <w:abstractNumId w:val="26"/>
  </w:num>
  <w:num w:numId="18" w16cid:durableId="1362171627">
    <w:abstractNumId w:val="43"/>
  </w:num>
  <w:num w:numId="19" w16cid:durableId="1690597146">
    <w:abstractNumId w:val="24"/>
  </w:num>
  <w:num w:numId="20" w16cid:durableId="771127464">
    <w:abstractNumId w:val="33"/>
  </w:num>
  <w:num w:numId="21" w16cid:durableId="701563839">
    <w:abstractNumId w:val="40"/>
  </w:num>
  <w:num w:numId="22" w16cid:durableId="1518352117">
    <w:abstractNumId w:val="12"/>
  </w:num>
  <w:num w:numId="23" w16cid:durableId="58097591">
    <w:abstractNumId w:val="35"/>
  </w:num>
  <w:num w:numId="24" w16cid:durableId="1426262570">
    <w:abstractNumId w:val="15"/>
  </w:num>
  <w:num w:numId="25" w16cid:durableId="508103675">
    <w:abstractNumId w:val="42"/>
  </w:num>
  <w:num w:numId="26" w16cid:durableId="990987683">
    <w:abstractNumId w:val="32"/>
  </w:num>
  <w:num w:numId="27" w16cid:durableId="1824084835">
    <w:abstractNumId w:val="28"/>
  </w:num>
  <w:num w:numId="28" w16cid:durableId="781652881">
    <w:abstractNumId w:val="3"/>
  </w:num>
  <w:num w:numId="29" w16cid:durableId="1248465706">
    <w:abstractNumId w:val="2"/>
  </w:num>
  <w:num w:numId="30" w16cid:durableId="1476216482">
    <w:abstractNumId w:val="1"/>
  </w:num>
  <w:num w:numId="31" w16cid:durableId="1743865647">
    <w:abstractNumId w:val="0"/>
  </w:num>
  <w:num w:numId="32" w16cid:durableId="8056572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121296361">
    <w:abstractNumId w:val="17"/>
  </w:num>
  <w:num w:numId="34" w16cid:durableId="1945111452">
    <w:abstractNumId w:val="7"/>
  </w:num>
  <w:num w:numId="35" w16cid:durableId="1782652707">
    <w:abstractNumId w:val="4"/>
  </w:num>
  <w:num w:numId="36" w16cid:durableId="1252198411">
    <w:abstractNumId w:val="22"/>
  </w:num>
  <w:num w:numId="37" w16cid:durableId="1956593934">
    <w:abstractNumId w:val="31"/>
  </w:num>
  <w:num w:numId="38" w16cid:durableId="482820210">
    <w:abstractNumId w:val="9"/>
  </w:num>
  <w:num w:numId="39" w16cid:durableId="389967021">
    <w:abstractNumId w:val="36"/>
  </w:num>
  <w:num w:numId="40" w16cid:durableId="2133670687">
    <w:abstractNumId w:val="23"/>
  </w:num>
  <w:num w:numId="41" w16cid:durableId="911280784">
    <w:abstractNumId w:val="6"/>
  </w:num>
  <w:num w:numId="42" w16cid:durableId="393941411">
    <w:abstractNumId w:val="8"/>
  </w:num>
  <w:num w:numId="43" w16cid:durableId="1769302430">
    <w:abstractNumId w:val="39"/>
  </w:num>
  <w:num w:numId="44" w16cid:durableId="318191517">
    <w:abstractNumId w:val="29"/>
  </w:num>
  <w:num w:numId="45" w16cid:durableId="613444481">
    <w:abstractNumId w:val="28"/>
  </w:num>
  <w:num w:numId="46" w16cid:durableId="2066638137">
    <w:abstractNumId w:val="44"/>
  </w:num>
  <w:num w:numId="47" w16cid:durableId="83378661">
    <w:abstractNumId w:val="1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lickAndTypeStyle w:val="BodyTex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3F8A"/>
    <w:rsid w:val="0000018D"/>
    <w:rsid w:val="00000299"/>
    <w:rsid w:val="00000429"/>
    <w:rsid w:val="00000510"/>
    <w:rsid w:val="0000062A"/>
    <w:rsid w:val="000006D3"/>
    <w:rsid w:val="000008A9"/>
    <w:rsid w:val="000008F3"/>
    <w:rsid w:val="00000C39"/>
    <w:rsid w:val="00000CB3"/>
    <w:rsid w:val="00000D95"/>
    <w:rsid w:val="00001173"/>
    <w:rsid w:val="000016BC"/>
    <w:rsid w:val="000019E4"/>
    <w:rsid w:val="00001B86"/>
    <w:rsid w:val="00001D39"/>
    <w:rsid w:val="00002015"/>
    <w:rsid w:val="00002380"/>
    <w:rsid w:val="000023F8"/>
    <w:rsid w:val="000024A3"/>
    <w:rsid w:val="0000272E"/>
    <w:rsid w:val="00002937"/>
    <w:rsid w:val="00002950"/>
    <w:rsid w:val="00002BEE"/>
    <w:rsid w:val="00003078"/>
    <w:rsid w:val="00003375"/>
    <w:rsid w:val="00003405"/>
    <w:rsid w:val="00003407"/>
    <w:rsid w:val="00003C3D"/>
    <w:rsid w:val="00003E8A"/>
    <w:rsid w:val="00003FC5"/>
    <w:rsid w:val="00003FCD"/>
    <w:rsid w:val="0000401F"/>
    <w:rsid w:val="00004193"/>
    <w:rsid w:val="00004420"/>
    <w:rsid w:val="0000455E"/>
    <w:rsid w:val="00004788"/>
    <w:rsid w:val="0000479C"/>
    <w:rsid w:val="000047DF"/>
    <w:rsid w:val="00004847"/>
    <w:rsid w:val="0000485D"/>
    <w:rsid w:val="00004C2B"/>
    <w:rsid w:val="00004CAE"/>
    <w:rsid w:val="00004DE1"/>
    <w:rsid w:val="00005166"/>
    <w:rsid w:val="000055D8"/>
    <w:rsid w:val="00005836"/>
    <w:rsid w:val="00005ADE"/>
    <w:rsid w:val="00005B8B"/>
    <w:rsid w:val="00005C36"/>
    <w:rsid w:val="00005CA5"/>
    <w:rsid w:val="00005D14"/>
    <w:rsid w:val="00005DCE"/>
    <w:rsid w:val="0000606D"/>
    <w:rsid w:val="000065A5"/>
    <w:rsid w:val="00006681"/>
    <w:rsid w:val="0000674C"/>
    <w:rsid w:val="000067F6"/>
    <w:rsid w:val="00006AB7"/>
    <w:rsid w:val="00006AED"/>
    <w:rsid w:val="00006B09"/>
    <w:rsid w:val="00006F9C"/>
    <w:rsid w:val="000073F1"/>
    <w:rsid w:val="00007529"/>
    <w:rsid w:val="0000757E"/>
    <w:rsid w:val="00007680"/>
    <w:rsid w:val="000077ED"/>
    <w:rsid w:val="0000795E"/>
    <w:rsid w:val="00007BA4"/>
    <w:rsid w:val="00007BC0"/>
    <w:rsid w:val="00007D0F"/>
    <w:rsid w:val="00007E96"/>
    <w:rsid w:val="0001027F"/>
    <w:rsid w:val="00010336"/>
    <w:rsid w:val="00010408"/>
    <w:rsid w:val="00010745"/>
    <w:rsid w:val="00010904"/>
    <w:rsid w:val="00010A01"/>
    <w:rsid w:val="00010C37"/>
    <w:rsid w:val="00010C40"/>
    <w:rsid w:val="00010CAF"/>
    <w:rsid w:val="000110DC"/>
    <w:rsid w:val="000111A5"/>
    <w:rsid w:val="000111B2"/>
    <w:rsid w:val="00011215"/>
    <w:rsid w:val="00011442"/>
    <w:rsid w:val="0001159F"/>
    <w:rsid w:val="00011661"/>
    <w:rsid w:val="000116D7"/>
    <w:rsid w:val="0001191E"/>
    <w:rsid w:val="0001195F"/>
    <w:rsid w:val="00011B02"/>
    <w:rsid w:val="00011BDB"/>
    <w:rsid w:val="00011CEE"/>
    <w:rsid w:val="00011EE8"/>
    <w:rsid w:val="00011F9D"/>
    <w:rsid w:val="00012194"/>
    <w:rsid w:val="00012212"/>
    <w:rsid w:val="0001228E"/>
    <w:rsid w:val="000123AD"/>
    <w:rsid w:val="000123C7"/>
    <w:rsid w:val="0001258C"/>
    <w:rsid w:val="000125A9"/>
    <w:rsid w:val="000125DC"/>
    <w:rsid w:val="00012899"/>
    <w:rsid w:val="0001296A"/>
    <w:rsid w:val="00012BAB"/>
    <w:rsid w:val="00013073"/>
    <w:rsid w:val="00013155"/>
    <w:rsid w:val="00013943"/>
    <w:rsid w:val="00013947"/>
    <w:rsid w:val="00013AC2"/>
    <w:rsid w:val="00013BA0"/>
    <w:rsid w:val="00013BEA"/>
    <w:rsid w:val="00013C93"/>
    <w:rsid w:val="00013CE3"/>
    <w:rsid w:val="00013D14"/>
    <w:rsid w:val="000141C1"/>
    <w:rsid w:val="0001429F"/>
    <w:rsid w:val="00014396"/>
    <w:rsid w:val="00014600"/>
    <w:rsid w:val="0001474D"/>
    <w:rsid w:val="00014A9F"/>
    <w:rsid w:val="00014E3E"/>
    <w:rsid w:val="00014F56"/>
    <w:rsid w:val="00014F98"/>
    <w:rsid w:val="0001502F"/>
    <w:rsid w:val="000154BC"/>
    <w:rsid w:val="000155BE"/>
    <w:rsid w:val="0001568A"/>
    <w:rsid w:val="00015D00"/>
    <w:rsid w:val="0001617C"/>
    <w:rsid w:val="00016233"/>
    <w:rsid w:val="00016624"/>
    <w:rsid w:val="00016728"/>
    <w:rsid w:val="00016766"/>
    <w:rsid w:val="000167C1"/>
    <w:rsid w:val="000168CA"/>
    <w:rsid w:val="000169C2"/>
    <w:rsid w:val="000169DA"/>
    <w:rsid w:val="00016A5F"/>
    <w:rsid w:val="00016BF9"/>
    <w:rsid w:val="00016C19"/>
    <w:rsid w:val="00016C1E"/>
    <w:rsid w:val="00016C38"/>
    <w:rsid w:val="00016CC0"/>
    <w:rsid w:val="00016D89"/>
    <w:rsid w:val="00016EBA"/>
    <w:rsid w:val="00016EBD"/>
    <w:rsid w:val="00017007"/>
    <w:rsid w:val="00017268"/>
    <w:rsid w:val="000174BC"/>
    <w:rsid w:val="00017853"/>
    <w:rsid w:val="0001797D"/>
    <w:rsid w:val="00017A00"/>
    <w:rsid w:val="00017C7D"/>
    <w:rsid w:val="00017C85"/>
    <w:rsid w:val="00017D96"/>
    <w:rsid w:val="00017E16"/>
    <w:rsid w:val="00017E5C"/>
    <w:rsid w:val="00017EF9"/>
    <w:rsid w:val="0002000C"/>
    <w:rsid w:val="00020227"/>
    <w:rsid w:val="0002028B"/>
    <w:rsid w:val="00020345"/>
    <w:rsid w:val="00020553"/>
    <w:rsid w:val="000205E8"/>
    <w:rsid w:val="00020624"/>
    <w:rsid w:val="000208D4"/>
    <w:rsid w:val="000209F9"/>
    <w:rsid w:val="00020AF1"/>
    <w:rsid w:val="00020B05"/>
    <w:rsid w:val="00020D21"/>
    <w:rsid w:val="00021018"/>
    <w:rsid w:val="00021370"/>
    <w:rsid w:val="000214AC"/>
    <w:rsid w:val="000214DC"/>
    <w:rsid w:val="0002165C"/>
    <w:rsid w:val="00021740"/>
    <w:rsid w:val="00021794"/>
    <w:rsid w:val="0002196F"/>
    <w:rsid w:val="00021988"/>
    <w:rsid w:val="000219E3"/>
    <w:rsid w:val="00021C63"/>
    <w:rsid w:val="00021CD1"/>
    <w:rsid w:val="00021EE2"/>
    <w:rsid w:val="00022078"/>
    <w:rsid w:val="000221D8"/>
    <w:rsid w:val="00022242"/>
    <w:rsid w:val="000222B7"/>
    <w:rsid w:val="00022423"/>
    <w:rsid w:val="00022431"/>
    <w:rsid w:val="0002270B"/>
    <w:rsid w:val="00022CCA"/>
    <w:rsid w:val="00022CFF"/>
    <w:rsid w:val="00022E2E"/>
    <w:rsid w:val="00022E5A"/>
    <w:rsid w:val="00022EB1"/>
    <w:rsid w:val="00022F3C"/>
    <w:rsid w:val="00022FD2"/>
    <w:rsid w:val="00023254"/>
    <w:rsid w:val="000238FF"/>
    <w:rsid w:val="00023A84"/>
    <w:rsid w:val="00023E4C"/>
    <w:rsid w:val="0002411E"/>
    <w:rsid w:val="00024262"/>
    <w:rsid w:val="000242DF"/>
    <w:rsid w:val="00024447"/>
    <w:rsid w:val="00024504"/>
    <w:rsid w:val="00024892"/>
    <w:rsid w:val="0002494C"/>
    <w:rsid w:val="0002497C"/>
    <w:rsid w:val="00024DCA"/>
    <w:rsid w:val="00024E0D"/>
    <w:rsid w:val="00024E1E"/>
    <w:rsid w:val="0002513B"/>
    <w:rsid w:val="00025275"/>
    <w:rsid w:val="000252EE"/>
    <w:rsid w:val="00025357"/>
    <w:rsid w:val="00025506"/>
    <w:rsid w:val="000257D4"/>
    <w:rsid w:val="00025831"/>
    <w:rsid w:val="00025C30"/>
    <w:rsid w:val="00025D98"/>
    <w:rsid w:val="00025DFD"/>
    <w:rsid w:val="00025ECA"/>
    <w:rsid w:val="0002604F"/>
    <w:rsid w:val="000261CE"/>
    <w:rsid w:val="00026426"/>
    <w:rsid w:val="0002646F"/>
    <w:rsid w:val="0002666F"/>
    <w:rsid w:val="00026A2F"/>
    <w:rsid w:val="0002702B"/>
    <w:rsid w:val="000271D2"/>
    <w:rsid w:val="00027331"/>
    <w:rsid w:val="00027521"/>
    <w:rsid w:val="00027820"/>
    <w:rsid w:val="00027850"/>
    <w:rsid w:val="0002794A"/>
    <w:rsid w:val="00027C05"/>
    <w:rsid w:val="00027E0F"/>
    <w:rsid w:val="00027F8B"/>
    <w:rsid w:val="000300A8"/>
    <w:rsid w:val="000304FA"/>
    <w:rsid w:val="0003061A"/>
    <w:rsid w:val="000306AD"/>
    <w:rsid w:val="000308B2"/>
    <w:rsid w:val="00030AD1"/>
    <w:rsid w:val="00030C27"/>
    <w:rsid w:val="00030D60"/>
    <w:rsid w:val="00030E5D"/>
    <w:rsid w:val="00030EAE"/>
    <w:rsid w:val="00030EB5"/>
    <w:rsid w:val="00030F8F"/>
    <w:rsid w:val="0003119E"/>
    <w:rsid w:val="0003124B"/>
    <w:rsid w:val="00031314"/>
    <w:rsid w:val="000314CD"/>
    <w:rsid w:val="00031B2E"/>
    <w:rsid w:val="00031EE7"/>
    <w:rsid w:val="0003205E"/>
    <w:rsid w:val="000320A7"/>
    <w:rsid w:val="00032379"/>
    <w:rsid w:val="000323E1"/>
    <w:rsid w:val="0003243F"/>
    <w:rsid w:val="000326C3"/>
    <w:rsid w:val="0003270D"/>
    <w:rsid w:val="00032BB3"/>
    <w:rsid w:val="00032D20"/>
    <w:rsid w:val="00032D89"/>
    <w:rsid w:val="00032E2F"/>
    <w:rsid w:val="00032EC4"/>
    <w:rsid w:val="000330C2"/>
    <w:rsid w:val="00033120"/>
    <w:rsid w:val="000331A6"/>
    <w:rsid w:val="00033238"/>
    <w:rsid w:val="0003331A"/>
    <w:rsid w:val="00033361"/>
    <w:rsid w:val="000333C7"/>
    <w:rsid w:val="00033485"/>
    <w:rsid w:val="00033B97"/>
    <w:rsid w:val="00033D32"/>
    <w:rsid w:val="00034037"/>
    <w:rsid w:val="00034407"/>
    <w:rsid w:val="00034A13"/>
    <w:rsid w:val="00034A4F"/>
    <w:rsid w:val="00034AF2"/>
    <w:rsid w:val="00034B6F"/>
    <w:rsid w:val="00034B80"/>
    <w:rsid w:val="00034C00"/>
    <w:rsid w:val="00034CDC"/>
    <w:rsid w:val="00035236"/>
    <w:rsid w:val="0003523F"/>
    <w:rsid w:val="0003524C"/>
    <w:rsid w:val="000355B8"/>
    <w:rsid w:val="00035736"/>
    <w:rsid w:val="000358A8"/>
    <w:rsid w:val="00035C44"/>
    <w:rsid w:val="00035D82"/>
    <w:rsid w:val="00035E93"/>
    <w:rsid w:val="00035F1E"/>
    <w:rsid w:val="00035FE0"/>
    <w:rsid w:val="0003618A"/>
    <w:rsid w:val="0003626E"/>
    <w:rsid w:val="000362A4"/>
    <w:rsid w:val="000362DA"/>
    <w:rsid w:val="00036358"/>
    <w:rsid w:val="000367FF"/>
    <w:rsid w:val="00036A0C"/>
    <w:rsid w:val="00036C88"/>
    <w:rsid w:val="00036D4C"/>
    <w:rsid w:val="00036E2A"/>
    <w:rsid w:val="00036EEF"/>
    <w:rsid w:val="0003700D"/>
    <w:rsid w:val="000371DA"/>
    <w:rsid w:val="000373B7"/>
    <w:rsid w:val="00037805"/>
    <w:rsid w:val="000378A2"/>
    <w:rsid w:val="0003799A"/>
    <w:rsid w:val="000379D9"/>
    <w:rsid w:val="000379DE"/>
    <w:rsid w:val="00037A96"/>
    <w:rsid w:val="00037D37"/>
    <w:rsid w:val="00040123"/>
    <w:rsid w:val="00040246"/>
    <w:rsid w:val="00040408"/>
    <w:rsid w:val="00040552"/>
    <w:rsid w:val="00040631"/>
    <w:rsid w:val="000406BC"/>
    <w:rsid w:val="000409E3"/>
    <w:rsid w:val="00040BDE"/>
    <w:rsid w:val="00040C55"/>
    <w:rsid w:val="00040CF2"/>
    <w:rsid w:val="00040D85"/>
    <w:rsid w:val="0004124A"/>
    <w:rsid w:val="000412AF"/>
    <w:rsid w:val="00041526"/>
    <w:rsid w:val="00041708"/>
    <w:rsid w:val="00041B46"/>
    <w:rsid w:val="0004206D"/>
    <w:rsid w:val="000420CC"/>
    <w:rsid w:val="0004236F"/>
    <w:rsid w:val="0004287F"/>
    <w:rsid w:val="00042970"/>
    <w:rsid w:val="000429A7"/>
    <w:rsid w:val="00042B43"/>
    <w:rsid w:val="00042B92"/>
    <w:rsid w:val="00042C09"/>
    <w:rsid w:val="00042E25"/>
    <w:rsid w:val="00043175"/>
    <w:rsid w:val="000433C7"/>
    <w:rsid w:val="00043424"/>
    <w:rsid w:val="0004360C"/>
    <w:rsid w:val="00043638"/>
    <w:rsid w:val="00043788"/>
    <w:rsid w:val="0004389B"/>
    <w:rsid w:val="00043B6B"/>
    <w:rsid w:val="00043D32"/>
    <w:rsid w:val="00043EEA"/>
    <w:rsid w:val="00043F95"/>
    <w:rsid w:val="0004411C"/>
    <w:rsid w:val="000441E8"/>
    <w:rsid w:val="00044359"/>
    <w:rsid w:val="00044398"/>
    <w:rsid w:val="0004461F"/>
    <w:rsid w:val="00044782"/>
    <w:rsid w:val="000447DA"/>
    <w:rsid w:val="000448A8"/>
    <w:rsid w:val="0004491B"/>
    <w:rsid w:val="00044AA3"/>
    <w:rsid w:val="00044B6E"/>
    <w:rsid w:val="00044C65"/>
    <w:rsid w:val="00044CED"/>
    <w:rsid w:val="00044D6A"/>
    <w:rsid w:val="00044DD6"/>
    <w:rsid w:val="00045251"/>
    <w:rsid w:val="00045563"/>
    <w:rsid w:val="0004556A"/>
    <w:rsid w:val="000456E6"/>
    <w:rsid w:val="00045710"/>
    <w:rsid w:val="00045915"/>
    <w:rsid w:val="00045928"/>
    <w:rsid w:val="00045CC6"/>
    <w:rsid w:val="00045DAD"/>
    <w:rsid w:val="00045E17"/>
    <w:rsid w:val="00045E2A"/>
    <w:rsid w:val="00045F38"/>
    <w:rsid w:val="00046224"/>
    <w:rsid w:val="00046278"/>
    <w:rsid w:val="000465BB"/>
    <w:rsid w:val="0004662F"/>
    <w:rsid w:val="00046737"/>
    <w:rsid w:val="0004689F"/>
    <w:rsid w:val="00046AC6"/>
    <w:rsid w:val="00046AD8"/>
    <w:rsid w:val="00046B04"/>
    <w:rsid w:val="00046BE8"/>
    <w:rsid w:val="00046D9F"/>
    <w:rsid w:val="00046DC9"/>
    <w:rsid w:val="00047040"/>
    <w:rsid w:val="00047090"/>
    <w:rsid w:val="000472F2"/>
    <w:rsid w:val="00047488"/>
    <w:rsid w:val="0004760B"/>
    <w:rsid w:val="000478B5"/>
    <w:rsid w:val="000478F8"/>
    <w:rsid w:val="000479BC"/>
    <w:rsid w:val="00047FCC"/>
    <w:rsid w:val="0005011C"/>
    <w:rsid w:val="00050199"/>
    <w:rsid w:val="00050271"/>
    <w:rsid w:val="000503F7"/>
    <w:rsid w:val="00050823"/>
    <w:rsid w:val="00050838"/>
    <w:rsid w:val="000508FD"/>
    <w:rsid w:val="0005098E"/>
    <w:rsid w:val="000509B7"/>
    <w:rsid w:val="000509FE"/>
    <w:rsid w:val="00050A29"/>
    <w:rsid w:val="00050B0F"/>
    <w:rsid w:val="00050CD2"/>
    <w:rsid w:val="00050E9D"/>
    <w:rsid w:val="00050F69"/>
    <w:rsid w:val="00051134"/>
    <w:rsid w:val="0005119B"/>
    <w:rsid w:val="00051548"/>
    <w:rsid w:val="00051701"/>
    <w:rsid w:val="000517F1"/>
    <w:rsid w:val="000518C7"/>
    <w:rsid w:val="00051982"/>
    <w:rsid w:val="000519F0"/>
    <w:rsid w:val="00051B9B"/>
    <w:rsid w:val="000521F0"/>
    <w:rsid w:val="000523CE"/>
    <w:rsid w:val="0005243B"/>
    <w:rsid w:val="000524B3"/>
    <w:rsid w:val="000525E0"/>
    <w:rsid w:val="000526CF"/>
    <w:rsid w:val="00052844"/>
    <w:rsid w:val="0005286E"/>
    <w:rsid w:val="00052884"/>
    <w:rsid w:val="000528B6"/>
    <w:rsid w:val="0005290C"/>
    <w:rsid w:val="00052949"/>
    <w:rsid w:val="00052A01"/>
    <w:rsid w:val="00052A8D"/>
    <w:rsid w:val="00052B6B"/>
    <w:rsid w:val="00052CFC"/>
    <w:rsid w:val="00052D24"/>
    <w:rsid w:val="00052F15"/>
    <w:rsid w:val="000532A4"/>
    <w:rsid w:val="000533C9"/>
    <w:rsid w:val="0005374C"/>
    <w:rsid w:val="000537D7"/>
    <w:rsid w:val="000539D3"/>
    <w:rsid w:val="00053D72"/>
    <w:rsid w:val="00053DA8"/>
    <w:rsid w:val="00053FAD"/>
    <w:rsid w:val="000542B0"/>
    <w:rsid w:val="0005439A"/>
    <w:rsid w:val="00054593"/>
    <w:rsid w:val="0005486E"/>
    <w:rsid w:val="000549F9"/>
    <w:rsid w:val="000549FA"/>
    <w:rsid w:val="00054B33"/>
    <w:rsid w:val="00054B9B"/>
    <w:rsid w:val="00054C05"/>
    <w:rsid w:val="00054ED0"/>
    <w:rsid w:val="00055032"/>
    <w:rsid w:val="000550F7"/>
    <w:rsid w:val="000552A4"/>
    <w:rsid w:val="00055350"/>
    <w:rsid w:val="000558A1"/>
    <w:rsid w:val="000558DE"/>
    <w:rsid w:val="000558F9"/>
    <w:rsid w:val="00055AC7"/>
    <w:rsid w:val="00055B36"/>
    <w:rsid w:val="00055C31"/>
    <w:rsid w:val="00055D5F"/>
    <w:rsid w:val="00055DED"/>
    <w:rsid w:val="00055DF0"/>
    <w:rsid w:val="00055E68"/>
    <w:rsid w:val="00056078"/>
    <w:rsid w:val="000560C7"/>
    <w:rsid w:val="00056124"/>
    <w:rsid w:val="0005613B"/>
    <w:rsid w:val="000562EC"/>
    <w:rsid w:val="00056343"/>
    <w:rsid w:val="00056462"/>
    <w:rsid w:val="000564EB"/>
    <w:rsid w:val="00056671"/>
    <w:rsid w:val="00056677"/>
    <w:rsid w:val="000566BD"/>
    <w:rsid w:val="0005686A"/>
    <w:rsid w:val="00056885"/>
    <w:rsid w:val="00056A9A"/>
    <w:rsid w:val="00056AEC"/>
    <w:rsid w:val="00056C6A"/>
    <w:rsid w:val="00056DE1"/>
    <w:rsid w:val="00056EF9"/>
    <w:rsid w:val="00057084"/>
    <w:rsid w:val="000571C3"/>
    <w:rsid w:val="000571CD"/>
    <w:rsid w:val="0005761D"/>
    <w:rsid w:val="000576AA"/>
    <w:rsid w:val="000577AB"/>
    <w:rsid w:val="00057820"/>
    <w:rsid w:val="000579DC"/>
    <w:rsid w:val="00060092"/>
    <w:rsid w:val="0006011A"/>
    <w:rsid w:val="000602A8"/>
    <w:rsid w:val="000602B3"/>
    <w:rsid w:val="000605A0"/>
    <w:rsid w:val="000605BF"/>
    <w:rsid w:val="000606AD"/>
    <w:rsid w:val="00060810"/>
    <w:rsid w:val="00060A69"/>
    <w:rsid w:val="00060D9B"/>
    <w:rsid w:val="00060F09"/>
    <w:rsid w:val="00060FB2"/>
    <w:rsid w:val="00060FE3"/>
    <w:rsid w:val="00061076"/>
    <w:rsid w:val="000610A3"/>
    <w:rsid w:val="000610A8"/>
    <w:rsid w:val="00061164"/>
    <w:rsid w:val="00061188"/>
    <w:rsid w:val="000611BB"/>
    <w:rsid w:val="00061331"/>
    <w:rsid w:val="0006145A"/>
    <w:rsid w:val="00061532"/>
    <w:rsid w:val="00061539"/>
    <w:rsid w:val="00061636"/>
    <w:rsid w:val="00061705"/>
    <w:rsid w:val="00061BEF"/>
    <w:rsid w:val="00061BF4"/>
    <w:rsid w:val="00061C1B"/>
    <w:rsid w:val="00061C72"/>
    <w:rsid w:val="00061E10"/>
    <w:rsid w:val="00061E1D"/>
    <w:rsid w:val="000622C5"/>
    <w:rsid w:val="000625DB"/>
    <w:rsid w:val="00062776"/>
    <w:rsid w:val="000627C1"/>
    <w:rsid w:val="00062B4E"/>
    <w:rsid w:val="00062EDD"/>
    <w:rsid w:val="00062FD6"/>
    <w:rsid w:val="00063111"/>
    <w:rsid w:val="00063268"/>
    <w:rsid w:val="0006339D"/>
    <w:rsid w:val="000633C2"/>
    <w:rsid w:val="00063418"/>
    <w:rsid w:val="000637E7"/>
    <w:rsid w:val="00063CAF"/>
    <w:rsid w:val="00063D17"/>
    <w:rsid w:val="00063FFE"/>
    <w:rsid w:val="00064192"/>
    <w:rsid w:val="0006419C"/>
    <w:rsid w:val="0006439C"/>
    <w:rsid w:val="0006450D"/>
    <w:rsid w:val="00064624"/>
    <w:rsid w:val="000647A5"/>
    <w:rsid w:val="00064984"/>
    <w:rsid w:val="00064A23"/>
    <w:rsid w:val="00064B75"/>
    <w:rsid w:val="00064B90"/>
    <w:rsid w:val="00064C19"/>
    <w:rsid w:val="00064D70"/>
    <w:rsid w:val="00065217"/>
    <w:rsid w:val="0006524E"/>
    <w:rsid w:val="000654BE"/>
    <w:rsid w:val="000654E7"/>
    <w:rsid w:val="000658C7"/>
    <w:rsid w:val="00065A82"/>
    <w:rsid w:val="00065D5D"/>
    <w:rsid w:val="00066257"/>
    <w:rsid w:val="00066395"/>
    <w:rsid w:val="000664BD"/>
    <w:rsid w:val="000667B3"/>
    <w:rsid w:val="00066A18"/>
    <w:rsid w:val="00066EE2"/>
    <w:rsid w:val="0006701F"/>
    <w:rsid w:val="000672D6"/>
    <w:rsid w:val="0006731D"/>
    <w:rsid w:val="00067563"/>
    <w:rsid w:val="00067578"/>
    <w:rsid w:val="000675AF"/>
    <w:rsid w:val="00067A4B"/>
    <w:rsid w:val="00067BE9"/>
    <w:rsid w:val="00067F43"/>
    <w:rsid w:val="00067FD5"/>
    <w:rsid w:val="00070046"/>
    <w:rsid w:val="00070048"/>
    <w:rsid w:val="00070322"/>
    <w:rsid w:val="0007044C"/>
    <w:rsid w:val="0007093E"/>
    <w:rsid w:val="000709C8"/>
    <w:rsid w:val="00070C58"/>
    <w:rsid w:val="00070C9B"/>
    <w:rsid w:val="00070CB0"/>
    <w:rsid w:val="00070DA4"/>
    <w:rsid w:val="00070F3F"/>
    <w:rsid w:val="000711D0"/>
    <w:rsid w:val="0007121C"/>
    <w:rsid w:val="00071416"/>
    <w:rsid w:val="00071564"/>
    <w:rsid w:val="000717AA"/>
    <w:rsid w:val="00071806"/>
    <w:rsid w:val="00071902"/>
    <w:rsid w:val="00071AEB"/>
    <w:rsid w:val="00071F7E"/>
    <w:rsid w:val="00071FA8"/>
    <w:rsid w:val="00072370"/>
    <w:rsid w:val="00072403"/>
    <w:rsid w:val="000725AD"/>
    <w:rsid w:val="00072909"/>
    <w:rsid w:val="00072B27"/>
    <w:rsid w:val="00072CC2"/>
    <w:rsid w:val="00072CF1"/>
    <w:rsid w:val="00072DA3"/>
    <w:rsid w:val="00072FE4"/>
    <w:rsid w:val="00073249"/>
    <w:rsid w:val="00073656"/>
    <w:rsid w:val="00073702"/>
    <w:rsid w:val="00073B88"/>
    <w:rsid w:val="00074077"/>
    <w:rsid w:val="0007409B"/>
    <w:rsid w:val="000743CD"/>
    <w:rsid w:val="00074414"/>
    <w:rsid w:val="000745DD"/>
    <w:rsid w:val="000746B5"/>
    <w:rsid w:val="0007471D"/>
    <w:rsid w:val="000748EE"/>
    <w:rsid w:val="00074D48"/>
    <w:rsid w:val="00074FF0"/>
    <w:rsid w:val="0007518A"/>
    <w:rsid w:val="0007525E"/>
    <w:rsid w:val="00075298"/>
    <w:rsid w:val="0007533F"/>
    <w:rsid w:val="000753FF"/>
    <w:rsid w:val="00075611"/>
    <w:rsid w:val="000758F0"/>
    <w:rsid w:val="00075A28"/>
    <w:rsid w:val="00075D31"/>
    <w:rsid w:val="000760C1"/>
    <w:rsid w:val="000763AF"/>
    <w:rsid w:val="0007643F"/>
    <w:rsid w:val="0007686B"/>
    <w:rsid w:val="00076910"/>
    <w:rsid w:val="0007694E"/>
    <w:rsid w:val="00076DA4"/>
    <w:rsid w:val="00076DDF"/>
    <w:rsid w:val="00076E09"/>
    <w:rsid w:val="00076FC9"/>
    <w:rsid w:val="00077336"/>
    <w:rsid w:val="0007766F"/>
    <w:rsid w:val="000777F6"/>
    <w:rsid w:val="00077911"/>
    <w:rsid w:val="00077938"/>
    <w:rsid w:val="0007794A"/>
    <w:rsid w:val="00077AE6"/>
    <w:rsid w:val="00077B7E"/>
    <w:rsid w:val="00077EE6"/>
    <w:rsid w:val="00077F58"/>
    <w:rsid w:val="0008004B"/>
    <w:rsid w:val="00080242"/>
    <w:rsid w:val="000803FA"/>
    <w:rsid w:val="0008040C"/>
    <w:rsid w:val="00080616"/>
    <w:rsid w:val="00080768"/>
    <w:rsid w:val="00080769"/>
    <w:rsid w:val="000808AB"/>
    <w:rsid w:val="000808B9"/>
    <w:rsid w:val="00080977"/>
    <w:rsid w:val="00080A4A"/>
    <w:rsid w:val="00080B69"/>
    <w:rsid w:val="00080CE4"/>
    <w:rsid w:val="00080D95"/>
    <w:rsid w:val="00080FA8"/>
    <w:rsid w:val="00080FB5"/>
    <w:rsid w:val="0008119C"/>
    <w:rsid w:val="00081672"/>
    <w:rsid w:val="000818D1"/>
    <w:rsid w:val="000819F2"/>
    <w:rsid w:val="00081B7B"/>
    <w:rsid w:val="00081C72"/>
    <w:rsid w:val="00081CD4"/>
    <w:rsid w:val="00081D70"/>
    <w:rsid w:val="00081F77"/>
    <w:rsid w:val="0008206A"/>
    <w:rsid w:val="0008214B"/>
    <w:rsid w:val="00082345"/>
    <w:rsid w:val="00082458"/>
    <w:rsid w:val="00082625"/>
    <w:rsid w:val="000826A1"/>
    <w:rsid w:val="00082706"/>
    <w:rsid w:val="00082950"/>
    <w:rsid w:val="0008298C"/>
    <w:rsid w:val="00082BA5"/>
    <w:rsid w:val="000832C4"/>
    <w:rsid w:val="00083644"/>
    <w:rsid w:val="000836C6"/>
    <w:rsid w:val="00083903"/>
    <w:rsid w:val="00083B13"/>
    <w:rsid w:val="00083CF4"/>
    <w:rsid w:val="00084024"/>
    <w:rsid w:val="00084055"/>
    <w:rsid w:val="000840DC"/>
    <w:rsid w:val="0008431D"/>
    <w:rsid w:val="00084333"/>
    <w:rsid w:val="00084477"/>
    <w:rsid w:val="000844E9"/>
    <w:rsid w:val="0008450D"/>
    <w:rsid w:val="00084534"/>
    <w:rsid w:val="00084697"/>
    <w:rsid w:val="00084943"/>
    <w:rsid w:val="00084B53"/>
    <w:rsid w:val="00084BF0"/>
    <w:rsid w:val="00084DAB"/>
    <w:rsid w:val="00084F43"/>
    <w:rsid w:val="000850E3"/>
    <w:rsid w:val="000851E5"/>
    <w:rsid w:val="000851F9"/>
    <w:rsid w:val="0008527E"/>
    <w:rsid w:val="000852CC"/>
    <w:rsid w:val="00085409"/>
    <w:rsid w:val="00085453"/>
    <w:rsid w:val="000854BF"/>
    <w:rsid w:val="000855DE"/>
    <w:rsid w:val="000857EA"/>
    <w:rsid w:val="00085826"/>
    <w:rsid w:val="00085C74"/>
    <w:rsid w:val="00085DCD"/>
    <w:rsid w:val="0008621B"/>
    <w:rsid w:val="0008631C"/>
    <w:rsid w:val="0008660C"/>
    <w:rsid w:val="00086651"/>
    <w:rsid w:val="000867F6"/>
    <w:rsid w:val="00086860"/>
    <w:rsid w:val="00086927"/>
    <w:rsid w:val="00086CBB"/>
    <w:rsid w:val="00086CCD"/>
    <w:rsid w:val="0008729D"/>
    <w:rsid w:val="00087517"/>
    <w:rsid w:val="00087530"/>
    <w:rsid w:val="000876DF"/>
    <w:rsid w:val="000877EE"/>
    <w:rsid w:val="00087AF9"/>
    <w:rsid w:val="00087B24"/>
    <w:rsid w:val="00087B51"/>
    <w:rsid w:val="00087CC7"/>
    <w:rsid w:val="00087E13"/>
    <w:rsid w:val="00090000"/>
    <w:rsid w:val="0009016C"/>
    <w:rsid w:val="00090579"/>
    <w:rsid w:val="0009085F"/>
    <w:rsid w:val="0009092E"/>
    <w:rsid w:val="00090AD8"/>
    <w:rsid w:val="00090B1D"/>
    <w:rsid w:val="00090B79"/>
    <w:rsid w:val="00090BDA"/>
    <w:rsid w:val="00090D30"/>
    <w:rsid w:val="00090D35"/>
    <w:rsid w:val="00091168"/>
    <w:rsid w:val="000911EF"/>
    <w:rsid w:val="00091223"/>
    <w:rsid w:val="0009127A"/>
    <w:rsid w:val="000913B1"/>
    <w:rsid w:val="000913DC"/>
    <w:rsid w:val="00091419"/>
    <w:rsid w:val="000917C6"/>
    <w:rsid w:val="000917E0"/>
    <w:rsid w:val="00091823"/>
    <w:rsid w:val="00091888"/>
    <w:rsid w:val="000918C3"/>
    <w:rsid w:val="000918D8"/>
    <w:rsid w:val="00091983"/>
    <w:rsid w:val="00091E35"/>
    <w:rsid w:val="00091EAE"/>
    <w:rsid w:val="00091F8B"/>
    <w:rsid w:val="00091FD9"/>
    <w:rsid w:val="00092114"/>
    <w:rsid w:val="0009235D"/>
    <w:rsid w:val="00092505"/>
    <w:rsid w:val="00092546"/>
    <w:rsid w:val="000926D2"/>
    <w:rsid w:val="00092778"/>
    <w:rsid w:val="00092972"/>
    <w:rsid w:val="00092ADB"/>
    <w:rsid w:val="00092CBF"/>
    <w:rsid w:val="000931A6"/>
    <w:rsid w:val="00093404"/>
    <w:rsid w:val="0009362F"/>
    <w:rsid w:val="000936C4"/>
    <w:rsid w:val="00093937"/>
    <w:rsid w:val="00093959"/>
    <w:rsid w:val="00093B23"/>
    <w:rsid w:val="00093B52"/>
    <w:rsid w:val="00093F4A"/>
    <w:rsid w:val="000942E5"/>
    <w:rsid w:val="0009434E"/>
    <w:rsid w:val="000943D7"/>
    <w:rsid w:val="000943F8"/>
    <w:rsid w:val="0009474A"/>
    <w:rsid w:val="000947EB"/>
    <w:rsid w:val="0009486A"/>
    <w:rsid w:val="0009489D"/>
    <w:rsid w:val="00094971"/>
    <w:rsid w:val="00094A88"/>
    <w:rsid w:val="00094C38"/>
    <w:rsid w:val="00094DB9"/>
    <w:rsid w:val="00094ED4"/>
    <w:rsid w:val="00095017"/>
    <w:rsid w:val="0009501D"/>
    <w:rsid w:val="00095281"/>
    <w:rsid w:val="000952FF"/>
    <w:rsid w:val="00095326"/>
    <w:rsid w:val="000953AE"/>
    <w:rsid w:val="000956D2"/>
    <w:rsid w:val="00095BA4"/>
    <w:rsid w:val="00095BAF"/>
    <w:rsid w:val="00095BE5"/>
    <w:rsid w:val="00095CE5"/>
    <w:rsid w:val="00095D13"/>
    <w:rsid w:val="00095E1A"/>
    <w:rsid w:val="00095E48"/>
    <w:rsid w:val="0009611E"/>
    <w:rsid w:val="000961AF"/>
    <w:rsid w:val="00096201"/>
    <w:rsid w:val="000964CF"/>
    <w:rsid w:val="000965A5"/>
    <w:rsid w:val="000966ED"/>
    <w:rsid w:val="00096886"/>
    <w:rsid w:val="000968D0"/>
    <w:rsid w:val="0009692B"/>
    <w:rsid w:val="00096B6B"/>
    <w:rsid w:val="00096BE2"/>
    <w:rsid w:val="00096E6E"/>
    <w:rsid w:val="00096F34"/>
    <w:rsid w:val="00097015"/>
    <w:rsid w:val="0009723F"/>
    <w:rsid w:val="00097261"/>
    <w:rsid w:val="000972CE"/>
    <w:rsid w:val="0009733E"/>
    <w:rsid w:val="000976A0"/>
    <w:rsid w:val="0009786E"/>
    <w:rsid w:val="000978A2"/>
    <w:rsid w:val="0009796D"/>
    <w:rsid w:val="00097A48"/>
    <w:rsid w:val="00097A4C"/>
    <w:rsid w:val="00097B97"/>
    <w:rsid w:val="00097C13"/>
    <w:rsid w:val="00097F21"/>
    <w:rsid w:val="00097F61"/>
    <w:rsid w:val="00097F94"/>
    <w:rsid w:val="00097FF0"/>
    <w:rsid w:val="000A017F"/>
    <w:rsid w:val="000A0256"/>
    <w:rsid w:val="000A0354"/>
    <w:rsid w:val="000A04E2"/>
    <w:rsid w:val="000A0583"/>
    <w:rsid w:val="000A06A1"/>
    <w:rsid w:val="000A06E6"/>
    <w:rsid w:val="000A08EF"/>
    <w:rsid w:val="000A0AB1"/>
    <w:rsid w:val="000A0AF4"/>
    <w:rsid w:val="000A0C70"/>
    <w:rsid w:val="000A0EED"/>
    <w:rsid w:val="000A0FC1"/>
    <w:rsid w:val="000A105D"/>
    <w:rsid w:val="000A13EA"/>
    <w:rsid w:val="000A147B"/>
    <w:rsid w:val="000A1624"/>
    <w:rsid w:val="000A18F0"/>
    <w:rsid w:val="000A1B70"/>
    <w:rsid w:val="000A1E02"/>
    <w:rsid w:val="000A1E66"/>
    <w:rsid w:val="000A2076"/>
    <w:rsid w:val="000A20D5"/>
    <w:rsid w:val="000A21C4"/>
    <w:rsid w:val="000A222E"/>
    <w:rsid w:val="000A2320"/>
    <w:rsid w:val="000A24F1"/>
    <w:rsid w:val="000A271C"/>
    <w:rsid w:val="000A2728"/>
    <w:rsid w:val="000A293A"/>
    <w:rsid w:val="000A2967"/>
    <w:rsid w:val="000A2A4C"/>
    <w:rsid w:val="000A2BB6"/>
    <w:rsid w:val="000A2D56"/>
    <w:rsid w:val="000A3591"/>
    <w:rsid w:val="000A364B"/>
    <w:rsid w:val="000A3730"/>
    <w:rsid w:val="000A3B0B"/>
    <w:rsid w:val="000A3DE5"/>
    <w:rsid w:val="000A4271"/>
    <w:rsid w:val="000A436D"/>
    <w:rsid w:val="000A4451"/>
    <w:rsid w:val="000A45B3"/>
    <w:rsid w:val="000A462B"/>
    <w:rsid w:val="000A46CC"/>
    <w:rsid w:val="000A48F2"/>
    <w:rsid w:val="000A4975"/>
    <w:rsid w:val="000A4AEF"/>
    <w:rsid w:val="000A4B76"/>
    <w:rsid w:val="000A4B95"/>
    <w:rsid w:val="000A4BAB"/>
    <w:rsid w:val="000A4D55"/>
    <w:rsid w:val="000A4D70"/>
    <w:rsid w:val="000A4E10"/>
    <w:rsid w:val="000A504F"/>
    <w:rsid w:val="000A505B"/>
    <w:rsid w:val="000A52BE"/>
    <w:rsid w:val="000A5434"/>
    <w:rsid w:val="000A572C"/>
    <w:rsid w:val="000A5747"/>
    <w:rsid w:val="000A5765"/>
    <w:rsid w:val="000A594D"/>
    <w:rsid w:val="000A5A5D"/>
    <w:rsid w:val="000A5B17"/>
    <w:rsid w:val="000A5DF7"/>
    <w:rsid w:val="000A617E"/>
    <w:rsid w:val="000A634E"/>
    <w:rsid w:val="000A63DF"/>
    <w:rsid w:val="000A654B"/>
    <w:rsid w:val="000A65A2"/>
    <w:rsid w:val="000A65DA"/>
    <w:rsid w:val="000A6DEE"/>
    <w:rsid w:val="000A6F59"/>
    <w:rsid w:val="000A73BE"/>
    <w:rsid w:val="000A7580"/>
    <w:rsid w:val="000A7660"/>
    <w:rsid w:val="000A774D"/>
    <w:rsid w:val="000A7CC9"/>
    <w:rsid w:val="000A7E37"/>
    <w:rsid w:val="000B0232"/>
    <w:rsid w:val="000B025C"/>
    <w:rsid w:val="000B0A43"/>
    <w:rsid w:val="000B0AE4"/>
    <w:rsid w:val="000B0B22"/>
    <w:rsid w:val="000B0E62"/>
    <w:rsid w:val="000B0FEF"/>
    <w:rsid w:val="000B11F0"/>
    <w:rsid w:val="000B1350"/>
    <w:rsid w:val="000B141F"/>
    <w:rsid w:val="000B142E"/>
    <w:rsid w:val="000B147A"/>
    <w:rsid w:val="000B1507"/>
    <w:rsid w:val="000B1599"/>
    <w:rsid w:val="000B1762"/>
    <w:rsid w:val="000B1CEA"/>
    <w:rsid w:val="000B1DEC"/>
    <w:rsid w:val="000B28F0"/>
    <w:rsid w:val="000B2CE5"/>
    <w:rsid w:val="000B2D4A"/>
    <w:rsid w:val="000B359F"/>
    <w:rsid w:val="000B3693"/>
    <w:rsid w:val="000B3729"/>
    <w:rsid w:val="000B3745"/>
    <w:rsid w:val="000B3A0D"/>
    <w:rsid w:val="000B3BD2"/>
    <w:rsid w:val="000B3BEF"/>
    <w:rsid w:val="000B3D29"/>
    <w:rsid w:val="000B3DA6"/>
    <w:rsid w:val="000B3E32"/>
    <w:rsid w:val="000B4274"/>
    <w:rsid w:val="000B43CE"/>
    <w:rsid w:val="000B46EC"/>
    <w:rsid w:val="000B471F"/>
    <w:rsid w:val="000B4A01"/>
    <w:rsid w:val="000B4C5C"/>
    <w:rsid w:val="000B4D17"/>
    <w:rsid w:val="000B4E97"/>
    <w:rsid w:val="000B4F71"/>
    <w:rsid w:val="000B4F88"/>
    <w:rsid w:val="000B4FB3"/>
    <w:rsid w:val="000B50EF"/>
    <w:rsid w:val="000B533D"/>
    <w:rsid w:val="000B53E1"/>
    <w:rsid w:val="000B53EA"/>
    <w:rsid w:val="000B5AEF"/>
    <w:rsid w:val="000B6119"/>
    <w:rsid w:val="000B62E8"/>
    <w:rsid w:val="000B63A8"/>
    <w:rsid w:val="000B684D"/>
    <w:rsid w:val="000B6893"/>
    <w:rsid w:val="000B693F"/>
    <w:rsid w:val="000B6A6C"/>
    <w:rsid w:val="000B6B30"/>
    <w:rsid w:val="000B6CE7"/>
    <w:rsid w:val="000B6D26"/>
    <w:rsid w:val="000B6E56"/>
    <w:rsid w:val="000B718D"/>
    <w:rsid w:val="000B7198"/>
    <w:rsid w:val="000B71BF"/>
    <w:rsid w:val="000B72CF"/>
    <w:rsid w:val="000B73E8"/>
    <w:rsid w:val="000B7584"/>
    <w:rsid w:val="000B76B4"/>
    <w:rsid w:val="000B77F6"/>
    <w:rsid w:val="000B7899"/>
    <w:rsid w:val="000B78CE"/>
    <w:rsid w:val="000B7924"/>
    <w:rsid w:val="000B7A44"/>
    <w:rsid w:val="000B7D7C"/>
    <w:rsid w:val="000B7E2C"/>
    <w:rsid w:val="000C00C1"/>
    <w:rsid w:val="000C034B"/>
    <w:rsid w:val="000C0403"/>
    <w:rsid w:val="000C045B"/>
    <w:rsid w:val="000C057F"/>
    <w:rsid w:val="000C0698"/>
    <w:rsid w:val="000C0A7A"/>
    <w:rsid w:val="000C0B22"/>
    <w:rsid w:val="000C0CAB"/>
    <w:rsid w:val="000C0E5E"/>
    <w:rsid w:val="000C0F30"/>
    <w:rsid w:val="000C0F9E"/>
    <w:rsid w:val="000C1017"/>
    <w:rsid w:val="000C103C"/>
    <w:rsid w:val="000C1429"/>
    <w:rsid w:val="000C155F"/>
    <w:rsid w:val="000C15D9"/>
    <w:rsid w:val="000C177E"/>
    <w:rsid w:val="000C17EC"/>
    <w:rsid w:val="000C1846"/>
    <w:rsid w:val="000C1B79"/>
    <w:rsid w:val="000C215D"/>
    <w:rsid w:val="000C2181"/>
    <w:rsid w:val="000C22CF"/>
    <w:rsid w:val="000C2950"/>
    <w:rsid w:val="000C2A63"/>
    <w:rsid w:val="000C2ADC"/>
    <w:rsid w:val="000C2E85"/>
    <w:rsid w:val="000C30AC"/>
    <w:rsid w:val="000C3300"/>
    <w:rsid w:val="000C35AB"/>
    <w:rsid w:val="000C3622"/>
    <w:rsid w:val="000C3641"/>
    <w:rsid w:val="000C3663"/>
    <w:rsid w:val="000C36A7"/>
    <w:rsid w:val="000C37C0"/>
    <w:rsid w:val="000C3800"/>
    <w:rsid w:val="000C392A"/>
    <w:rsid w:val="000C3A0B"/>
    <w:rsid w:val="000C3B11"/>
    <w:rsid w:val="000C3DCB"/>
    <w:rsid w:val="000C4157"/>
    <w:rsid w:val="000C4216"/>
    <w:rsid w:val="000C4352"/>
    <w:rsid w:val="000C4511"/>
    <w:rsid w:val="000C4B54"/>
    <w:rsid w:val="000C4D2A"/>
    <w:rsid w:val="000C4E44"/>
    <w:rsid w:val="000C4ECA"/>
    <w:rsid w:val="000C509B"/>
    <w:rsid w:val="000C5162"/>
    <w:rsid w:val="000C52BF"/>
    <w:rsid w:val="000C53E1"/>
    <w:rsid w:val="000C542B"/>
    <w:rsid w:val="000C5506"/>
    <w:rsid w:val="000C5530"/>
    <w:rsid w:val="000C5620"/>
    <w:rsid w:val="000C5693"/>
    <w:rsid w:val="000C575D"/>
    <w:rsid w:val="000C5761"/>
    <w:rsid w:val="000C5864"/>
    <w:rsid w:val="000C5B04"/>
    <w:rsid w:val="000C5F3F"/>
    <w:rsid w:val="000C616E"/>
    <w:rsid w:val="000C6178"/>
    <w:rsid w:val="000C6225"/>
    <w:rsid w:val="000C62A5"/>
    <w:rsid w:val="000C64BD"/>
    <w:rsid w:val="000C6643"/>
    <w:rsid w:val="000C6919"/>
    <w:rsid w:val="000C6A9F"/>
    <w:rsid w:val="000C6B77"/>
    <w:rsid w:val="000C6BF7"/>
    <w:rsid w:val="000C6ED0"/>
    <w:rsid w:val="000C7019"/>
    <w:rsid w:val="000C7157"/>
    <w:rsid w:val="000C732A"/>
    <w:rsid w:val="000C737F"/>
    <w:rsid w:val="000C7584"/>
    <w:rsid w:val="000C7593"/>
    <w:rsid w:val="000C75BF"/>
    <w:rsid w:val="000C7602"/>
    <w:rsid w:val="000C765E"/>
    <w:rsid w:val="000C7821"/>
    <w:rsid w:val="000C7AE1"/>
    <w:rsid w:val="000C7B3B"/>
    <w:rsid w:val="000C7E60"/>
    <w:rsid w:val="000C7EFD"/>
    <w:rsid w:val="000C7F52"/>
    <w:rsid w:val="000D0430"/>
    <w:rsid w:val="000D0613"/>
    <w:rsid w:val="000D0673"/>
    <w:rsid w:val="000D0759"/>
    <w:rsid w:val="000D07E4"/>
    <w:rsid w:val="000D07FD"/>
    <w:rsid w:val="000D0BC6"/>
    <w:rsid w:val="000D0CFE"/>
    <w:rsid w:val="000D0FBB"/>
    <w:rsid w:val="000D1175"/>
    <w:rsid w:val="000D13FE"/>
    <w:rsid w:val="000D1577"/>
    <w:rsid w:val="000D16C7"/>
    <w:rsid w:val="000D1762"/>
    <w:rsid w:val="000D1768"/>
    <w:rsid w:val="000D177E"/>
    <w:rsid w:val="000D17ED"/>
    <w:rsid w:val="000D1929"/>
    <w:rsid w:val="000D1C2C"/>
    <w:rsid w:val="000D1CF1"/>
    <w:rsid w:val="000D1D50"/>
    <w:rsid w:val="000D1D8B"/>
    <w:rsid w:val="000D1FBA"/>
    <w:rsid w:val="000D2074"/>
    <w:rsid w:val="000D2231"/>
    <w:rsid w:val="000D224E"/>
    <w:rsid w:val="000D22DE"/>
    <w:rsid w:val="000D2378"/>
    <w:rsid w:val="000D24CF"/>
    <w:rsid w:val="000D256C"/>
    <w:rsid w:val="000D25B3"/>
    <w:rsid w:val="000D2609"/>
    <w:rsid w:val="000D263D"/>
    <w:rsid w:val="000D27B9"/>
    <w:rsid w:val="000D2B01"/>
    <w:rsid w:val="000D2B67"/>
    <w:rsid w:val="000D2D1C"/>
    <w:rsid w:val="000D2F52"/>
    <w:rsid w:val="000D3151"/>
    <w:rsid w:val="000D32BC"/>
    <w:rsid w:val="000D3365"/>
    <w:rsid w:val="000D33E5"/>
    <w:rsid w:val="000D3644"/>
    <w:rsid w:val="000D36F7"/>
    <w:rsid w:val="000D379E"/>
    <w:rsid w:val="000D37EA"/>
    <w:rsid w:val="000D37F1"/>
    <w:rsid w:val="000D3D04"/>
    <w:rsid w:val="000D3DBF"/>
    <w:rsid w:val="000D3E28"/>
    <w:rsid w:val="000D3FF3"/>
    <w:rsid w:val="000D407D"/>
    <w:rsid w:val="000D4301"/>
    <w:rsid w:val="000D4413"/>
    <w:rsid w:val="000D44DA"/>
    <w:rsid w:val="000D4668"/>
    <w:rsid w:val="000D471C"/>
    <w:rsid w:val="000D4725"/>
    <w:rsid w:val="000D486C"/>
    <w:rsid w:val="000D4C92"/>
    <w:rsid w:val="000D4CA5"/>
    <w:rsid w:val="000D4DDF"/>
    <w:rsid w:val="000D4E23"/>
    <w:rsid w:val="000D4E68"/>
    <w:rsid w:val="000D4F17"/>
    <w:rsid w:val="000D4F42"/>
    <w:rsid w:val="000D50EA"/>
    <w:rsid w:val="000D51C3"/>
    <w:rsid w:val="000D524E"/>
    <w:rsid w:val="000D5277"/>
    <w:rsid w:val="000D52D5"/>
    <w:rsid w:val="000D556E"/>
    <w:rsid w:val="000D557B"/>
    <w:rsid w:val="000D591E"/>
    <w:rsid w:val="000D5968"/>
    <w:rsid w:val="000D5B1D"/>
    <w:rsid w:val="000D5B94"/>
    <w:rsid w:val="000D5E62"/>
    <w:rsid w:val="000D5FCD"/>
    <w:rsid w:val="000D60A1"/>
    <w:rsid w:val="000D60E1"/>
    <w:rsid w:val="000D60FF"/>
    <w:rsid w:val="000D614D"/>
    <w:rsid w:val="000D61D1"/>
    <w:rsid w:val="000D669A"/>
    <w:rsid w:val="000D6BD4"/>
    <w:rsid w:val="000D6CA7"/>
    <w:rsid w:val="000D6E22"/>
    <w:rsid w:val="000D716E"/>
    <w:rsid w:val="000D7242"/>
    <w:rsid w:val="000D7272"/>
    <w:rsid w:val="000D72F3"/>
    <w:rsid w:val="000D7478"/>
    <w:rsid w:val="000D7567"/>
    <w:rsid w:val="000D7588"/>
    <w:rsid w:val="000D7737"/>
    <w:rsid w:val="000D7858"/>
    <w:rsid w:val="000D78A5"/>
    <w:rsid w:val="000D7D6F"/>
    <w:rsid w:val="000D7EA4"/>
    <w:rsid w:val="000D7FBC"/>
    <w:rsid w:val="000E03B0"/>
    <w:rsid w:val="000E04DB"/>
    <w:rsid w:val="000E05EE"/>
    <w:rsid w:val="000E06D8"/>
    <w:rsid w:val="000E084E"/>
    <w:rsid w:val="000E0901"/>
    <w:rsid w:val="000E0CED"/>
    <w:rsid w:val="000E108D"/>
    <w:rsid w:val="000E10A0"/>
    <w:rsid w:val="000E10D4"/>
    <w:rsid w:val="000E1160"/>
    <w:rsid w:val="000E122F"/>
    <w:rsid w:val="000E1453"/>
    <w:rsid w:val="000E178F"/>
    <w:rsid w:val="000E1B1C"/>
    <w:rsid w:val="000E1B56"/>
    <w:rsid w:val="000E1B98"/>
    <w:rsid w:val="000E1BF3"/>
    <w:rsid w:val="000E23C9"/>
    <w:rsid w:val="000E29DF"/>
    <w:rsid w:val="000E2D8C"/>
    <w:rsid w:val="000E318C"/>
    <w:rsid w:val="000E32D1"/>
    <w:rsid w:val="000E32D7"/>
    <w:rsid w:val="000E36AB"/>
    <w:rsid w:val="000E377A"/>
    <w:rsid w:val="000E378A"/>
    <w:rsid w:val="000E37B3"/>
    <w:rsid w:val="000E3A90"/>
    <w:rsid w:val="000E3C47"/>
    <w:rsid w:val="000E3C7E"/>
    <w:rsid w:val="000E3C85"/>
    <w:rsid w:val="000E3D5C"/>
    <w:rsid w:val="000E3F4E"/>
    <w:rsid w:val="000E415E"/>
    <w:rsid w:val="000E42B0"/>
    <w:rsid w:val="000E460E"/>
    <w:rsid w:val="000E470E"/>
    <w:rsid w:val="000E48FF"/>
    <w:rsid w:val="000E491A"/>
    <w:rsid w:val="000E495F"/>
    <w:rsid w:val="000E4A90"/>
    <w:rsid w:val="000E4AE0"/>
    <w:rsid w:val="000E4E86"/>
    <w:rsid w:val="000E5191"/>
    <w:rsid w:val="000E52AE"/>
    <w:rsid w:val="000E5515"/>
    <w:rsid w:val="000E582B"/>
    <w:rsid w:val="000E5A48"/>
    <w:rsid w:val="000E5AE8"/>
    <w:rsid w:val="000E5D45"/>
    <w:rsid w:val="000E604F"/>
    <w:rsid w:val="000E60F7"/>
    <w:rsid w:val="000E61A1"/>
    <w:rsid w:val="000E6433"/>
    <w:rsid w:val="000E666B"/>
    <w:rsid w:val="000E66DD"/>
    <w:rsid w:val="000E674B"/>
    <w:rsid w:val="000E68AC"/>
    <w:rsid w:val="000E6A22"/>
    <w:rsid w:val="000E6AE5"/>
    <w:rsid w:val="000E6B5D"/>
    <w:rsid w:val="000E6E68"/>
    <w:rsid w:val="000E714B"/>
    <w:rsid w:val="000E725E"/>
    <w:rsid w:val="000E7260"/>
    <w:rsid w:val="000E73DD"/>
    <w:rsid w:val="000E743E"/>
    <w:rsid w:val="000E7442"/>
    <w:rsid w:val="000E75B0"/>
    <w:rsid w:val="000E76BB"/>
    <w:rsid w:val="000E7B51"/>
    <w:rsid w:val="000E7BC7"/>
    <w:rsid w:val="000F0149"/>
    <w:rsid w:val="000F02F2"/>
    <w:rsid w:val="000F05CD"/>
    <w:rsid w:val="000F0640"/>
    <w:rsid w:val="000F0649"/>
    <w:rsid w:val="000F06D4"/>
    <w:rsid w:val="000F0721"/>
    <w:rsid w:val="000F09CA"/>
    <w:rsid w:val="000F09F1"/>
    <w:rsid w:val="000F0CB6"/>
    <w:rsid w:val="000F0D2E"/>
    <w:rsid w:val="000F0FCD"/>
    <w:rsid w:val="000F143E"/>
    <w:rsid w:val="000F14A9"/>
    <w:rsid w:val="000F180A"/>
    <w:rsid w:val="000F1954"/>
    <w:rsid w:val="000F1A37"/>
    <w:rsid w:val="000F1B22"/>
    <w:rsid w:val="000F1E93"/>
    <w:rsid w:val="000F2231"/>
    <w:rsid w:val="000F241E"/>
    <w:rsid w:val="000F25B0"/>
    <w:rsid w:val="000F2665"/>
    <w:rsid w:val="000F2805"/>
    <w:rsid w:val="000F2ABC"/>
    <w:rsid w:val="000F2C97"/>
    <w:rsid w:val="000F2CC6"/>
    <w:rsid w:val="000F3219"/>
    <w:rsid w:val="000F3263"/>
    <w:rsid w:val="000F32D3"/>
    <w:rsid w:val="000F3710"/>
    <w:rsid w:val="000F38D1"/>
    <w:rsid w:val="000F3BD1"/>
    <w:rsid w:val="000F3CA4"/>
    <w:rsid w:val="000F3D49"/>
    <w:rsid w:val="000F41D3"/>
    <w:rsid w:val="000F4454"/>
    <w:rsid w:val="000F47E0"/>
    <w:rsid w:val="000F4B13"/>
    <w:rsid w:val="000F4C3E"/>
    <w:rsid w:val="000F4F01"/>
    <w:rsid w:val="000F5413"/>
    <w:rsid w:val="000F5424"/>
    <w:rsid w:val="000F5458"/>
    <w:rsid w:val="000F56C7"/>
    <w:rsid w:val="000F57DD"/>
    <w:rsid w:val="000F5902"/>
    <w:rsid w:val="000F59BE"/>
    <w:rsid w:val="000F5B4B"/>
    <w:rsid w:val="000F5C06"/>
    <w:rsid w:val="000F6032"/>
    <w:rsid w:val="000F61DB"/>
    <w:rsid w:val="000F643F"/>
    <w:rsid w:val="000F6544"/>
    <w:rsid w:val="000F6694"/>
    <w:rsid w:val="000F66C9"/>
    <w:rsid w:val="000F67A6"/>
    <w:rsid w:val="000F67DC"/>
    <w:rsid w:val="000F6AE7"/>
    <w:rsid w:val="000F6B09"/>
    <w:rsid w:val="000F6B7D"/>
    <w:rsid w:val="000F6BD5"/>
    <w:rsid w:val="000F6D91"/>
    <w:rsid w:val="000F6F74"/>
    <w:rsid w:val="000F7044"/>
    <w:rsid w:val="000F7063"/>
    <w:rsid w:val="000F70E9"/>
    <w:rsid w:val="000F786E"/>
    <w:rsid w:val="000F787F"/>
    <w:rsid w:val="000F78F8"/>
    <w:rsid w:val="000F7AB0"/>
    <w:rsid w:val="000F7EEB"/>
    <w:rsid w:val="000F7EFB"/>
    <w:rsid w:val="000F7FE7"/>
    <w:rsid w:val="001000EC"/>
    <w:rsid w:val="00100420"/>
    <w:rsid w:val="0010065B"/>
    <w:rsid w:val="0010071A"/>
    <w:rsid w:val="001008A0"/>
    <w:rsid w:val="00100FD6"/>
    <w:rsid w:val="00100FE8"/>
    <w:rsid w:val="0010119F"/>
    <w:rsid w:val="00101251"/>
    <w:rsid w:val="00101338"/>
    <w:rsid w:val="00101529"/>
    <w:rsid w:val="00101682"/>
    <w:rsid w:val="00101716"/>
    <w:rsid w:val="001018FA"/>
    <w:rsid w:val="00101A1E"/>
    <w:rsid w:val="00101A89"/>
    <w:rsid w:val="00101BF5"/>
    <w:rsid w:val="00101DCF"/>
    <w:rsid w:val="00101E80"/>
    <w:rsid w:val="00101EAD"/>
    <w:rsid w:val="00102077"/>
    <w:rsid w:val="001021EB"/>
    <w:rsid w:val="0010242A"/>
    <w:rsid w:val="0010252B"/>
    <w:rsid w:val="001026EE"/>
    <w:rsid w:val="001026F6"/>
    <w:rsid w:val="001027AD"/>
    <w:rsid w:val="001028F2"/>
    <w:rsid w:val="0010297F"/>
    <w:rsid w:val="00102C15"/>
    <w:rsid w:val="00102EC7"/>
    <w:rsid w:val="001030D1"/>
    <w:rsid w:val="00103190"/>
    <w:rsid w:val="00103215"/>
    <w:rsid w:val="001035A2"/>
    <w:rsid w:val="00103A33"/>
    <w:rsid w:val="00103AAA"/>
    <w:rsid w:val="00103D4C"/>
    <w:rsid w:val="00103F57"/>
    <w:rsid w:val="00103FCD"/>
    <w:rsid w:val="00104510"/>
    <w:rsid w:val="001045EA"/>
    <w:rsid w:val="001047F6"/>
    <w:rsid w:val="00104A2E"/>
    <w:rsid w:val="00104AEC"/>
    <w:rsid w:val="00104AFF"/>
    <w:rsid w:val="00104CE7"/>
    <w:rsid w:val="00104E39"/>
    <w:rsid w:val="00104EA6"/>
    <w:rsid w:val="00104F7F"/>
    <w:rsid w:val="00104F84"/>
    <w:rsid w:val="00105085"/>
    <w:rsid w:val="00105160"/>
    <w:rsid w:val="00105318"/>
    <w:rsid w:val="0010552B"/>
    <w:rsid w:val="00105D40"/>
    <w:rsid w:val="00105EAC"/>
    <w:rsid w:val="00105EB1"/>
    <w:rsid w:val="00105FAB"/>
    <w:rsid w:val="001060C5"/>
    <w:rsid w:val="0010624A"/>
    <w:rsid w:val="00106308"/>
    <w:rsid w:val="00106354"/>
    <w:rsid w:val="001064C9"/>
    <w:rsid w:val="001064D3"/>
    <w:rsid w:val="001064DB"/>
    <w:rsid w:val="001066C8"/>
    <w:rsid w:val="001066D9"/>
    <w:rsid w:val="00106774"/>
    <w:rsid w:val="00106865"/>
    <w:rsid w:val="00106995"/>
    <w:rsid w:val="00106B6D"/>
    <w:rsid w:val="00106CD0"/>
    <w:rsid w:val="00106E48"/>
    <w:rsid w:val="00106F9A"/>
    <w:rsid w:val="0010714A"/>
    <w:rsid w:val="001072EC"/>
    <w:rsid w:val="001073A8"/>
    <w:rsid w:val="001074DE"/>
    <w:rsid w:val="00107AA0"/>
    <w:rsid w:val="00107B8D"/>
    <w:rsid w:val="00107CED"/>
    <w:rsid w:val="00107F0E"/>
    <w:rsid w:val="00107FE9"/>
    <w:rsid w:val="0011019E"/>
    <w:rsid w:val="001101B6"/>
    <w:rsid w:val="001103B1"/>
    <w:rsid w:val="0011053A"/>
    <w:rsid w:val="00110637"/>
    <w:rsid w:val="0011071B"/>
    <w:rsid w:val="001109E4"/>
    <w:rsid w:val="00110C5B"/>
    <w:rsid w:val="00110C91"/>
    <w:rsid w:val="00110D82"/>
    <w:rsid w:val="00110E68"/>
    <w:rsid w:val="00110F08"/>
    <w:rsid w:val="00111000"/>
    <w:rsid w:val="00111254"/>
    <w:rsid w:val="001112E8"/>
    <w:rsid w:val="00111377"/>
    <w:rsid w:val="0011185E"/>
    <w:rsid w:val="00111B09"/>
    <w:rsid w:val="00112080"/>
    <w:rsid w:val="0011219A"/>
    <w:rsid w:val="0011226A"/>
    <w:rsid w:val="0011256A"/>
    <w:rsid w:val="00112A38"/>
    <w:rsid w:val="00112C30"/>
    <w:rsid w:val="00112D9C"/>
    <w:rsid w:val="00112F9A"/>
    <w:rsid w:val="00112FFA"/>
    <w:rsid w:val="001132C6"/>
    <w:rsid w:val="00113586"/>
    <w:rsid w:val="00113671"/>
    <w:rsid w:val="0011369F"/>
    <w:rsid w:val="0011386E"/>
    <w:rsid w:val="00113EAE"/>
    <w:rsid w:val="001140B7"/>
    <w:rsid w:val="00114178"/>
    <w:rsid w:val="00114300"/>
    <w:rsid w:val="00114494"/>
    <w:rsid w:val="0011464C"/>
    <w:rsid w:val="001146F2"/>
    <w:rsid w:val="00114779"/>
    <w:rsid w:val="00114939"/>
    <w:rsid w:val="00114A48"/>
    <w:rsid w:val="00114BA4"/>
    <w:rsid w:val="00114C0B"/>
    <w:rsid w:val="00114F17"/>
    <w:rsid w:val="00114FE4"/>
    <w:rsid w:val="00115032"/>
    <w:rsid w:val="0011529D"/>
    <w:rsid w:val="00115339"/>
    <w:rsid w:val="00115448"/>
    <w:rsid w:val="001154FC"/>
    <w:rsid w:val="0011551C"/>
    <w:rsid w:val="00115A33"/>
    <w:rsid w:val="00115A79"/>
    <w:rsid w:val="00115A80"/>
    <w:rsid w:val="00115B18"/>
    <w:rsid w:val="00115BA3"/>
    <w:rsid w:val="00115BB3"/>
    <w:rsid w:val="00115D3B"/>
    <w:rsid w:val="001160DE"/>
    <w:rsid w:val="001163CE"/>
    <w:rsid w:val="0011642C"/>
    <w:rsid w:val="00116752"/>
    <w:rsid w:val="001167AB"/>
    <w:rsid w:val="00116977"/>
    <w:rsid w:val="00116C73"/>
    <w:rsid w:val="00116D76"/>
    <w:rsid w:val="00117024"/>
    <w:rsid w:val="0011702B"/>
    <w:rsid w:val="0011707A"/>
    <w:rsid w:val="001171F4"/>
    <w:rsid w:val="0011723A"/>
    <w:rsid w:val="001172B4"/>
    <w:rsid w:val="001173A8"/>
    <w:rsid w:val="001174B2"/>
    <w:rsid w:val="0011758D"/>
    <w:rsid w:val="001176F9"/>
    <w:rsid w:val="0011772C"/>
    <w:rsid w:val="0011774D"/>
    <w:rsid w:val="00117897"/>
    <w:rsid w:val="00117A52"/>
    <w:rsid w:val="00117AA1"/>
    <w:rsid w:val="00117CDD"/>
    <w:rsid w:val="0012009D"/>
    <w:rsid w:val="001202D1"/>
    <w:rsid w:val="00120502"/>
    <w:rsid w:val="00120536"/>
    <w:rsid w:val="001205E8"/>
    <w:rsid w:val="00120A58"/>
    <w:rsid w:val="00120C74"/>
    <w:rsid w:val="0012136D"/>
    <w:rsid w:val="00121428"/>
    <w:rsid w:val="00121572"/>
    <w:rsid w:val="00121856"/>
    <w:rsid w:val="00121AB8"/>
    <w:rsid w:val="00121B99"/>
    <w:rsid w:val="00121C89"/>
    <w:rsid w:val="00121E50"/>
    <w:rsid w:val="0012207F"/>
    <w:rsid w:val="0012223E"/>
    <w:rsid w:val="00122265"/>
    <w:rsid w:val="001222D4"/>
    <w:rsid w:val="00122517"/>
    <w:rsid w:val="00122547"/>
    <w:rsid w:val="00122884"/>
    <w:rsid w:val="00122A26"/>
    <w:rsid w:val="00122A8D"/>
    <w:rsid w:val="00122B6B"/>
    <w:rsid w:val="00122C3A"/>
    <w:rsid w:val="00122D08"/>
    <w:rsid w:val="00122D09"/>
    <w:rsid w:val="00123004"/>
    <w:rsid w:val="00123028"/>
    <w:rsid w:val="001230B0"/>
    <w:rsid w:val="00123134"/>
    <w:rsid w:val="001231BB"/>
    <w:rsid w:val="00123294"/>
    <w:rsid w:val="001233B5"/>
    <w:rsid w:val="0012351C"/>
    <w:rsid w:val="0012368C"/>
    <w:rsid w:val="00123792"/>
    <w:rsid w:val="001238EA"/>
    <w:rsid w:val="00123986"/>
    <w:rsid w:val="00123A38"/>
    <w:rsid w:val="00123B30"/>
    <w:rsid w:val="00123B55"/>
    <w:rsid w:val="00123E40"/>
    <w:rsid w:val="00123E6A"/>
    <w:rsid w:val="001243D7"/>
    <w:rsid w:val="00124795"/>
    <w:rsid w:val="00124BC4"/>
    <w:rsid w:val="00124C9C"/>
    <w:rsid w:val="00124EDF"/>
    <w:rsid w:val="00125119"/>
    <w:rsid w:val="00125225"/>
    <w:rsid w:val="001253D8"/>
    <w:rsid w:val="00125654"/>
    <w:rsid w:val="001256CA"/>
    <w:rsid w:val="00125882"/>
    <w:rsid w:val="00125927"/>
    <w:rsid w:val="001259F4"/>
    <w:rsid w:val="00125A6A"/>
    <w:rsid w:val="00125AA8"/>
    <w:rsid w:val="00125CA2"/>
    <w:rsid w:val="00125DAA"/>
    <w:rsid w:val="00125DEE"/>
    <w:rsid w:val="00125FAE"/>
    <w:rsid w:val="00125FD4"/>
    <w:rsid w:val="0012605C"/>
    <w:rsid w:val="00126119"/>
    <w:rsid w:val="0012644A"/>
    <w:rsid w:val="00126524"/>
    <w:rsid w:val="00126586"/>
    <w:rsid w:val="0012667A"/>
    <w:rsid w:val="001266A3"/>
    <w:rsid w:val="00126780"/>
    <w:rsid w:val="00126818"/>
    <w:rsid w:val="00126965"/>
    <w:rsid w:val="001269D5"/>
    <w:rsid w:val="001269DB"/>
    <w:rsid w:val="00127105"/>
    <w:rsid w:val="001271AB"/>
    <w:rsid w:val="001272D8"/>
    <w:rsid w:val="001273AA"/>
    <w:rsid w:val="00127445"/>
    <w:rsid w:val="001274B9"/>
    <w:rsid w:val="001275F6"/>
    <w:rsid w:val="00127757"/>
    <w:rsid w:val="001278BF"/>
    <w:rsid w:val="00127A6F"/>
    <w:rsid w:val="00127AA3"/>
    <w:rsid w:val="00127AB6"/>
    <w:rsid w:val="00127B84"/>
    <w:rsid w:val="00127E1A"/>
    <w:rsid w:val="001300FF"/>
    <w:rsid w:val="00130370"/>
    <w:rsid w:val="001303F6"/>
    <w:rsid w:val="001305A1"/>
    <w:rsid w:val="00130AA3"/>
    <w:rsid w:val="00130AAE"/>
    <w:rsid w:val="00130C28"/>
    <w:rsid w:val="00130DBD"/>
    <w:rsid w:val="00130FE9"/>
    <w:rsid w:val="001311B2"/>
    <w:rsid w:val="001312B5"/>
    <w:rsid w:val="00131415"/>
    <w:rsid w:val="00131447"/>
    <w:rsid w:val="0013199A"/>
    <w:rsid w:val="00131BD9"/>
    <w:rsid w:val="00131C8C"/>
    <w:rsid w:val="00131E09"/>
    <w:rsid w:val="00131FB4"/>
    <w:rsid w:val="00131FBD"/>
    <w:rsid w:val="00132394"/>
    <w:rsid w:val="0013269C"/>
    <w:rsid w:val="00132751"/>
    <w:rsid w:val="001328EB"/>
    <w:rsid w:val="00132A1D"/>
    <w:rsid w:val="00132ABB"/>
    <w:rsid w:val="00132B79"/>
    <w:rsid w:val="00133181"/>
    <w:rsid w:val="00133275"/>
    <w:rsid w:val="00133298"/>
    <w:rsid w:val="0013331F"/>
    <w:rsid w:val="001334CB"/>
    <w:rsid w:val="0013354E"/>
    <w:rsid w:val="001335D0"/>
    <w:rsid w:val="001336DF"/>
    <w:rsid w:val="0013398C"/>
    <w:rsid w:val="00133D01"/>
    <w:rsid w:val="00133F39"/>
    <w:rsid w:val="00134282"/>
    <w:rsid w:val="001342D7"/>
    <w:rsid w:val="001344BE"/>
    <w:rsid w:val="001345BC"/>
    <w:rsid w:val="0013467F"/>
    <w:rsid w:val="00134691"/>
    <w:rsid w:val="001346DA"/>
    <w:rsid w:val="00134788"/>
    <w:rsid w:val="00134D90"/>
    <w:rsid w:val="00134FF5"/>
    <w:rsid w:val="00135023"/>
    <w:rsid w:val="00135067"/>
    <w:rsid w:val="0013526B"/>
    <w:rsid w:val="00135358"/>
    <w:rsid w:val="0013554F"/>
    <w:rsid w:val="00135A16"/>
    <w:rsid w:val="00135AAB"/>
    <w:rsid w:val="00135C9A"/>
    <w:rsid w:val="00135CFC"/>
    <w:rsid w:val="00135F4F"/>
    <w:rsid w:val="00136190"/>
    <w:rsid w:val="001362AE"/>
    <w:rsid w:val="001369EB"/>
    <w:rsid w:val="00136D87"/>
    <w:rsid w:val="00136FFE"/>
    <w:rsid w:val="001373B6"/>
    <w:rsid w:val="00137430"/>
    <w:rsid w:val="0013743C"/>
    <w:rsid w:val="0013747E"/>
    <w:rsid w:val="001376B1"/>
    <w:rsid w:val="00137823"/>
    <w:rsid w:val="001378F7"/>
    <w:rsid w:val="00137A7E"/>
    <w:rsid w:val="00137D0E"/>
    <w:rsid w:val="00137DEE"/>
    <w:rsid w:val="00137E24"/>
    <w:rsid w:val="00137F8D"/>
    <w:rsid w:val="00137FBD"/>
    <w:rsid w:val="00137FD6"/>
    <w:rsid w:val="00137FE4"/>
    <w:rsid w:val="0014007E"/>
    <w:rsid w:val="001401CB"/>
    <w:rsid w:val="00140419"/>
    <w:rsid w:val="00140779"/>
    <w:rsid w:val="001408F7"/>
    <w:rsid w:val="00140B99"/>
    <w:rsid w:val="00140C66"/>
    <w:rsid w:val="00140F38"/>
    <w:rsid w:val="00140F47"/>
    <w:rsid w:val="0014132B"/>
    <w:rsid w:val="001413E4"/>
    <w:rsid w:val="001413F5"/>
    <w:rsid w:val="00141600"/>
    <w:rsid w:val="00141CE5"/>
    <w:rsid w:val="00141F93"/>
    <w:rsid w:val="0014200A"/>
    <w:rsid w:val="001420AE"/>
    <w:rsid w:val="0014225F"/>
    <w:rsid w:val="00142288"/>
    <w:rsid w:val="001427C5"/>
    <w:rsid w:val="00142A70"/>
    <w:rsid w:val="00142B1C"/>
    <w:rsid w:val="00142B1E"/>
    <w:rsid w:val="00142B53"/>
    <w:rsid w:val="00142B84"/>
    <w:rsid w:val="00142BB8"/>
    <w:rsid w:val="00142E62"/>
    <w:rsid w:val="00142F38"/>
    <w:rsid w:val="00142F4E"/>
    <w:rsid w:val="001430CD"/>
    <w:rsid w:val="001433B7"/>
    <w:rsid w:val="0014341D"/>
    <w:rsid w:val="00143480"/>
    <w:rsid w:val="00143799"/>
    <w:rsid w:val="001437E7"/>
    <w:rsid w:val="00143889"/>
    <w:rsid w:val="00143B68"/>
    <w:rsid w:val="00143BB2"/>
    <w:rsid w:val="00143DC7"/>
    <w:rsid w:val="00143E08"/>
    <w:rsid w:val="0014416F"/>
    <w:rsid w:val="0014420E"/>
    <w:rsid w:val="00144251"/>
    <w:rsid w:val="001445CE"/>
    <w:rsid w:val="0014462B"/>
    <w:rsid w:val="0014465D"/>
    <w:rsid w:val="00144D1F"/>
    <w:rsid w:val="00144D9B"/>
    <w:rsid w:val="00144E6B"/>
    <w:rsid w:val="001450B5"/>
    <w:rsid w:val="0014539B"/>
    <w:rsid w:val="001453BF"/>
    <w:rsid w:val="00145518"/>
    <w:rsid w:val="00145575"/>
    <w:rsid w:val="00145639"/>
    <w:rsid w:val="00145784"/>
    <w:rsid w:val="00145929"/>
    <w:rsid w:val="00145948"/>
    <w:rsid w:val="001459BC"/>
    <w:rsid w:val="001459CD"/>
    <w:rsid w:val="001459D5"/>
    <w:rsid w:val="00145A78"/>
    <w:rsid w:val="00145B6D"/>
    <w:rsid w:val="00145D7C"/>
    <w:rsid w:val="00145DDE"/>
    <w:rsid w:val="00145FF3"/>
    <w:rsid w:val="00146027"/>
    <w:rsid w:val="0014603B"/>
    <w:rsid w:val="00146148"/>
    <w:rsid w:val="001462CD"/>
    <w:rsid w:val="0014654C"/>
    <w:rsid w:val="001466AB"/>
    <w:rsid w:val="0014687E"/>
    <w:rsid w:val="0014689F"/>
    <w:rsid w:val="0014698E"/>
    <w:rsid w:val="00146D97"/>
    <w:rsid w:val="00146ECE"/>
    <w:rsid w:val="00147133"/>
    <w:rsid w:val="0014715D"/>
    <w:rsid w:val="00147315"/>
    <w:rsid w:val="00147402"/>
    <w:rsid w:val="00147609"/>
    <w:rsid w:val="001477BA"/>
    <w:rsid w:val="001477CD"/>
    <w:rsid w:val="0014793E"/>
    <w:rsid w:val="0014796C"/>
    <w:rsid w:val="00147F12"/>
    <w:rsid w:val="00150431"/>
    <w:rsid w:val="00150503"/>
    <w:rsid w:val="001508B4"/>
    <w:rsid w:val="00150ADE"/>
    <w:rsid w:val="00150C23"/>
    <w:rsid w:val="00150FBB"/>
    <w:rsid w:val="00151297"/>
    <w:rsid w:val="0015153B"/>
    <w:rsid w:val="00151680"/>
    <w:rsid w:val="00151901"/>
    <w:rsid w:val="00151C47"/>
    <w:rsid w:val="0015218A"/>
    <w:rsid w:val="001523B2"/>
    <w:rsid w:val="0015256E"/>
    <w:rsid w:val="001525C0"/>
    <w:rsid w:val="001527A0"/>
    <w:rsid w:val="00152D87"/>
    <w:rsid w:val="00153055"/>
    <w:rsid w:val="00153494"/>
    <w:rsid w:val="001534C3"/>
    <w:rsid w:val="0015356E"/>
    <w:rsid w:val="00153796"/>
    <w:rsid w:val="0015387F"/>
    <w:rsid w:val="0015394A"/>
    <w:rsid w:val="001539CA"/>
    <w:rsid w:val="00153C37"/>
    <w:rsid w:val="001543A7"/>
    <w:rsid w:val="001543AB"/>
    <w:rsid w:val="001543D3"/>
    <w:rsid w:val="001543F9"/>
    <w:rsid w:val="00154443"/>
    <w:rsid w:val="0015447C"/>
    <w:rsid w:val="001546D8"/>
    <w:rsid w:val="001547C5"/>
    <w:rsid w:val="00154816"/>
    <w:rsid w:val="001548BF"/>
    <w:rsid w:val="00154A51"/>
    <w:rsid w:val="00154BAC"/>
    <w:rsid w:val="00154C41"/>
    <w:rsid w:val="00154D52"/>
    <w:rsid w:val="00154D62"/>
    <w:rsid w:val="00154F3B"/>
    <w:rsid w:val="0015527D"/>
    <w:rsid w:val="0015531E"/>
    <w:rsid w:val="001553A0"/>
    <w:rsid w:val="0015545E"/>
    <w:rsid w:val="00155691"/>
    <w:rsid w:val="0015583F"/>
    <w:rsid w:val="00155C74"/>
    <w:rsid w:val="00155DEE"/>
    <w:rsid w:val="00155DF1"/>
    <w:rsid w:val="001565C0"/>
    <w:rsid w:val="001566DA"/>
    <w:rsid w:val="00156BC0"/>
    <w:rsid w:val="00156D4F"/>
    <w:rsid w:val="0015701D"/>
    <w:rsid w:val="0015707C"/>
    <w:rsid w:val="00157148"/>
    <w:rsid w:val="001571FE"/>
    <w:rsid w:val="00157262"/>
    <w:rsid w:val="00157353"/>
    <w:rsid w:val="001573D7"/>
    <w:rsid w:val="00157425"/>
    <w:rsid w:val="0015742E"/>
    <w:rsid w:val="001577A2"/>
    <w:rsid w:val="001577E8"/>
    <w:rsid w:val="0015780D"/>
    <w:rsid w:val="0015785E"/>
    <w:rsid w:val="00157D48"/>
    <w:rsid w:val="001601FA"/>
    <w:rsid w:val="00160228"/>
    <w:rsid w:val="001605A5"/>
    <w:rsid w:val="00160A48"/>
    <w:rsid w:val="00160AC2"/>
    <w:rsid w:val="00160AEB"/>
    <w:rsid w:val="00160B1C"/>
    <w:rsid w:val="00160D99"/>
    <w:rsid w:val="00160E2A"/>
    <w:rsid w:val="00160FAA"/>
    <w:rsid w:val="00161004"/>
    <w:rsid w:val="00161032"/>
    <w:rsid w:val="00161163"/>
    <w:rsid w:val="00161184"/>
    <w:rsid w:val="001612BD"/>
    <w:rsid w:val="00161338"/>
    <w:rsid w:val="00161645"/>
    <w:rsid w:val="00161651"/>
    <w:rsid w:val="0016195F"/>
    <w:rsid w:val="00161AC2"/>
    <w:rsid w:val="00161BD9"/>
    <w:rsid w:val="00162051"/>
    <w:rsid w:val="001620C9"/>
    <w:rsid w:val="001621AE"/>
    <w:rsid w:val="00162202"/>
    <w:rsid w:val="00162426"/>
    <w:rsid w:val="001624F2"/>
    <w:rsid w:val="00162583"/>
    <w:rsid w:val="001629A7"/>
    <w:rsid w:val="001629CF"/>
    <w:rsid w:val="00162ADA"/>
    <w:rsid w:val="00162BEB"/>
    <w:rsid w:val="00162BFC"/>
    <w:rsid w:val="00162C2E"/>
    <w:rsid w:val="00162F56"/>
    <w:rsid w:val="00163043"/>
    <w:rsid w:val="00163332"/>
    <w:rsid w:val="001634CC"/>
    <w:rsid w:val="001636E3"/>
    <w:rsid w:val="0016376C"/>
    <w:rsid w:val="001639DA"/>
    <w:rsid w:val="00163A49"/>
    <w:rsid w:val="00163AAB"/>
    <w:rsid w:val="00163AF7"/>
    <w:rsid w:val="00163B3A"/>
    <w:rsid w:val="00163C2A"/>
    <w:rsid w:val="00163D21"/>
    <w:rsid w:val="001641DE"/>
    <w:rsid w:val="001642B6"/>
    <w:rsid w:val="0016452C"/>
    <w:rsid w:val="001645D2"/>
    <w:rsid w:val="00164699"/>
    <w:rsid w:val="0016479D"/>
    <w:rsid w:val="00164815"/>
    <w:rsid w:val="00164921"/>
    <w:rsid w:val="00164CC0"/>
    <w:rsid w:val="00164CF3"/>
    <w:rsid w:val="00164D3B"/>
    <w:rsid w:val="00164EE0"/>
    <w:rsid w:val="001653C4"/>
    <w:rsid w:val="00165404"/>
    <w:rsid w:val="0016541B"/>
    <w:rsid w:val="00165613"/>
    <w:rsid w:val="0016563C"/>
    <w:rsid w:val="00165852"/>
    <w:rsid w:val="00165EC4"/>
    <w:rsid w:val="00165EC7"/>
    <w:rsid w:val="00165ED2"/>
    <w:rsid w:val="001660C2"/>
    <w:rsid w:val="00166520"/>
    <w:rsid w:val="0016652B"/>
    <w:rsid w:val="00166593"/>
    <w:rsid w:val="001667FE"/>
    <w:rsid w:val="0016682B"/>
    <w:rsid w:val="00166830"/>
    <w:rsid w:val="00166838"/>
    <w:rsid w:val="00166891"/>
    <w:rsid w:val="0016693A"/>
    <w:rsid w:val="00166AFD"/>
    <w:rsid w:val="00166DF7"/>
    <w:rsid w:val="00166E3E"/>
    <w:rsid w:val="00166ECD"/>
    <w:rsid w:val="00166F2C"/>
    <w:rsid w:val="00166F33"/>
    <w:rsid w:val="00167038"/>
    <w:rsid w:val="001670B7"/>
    <w:rsid w:val="0016715E"/>
    <w:rsid w:val="001671B5"/>
    <w:rsid w:val="00167351"/>
    <w:rsid w:val="001675A1"/>
    <w:rsid w:val="0016764C"/>
    <w:rsid w:val="00167741"/>
    <w:rsid w:val="00167776"/>
    <w:rsid w:val="0016780C"/>
    <w:rsid w:val="00167892"/>
    <w:rsid w:val="00167987"/>
    <w:rsid w:val="001679A2"/>
    <w:rsid w:val="00167BFA"/>
    <w:rsid w:val="00167C01"/>
    <w:rsid w:val="00167D94"/>
    <w:rsid w:val="00167E51"/>
    <w:rsid w:val="00167EF8"/>
    <w:rsid w:val="00167F7C"/>
    <w:rsid w:val="00170110"/>
    <w:rsid w:val="00170261"/>
    <w:rsid w:val="00170388"/>
    <w:rsid w:val="001704B8"/>
    <w:rsid w:val="00170642"/>
    <w:rsid w:val="0017064B"/>
    <w:rsid w:val="0017073D"/>
    <w:rsid w:val="0017083B"/>
    <w:rsid w:val="00170A54"/>
    <w:rsid w:val="00170CB7"/>
    <w:rsid w:val="001711A5"/>
    <w:rsid w:val="001711DF"/>
    <w:rsid w:val="00171343"/>
    <w:rsid w:val="001713D5"/>
    <w:rsid w:val="001713FE"/>
    <w:rsid w:val="00171469"/>
    <w:rsid w:val="0017174B"/>
    <w:rsid w:val="00171AD8"/>
    <w:rsid w:val="00171D4A"/>
    <w:rsid w:val="00171D7D"/>
    <w:rsid w:val="00171E42"/>
    <w:rsid w:val="00171F2E"/>
    <w:rsid w:val="001722BD"/>
    <w:rsid w:val="00172374"/>
    <w:rsid w:val="0017293D"/>
    <w:rsid w:val="00172A64"/>
    <w:rsid w:val="00172B09"/>
    <w:rsid w:val="00172DCB"/>
    <w:rsid w:val="0017304D"/>
    <w:rsid w:val="00173051"/>
    <w:rsid w:val="001730A8"/>
    <w:rsid w:val="0017322F"/>
    <w:rsid w:val="0017369F"/>
    <w:rsid w:val="001737CC"/>
    <w:rsid w:val="00173E03"/>
    <w:rsid w:val="00173F10"/>
    <w:rsid w:val="0017407A"/>
    <w:rsid w:val="001740E2"/>
    <w:rsid w:val="0017412B"/>
    <w:rsid w:val="00174175"/>
    <w:rsid w:val="0017428B"/>
    <w:rsid w:val="00174772"/>
    <w:rsid w:val="001748B9"/>
    <w:rsid w:val="00174914"/>
    <w:rsid w:val="001749AE"/>
    <w:rsid w:val="001749EB"/>
    <w:rsid w:val="00174D29"/>
    <w:rsid w:val="00174FC9"/>
    <w:rsid w:val="0017546D"/>
    <w:rsid w:val="00175515"/>
    <w:rsid w:val="0017551B"/>
    <w:rsid w:val="00175618"/>
    <w:rsid w:val="00175881"/>
    <w:rsid w:val="001758B3"/>
    <w:rsid w:val="001758DE"/>
    <w:rsid w:val="001759F2"/>
    <w:rsid w:val="001759F4"/>
    <w:rsid w:val="00175C03"/>
    <w:rsid w:val="00175D79"/>
    <w:rsid w:val="00175DE2"/>
    <w:rsid w:val="00175EF3"/>
    <w:rsid w:val="0017601F"/>
    <w:rsid w:val="001760D0"/>
    <w:rsid w:val="00176137"/>
    <w:rsid w:val="00176352"/>
    <w:rsid w:val="0017638C"/>
    <w:rsid w:val="001763DE"/>
    <w:rsid w:val="0017644B"/>
    <w:rsid w:val="00176558"/>
    <w:rsid w:val="0017672D"/>
    <w:rsid w:val="00176812"/>
    <w:rsid w:val="00176B1A"/>
    <w:rsid w:val="00176D1E"/>
    <w:rsid w:val="00176ED7"/>
    <w:rsid w:val="0017712B"/>
    <w:rsid w:val="00177140"/>
    <w:rsid w:val="001772D3"/>
    <w:rsid w:val="001772DE"/>
    <w:rsid w:val="001774D4"/>
    <w:rsid w:val="00177668"/>
    <w:rsid w:val="00177997"/>
    <w:rsid w:val="00177DBC"/>
    <w:rsid w:val="00177F89"/>
    <w:rsid w:val="001800BF"/>
    <w:rsid w:val="00180179"/>
    <w:rsid w:val="0018049E"/>
    <w:rsid w:val="0018050C"/>
    <w:rsid w:val="00180832"/>
    <w:rsid w:val="00180938"/>
    <w:rsid w:val="00180BC4"/>
    <w:rsid w:val="00180BD7"/>
    <w:rsid w:val="00180DE3"/>
    <w:rsid w:val="00180F5B"/>
    <w:rsid w:val="00181052"/>
    <w:rsid w:val="001810B7"/>
    <w:rsid w:val="0018116B"/>
    <w:rsid w:val="00181399"/>
    <w:rsid w:val="0018173F"/>
    <w:rsid w:val="00181742"/>
    <w:rsid w:val="0018199A"/>
    <w:rsid w:val="00181C8D"/>
    <w:rsid w:val="00181FAC"/>
    <w:rsid w:val="001820D2"/>
    <w:rsid w:val="00182143"/>
    <w:rsid w:val="001822B5"/>
    <w:rsid w:val="00182373"/>
    <w:rsid w:val="00182C41"/>
    <w:rsid w:val="00182C5A"/>
    <w:rsid w:val="00182D81"/>
    <w:rsid w:val="00182DC5"/>
    <w:rsid w:val="0018330C"/>
    <w:rsid w:val="001833D5"/>
    <w:rsid w:val="001836B8"/>
    <w:rsid w:val="001837D2"/>
    <w:rsid w:val="00183AC5"/>
    <w:rsid w:val="001846BC"/>
    <w:rsid w:val="001846DA"/>
    <w:rsid w:val="001847A0"/>
    <w:rsid w:val="00184B07"/>
    <w:rsid w:val="00184C75"/>
    <w:rsid w:val="00184CBB"/>
    <w:rsid w:val="00184F96"/>
    <w:rsid w:val="001850AF"/>
    <w:rsid w:val="00185182"/>
    <w:rsid w:val="00185320"/>
    <w:rsid w:val="00185528"/>
    <w:rsid w:val="0018556D"/>
    <w:rsid w:val="00185746"/>
    <w:rsid w:val="00185A0E"/>
    <w:rsid w:val="00185A7D"/>
    <w:rsid w:val="00185C99"/>
    <w:rsid w:val="00185F98"/>
    <w:rsid w:val="001860CC"/>
    <w:rsid w:val="0018612B"/>
    <w:rsid w:val="001862C4"/>
    <w:rsid w:val="001866CD"/>
    <w:rsid w:val="0018685C"/>
    <w:rsid w:val="001868A2"/>
    <w:rsid w:val="001868C5"/>
    <w:rsid w:val="00186976"/>
    <w:rsid w:val="001869AA"/>
    <w:rsid w:val="00186A10"/>
    <w:rsid w:val="00186B70"/>
    <w:rsid w:val="00187271"/>
    <w:rsid w:val="00187359"/>
    <w:rsid w:val="00187429"/>
    <w:rsid w:val="00187455"/>
    <w:rsid w:val="00187965"/>
    <w:rsid w:val="00187A20"/>
    <w:rsid w:val="00187AA1"/>
    <w:rsid w:val="00187CC1"/>
    <w:rsid w:val="00187E76"/>
    <w:rsid w:val="00187F59"/>
    <w:rsid w:val="00187F7A"/>
    <w:rsid w:val="00187FB0"/>
    <w:rsid w:val="00190039"/>
    <w:rsid w:val="001900EB"/>
    <w:rsid w:val="001900FE"/>
    <w:rsid w:val="001901DD"/>
    <w:rsid w:val="001902BC"/>
    <w:rsid w:val="00190614"/>
    <w:rsid w:val="0019069A"/>
    <w:rsid w:val="001906DC"/>
    <w:rsid w:val="001906DE"/>
    <w:rsid w:val="00190704"/>
    <w:rsid w:val="00190B18"/>
    <w:rsid w:val="00190C6A"/>
    <w:rsid w:val="00190C96"/>
    <w:rsid w:val="00190CA2"/>
    <w:rsid w:val="00190FA1"/>
    <w:rsid w:val="001910D2"/>
    <w:rsid w:val="001912D9"/>
    <w:rsid w:val="001917F2"/>
    <w:rsid w:val="00191ADB"/>
    <w:rsid w:val="00191B17"/>
    <w:rsid w:val="00191BD9"/>
    <w:rsid w:val="00191C48"/>
    <w:rsid w:val="0019214A"/>
    <w:rsid w:val="0019215E"/>
    <w:rsid w:val="001922CA"/>
    <w:rsid w:val="0019244F"/>
    <w:rsid w:val="00192696"/>
    <w:rsid w:val="00192ABD"/>
    <w:rsid w:val="00192B9E"/>
    <w:rsid w:val="00192C27"/>
    <w:rsid w:val="00192CB1"/>
    <w:rsid w:val="00192DD9"/>
    <w:rsid w:val="00192FDE"/>
    <w:rsid w:val="00193031"/>
    <w:rsid w:val="001930BB"/>
    <w:rsid w:val="00193101"/>
    <w:rsid w:val="0019335F"/>
    <w:rsid w:val="001933A5"/>
    <w:rsid w:val="00193412"/>
    <w:rsid w:val="00193495"/>
    <w:rsid w:val="00193612"/>
    <w:rsid w:val="001937F6"/>
    <w:rsid w:val="0019386A"/>
    <w:rsid w:val="0019391A"/>
    <w:rsid w:val="001939CA"/>
    <w:rsid w:val="00193AB1"/>
    <w:rsid w:val="00193BED"/>
    <w:rsid w:val="00193C94"/>
    <w:rsid w:val="00193F13"/>
    <w:rsid w:val="00194003"/>
    <w:rsid w:val="001940D5"/>
    <w:rsid w:val="001941BC"/>
    <w:rsid w:val="0019448F"/>
    <w:rsid w:val="00194926"/>
    <w:rsid w:val="00194A79"/>
    <w:rsid w:val="00194C6D"/>
    <w:rsid w:val="00195052"/>
    <w:rsid w:val="00195067"/>
    <w:rsid w:val="00195269"/>
    <w:rsid w:val="0019549A"/>
    <w:rsid w:val="001957BE"/>
    <w:rsid w:val="00195A21"/>
    <w:rsid w:val="00195A70"/>
    <w:rsid w:val="00195E77"/>
    <w:rsid w:val="0019604A"/>
    <w:rsid w:val="0019605E"/>
    <w:rsid w:val="001960A3"/>
    <w:rsid w:val="0019620C"/>
    <w:rsid w:val="0019630F"/>
    <w:rsid w:val="00196389"/>
    <w:rsid w:val="00196566"/>
    <w:rsid w:val="00196597"/>
    <w:rsid w:val="0019663E"/>
    <w:rsid w:val="00196677"/>
    <w:rsid w:val="001966B4"/>
    <w:rsid w:val="00196757"/>
    <w:rsid w:val="00196B67"/>
    <w:rsid w:val="00196C3C"/>
    <w:rsid w:val="00196C64"/>
    <w:rsid w:val="00196FBE"/>
    <w:rsid w:val="0019723B"/>
    <w:rsid w:val="0019725D"/>
    <w:rsid w:val="0019726B"/>
    <w:rsid w:val="00197634"/>
    <w:rsid w:val="00197CDB"/>
    <w:rsid w:val="00197D8D"/>
    <w:rsid w:val="001A002B"/>
    <w:rsid w:val="001A0047"/>
    <w:rsid w:val="001A00DC"/>
    <w:rsid w:val="001A0253"/>
    <w:rsid w:val="001A03C6"/>
    <w:rsid w:val="001A08B9"/>
    <w:rsid w:val="001A08E1"/>
    <w:rsid w:val="001A08E4"/>
    <w:rsid w:val="001A0AC4"/>
    <w:rsid w:val="001A0C43"/>
    <w:rsid w:val="001A0CE6"/>
    <w:rsid w:val="001A0DB8"/>
    <w:rsid w:val="001A0E4D"/>
    <w:rsid w:val="001A0F6B"/>
    <w:rsid w:val="001A11CC"/>
    <w:rsid w:val="001A1226"/>
    <w:rsid w:val="001A1242"/>
    <w:rsid w:val="001A1370"/>
    <w:rsid w:val="001A1546"/>
    <w:rsid w:val="001A1644"/>
    <w:rsid w:val="001A1796"/>
    <w:rsid w:val="001A18AF"/>
    <w:rsid w:val="001A1981"/>
    <w:rsid w:val="001A1BBC"/>
    <w:rsid w:val="001A1C0F"/>
    <w:rsid w:val="001A1DF8"/>
    <w:rsid w:val="001A1F7B"/>
    <w:rsid w:val="001A20E1"/>
    <w:rsid w:val="001A214C"/>
    <w:rsid w:val="001A2250"/>
    <w:rsid w:val="001A225D"/>
    <w:rsid w:val="001A25ED"/>
    <w:rsid w:val="001A2976"/>
    <w:rsid w:val="001A2C99"/>
    <w:rsid w:val="001A2DC2"/>
    <w:rsid w:val="001A312C"/>
    <w:rsid w:val="001A3254"/>
    <w:rsid w:val="001A32AC"/>
    <w:rsid w:val="001A32D3"/>
    <w:rsid w:val="001A32E2"/>
    <w:rsid w:val="001A35AC"/>
    <w:rsid w:val="001A3744"/>
    <w:rsid w:val="001A378B"/>
    <w:rsid w:val="001A3970"/>
    <w:rsid w:val="001A3B55"/>
    <w:rsid w:val="001A3CB2"/>
    <w:rsid w:val="001A3D4C"/>
    <w:rsid w:val="001A3DFB"/>
    <w:rsid w:val="001A3E5F"/>
    <w:rsid w:val="001A3F4E"/>
    <w:rsid w:val="001A40C5"/>
    <w:rsid w:val="001A4356"/>
    <w:rsid w:val="001A4752"/>
    <w:rsid w:val="001A478F"/>
    <w:rsid w:val="001A482B"/>
    <w:rsid w:val="001A4891"/>
    <w:rsid w:val="001A4B52"/>
    <w:rsid w:val="001A4C2D"/>
    <w:rsid w:val="001A4CAB"/>
    <w:rsid w:val="001A4D0B"/>
    <w:rsid w:val="001A4E5E"/>
    <w:rsid w:val="001A4F04"/>
    <w:rsid w:val="001A5051"/>
    <w:rsid w:val="001A512A"/>
    <w:rsid w:val="001A533F"/>
    <w:rsid w:val="001A54BB"/>
    <w:rsid w:val="001A5A31"/>
    <w:rsid w:val="001A5A50"/>
    <w:rsid w:val="001A5A71"/>
    <w:rsid w:val="001A5ACE"/>
    <w:rsid w:val="001A5EC8"/>
    <w:rsid w:val="001A5FB9"/>
    <w:rsid w:val="001A62E9"/>
    <w:rsid w:val="001A63D7"/>
    <w:rsid w:val="001A641E"/>
    <w:rsid w:val="001A656E"/>
    <w:rsid w:val="001A65FA"/>
    <w:rsid w:val="001A67D8"/>
    <w:rsid w:val="001A67F7"/>
    <w:rsid w:val="001A6998"/>
    <w:rsid w:val="001A6B0F"/>
    <w:rsid w:val="001A6B17"/>
    <w:rsid w:val="001A6B43"/>
    <w:rsid w:val="001A6C0C"/>
    <w:rsid w:val="001A6CDF"/>
    <w:rsid w:val="001A6F0C"/>
    <w:rsid w:val="001A71FD"/>
    <w:rsid w:val="001A7371"/>
    <w:rsid w:val="001A749C"/>
    <w:rsid w:val="001A75DA"/>
    <w:rsid w:val="001A7650"/>
    <w:rsid w:val="001A76E3"/>
    <w:rsid w:val="001A77BB"/>
    <w:rsid w:val="001A7A57"/>
    <w:rsid w:val="001A7AA1"/>
    <w:rsid w:val="001A7B06"/>
    <w:rsid w:val="001A7EBB"/>
    <w:rsid w:val="001B000B"/>
    <w:rsid w:val="001B0141"/>
    <w:rsid w:val="001B0179"/>
    <w:rsid w:val="001B01D6"/>
    <w:rsid w:val="001B026A"/>
    <w:rsid w:val="001B07E9"/>
    <w:rsid w:val="001B0949"/>
    <w:rsid w:val="001B09B0"/>
    <w:rsid w:val="001B0B62"/>
    <w:rsid w:val="001B0CC6"/>
    <w:rsid w:val="001B0D5A"/>
    <w:rsid w:val="001B0F40"/>
    <w:rsid w:val="001B1025"/>
    <w:rsid w:val="001B1409"/>
    <w:rsid w:val="001B150A"/>
    <w:rsid w:val="001B1852"/>
    <w:rsid w:val="001B18CB"/>
    <w:rsid w:val="001B18F2"/>
    <w:rsid w:val="001B19A7"/>
    <w:rsid w:val="001B19BF"/>
    <w:rsid w:val="001B1B0E"/>
    <w:rsid w:val="001B2237"/>
    <w:rsid w:val="001B22C2"/>
    <w:rsid w:val="001B2376"/>
    <w:rsid w:val="001B262C"/>
    <w:rsid w:val="001B26B5"/>
    <w:rsid w:val="001B2949"/>
    <w:rsid w:val="001B2AC2"/>
    <w:rsid w:val="001B2BA1"/>
    <w:rsid w:val="001B2FCA"/>
    <w:rsid w:val="001B3184"/>
    <w:rsid w:val="001B3424"/>
    <w:rsid w:val="001B3487"/>
    <w:rsid w:val="001B36C3"/>
    <w:rsid w:val="001B37F0"/>
    <w:rsid w:val="001B38B7"/>
    <w:rsid w:val="001B38CC"/>
    <w:rsid w:val="001B39FE"/>
    <w:rsid w:val="001B3E1F"/>
    <w:rsid w:val="001B3F0B"/>
    <w:rsid w:val="001B409A"/>
    <w:rsid w:val="001B417B"/>
    <w:rsid w:val="001B41B2"/>
    <w:rsid w:val="001B420E"/>
    <w:rsid w:val="001B42A4"/>
    <w:rsid w:val="001B42E1"/>
    <w:rsid w:val="001B451E"/>
    <w:rsid w:val="001B4912"/>
    <w:rsid w:val="001B4929"/>
    <w:rsid w:val="001B4A27"/>
    <w:rsid w:val="001B4A2C"/>
    <w:rsid w:val="001B4A69"/>
    <w:rsid w:val="001B4BD4"/>
    <w:rsid w:val="001B4F44"/>
    <w:rsid w:val="001B4FD0"/>
    <w:rsid w:val="001B4FFF"/>
    <w:rsid w:val="001B514D"/>
    <w:rsid w:val="001B5321"/>
    <w:rsid w:val="001B550B"/>
    <w:rsid w:val="001B575E"/>
    <w:rsid w:val="001B59A1"/>
    <w:rsid w:val="001B5B8F"/>
    <w:rsid w:val="001B6254"/>
    <w:rsid w:val="001B632C"/>
    <w:rsid w:val="001B6396"/>
    <w:rsid w:val="001B63CD"/>
    <w:rsid w:val="001B6531"/>
    <w:rsid w:val="001B67FA"/>
    <w:rsid w:val="001B69AB"/>
    <w:rsid w:val="001B6E27"/>
    <w:rsid w:val="001B6FC2"/>
    <w:rsid w:val="001B70DA"/>
    <w:rsid w:val="001B70DE"/>
    <w:rsid w:val="001B7289"/>
    <w:rsid w:val="001B757E"/>
    <w:rsid w:val="001B7653"/>
    <w:rsid w:val="001B766C"/>
    <w:rsid w:val="001B7783"/>
    <w:rsid w:val="001B78C3"/>
    <w:rsid w:val="001B7A34"/>
    <w:rsid w:val="001B7C82"/>
    <w:rsid w:val="001B7D04"/>
    <w:rsid w:val="001B7DA5"/>
    <w:rsid w:val="001B7E90"/>
    <w:rsid w:val="001C0064"/>
    <w:rsid w:val="001C00B7"/>
    <w:rsid w:val="001C01A3"/>
    <w:rsid w:val="001C073D"/>
    <w:rsid w:val="001C0790"/>
    <w:rsid w:val="001C079B"/>
    <w:rsid w:val="001C0A9C"/>
    <w:rsid w:val="001C0B61"/>
    <w:rsid w:val="001C0E05"/>
    <w:rsid w:val="001C11D7"/>
    <w:rsid w:val="001C12C5"/>
    <w:rsid w:val="001C1373"/>
    <w:rsid w:val="001C1400"/>
    <w:rsid w:val="001C1705"/>
    <w:rsid w:val="001C17C8"/>
    <w:rsid w:val="001C1AD2"/>
    <w:rsid w:val="001C1BC9"/>
    <w:rsid w:val="001C1C55"/>
    <w:rsid w:val="001C1C65"/>
    <w:rsid w:val="001C1D16"/>
    <w:rsid w:val="001C1DC7"/>
    <w:rsid w:val="001C1E6E"/>
    <w:rsid w:val="001C2068"/>
    <w:rsid w:val="001C2529"/>
    <w:rsid w:val="001C254B"/>
    <w:rsid w:val="001C2A57"/>
    <w:rsid w:val="001C2A79"/>
    <w:rsid w:val="001C2A8E"/>
    <w:rsid w:val="001C2DA3"/>
    <w:rsid w:val="001C2EA2"/>
    <w:rsid w:val="001C2F22"/>
    <w:rsid w:val="001C3036"/>
    <w:rsid w:val="001C30B0"/>
    <w:rsid w:val="001C320F"/>
    <w:rsid w:val="001C34B5"/>
    <w:rsid w:val="001C34D2"/>
    <w:rsid w:val="001C3B9E"/>
    <w:rsid w:val="001C3C89"/>
    <w:rsid w:val="001C3D2E"/>
    <w:rsid w:val="001C3FE9"/>
    <w:rsid w:val="001C4057"/>
    <w:rsid w:val="001C4220"/>
    <w:rsid w:val="001C4248"/>
    <w:rsid w:val="001C4323"/>
    <w:rsid w:val="001C454E"/>
    <w:rsid w:val="001C47DA"/>
    <w:rsid w:val="001C47FD"/>
    <w:rsid w:val="001C4A06"/>
    <w:rsid w:val="001C4BCB"/>
    <w:rsid w:val="001C4BCF"/>
    <w:rsid w:val="001C4CE9"/>
    <w:rsid w:val="001C4E60"/>
    <w:rsid w:val="001C5055"/>
    <w:rsid w:val="001C53D7"/>
    <w:rsid w:val="001C5473"/>
    <w:rsid w:val="001C54CD"/>
    <w:rsid w:val="001C5512"/>
    <w:rsid w:val="001C55F6"/>
    <w:rsid w:val="001C5673"/>
    <w:rsid w:val="001C57D7"/>
    <w:rsid w:val="001C58BF"/>
    <w:rsid w:val="001C5A68"/>
    <w:rsid w:val="001C5C4E"/>
    <w:rsid w:val="001C5C51"/>
    <w:rsid w:val="001C5CEF"/>
    <w:rsid w:val="001C5D12"/>
    <w:rsid w:val="001C5D1F"/>
    <w:rsid w:val="001C5E75"/>
    <w:rsid w:val="001C6098"/>
    <w:rsid w:val="001C632F"/>
    <w:rsid w:val="001C6388"/>
    <w:rsid w:val="001C6426"/>
    <w:rsid w:val="001C649E"/>
    <w:rsid w:val="001C6708"/>
    <w:rsid w:val="001C67A9"/>
    <w:rsid w:val="001C689C"/>
    <w:rsid w:val="001C6929"/>
    <w:rsid w:val="001C6E86"/>
    <w:rsid w:val="001C70C6"/>
    <w:rsid w:val="001C7235"/>
    <w:rsid w:val="001C7339"/>
    <w:rsid w:val="001C7371"/>
    <w:rsid w:val="001C7517"/>
    <w:rsid w:val="001C7587"/>
    <w:rsid w:val="001C7AFA"/>
    <w:rsid w:val="001C7B94"/>
    <w:rsid w:val="001C7BAA"/>
    <w:rsid w:val="001C7CD9"/>
    <w:rsid w:val="001C7DDF"/>
    <w:rsid w:val="001C7F1F"/>
    <w:rsid w:val="001C7F22"/>
    <w:rsid w:val="001C7F44"/>
    <w:rsid w:val="001D001B"/>
    <w:rsid w:val="001D0029"/>
    <w:rsid w:val="001D02D0"/>
    <w:rsid w:val="001D040A"/>
    <w:rsid w:val="001D045B"/>
    <w:rsid w:val="001D06E2"/>
    <w:rsid w:val="001D0751"/>
    <w:rsid w:val="001D0977"/>
    <w:rsid w:val="001D09FA"/>
    <w:rsid w:val="001D0A97"/>
    <w:rsid w:val="001D0AC1"/>
    <w:rsid w:val="001D0E35"/>
    <w:rsid w:val="001D111D"/>
    <w:rsid w:val="001D12FA"/>
    <w:rsid w:val="001D13A8"/>
    <w:rsid w:val="001D1473"/>
    <w:rsid w:val="001D1F1B"/>
    <w:rsid w:val="001D22AE"/>
    <w:rsid w:val="001D23B7"/>
    <w:rsid w:val="001D24BE"/>
    <w:rsid w:val="001D2511"/>
    <w:rsid w:val="001D2749"/>
    <w:rsid w:val="001D2849"/>
    <w:rsid w:val="001D289A"/>
    <w:rsid w:val="001D2965"/>
    <w:rsid w:val="001D2A92"/>
    <w:rsid w:val="001D2AFC"/>
    <w:rsid w:val="001D2B05"/>
    <w:rsid w:val="001D2BD5"/>
    <w:rsid w:val="001D2CC3"/>
    <w:rsid w:val="001D2D08"/>
    <w:rsid w:val="001D2D60"/>
    <w:rsid w:val="001D2F56"/>
    <w:rsid w:val="001D304F"/>
    <w:rsid w:val="001D308F"/>
    <w:rsid w:val="001D32FE"/>
    <w:rsid w:val="001D381C"/>
    <w:rsid w:val="001D3AF6"/>
    <w:rsid w:val="001D3C17"/>
    <w:rsid w:val="001D3C8B"/>
    <w:rsid w:val="001D3D3A"/>
    <w:rsid w:val="001D3DE0"/>
    <w:rsid w:val="001D3DEC"/>
    <w:rsid w:val="001D3F4F"/>
    <w:rsid w:val="001D4064"/>
    <w:rsid w:val="001D40A4"/>
    <w:rsid w:val="001D4112"/>
    <w:rsid w:val="001D411D"/>
    <w:rsid w:val="001D4271"/>
    <w:rsid w:val="001D43F1"/>
    <w:rsid w:val="001D47EB"/>
    <w:rsid w:val="001D497F"/>
    <w:rsid w:val="001D4CA5"/>
    <w:rsid w:val="001D4D39"/>
    <w:rsid w:val="001D5618"/>
    <w:rsid w:val="001D5B0D"/>
    <w:rsid w:val="001D5C85"/>
    <w:rsid w:val="001D5D15"/>
    <w:rsid w:val="001D5DD4"/>
    <w:rsid w:val="001D602B"/>
    <w:rsid w:val="001D683F"/>
    <w:rsid w:val="001D68F3"/>
    <w:rsid w:val="001D6A71"/>
    <w:rsid w:val="001D6A75"/>
    <w:rsid w:val="001D6BD8"/>
    <w:rsid w:val="001D6C89"/>
    <w:rsid w:val="001D6ED8"/>
    <w:rsid w:val="001D7203"/>
    <w:rsid w:val="001D725A"/>
    <w:rsid w:val="001D72C5"/>
    <w:rsid w:val="001D7517"/>
    <w:rsid w:val="001D756B"/>
    <w:rsid w:val="001D7653"/>
    <w:rsid w:val="001D78F7"/>
    <w:rsid w:val="001D7AD8"/>
    <w:rsid w:val="001D7E9B"/>
    <w:rsid w:val="001D7F66"/>
    <w:rsid w:val="001E0077"/>
    <w:rsid w:val="001E014D"/>
    <w:rsid w:val="001E020A"/>
    <w:rsid w:val="001E05B7"/>
    <w:rsid w:val="001E072F"/>
    <w:rsid w:val="001E0874"/>
    <w:rsid w:val="001E0AAE"/>
    <w:rsid w:val="001E0B79"/>
    <w:rsid w:val="001E1005"/>
    <w:rsid w:val="001E1104"/>
    <w:rsid w:val="001E11C2"/>
    <w:rsid w:val="001E17BC"/>
    <w:rsid w:val="001E19CA"/>
    <w:rsid w:val="001E1BF1"/>
    <w:rsid w:val="001E1C40"/>
    <w:rsid w:val="001E1D09"/>
    <w:rsid w:val="001E1FE8"/>
    <w:rsid w:val="001E22D8"/>
    <w:rsid w:val="001E2423"/>
    <w:rsid w:val="001E288E"/>
    <w:rsid w:val="001E28ED"/>
    <w:rsid w:val="001E2A3C"/>
    <w:rsid w:val="001E2B58"/>
    <w:rsid w:val="001E2D95"/>
    <w:rsid w:val="001E2DCB"/>
    <w:rsid w:val="001E31B5"/>
    <w:rsid w:val="001E3608"/>
    <w:rsid w:val="001E3679"/>
    <w:rsid w:val="001E367D"/>
    <w:rsid w:val="001E38E6"/>
    <w:rsid w:val="001E3B7B"/>
    <w:rsid w:val="001E3D4D"/>
    <w:rsid w:val="001E3E53"/>
    <w:rsid w:val="001E451C"/>
    <w:rsid w:val="001E4592"/>
    <w:rsid w:val="001E4728"/>
    <w:rsid w:val="001E475B"/>
    <w:rsid w:val="001E48AE"/>
    <w:rsid w:val="001E4C1B"/>
    <w:rsid w:val="001E50CF"/>
    <w:rsid w:val="001E51AD"/>
    <w:rsid w:val="001E51F6"/>
    <w:rsid w:val="001E52CD"/>
    <w:rsid w:val="001E535D"/>
    <w:rsid w:val="001E5549"/>
    <w:rsid w:val="001E555A"/>
    <w:rsid w:val="001E5576"/>
    <w:rsid w:val="001E564A"/>
    <w:rsid w:val="001E592B"/>
    <w:rsid w:val="001E5972"/>
    <w:rsid w:val="001E598C"/>
    <w:rsid w:val="001E59F8"/>
    <w:rsid w:val="001E5A52"/>
    <w:rsid w:val="001E5AE9"/>
    <w:rsid w:val="001E5B7D"/>
    <w:rsid w:val="001E5DDB"/>
    <w:rsid w:val="001E5E8F"/>
    <w:rsid w:val="001E5FB0"/>
    <w:rsid w:val="001E652A"/>
    <w:rsid w:val="001E65D8"/>
    <w:rsid w:val="001E6714"/>
    <w:rsid w:val="001E677E"/>
    <w:rsid w:val="001E69E2"/>
    <w:rsid w:val="001E6A62"/>
    <w:rsid w:val="001E6F41"/>
    <w:rsid w:val="001E7256"/>
    <w:rsid w:val="001E73C2"/>
    <w:rsid w:val="001E748E"/>
    <w:rsid w:val="001E7703"/>
    <w:rsid w:val="001E77A3"/>
    <w:rsid w:val="001E7856"/>
    <w:rsid w:val="001E79FD"/>
    <w:rsid w:val="001E7B35"/>
    <w:rsid w:val="001E7B75"/>
    <w:rsid w:val="001E7BC1"/>
    <w:rsid w:val="001E7C15"/>
    <w:rsid w:val="001E7E1C"/>
    <w:rsid w:val="001E7FB0"/>
    <w:rsid w:val="001F0102"/>
    <w:rsid w:val="001F016C"/>
    <w:rsid w:val="001F02E9"/>
    <w:rsid w:val="001F0549"/>
    <w:rsid w:val="001F091A"/>
    <w:rsid w:val="001F0AC4"/>
    <w:rsid w:val="001F0B8E"/>
    <w:rsid w:val="001F0E6C"/>
    <w:rsid w:val="001F0F01"/>
    <w:rsid w:val="001F0F8E"/>
    <w:rsid w:val="001F0FA0"/>
    <w:rsid w:val="001F147B"/>
    <w:rsid w:val="001F1570"/>
    <w:rsid w:val="001F15B2"/>
    <w:rsid w:val="001F1825"/>
    <w:rsid w:val="001F1BF3"/>
    <w:rsid w:val="001F1CEC"/>
    <w:rsid w:val="001F1DCD"/>
    <w:rsid w:val="001F1F12"/>
    <w:rsid w:val="001F1FDE"/>
    <w:rsid w:val="001F2373"/>
    <w:rsid w:val="001F238F"/>
    <w:rsid w:val="001F26EE"/>
    <w:rsid w:val="001F283B"/>
    <w:rsid w:val="001F28ED"/>
    <w:rsid w:val="001F2A5B"/>
    <w:rsid w:val="001F2CF6"/>
    <w:rsid w:val="001F2D2F"/>
    <w:rsid w:val="001F2DB7"/>
    <w:rsid w:val="001F31C6"/>
    <w:rsid w:val="001F3266"/>
    <w:rsid w:val="001F3303"/>
    <w:rsid w:val="001F3397"/>
    <w:rsid w:val="001F3450"/>
    <w:rsid w:val="001F398D"/>
    <w:rsid w:val="001F39BF"/>
    <w:rsid w:val="001F3B9E"/>
    <w:rsid w:val="001F3BC1"/>
    <w:rsid w:val="001F3CD1"/>
    <w:rsid w:val="001F3F25"/>
    <w:rsid w:val="001F3F65"/>
    <w:rsid w:val="001F3F80"/>
    <w:rsid w:val="001F4191"/>
    <w:rsid w:val="001F429D"/>
    <w:rsid w:val="001F441A"/>
    <w:rsid w:val="001F4583"/>
    <w:rsid w:val="001F4602"/>
    <w:rsid w:val="001F4794"/>
    <w:rsid w:val="001F4952"/>
    <w:rsid w:val="001F4A28"/>
    <w:rsid w:val="001F4C0E"/>
    <w:rsid w:val="001F4D64"/>
    <w:rsid w:val="001F5199"/>
    <w:rsid w:val="001F534A"/>
    <w:rsid w:val="001F549B"/>
    <w:rsid w:val="001F55BE"/>
    <w:rsid w:val="001F5716"/>
    <w:rsid w:val="001F57A9"/>
    <w:rsid w:val="001F5CA2"/>
    <w:rsid w:val="001F5ECA"/>
    <w:rsid w:val="001F62E6"/>
    <w:rsid w:val="001F6525"/>
    <w:rsid w:val="001F6710"/>
    <w:rsid w:val="001F68C4"/>
    <w:rsid w:val="001F6B07"/>
    <w:rsid w:val="001F6B37"/>
    <w:rsid w:val="001F6BED"/>
    <w:rsid w:val="001F6D9D"/>
    <w:rsid w:val="001F6ED8"/>
    <w:rsid w:val="001F7173"/>
    <w:rsid w:val="001F7294"/>
    <w:rsid w:val="001F72F5"/>
    <w:rsid w:val="001F731D"/>
    <w:rsid w:val="001F7962"/>
    <w:rsid w:val="001F7C08"/>
    <w:rsid w:val="001F7DC6"/>
    <w:rsid w:val="001F7E7E"/>
    <w:rsid w:val="001F7ED6"/>
    <w:rsid w:val="001F7F13"/>
    <w:rsid w:val="00200353"/>
    <w:rsid w:val="00200460"/>
    <w:rsid w:val="002004A2"/>
    <w:rsid w:val="0020070A"/>
    <w:rsid w:val="0020074E"/>
    <w:rsid w:val="002008CC"/>
    <w:rsid w:val="00200A43"/>
    <w:rsid w:val="00200A8D"/>
    <w:rsid w:val="00200C6D"/>
    <w:rsid w:val="00200D22"/>
    <w:rsid w:val="00200ECD"/>
    <w:rsid w:val="00200FB9"/>
    <w:rsid w:val="00201185"/>
    <w:rsid w:val="002011DD"/>
    <w:rsid w:val="002012F5"/>
    <w:rsid w:val="0020141F"/>
    <w:rsid w:val="002015B6"/>
    <w:rsid w:val="0020168F"/>
    <w:rsid w:val="002016A5"/>
    <w:rsid w:val="0020171D"/>
    <w:rsid w:val="00201778"/>
    <w:rsid w:val="0020180D"/>
    <w:rsid w:val="0020185A"/>
    <w:rsid w:val="002018E0"/>
    <w:rsid w:val="00201A2E"/>
    <w:rsid w:val="00201A34"/>
    <w:rsid w:val="00201AA5"/>
    <w:rsid w:val="00201F17"/>
    <w:rsid w:val="002021B4"/>
    <w:rsid w:val="00202379"/>
    <w:rsid w:val="002024AF"/>
    <w:rsid w:val="00202823"/>
    <w:rsid w:val="00202859"/>
    <w:rsid w:val="00202AAF"/>
    <w:rsid w:val="00202DAE"/>
    <w:rsid w:val="00202DBB"/>
    <w:rsid w:val="00202E86"/>
    <w:rsid w:val="002031AB"/>
    <w:rsid w:val="002034CB"/>
    <w:rsid w:val="00203590"/>
    <w:rsid w:val="002038EE"/>
    <w:rsid w:val="002039F9"/>
    <w:rsid w:val="00203B32"/>
    <w:rsid w:val="00203ED2"/>
    <w:rsid w:val="00203EF9"/>
    <w:rsid w:val="00203FA8"/>
    <w:rsid w:val="0020410D"/>
    <w:rsid w:val="002041B7"/>
    <w:rsid w:val="002042C8"/>
    <w:rsid w:val="00204306"/>
    <w:rsid w:val="0020458A"/>
    <w:rsid w:val="00204843"/>
    <w:rsid w:val="002049A5"/>
    <w:rsid w:val="00204D74"/>
    <w:rsid w:val="00204FD6"/>
    <w:rsid w:val="002051BC"/>
    <w:rsid w:val="002051CB"/>
    <w:rsid w:val="00205541"/>
    <w:rsid w:val="002055BE"/>
    <w:rsid w:val="0020572D"/>
    <w:rsid w:val="00205771"/>
    <w:rsid w:val="002057D8"/>
    <w:rsid w:val="00205B3D"/>
    <w:rsid w:val="00205FEA"/>
    <w:rsid w:val="00206009"/>
    <w:rsid w:val="002061C5"/>
    <w:rsid w:val="00206206"/>
    <w:rsid w:val="002063D4"/>
    <w:rsid w:val="002065D5"/>
    <w:rsid w:val="002068E7"/>
    <w:rsid w:val="00206A88"/>
    <w:rsid w:val="00206C24"/>
    <w:rsid w:val="00206C36"/>
    <w:rsid w:val="00206D9B"/>
    <w:rsid w:val="00206F8D"/>
    <w:rsid w:val="002070A0"/>
    <w:rsid w:val="00207186"/>
    <w:rsid w:val="00207417"/>
    <w:rsid w:val="002077BC"/>
    <w:rsid w:val="00207A76"/>
    <w:rsid w:val="00207B1D"/>
    <w:rsid w:val="00207B3F"/>
    <w:rsid w:val="00207FEB"/>
    <w:rsid w:val="00210093"/>
    <w:rsid w:val="00210136"/>
    <w:rsid w:val="00210425"/>
    <w:rsid w:val="002105A4"/>
    <w:rsid w:val="002106FB"/>
    <w:rsid w:val="002107C3"/>
    <w:rsid w:val="00210C5F"/>
    <w:rsid w:val="00210C6C"/>
    <w:rsid w:val="00210D5C"/>
    <w:rsid w:val="00210E33"/>
    <w:rsid w:val="0021106D"/>
    <w:rsid w:val="00211456"/>
    <w:rsid w:val="002114AC"/>
    <w:rsid w:val="002116DB"/>
    <w:rsid w:val="00211843"/>
    <w:rsid w:val="002118C0"/>
    <w:rsid w:val="00211A0B"/>
    <w:rsid w:val="00211AF1"/>
    <w:rsid w:val="00211D9C"/>
    <w:rsid w:val="00211E2B"/>
    <w:rsid w:val="002120CC"/>
    <w:rsid w:val="0021217A"/>
    <w:rsid w:val="00212440"/>
    <w:rsid w:val="00212499"/>
    <w:rsid w:val="00212666"/>
    <w:rsid w:val="002126ED"/>
    <w:rsid w:val="002127CF"/>
    <w:rsid w:val="00212948"/>
    <w:rsid w:val="00212A6A"/>
    <w:rsid w:val="00212A92"/>
    <w:rsid w:val="00212C89"/>
    <w:rsid w:val="00212DBE"/>
    <w:rsid w:val="00212ED1"/>
    <w:rsid w:val="00212F02"/>
    <w:rsid w:val="00212F06"/>
    <w:rsid w:val="0021316A"/>
    <w:rsid w:val="00213233"/>
    <w:rsid w:val="00213304"/>
    <w:rsid w:val="002133D3"/>
    <w:rsid w:val="002137A8"/>
    <w:rsid w:val="002138E3"/>
    <w:rsid w:val="00213929"/>
    <w:rsid w:val="00213B3D"/>
    <w:rsid w:val="00213BE1"/>
    <w:rsid w:val="00213D2E"/>
    <w:rsid w:val="00213E50"/>
    <w:rsid w:val="00213EE4"/>
    <w:rsid w:val="00213F52"/>
    <w:rsid w:val="00214004"/>
    <w:rsid w:val="002140A1"/>
    <w:rsid w:val="002140AB"/>
    <w:rsid w:val="00214605"/>
    <w:rsid w:val="00214698"/>
    <w:rsid w:val="002147A5"/>
    <w:rsid w:val="00214AB7"/>
    <w:rsid w:val="00214DD3"/>
    <w:rsid w:val="00215005"/>
    <w:rsid w:val="0021515A"/>
    <w:rsid w:val="002151C7"/>
    <w:rsid w:val="002152EE"/>
    <w:rsid w:val="0021538E"/>
    <w:rsid w:val="00215566"/>
    <w:rsid w:val="002156AE"/>
    <w:rsid w:val="00215F9C"/>
    <w:rsid w:val="00216031"/>
    <w:rsid w:val="002161BF"/>
    <w:rsid w:val="002162CC"/>
    <w:rsid w:val="00216553"/>
    <w:rsid w:val="00216627"/>
    <w:rsid w:val="00216652"/>
    <w:rsid w:val="002166C4"/>
    <w:rsid w:val="002166E5"/>
    <w:rsid w:val="0021686F"/>
    <w:rsid w:val="002168D2"/>
    <w:rsid w:val="00216B47"/>
    <w:rsid w:val="00216CC2"/>
    <w:rsid w:val="00216E58"/>
    <w:rsid w:val="00217547"/>
    <w:rsid w:val="002176B9"/>
    <w:rsid w:val="002176C6"/>
    <w:rsid w:val="002179E4"/>
    <w:rsid w:val="00217A3D"/>
    <w:rsid w:val="00217B14"/>
    <w:rsid w:val="00217BEF"/>
    <w:rsid w:val="00217CCC"/>
    <w:rsid w:val="00217D6F"/>
    <w:rsid w:val="00217E02"/>
    <w:rsid w:val="00217E25"/>
    <w:rsid w:val="00217FE9"/>
    <w:rsid w:val="00217FF5"/>
    <w:rsid w:val="0022012C"/>
    <w:rsid w:val="00220189"/>
    <w:rsid w:val="00220377"/>
    <w:rsid w:val="002203E4"/>
    <w:rsid w:val="00220412"/>
    <w:rsid w:val="00220462"/>
    <w:rsid w:val="002205C4"/>
    <w:rsid w:val="002206B8"/>
    <w:rsid w:val="002207F8"/>
    <w:rsid w:val="002208E0"/>
    <w:rsid w:val="00220B3E"/>
    <w:rsid w:val="00220B75"/>
    <w:rsid w:val="00220FAC"/>
    <w:rsid w:val="002210D8"/>
    <w:rsid w:val="002211B3"/>
    <w:rsid w:val="00221450"/>
    <w:rsid w:val="00221645"/>
    <w:rsid w:val="002216A7"/>
    <w:rsid w:val="0022188E"/>
    <w:rsid w:val="00221C32"/>
    <w:rsid w:val="00221E4B"/>
    <w:rsid w:val="0022208E"/>
    <w:rsid w:val="002221BD"/>
    <w:rsid w:val="0022227D"/>
    <w:rsid w:val="00222528"/>
    <w:rsid w:val="00222711"/>
    <w:rsid w:val="002227D4"/>
    <w:rsid w:val="00222D22"/>
    <w:rsid w:val="00222D71"/>
    <w:rsid w:val="002233CE"/>
    <w:rsid w:val="00223639"/>
    <w:rsid w:val="0022368F"/>
    <w:rsid w:val="00223774"/>
    <w:rsid w:val="002237A5"/>
    <w:rsid w:val="00223A1A"/>
    <w:rsid w:val="00223AEC"/>
    <w:rsid w:val="00223C50"/>
    <w:rsid w:val="00223D10"/>
    <w:rsid w:val="00223F06"/>
    <w:rsid w:val="00223F48"/>
    <w:rsid w:val="002241CF"/>
    <w:rsid w:val="002244A1"/>
    <w:rsid w:val="00224677"/>
    <w:rsid w:val="00224772"/>
    <w:rsid w:val="002247A6"/>
    <w:rsid w:val="002248CC"/>
    <w:rsid w:val="00224B55"/>
    <w:rsid w:val="00224BD9"/>
    <w:rsid w:val="0022530A"/>
    <w:rsid w:val="00225456"/>
    <w:rsid w:val="00225495"/>
    <w:rsid w:val="00225692"/>
    <w:rsid w:val="0022572D"/>
    <w:rsid w:val="0022593A"/>
    <w:rsid w:val="00225996"/>
    <w:rsid w:val="002259A1"/>
    <w:rsid w:val="00225B8D"/>
    <w:rsid w:val="00225C69"/>
    <w:rsid w:val="00225E24"/>
    <w:rsid w:val="00225F06"/>
    <w:rsid w:val="002260A0"/>
    <w:rsid w:val="00226184"/>
    <w:rsid w:val="002262E5"/>
    <w:rsid w:val="002264BD"/>
    <w:rsid w:val="0022650D"/>
    <w:rsid w:val="00226581"/>
    <w:rsid w:val="0022697E"/>
    <w:rsid w:val="00226C3A"/>
    <w:rsid w:val="00226DB3"/>
    <w:rsid w:val="00226EF9"/>
    <w:rsid w:val="002271DB"/>
    <w:rsid w:val="002274E5"/>
    <w:rsid w:val="0022764E"/>
    <w:rsid w:val="0022777C"/>
    <w:rsid w:val="0022786D"/>
    <w:rsid w:val="002278B7"/>
    <w:rsid w:val="00227952"/>
    <w:rsid w:val="00227A65"/>
    <w:rsid w:val="00227C55"/>
    <w:rsid w:val="0023008C"/>
    <w:rsid w:val="0023015A"/>
    <w:rsid w:val="00230368"/>
    <w:rsid w:val="002304E2"/>
    <w:rsid w:val="0023077C"/>
    <w:rsid w:val="00230833"/>
    <w:rsid w:val="00230BC0"/>
    <w:rsid w:val="00230DE8"/>
    <w:rsid w:val="0023112A"/>
    <w:rsid w:val="00231260"/>
    <w:rsid w:val="00231306"/>
    <w:rsid w:val="0023139C"/>
    <w:rsid w:val="00231436"/>
    <w:rsid w:val="002315BD"/>
    <w:rsid w:val="00231640"/>
    <w:rsid w:val="0023171A"/>
    <w:rsid w:val="002318AD"/>
    <w:rsid w:val="00231C5B"/>
    <w:rsid w:val="00231EDF"/>
    <w:rsid w:val="00231F2E"/>
    <w:rsid w:val="002321F5"/>
    <w:rsid w:val="002323F1"/>
    <w:rsid w:val="00232540"/>
    <w:rsid w:val="002325AD"/>
    <w:rsid w:val="0023264D"/>
    <w:rsid w:val="00232965"/>
    <w:rsid w:val="00232992"/>
    <w:rsid w:val="002329E5"/>
    <w:rsid w:val="002329E6"/>
    <w:rsid w:val="00232A73"/>
    <w:rsid w:val="00232B1D"/>
    <w:rsid w:val="00232BB2"/>
    <w:rsid w:val="00232C07"/>
    <w:rsid w:val="00232CB5"/>
    <w:rsid w:val="00232D40"/>
    <w:rsid w:val="00232DF0"/>
    <w:rsid w:val="00232EA3"/>
    <w:rsid w:val="00233451"/>
    <w:rsid w:val="002336B6"/>
    <w:rsid w:val="00233759"/>
    <w:rsid w:val="00233785"/>
    <w:rsid w:val="00233A12"/>
    <w:rsid w:val="00233A73"/>
    <w:rsid w:val="00233B94"/>
    <w:rsid w:val="002343FF"/>
    <w:rsid w:val="002344F3"/>
    <w:rsid w:val="002345E6"/>
    <w:rsid w:val="002346E2"/>
    <w:rsid w:val="00234E1B"/>
    <w:rsid w:val="00234F66"/>
    <w:rsid w:val="00235143"/>
    <w:rsid w:val="00235459"/>
    <w:rsid w:val="00235469"/>
    <w:rsid w:val="002358C4"/>
    <w:rsid w:val="00235B37"/>
    <w:rsid w:val="00235DC8"/>
    <w:rsid w:val="00235E4E"/>
    <w:rsid w:val="00235F0A"/>
    <w:rsid w:val="0023608A"/>
    <w:rsid w:val="00236260"/>
    <w:rsid w:val="00236494"/>
    <w:rsid w:val="002366CB"/>
    <w:rsid w:val="002366E5"/>
    <w:rsid w:val="0023689F"/>
    <w:rsid w:val="00236BCB"/>
    <w:rsid w:val="00236C0D"/>
    <w:rsid w:val="00236C5E"/>
    <w:rsid w:val="00236F95"/>
    <w:rsid w:val="002371DA"/>
    <w:rsid w:val="00237241"/>
    <w:rsid w:val="002372D0"/>
    <w:rsid w:val="0023731A"/>
    <w:rsid w:val="002373B4"/>
    <w:rsid w:val="002375D3"/>
    <w:rsid w:val="0023762B"/>
    <w:rsid w:val="002377F3"/>
    <w:rsid w:val="0023792E"/>
    <w:rsid w:val="00237944"/>
    <w:rsid w:val="0023797F"/>
    <w:rsid w:val="00237BD1"/>
    <w:rsid w:val="00240270"/>
    <w:rsid w:val="002402E3"/>
    <w:rsid w:val="002402F1"/>
    <w:rsid w:val="00240732"/>
    <w:rsid w:val="00240AD5"/>
    <w:rsid w:val="00240CCF"/>
    <w:rsid w:val="00240D40"/>
    <w:rsid w:val="00240E4A"/>
    <w:rsid w:val="0024122A"/>
    <w:rsid w:val="00241383"/>
    <w:rsid w:val="002413A8"/>
    <w:rsid w:val="00241589"/>
    <w:rsid w:val="0024187B"/>
    <w:rsid w:val="00241A9F"/>
    <w:rsid w:val="00241AC7"/>
    <w:rsid w:val="00241B83"/>
    <w:rsid w:val="00241BB8"/>
    <w:rsid w:val="00241D92"/>
    <w:rsid w:val="00242167"/>
    <w:rsid w:val="00242178"/>
    <w:rsid w:val="002421F6"/>
    <w:rsid w:val="00242404"/>
    <w:rsid w:val="00242781"/>
    <w:rsid w:val="002427EF"/>
    <w:rsid w:val="0024280F"/>
    <w:rsid w:val="002428E3"/>
    <w:rsid w:val="00242A2A"/>
    <w:rsid w:val="00242BD9"/>
    <w:rsid w:val="00242BE0"/>
    <w:rsid w:val="00242CC4"/>
    <w:rsid w:val="00242CFB"/>
    <w:rsid w:val="00242D45"/>
    <w:rsid w:val="00242DC7"/>
    <w:rsid w:val="00242FB3"/>
    <w:rsid w:val="002435E1"/>
    <w:rsid w:val="00243819"/>
    <w:rsid w:val="002438F2"/>
    <w:rsid w:val="00243B68"/>
    <w:rsid w:val="00243D70"/>
    <w:rsid w:val="0024408B"/>
    <w:rsid w:val="002440A2"/>
    <w:rsid w:val="002441CB"/>
    <w:rsid w:val="0024423D"/>
    <w:rsid w:val="00244622"/>
    <w:rsid w:val="002446D6"/>
    <w:rsid w:val="002446E9"/>
    <w:rsid w:val="002447DF"/>
    <w:rsid w:val="00244B8E"/>
    <w:rsid w:val="00244CD0"/>
    <w:rsid w:val="0024518E"/>
    <w:rsid w:val="00245202"/>
    <w:rsid w:val="00245475"/>
    <w:rsid w:val="00245628"/>
    <w:rsid w:val="002457DB"/>
    <w:rsid w:val="00245908"/>
    <w:rsid w:val="00245B04"/>
    <w:rsid w:val="00245D97"/>
    <w:rsid w:val="00245E4B"/>
    <w:rsid w:val="00245EB5"/>
    <w:rsid w:val="0024619F"/>
    <w:rsid w:val="00246447"/>
    <w:rsid w:val="0024657D"/>
    <w:rsid w:val="00246820"/>
    <w:rsid w:val="00246D36"/>
    <w:rsid w:val="00247149"/>
    <w:rsid w:val="00247394"/>
    <w:rsid w:val="0024754F"/>
    <w:rsid w:val="002475F7"/>
    <w:rsid w:val="0024768A"/>
    <w:rsid w:val="0024784A"/>
    <w:rsid w:val="002478E3"/>
    <w:rsid w:val="002479B0"/>
    <w:rsid w:val="00247D3A"/>
    <w:rsid w:val="00247F6F"/>
    <w:rsid w:val="0025003D"/>
    <w:rsid w:val="0025009A"/>
    <w:rsid w:val="0025013F"/>
    <w:rsid w:val="0025018D"/>
    <w:rsid w:val="0025021A"/>
    <w:rsid w:val="0025035E"/>
    <w:rsid w:val="0025041D"/>
    <w:rsid w:val="00250529"/>
    <w:rsid w:val="0025054A"/>
    <w:rsid w:val="00250777"/>
    <w:rsid w:val="00250A18"/>
    <w:rsid w:val="00250A9B"/>
    <w:rsid w:val="00250AA6"/>
    <w:rsid w:val="00250C1A"/>
    <w:rsid w:val="00250DEC"/>
    <w:rsid w:val="00250F14"/>
    <w:rsid w:val="00251031"/>
    <w:rsid w:val="00251418"/>
    <w:rsid w:val="0025159F"/>
    <w:rsid w:val="0025166D"/>
    <w:rsid w:val="0025186C"/>
    <w:rsid w:val="00251B10"/>
    <w:rsid w:val="00251B6D"/>
    <w:rsid w:val="00251E31"/>
    <w:rsid w:val="00251F2D"/>
    <w:rsid w:val="00251F3A"/>
    <w:rsid w:val="00251F74"/>
    <w:rsid w:val="00251FE5"/>
    <w:rsid w:val="002520B2"/>
    <w:rsid w:val="002520E6"/>
    <w:rsid w:val="00252200"/>
    <w:rsid w:val="002523A7"/>
    <w:rsid w:val="0025272C"/>
    <w:rsid w:val="00252A9F"/>
    <w:rsid w:val="00252C63"/>
    <w:rsid w:val="00252CA3"/>
    <w:rsid w:val="00252E28"/>
    <w:rsid w:val="00253218"/>
    <w:rsid w:val="002536D7"/>
    <w:rsid w:val="00253848"/>
    <w:rsid w:val="002538E5"/>
    <w:rsid w:val="002539CC"/>
    <w:rsid w:val="00253BF2"/>
    <w:rsid w:val="00253D55"/>
    <w:rsid w:val="00253D99"/>
    <w:rsid w:val="0025413B"/>
    <w:rsid w:val="00254496"/>
    <w:rsid w:val="0025449C"/>
    <w:rsid w:val="0025454B"/>
    <w:rsid w:val="0025463B"/>
    <w:rsid w:val="00254657"/>
    <w:rsid w:val="00254930"/>
    <w:rsid w:val="00254A4C"/>
    <w:rsid w:val="00254A68"/>
    <w:rsid w:val="00254BB1"/>
    <w:rsid w:val="00254C23"/>
    <w:rsid w:val="00254D29"/>
    <w:rsid w:val="00254D8B"/>
    <w:rsid w:val="00254E62"/>
    <w:rsid w:val="00254F50"/>
    <w:rsid w:val="00255119"/>
    <w:rsid w:val="0025531E"/>
    <w:rsid w:val="0025554E"/>
    <w:rsid w:val="0025579A"/>
    <w:rsid w:val="0025594B"/>
    <w:rsid w:val="00255B1C"/>
    <w:rsid w:val="00255B80"/>
    <w:rsid w:val="00255F2B"/>
    <w:rsid w:val="00255F9D"/>
    <w:rsid w:val="00255FED"/>
    <w:rsid w:val="00256069"/>
    <w:rsid w:val="00256385"/>
    <w:rsid w:val="002563DE"/>
    <w:rsid w:val="00256403"/>
    <w:rsid w:val="00256758"/>
    <w:rsid w:val="00256B51"/>
    <w:rsid w:val="00256C2A"/>
    <w:rsid w:val="00256DBD"/>
    <w:rsid w:val="00256EA7"/>
    <w:rsid w:val="00256F0F"/>
    <w:rsid w:val="00257035"/>
    <w:rsid w:val="00257133"/>
    <w:rsid w:val="002571B5"/>
    <w:rsid w:val="0025739C"/>
    <w:rsid w:val="002575E3"/>
    <w:rsid w:val="00257655"/>
    <w:rsid w:val="002576C8"/>
    <w:rsid w:val="00257743"/>
    <w:rsid w:val="0025776D"/>
    <w:rsid w:val="00257776"/>
    <w:rsid w:val="0025782B"/>
    <w:rsid w:val="00257935"/>
    <w:rsid w:val="00257B9C"/>
    <w:rsid w:val="00257C86"/>
    <w:rsid w:val="00257E04"/>
    <w:rsid w:val="00257EE8"/>
    <w:rsid w:val="00257F26"/>
    <w:rsid w:val="00257F9B"/>
    <w:rsid w:val="00260037"/>
    <w:rsid w:val="0026005C"/>
    <w:rsid w:val="002600DE"/>
    <w:rsid w:val="002601E4"/>
    <w:rsid w:val="00260630"/>
    <w:rsid w:val="002606B0"/>
    <w:rsid w:val="002607AC"/>
    <w:rsid w:val="002608B1"/>
    <w:rsid w:val="0026094D"/>
    <w:rsid w:val="00260976"/>
    <w:rsid w:val="00260A41"/>
    <w:rsid w:val="00260D1B"/>
    <w:rsid w:val="00260FF9"/>
    <w:rsid w:val="00261006"/>
    <w:rsid w:val="002611E2"/>
    <w:rsid w:val="002614A9"/>
    <w:rsid w:val="002614F7"/>
    <w:rsid w:val="002616D0"/>
    <w:rsid w:val="00261846"/>
    <w:rsid w:val="00261860"/>
    <w:rsid w:val="0026188C"/>
    <w:rsid w:val="00261A99"/>
    <w:rsid w:val="00261B12"/>
    <w:rsid w:val="00261DD3"/>
    <w:rsid w:val="002620A7"/>
    <w:rsid w:val="00262249"/>
    <w:rsid w:val="00262285"/>
    <w:rsid w:val="0026236F"/>
    <w:rsid w:val="00262514"/>
    <w:rsid w:val="00262753"/>
    <w:rsid w:val="002627E0"/>
    <w:rsid w:val="00262838"/>
    <w:rsid w:val="00262965"/>
    <w:rsid w:val="002629C7"/>
    <w:rsid w:val="00262C2F"/>
    <w:rsid w:val="00263619"/>
    <w:rsid w:val="00263667"/>
    <w:rsid w:val="002637F5"/>
    <w:rsid w:val="00263B4A"/>
    <w:rsid w:val="00263E6F"/>
    <w:rsid w:val="00263EB6"/>
    <w:rsid w:val="0026404B"/>
    <w:rsid w:val="002642BB"/>
    <w:rsid w:val="002643EB"/>
    <w:rsid w:val="002645FA"/>
    <w:rsid w:val="002647CE"/>
    <w:rsid w:val="0026484D"/>
    <w:rsid w:val="00264914"/>
    <w:rsid w:val="002649C2"/>
    <w:rsid w:val="00264AE2"/>
    <w:rsid w:val="00264B77"/>
    <w:rsid w:val="00264BB5"/>
    <w:rsid w:val="00264CE2"/>
    <w:rsid w:val="00264F2A"/>
    <w:rsid w:val="00265174"/>
    <w:rsid w:val="0026531B"/>
    <w:rsid w:val="002653FB"/>
    <w:rsid w:val="00265418"/>
    <w:rsid w:val="00265505"/>
    <w:rsid w:val="002655D2"/>
    <w:rsid w:val="002655F0"/>
    <w:rsid w:val="00265772"/>
    <w:rsid w:val="00265938"/>
    <w:rsid w:val="0026595F"/>
    <w:rsid w:val="00265ACA"/>
    <w:rsid w:val="00265B74"/>
    <w:rsid w:val="00265BE1"/>
    <w:rsid w:val="00265C5A"/>
    <w:rsid w:val="00265CB0"/>
    <w:rsid w:val="00265CF8"/>
    <w:rsid w:val="00265DE0"/>
    <w:rsid w:val="00266089"/>
    <w:rsid w:val="00266117"/>
    <w:rsid w:val="00266155"/>
    <w:rsid w:val="00266344"/>
    <w:rsid w:val="0026647F"/>
    <w:rsid w:val="00266610"/>
    <w:rsid w:val="002669D1"/>
    <w:rsid w:val="00266F9B"/>
    <w:rsid w:val="00267036"/>
    <w:rsid w:val="0026705A"/>
    <w:rsid w:val="002671DF"/>
    <w:rsid w:val="002675D1"/>
    <w:rsid w:val="00267A03"/>
    <w:rsid w:val="00267D9D"/>
    <w:rsid w:val="00267EF3"/>
    <w:rsid w:val="00270076"/>
    <w:rsid w:val="002700D3"/>
    <w:rsid w:val="00270166"/>
    <w:rsid w:val="0027019B"/>
    <w:rsid w:val="00270256"/>
    <w:rsid w:val="0027033E"/>
    <w:rsid w:val="002705EB"/>
    <w:rsid w:val="0027070E"/>
    <w:rsid w:val="0027070F"/>
    <w:rsid w:val="0027084B"/>
    <w:rsid w:val="00270902"/>
    <w:rsid w:val="002709C6"/>
    <w:rsid w:val="002709E8"/>
    <w:rsid w:val="002709EC"/>
    <w:rsid w:val="00270A63"/>
    <w:rsid w:val="00270BDB"/>
    <w:rsid w:val="00270EA4"/>
    <w:rsid w:val="00271354"/>
    <w:rsid w:val="00271965"/>
    <w:rsid w:val="00272031"/>
    <w:rsid w:val="002720CF"/>
    <w:rsid w:val="0027241E"/>
    <w:rsid w:val="00272447"/>
    <w:rsid w:val="002724D7"/>
    <w:rsid w:val="0027263C"/>
    <w:rsid w:val="002726C7"/>
    <w:rsid w:val="00272790"/>
    <w:rsid w:val="0027279D"/>
    <w:rsid w:val="0027282E"/>
    <w:rsid w:val="00272B50"/>
    <w:rsid w:val="00272BE9"/>
    <w:rsid w:val="0027313F"/>
    <w:rsid w:val="00273290"/>
    <w:rsid w:val="0027342B"/>
    <w:rsid w:val="0027379F"/>
    <w:rsid w:val="00273A5A"/>
    <w:rsid w:val="00273D1F"/>
    <w:rsid w:val="00273D6A"/>
    <w:rsid w:val="00273F94"/>
    <w:rsid w:val="002740A3"/>
    <w:rsid w:val="00274109"/>
    <w:rsid w:val="002742FB"/>
    <w:rsid w:val="00274562"/>
    <w:rsid w:val="002746F3"/>
    <w:rsid w:val="00274754"/>
    <w:rsid w:val="002748CA"/>
    <w:rsid w:val="00274A50"/>
    <w:rsid w:val="00274AEE"/>
    <w:rsid w:val="00274E8E"/>
    <w:rsid w:val="00274E9D"/>
    <w:rsid w:val="00274FEF"/>
    <w:rsid w:val="00275077"/>
    <w:rsid w:val="00275194"/>
    <w:rsid w:val="00275315"/>
    <w:rsid w:val="00275442"/>
    <w:rsid w:val="002754DF"/>
    <w:rsid w:val="002756D5"/>
    <w:rsid w:val="00275822"/>
    <w:rsid w:val="00275882"/>
    <w:rsid w:val="00275A6E"/>
    <w:rsid w:val="00275C5D"/>
    <w:rsid w:val="00275CD9"/>
    <w:rsid w:val="00275DF1"/>
    <w:rsid w:val="00275FF4"/>
    <w:rsid w:val="0027602F"/>
    <w:rsid w:val="002761D4"/>
    <w:rsid w:val="002762B0"/>
    <w:rsid w:val="0027644C"/>
    <w:rsid w:val="00276539"/>
    <w:rsid w:val="00276552"/>
    <w:rsid w:val="0027697F"/>
    <w:rsid w:val="00276A8B"/>
    <w:rsid w:val="00276D0F"/>
    <w:rsid w:val="00276DDE"/>
    <w:rsid w:val="00276F43"/>
    <w:rsid w:val="00277050"/>
    <w:rsid w:val="00277216"/>
    <w:rsid w:val="00277345"/>
    <w:rsid w:val="002775C6"/>
    <w:rsid w:val="002776AA"/>
    <w:rsid w:val="002777F7"/>
    <w:rsid w:val="002777F8"/>
    <w:rsid w:val="00277B8C"/>
    <w:rsid w:val="00277BD3"/>
    <w:rsid w:val="00277CAB"/>
    <w:rsid w:val="00277DA3"/>
    <w:rsid w:val="00277DF3"/>
    <w:rsid w:val="00280038"/>
    <w:rsid w:val="0028020D"/>
    <w:rsid w:val="0028045D"/>
    <w:rsid w:val="002804F1"/>
    <w:rsid w:val="00280F7D"/>
    <w:rsid w:val="002812D0"/>
    <w:rsid w:val="0028136D"/>
    <w:rsid w:val="0028171E"/>
    <w:rsid w:val="002817B9"/>
    <w:rsid w:val="00281819"/>
    <w:rsid w:val="00281E4D"/>
    <w:rsid w:val="00281EDD"/>
    <w:rsid w:val="00281F4C"/>
    <w:rsid w:val="00282048"/>
    <w:rsid w:val="002822DD"/>
    <w:rsid w:val="0028247C"/>
    <w:rsid w:val="002824A3"/>
    <w:rsid w:val="0028251C"/>
    <w:rsid w:val="0028268C"/>
    <w:rsid w:val="002829FF"/>
    <w:rsid w:val="00282AC0"/>
    <w:rsid w:val="00282C4A"/>
    <w:rsid w:val="00282C65"/>
    <w:rsid w:val="00282E50"/>
    <w:rsid w:val="00282EEF"/>
    <w:rsid w:val="00282F65"/>
    <w:rsid w:val="00283035"/>
    <w:rsid w:val="00283298"/>
    <w:rsid w:val="002832A4"/>
    <w:rsid w:val="002833F1"/>
    <w:rsid w:val="00283998"/>
    <w:rsid w:val="00283A0C"/>
    <w:rsid w:val="00283E5D"/>
    <w:rsid w:val="00284176"/>
    <w:rsid w:val="00284321"/>
    <w:rsid w:val="00284390"/>
    <w:rsid w:val="002843A6"/>
    <w:rsid w:val="002843B6"/>
    <w:rsid w:val="002844DF"/>
    <w:rsid w:val="00284569"/>
    <w:rsid w:val="00284575"/>
    <w:rsid w:val="0028478A"/>
    <w:rsid w:val="002848C8"/>
    <w:rsid w:val="002848DF"/>
    <w:rsid w:val="00284AA2"/>
    <w:rsid w:val="00284AB7"/>
    <w:rsid w:val="00284BB8"/>
    <w:rsid w:val="00284D00"/>
    <w:rsid w:val="00284E20"/>
    <w:rsid w:val="00285283"/>
    <w:rsid w:val="0028534D"/>
    <w:rsid w:val="00285350"/>
    <w:rsid w:val="0028555A"/>
    <w:rsid w:val="00285563"/>
    <w:rsid w:val="00285709"/>
    <w:rsid w:val="002857C3"/>
    <w:rsid w:val="002858A0"/>
    <w:rsid w:val="002858E0"/>
    <w:rsid w:val="002859FE"/>
    <w:rsid w:val="00285E6C"/>
    <w:rsid w:val="00285FE3"/>
    <w:rsid w:val="002863F9"/>
    <w:rsid w:val="0028673D"/>
    <w:rsid w:val="00286778"/>
    <w:rsid w:val="002868E2"/>
    <w:rsid w:val="00286944"/>
    <w:rsid w:val="00287030"/>
    <w:rsid w:val="0028710B"/>
    <w:rsid w:val="002873AC"/>
    <w:rsid w:val="002873CB"/>
    <w:rsid w:val="002875BA"/>
    <w:rsid w:val="002876ED"/>
    <w:rsid w:val="00287963"/>
    <w:rsid w:val="00287B1F"/>
    <w:rsid w:val="00287B26"/>
    <w:rsid w:val="00287C1A"/>
    <w:rsid w:val="00287E38"/>
    <w:rsid w:val="00287F99"/>
    <w:rsid w:val="0029007E"/>
    <w:rsid w:val="0029017B"/>
    <w:rsid w:val="002901E7"/>
    <w:rsid w:val="00290403"/>
    <w:rsid w:val="00290488"/>
    <w:rsid w:val="0029058B"/>
    <w:rsid w:val="0029067E"/>
    <w:rsid w:val="00290A28"/>
    <w:rsid w:val="00290DB3"/>
    <w:rsid w:val="00290F56"/>
    <w:rsid w:val="0029105E"/>
    <w:rsid w:val="00291166"/>
    <w:rsid w:val="002912FD"/>
    <w:rsid w:val="002914F0"/>
    <w:rsid w:val="0029169E"/>
    <w:rsid w:val="002917AC"/>
    <w:rsid w:val="0029180F"/>
    <w:rsid w:val="0029198C"/>
    <w:rsid w:val="00291A72"/>
    <w:rsid w:val="00291C77"/>
    <w:rsid w:val="002925B6"/>
    <w:rsid w:val="0029261C"/>
    <w:rsid w:val="00292695"/>
    <w:rsid w:val="002926EC"/>
    <w:rsid w:val="002928B9"/>
    <w:rsid w:val="00292D23"/>
    <w:rsid w:val="00292FD7"/>
    <w:rsid w:val="002930A3"/>
    <w:rsid w:val="002931FB"/>
    <w:rsid w:val="0029359A"/>
    <w:rsid w:val="002936BB"/>
    <w:rsid w:val="002936FD"/>
    <w:rsid w:val="00293A5A"/>
    <w:rsid w:val="00293DC7"/>
    <w:rsid w:val="002944B2"/>
    <w:rsid w:val="00294592"/>
    <w:rsid w:val="0029459E"/>
    <w:rsid w:val="00294811"/>
    <w:rsid w:val="002949BF"/>
    <w:rsid w:val="002949F8"/>
    <w:rsid w:val="00294ADA"/>
    <w:rsid w:val="00294E56"/>
    <w:rsid w:val="00294EDC"/>
    <w:rsid w:val="00294F96"/>
    <w:rsid w:val="00295061"/>
    <w:rsid w:val="0029526D"/>
    <w:rsid w:val="0029536C"/>
    <w:rsid w:val="0029554B"/>
    <w:rsid w:val="002956E1"/>
    <w:rsid w:val="00295AF8"/>
    <w:rsid w:val="00295C66"/>
    <w:rsid w:val="00295C79"/>
    <w:rsid w:val="00295E3A"/>
    <w:rsid w:val="00296027"/>
    <w:rsid w:val="002960C0"/>
    <w:rsid w:val="002960C2"/>
    <w:rsid w:val="002963FA"/>
    <w:rsid w:val="002964A7"/>
    <w:rsid w:val="0029651D"/>
    <w:rsid w:val="00296574"/>
    <w:rsid w:val="002965D3"/>
    <w:rsid w:val="00296639"/>
    <w:rsid w:val="00296925"/>
    <w:rsid w:val="002969AD"/>
    <w:rsid w:val="00297006"/>
    <w:rsid w:val="00297118"/>
    <w:rsid w:val="0029718F"/>
    <w:rsid w:val="002971DA"/>
    <w:rsid w:val="0029732B"/>
    <w:rsid w:val="002973DB"/>
    <w:rsid w:val="002973DD"/>
    <w:rsid w:val="002975F1"/>
    <w:rsid w:val="002976FB"/>
    <w:rsid w:val="002978EB"/>
    <w:rsid w:val="00297930"/>
    <w:rsid w:val="00297EAF"/>
    <w:rsid w:val="00297EF9"/>
    <w:rsid w:val="002A0054"/>
    <w:rsid w:val="002A01E3"/>
    <w:rsid w:val="002A0462"/>
    <w:rsid w:val="002A0528"/>
    <w:rsid w:val="002A0738"/>
    <w:rsid w:val="002A07F9"/>
    <w:rsid w:val="002A0A60"/>
    <w:rsid w:val="002A0BC1"/>
    <w:rsid w:val="002A0C87"/>
    <w:rsid w:val="002A0E9A"/>
    <w:rsid w:val="002A0EBA"/>
    <w:rsid w:val="002A1070"/>
    <w:rsid w:val="002A118D"/>
    <w:rsid w:val="002A11C8"/>
    <w:rsid w:val="002A12C5"/>
    <w:rsid w:val="002A148B"/>
    <w:rsid w:val="002A14A9"/>
    <w:rsid w:val="002A152F"/>
    <w:rsid w:val="002A1723"/>
    <w:rsid w:val="002A176A"/>
    <w:rsid w:val="002A18E5"/>
    <w:rsid w:val="002A1A2C"/>
    <w:rsid w:val="002A1A3E"/>
    <w:rsid w:val="002A1DC6"/>
    <w:rsid w:val="002A1E9E"/>
    <w:rsid w:val="002A214F"/>
    <w:rsid w:val="002A21FE"/>
    <w:rsid w:val="002A22D3"/>
    <w:rsid w:val="002A2474"/>
    <w:rsid w:val="002A2479"/>
    <w:rsid w:val="002A2AD3"/>
    <w:rsid w:val="002A2F9C"/>
    <w:rsid w:val="002A2FF2"/>
    <w:rsid w:val="002A30AB"/>
    <w:rsid w:val="002A3189"/>
    <w:rsid w:val="002A32E6"/>
    <w:rsid w:val="002A342A"/>
    <w:rsid w:val="002A3ABF"/>
    <w:rsid w:val="002A3AE3"/>
    <w:rsid w:val="002A3DB3"/>
    <w:rsid w:val="002A3DE3"/>
    <w:rsid w:val="002A4152"/>
    <w:rsid w:val="002A420F"/>
    <w:rsid w:val="002A4272"/>
    <w:rsid w:val="002A4429"/>
    <w:rsid w:val="002A443A"/>
    <w:rsid w:val="002A4475"/>
    <w:rsid w:val="002A45BE"/>
    <w:rsid w:val="002A4604"/>
    <w:rsid w:val="002A4892"/>
    <w:rsid w:val="002A4A63"/>
    <w:rsid w:val="002A4FA2"/>
    <w:rsid w:val="002A509A"/>
    <w:rsid w:val="002A5379"/>
    <w:rsid w:val="002A57E8"/>
    <w:rsid w:val="002A5A85"/>
    <w:rsid w:val="002A5B87"/>
    <w:rsid w:val="002A5DF2"/>
    <w:rsid w:val="002A6023"/>
    <w:rsid w:val="002A60FD"/>
    <w:rsid w:val="002A6371"/>
    <w:rsid w:val="002A6446"/>
    <w:rsid w:val="002A6543"/>
    <w:rsid w:val="002A665B"/>
    <w:rsid w:val="002A6730"/>
    <w:rsid w:val="002A6800"/>
    <w:rsid w:val="002A6A3B"/>
    <w:rsid w:val="002A6A7C"/>
    <w:rsid w:val="002A707A"/>
    <w:rsid w:val="002A712E"/>
    <w:rsid w:val="002A7245"/>
    <w:rsid w:val="002A7355"/>
    <w:rsid w:val="002A73F2"/>
    <w:rsid w:val="002A787E"/>
    <w:rsid w:val="002A78B9"/>
    <w:rsid w:val="002A7916"/>
    <w:rsid w:val="002A7A75"/>
    <w:rsid w:val="002A7D60"/>
    <w:rsid w:val="002A7E28"/>
    <w:rsid w:val="002A7EAE"/>
    <w:rsid w:val="002B02FB"/>
    <w:rsid w:val="002B06BF"/>
    <w:rsid w:val="002B0BBF"/>
    <w:rsid w:val="002B0C26"/>
    <w:rsid w:val="002B0E0E"/>
    <w:rsid w:val="002B0E98"/>
    <w:rsid w:val="002B0ED2"/>
    <w:rsid w:val="002B10ED"/>
    <w:rsid w:val="002B1228"/>
    <w:rsid w:val="002B154C"/>
    <w:rsid w:val="002B1910"/>
    <w:rsid w:val="002B19F1"/>
    <w:rsid w:val="002B1CB1"/>
    <w:rsid w:val="002B2070"/>
    <w:rsid w:val="002B2071"/>
    <w:rsid w:val="002B21E8"/>
    <w:rsid w:val="002B2243"/>
    <w:rsid w:val="002B22EB"/>
    <w:rsid w:val="002B24DF"/>
    <w:rsid w:val="002B2554"/>
    <w:rsid w:val="002B2587"/>
    <w:rsid w:val="002B2768"/>
    <w:rsid w:val="002B2778"/>
    <w:rsid w:val="002B2858"/>
    <w:rsid w:val="002B2B8E"/>
    <w:rsid w:val="002B2EF3"/>
    <w:rsid w:val="002B2F92"/>
    <w:rsid w:val="002B2FEC"/>
    <w:rsid w:val="002B3036"/>
    <w:rsid w:val="002B3073"/>
    <w:rsid w:val="002B30FE"/>
    <w:rsid w:val="002B331C"/>
    <w:rsid w:val="002B34C8"/>
    <w:rsid w:val="002B361A"/>
    <w:rsid w:val="002B36D9"/>
    <w:rsid w:val="002B380A"/>
    <w:rsid w:val="002B39EA"/>
    <w:rsid w:val="002B3A14"/>
    <w:rsid w:val="002B3ACB"/>
    <w:rsid w:val="002B3B60"/>
    <w:rsid w:val="002B3E1F"/>
    <w:rsid w:val="002B3F03"/>
    <w:rsid w:val="002B402D"/>
    <w:rsid w:val="002B4304"/>
    <w:rsid w:val="002B43EA"/>
    <w:rsid w:val="002B4542"/>
    <w:rsid w:val="002B4A29"/>
    <w:rsid w:val="002B4B7B"/>
    <w:rsid w:val="002B4BFC"/>
    <w:rsid w:val="002B4C8E"/>
    <w:rsid w:val="002B4F57"/>
    <w:rsid w:val="002B501F"/>
    <w:rsid w:val="002B5172"/>
    <w:rsid w:val="002B54F2"/>
    <w:rsid w:val="002B56ED"/>
    <w:rsid w:val="002B58DB"/>
    <w:rsid w:val="002B5CD0"/>
    <w:rsid w:val="002B5CE6"/>
    <w:rsid w:val="002B5D23"/>
    <w:rsid w:val="002B5D5F"/>
    <w:rsid w:val="002B5E40"/>
    <w:rsid w:val="002B6049"/>
    <w:rsid w:val="002B6284"/>
    <w:rsid w:val="002B691D"/>
    <w:rsid w:val="002B6920"/>
    <w:rsid w:val="002B6D35"/>
    <w:rsid w:val="002B7759"/>
    <w:rsid w:val="002B7B04"/>
    <w:rsid w:val="002B7D64"/>
    <w:rsid w:val="002C0317"/>
    <w:rsid w:val="002C04C8"/>
    <w:rsid w:val="002C0523"/>
    <w:rsid w:val="002C059B"/>
    <w:rsid w:val="002C074E"/>
    <w:rsid w:val="002C0888"/>
    <w:rsid w:val="002C0AE2"/>
    <w:rsid w:val="002C0C8B"/>
    <w:rsid w:val="002C0CEE"/>
    <w:rsid w:val="002C0E89"/>
    <w:rsid w:val="002C100D"/>
    <w:rsid w:val="002C10B9"/>
    <w:rsid w:val="002C1144"/>
    <w:rsid w:val="002C1180"/>
    <w:rsid w:val="002C135C"/>
    <w:rsid w:val="002C136E"/>
    <w:rsid w:val="002C14BF"/>
    <w:rsid w:val="002C16DB"/>
    <w:rsid w:val="002C175A"/>
    <w:rsid w:val="002C18FB"/>
    <w:rsid w:val="002C18FD"/>
    <w:rsid w:val="002C19F2"/>
    <w:rsid w:val="002C1A47"/>
    <w:rsid w:val="002C1CD6"/>
    <w:rsid w:val="002C1CE3"/>
    <w:rsid w:val="002C1CF0"/>
    <w:rsid w:val="002C1D6C"/>
    <w:rsid w:val="002C1EA1"/>
    <w:rsid w:val="002C2546"/>
    <w:rsid w:val="002C255E"/>
    <w:rsid w:val="002C261C"/>
    <w:rsid w:val="002C2722"/>
    <w:rsid w:val="002C2729"/>
    <w:rsid w:val="002C28A4"/>
    <w:rsid w:val="002C296A"/>
    <w:rsid w:val="002C2ACA"/>
    <w:rsid w:val="002C2BEB"/>
    <w:rsid w:val="002C2C1B"/>
    <w:rsid w:val="002C2F6D"/>
    <w:rsid w:val="002C3250"/>
    <w:rsid w:val="002C3619"/>
    <w:rsid w:val="002C361D"/>
    <w:rsid w:val="002C36A7"/>
    <w:rsid w:val="002C36CB"/>
    <w:rsid w:val="002C389F"/>
    <w:rsid w:val="002C39A4"/>
    <w:rsid w:val="002C3B45"/>
    <w:rsid w:val="002C3BB3"/>
    <w:rsid w:val="002C3DA5"/>
    <w:rsid w:val="002C3E52"/>
    <w:rsid w:val="002C3FB9"/>
    <w:rsid w:val="002C3FD0"/>
    <w:rsid w:val="002C40F9"/>
    <w:rsid w:val="002C41B9"/>
    <w:rsid w:val="002C44AE"/>
    <w:rsid w:val="002C458E"/>
    <w:rsid w:val="002C487D"/>
    <w:rsid w:val="002C492D"/>
    <w:rsid w:val="002C499F"/>
    <w:rsid w:val="002C49E2"/>
    <w:rsid w:val="002C4B61"/>
    <w:rsid w:val="002C4D7C"/>
    <w:rsid w:val="002C4F64"/>
    <w:rsid w:val="002C50C9"/>
    <w:rsid w:val="002C5268"/>
    <w:rsid w:val="002C52CC"/>
    <w:rsid w:val="002C52E0"/>
    <w:rsid w:val="002C5305"/>
    <w:rsid w:val="002C5616"/>
    <w:rsid w:val="002C5724"/>
    <w:rsid w:val="002C57FE"/>
    <w:rsid w:val="002C58C4"/>
    <w:rsid w:val="002C59F7"/>
    <w:rsid w:val="002C5A63"/>
    <w:rsid w:val="002C5CB9"/>
    <w:rsid w:val="002C6046"/>
    <w:rsid w:val="002C6198"/>
    <w:rsid w:val="002C61B5"/>
    <w:rsid w:val="002C63A9"/>
    <w:rsid w:val="002C63FF"/>
    <w:rsid w:val="002C642D"/>
    <w:rsid w:val="002C64E7"/>
    <w:rsid w:val="002C661F"/>
    <w:rsid w:val="002C6848"/>
    <w:rsid w:val="002C6D1E"/>
    <w:rsid w:val="002C7098"/>
    <w:rsid w:val="002C7325"/>
    <w:rsid w:val="002C74AE"/>
    <w:rsid w:val="002C7506"/>
    <w:rsid w:val="002C78EB"/>
    <w:rsid w:val="002C7937"/>
    <w:rsid w:val="002C7F0B"/>
    <w:rsid w:val="002C7F86"/>
    <w:rsid w:val="002D01C9"/>
    <w:rsid w:val="002D030B"/>
    <w:rsid w:val="002D034B"/>
    <w:rsid w:val="002D0541"/>
    <w:rsid w:val="002D0784"/>
    <w:rsid w:val="002D0EC3"/>
    <w:rsid w:val="002D0EFA"/>
    <w:rsid w:val="002D10DA"/>
    <w:rsid w:val="002D10DD"/>
    <w:rsid w:val="002D116A"/>
    <w:rsid w:val="002D1219"/>
    <w:rsid w:val="002D1497"/>
    <w:rsid w:val="002D15DD"/>
    <w:rsid w:val="002D1634"/>
    <w:rsid w:val="002D16D5"/>
    <w:rsid w:val="002D1716"/>
    <w:rsid w:val="002D17A7"/>
    <w:rsid w:val="002D17FF"/>
    <w:rsid w:val="002D18F9"/>
    <w:rsid w:val="002D1979"/>
    <w:rsid w:val="002D1A6A"/>
    <w:rsid w:val="002D1ADC"/>
    <w:rsid w:val="002D1D9F"/>
    <w:rsid w:val="002D1E16"/>
    <w:rsid w:val="002D1F4A"/>
    <w:rsid w:val="002D2054"/>
    <w:rsid w:val="002D206E"/>
    <w:rsid w:val="002D207C"/>
    <w:rsid w:val="002D20D1"/>
    <w:rsid w:val="002D2191"/>
    <w:rsid w:val="002D225F"/>
    <w:rsid w:val="002D241B"/>
    <w:rsid w:val="002D2928"/>
    <w:rsid w:val="002D298A"/>
    <w:rsid w:val="002D2CD8"/>
    <w:rsid w:val="002D2EA5"/>
    <w:rsid w:val="002D2F84"/>
    <w:rsid w:val="002D2FCC"/>
    <w:rsid w:val="002D2FFF"/>
    <w:rsid w:val="002D3024"/>
    <w:rsid w:val="002D3089"/>
    <w:rsid w:val="002D33C0"/>
    <w:rsid w:val="002D3431"/>
    <w:rsid w:val="002D384F"/>
    <w:rsid w:val="002D3DBA"/>
    <w:rsid w:val="002D41BD"/>
    <w:rsid w:val="002D44B7"/>
    <w:rsid w:val="002D4537"/>
    <w:rsid w:val="002D453D"/>
    <w:rsid w:val="002D46BC"/>
    <w:rsid w:val="002D4750"/>
    <w:rsid w:val="002D47F8"/>
    <w:rsid w:val="002D4A97"/>
    <w:rsid w:val="002D4C67"/>
    <w:rsid w:val="002D4CC6"/>
    <w:rsid w:val="002D4EF8"/>
    <w:rsid w:val="002D4F22"/>
    <w:rsid w:val="002D4F72"/>
    <w:rsid w:val="002D5077"/>
    <w:rsid w:val="002D5134"/>
    <w:rsid w:val="002D53FE"/>
    <w:rsid w:val="002D5518"/>
    <w:rsid w:val="002D57BB"/>
    <w:rsid w:val="002D58B9"/>
    <w:rsid w:val="002D5985"/>
    <w:rsid w:val="002D5D63"/>
    <w:rsid w:val="002D5FA2"/>
    <w:rsid w:val="002D6066"/>
    <w:rsid w:val="002D6132"/>
    <w:rsid w:val="002D618B"/>
    <w:rsid w:val="002D62D8"/>
    <w:rsid w:val="002D63FE"/>
    <w:rsid w:val="002D6472"/>
    <w:rsid w:val="002D65AC"/>
    <w:rsid w:val="002D67D1"/>
    <w:rsid w:val="002D67DA"/>
    <w:rsid w:val="002D67EF"/>
    <w:rsid w:val="002D6B21"/>
    <w:rsid w:val="002D6D13"/>
    <w:rsid w:val="002D6D31"/>
    <w:rsid w:val="002D731F"/>
    <w:rsid w:val="002D73F3"/>
    <w:rsid w:val="002D74A9"/>
    <w:rsid w:val="002D7643"/>
    <w:rsid w:val="002D7808"/>
    <w:rsid w:val="002D79BE"/>
    <w:rsid w:val="002D7C4C"/>
    <w:rsid w:val="002D7C85"/>
    <w:rsid w:val="002D7D0D"/>
    <w:rsid w:val="002D7DA6"/>
    <w:rsid w:val="002D7DE5"/>
    <w:rsid w:val="002E0502"/>
    <w:rsid w:val="002E0B26"/>
    <w:rsid w:val="002E1036"/>
    <w:rsid w:val="002E111B"/>
    <w:rsid w:val="002E11C5"/>
    <w:rsid w:val="002E11CA"/>
    <w:rsid w:val="002E1322"/>
    <w:rsid w:val="002E14EF"/>
    <w:rsid w:val="002E157E"/>
    <w:rsid w:val="002E1A6D"/>
    <w:rsid w:val="002E1AC7"/>
    <w:rsid w:val="002E1C26"/>
    <w:rsid w:val="002E1C5C"/>
    <w:rsid w:val="002E1DB2"/>
    <w:rsid w:val="002E21F4"/>
    <w:rsid w:val="002E2497"/>
    <w:rsid w:val="002E26D3"/>
    <w:rsid w:val="002E2AA7"/>
    <w:rsid w:val="002E2B50"/>
    <w:rsid w:val="002E2BCF"/>
    <w:rsid w:val="002E3019"/>
    <w:rsid w:val="002E30C1"/>
    <w:rsid w:val="002E33E9"/>
    <w:rsid w:val="002E3564"/>
    <w:rsid w:val="002E38FE"/>
    <w:rsid w:val="002E3A0E"/>
    <w:rsid w:val="002E3A52"/>
    <w:rsid w:val="002E3BFB"/>
    <w:rsid w:val="002E4122"/>
    <w:rsid w:val="002E421C"/>
    <w:rsid w:val="002E424E"/>
    <w:rsid w:val="002E42BA"/>
    <w:rsid w:val="002E44AF"/>
    <w:rsid w:val="002E477E"/>
    <w:rsid w:val="002E4A39"/>
    <w:rsid w:val="002E4A5C"/>
    <w:rsid w:val="002E4AC2"/>
    <w:rsid w:val="002E4B9A"/>
    <w:rsid w:val="002E4DED"/>
    <w:rsid w:val="002E4E3A"/>
    <w:rsid w:val="002E512F"/>
    <w:rsid w:val="002E545E"/>
    <w:rsid w:val="002E5489"/>
    <w:rsid w:val="002E5546"/>
    <w:rsid w:val="002E577F"/>
    <w:rsid w:val="002E57EA"/>
    <w:rsid w:val="002E583B"/>
    <w:rsid w:val="002E5A31"/>
    <w:rsid w:val="002E5FFB"/>
    <w:rsid w:val="002E62DB"/>
    <w:rsid w:val="002E6396"/>
    <w:rsid w:val="002E64BE"/>
    <w:rsid w:val="002E664D"/>
    <w:rsid w:val="002E6849"/>
    <w:rsid w:val="002E6977"/>
    <w:rsid w:val="002E6A62"/>
    <w:rsid w:val="002E6A9E"/>
    <w:rsid w:val="002E6B70"/>
    <w:rsid w:val="002E6DD1"/>
    <w:rsid w:val="002E6F81"/>
    <w:rsid w:val="002E6FAC"/>
    <w:rsid w:val="002E71BE"/>
    <w:rsid w:val="002E73E4"/>
    <w:rsid w:val="002E76A5"/>
    <w:rsid w:val="002E793C"/>
    <w:rsid w:val="002E7A15"/>
    <w:rsid w:val="002E7BBE"/>
    <w:rsid w:val="002E7CD2"/>
    <w:rsid w:val="002E7EA7"/>
    <w:rsid w:val="002F00A9"/>
    <w:rsid w:val="002F00FA"/>
    <w:rsid w:val="002F0296"/>
    <w:rsid w:val="002F02AE"/>
    <w:rsid w:val="002F04D2"/>
    <w:rsid w:val="002F0601"/>
    <w:rsid w:val="002F07BC"/>
    <w:rsid w:val="002F09DF"/>
    <w:rsid w:val="002F0F25"/>
    <w:rsid w:val="002F11F6"/>
    <w:rsid w:val="002F123D"/>
    <w:rsid w:val="002F12C0"/>
    <w:rsid w:val="002F1486"/>
    <w:rsid w:val="002F17F8"/>
    <w:rsid w:val="002F19FC"/>
    <w:rsid w:val="002F1A63"/>
    <w:rsid w:val="002F1AC1"/>
    <w:rsid w:val="002F1C72"/>
    <w:rsid w:val="002F1D95"/>
    <w:rsid w:val="002F1F7C"/>
    <w:rsid w:val="002F1F9F"/>
    <w:rsid w:val="002F2075"/>
    <w:rsid w:val="002F22CB"/>
    <w:rsid w:val="002F251D"/>
    <w:rsid w:val="002F25DC"/>
    <w:rsid w:val="002F26FF"/>
    <w:rsid w:val="002F28F5"/>
    <w:rsid w:val="002F29D3"/>
    <w:rsid w:val="002F2E93"/>
    <w:rsid w:val="002F316A"/>
    <w:rsid w:val="002F3465"/>
    <w:rsid w:val="002F3682"/>
    <w:rsid w:val="002F381C"/>
    <w:rsid w:val="002F3A86"/>
    <w:rsid w:val="002F3DD9"/>
    <w:rsid w:val="002F3E3B"/>
    <w:rsid w:val="002F4186"/>
    <w:rsid w:val="002F41B4"/>
    <w:rsid w:val="002F420C"/>
    <w:rsid w:val="002F43D9"/>
    <w:rsid w:val="002F4496"/>
    <w:rsid w:val="002F4501"/>
    <w:rsid w:val="002F4542"/>
    <w:rsid w:val="002F4596"/>
    <w:rsid w:val="002F45F7"/>
    <w:rsid w:val="002F4676"/>
    <w:rsid w:val="002F467D"/>
    <w:rsid w:val="002F47B1"/>
    <w:rsid w:val="002F490A"/>
    <w:rsid w:val="002F4A34"/>
    <w:rsid w:val="002F4E5D"/>
    <w:rsid w:val="002F4FD1"/>
    <w:rsid w:val="002F5461"/>
    <w:rsid w:val="002F5478"/>
    <w:rsid w:val="002F5738"/>
    <w:rsid w:val="002F5791"/>
    <w:rsid w:val="002F588F"/>
    <w:rsid w:val="002F5CB8"/>
    <w:rsid w:val="002F5DD0"/>
    <w:rsid w:val="002F5F84"/>
    <w:rsid w:val="002F6109"/>
    <w:rsid w:val="002F6229"/>
    <w:rsid w:val="002F66A2"/>
    <w:rsid w:val="002F67BC"/>
    <w:rsid w:val="002F67F1"/>
    <w:rsid w:val="002F6955"/>
    <w:rsid w:val="002F6A75"/>
    <w:rsid w:val="002F6C2D"/>
    <w:rsid w:val="002F6E2C"/>
    <w:rsid w:val="002F7109"/>
    <w:rsid w:val="002F73DC"/>
    <w:rsid w:val="002F75CE"/>
    <w:rsid w:val="002F77E9"/>
    <w:rsid w:val="002F7A44"/>
    <w:rsid w:val="002F7D23"/>
    <w:rsid w:val="002F7F51"/>
    <w:rsid w:val="003003F4"/>
    <w:rsid w:val="0030048A"/>
    <w:rsid w:val="003004C4"/>
    <w:rsid w:val="00300526"/>
    <w:rsid w:val="00300947"/>
    <w:rsid w:val="0030115E"/>
    <w:rsid w:val="003011A2"/>
    <w:rsid w:val="003011F8"/>
    <w:rsid w:val="00301282"/>
    <w:rsid w:val="003012AE"/>
    <w:rsid w:val="0030130E"/>
    <w:rsid w:val="00301328"/>
    <w:rsid w:val="003014CF"/>
    <w:rsid w:val="00301501"/>
    <w:rsid w:val="00301715"/>
    <w:rsid w:val="00301D82"/>
    <w:rsid w:val="00301E20"/>
    <w:rsid w:val="00301E94"/>
    <w:rsid w:val="00301FB8"/>
    <w:rsid w:val="003020F1"/>
    <w:rsid w:val="003022CD"/>
    <w:rsid w:val="00302420"/>
    <w:rsid w:val="003027F3"/>
    <w:rsid w:val="00302CA3"/>
    <w:rsid w:val="00302CD1"/>
    <w:rsid w:val="003030B1"/>
    <w:rsid w:val="003030E7"/>
    <w:rsid w:val="0030319F"/>
    <w:rsid w:val="00303349"/>
    <w:rsid w:val="003033FB"/>
    <w:rsid w:val="003034BA"/>
    <w:rsid w:val="00303B25"/>
    <w:rsid w:val="00303F13"/>
    <w:rsid w:val="00303FCC"/>
    <w:rsid w:val="003042ED"/>
    <w:rsid w:val="00304463"/>
    <w:rsid w:val="00304600"/>
    <w:rsid w:val="0030468A"/>
    <w:rsid w:val="00304775"/>
    <w:rsid w:val="0030481E"/>
    <w:rsid w:val="003048EB"/>
    <w:rsid w:val="0030494B"/>
    <w:rsid w:val="00304AB6"/>
    <w:rsid w:val="00304B27"/>
    <w:rsid w:val="00304DE9"/>
    <w:rsid w:val="00304DFD"/>
    <w:rsid w:val="00304E9C"/>
    <w:rsid w:val="00304F0B"/>
    <w:rsid w:val="00304F86"/>
    <w:rsid w:val="00305161"/>
    <w:rsid w:val="0030518C"/>
    <w:rsid w:val="00305293"/>
    <w:rsid w:val="00305417"/>
    <w:rsid w:val="00305546"/>
    <w:rsid w:val="00305646"/>
    <w:rsid w:val="003057F4"/>
    <w:rsid w:val="0030582A"/>
    <w:rsid w:val="0030593A"/>
    <w:rsid w:val="003059B5"/>
    <w:rsid w:val="00305A1E"/>
    <w:rsid w:val="00305D55"/>
    <w:rsid w:val="00305E31"/>
    <w:rsid w:val="003061F2"/>
    <w:rsid w:val="003065ED"/>
    <w:rsid w:val="00306804"/>
    <w:rsid w:val="00306932"/>
    <w:rsid w:val="003069CE"/>
    <w:rsid w:val="00306A2B"/>
    <w:rsid w:val="00306C09"/>
    <w:rsid w:val="00306C68"/>
    <w:rsid w:val="00306E78"/>
    <w:rsid w:val="003070D4"/>
    <w:rsid w:val="00307162"/>
    <w:rsid w:val="0030729B"/>
    <w:rsid w:val="00307710"/>
    <w:rsid w:val="003077A4"/>
    <w:rsid w:val="003079AD"/>
    <w:rsid w:val="00307C17"/>
    <w:rsid w:val="00307F06"/>
    <w:rsid w:val="00307FBE"/>
    <w:rsid w:val="003100A1"/>
    <w:rsid w:val="003100AC"/>
    <w:rsid w:val="00310231"/>
    <w:rsid w:val="0031038A"/>
    <w:rsid w:val="003105DF"/>
    <w:rsid w:val="00310613"/>
    <w:rsid w:val="00310836"/>
    <w:rsid w:val="003108AB"/>
    <w:rsid w:val="003108E1"/>
    <w:rsid w:val="0031094F"/>
    <w:rsid w:val="003109CE"/>
    <w:rsid w:val="00310C60"/>
    <w:rsid w:val="00310CB2"/>
    <w:rsid w:val="00310F2D"/>
    <w:rsid w:val="0031113D"/>
    <w:rsid w:val="003111D6"/>
    <w:rsid w:val="00311420"/>
    <w:rsid w:val="003115E5"/>
    <w:rsid w:val="0031192F"/>
    <w:rsid w:val="00311937"/>
    <w:rsid w:val="00311945"/>
    <w:rsid w:val="00311CDE"/>
    <w:rsid w:val="0031210D"/>
    <w:rsid w:val="003122E9"/>
    <w:rsid w:val="003122ED"/>
    <w:rsid w:val="00312399"/>
    <w:rsid w:val="0031246D"/>
    <w:rsid w:val="003125D2"/>
    <w:rsid w:val="003128B8"/>
    <w:rsid w:val="00312B9E"/>
    <w:rsid w:val="00313099"/>
    <w:rsid w:val="003132D0"/>
    <w:rsid w:val="0031338F"/>
    <w:rsid w:val="0031387F"/>
    <w:rsid w:val="00313AE6"/>
    <w:rsid w:val="00313B76"/>
    <w:rsid w:val="00313E61"/>
    <w:rsid w:val="00313F8A"/>
    <w:rsid w:val="00313FF1"/>
    <w:rsid w:val="0031401E"/>
    <w:rsid w:val="003141CE"/>
    <w:rsid w:val="00314485"/>
    <w:rsid w:val="00314591"/>
    <w:rsid w:val="0031471E"/>
    <w:rsid w:val="003147F6"/>
    <w:rsid w:val="00314B62"/>
    <w:rsid w:val="00314C9E"/>
    <w:rsid w:val="00314CBC"/>
    <w:rsid w:val="00314F60"/>
    <w:rsid w:val="00315048"/>
    <w:rsid w:val="00315049"/>
    <w:rsid w:val="0031504F"/>
    <w:rsid w:val="00315052"/>
    <w:rsid w:val="003152A0"/>
    <w:rsid w:val="0031557B"/>
    <w:rsid w:val="00315651"/>
    <w:rsid w:val="003156DB"/>
    <w:rsid w:val="00315884"/>
    <w:rsid w:val="003159E0"/>
    <w:rsid w:val="00315A38"/>
    <w:rsid w:val="00315BEA"/>
    <w:rsid w:val="00315D44"/>
    <w:rsid w:val="00315F6B"/>
    <w:rsid w:val="00315FA2"/>
    <w:rsid w:val="003160C1"/>
    <w:rsid w:val="003162C7"/>
    <w:rsid w:val="003166B7"/>
    <w:rsid w:val="003167DE"/>
    <w:rsid w:val="0031686A"/>
    <w:rsid w:val="00316A9B"/>
    <w:rsid w:val="00316B5B"/>
    <w:rsid w:val="00316B95"/>
    <w:rsid w:val="00316E08"/>
    <w:rsid w:val="00316F34"/>
    <w:rsid w:val="00317245"/>
    <w:rsid w:val="00317361"/>
    <w:rsid w:val="0031739B"/>
    <w:rsid w:val="0031750F"/>
    <w:rsid w:val="003177A5"/>
    <w:rsid w:val="003178F1"/>
    <w:rsid w:val="00317948"/>
    <w:rsid w:val="00317A31"/>
    <w:rsid w:val="00317A79"/>
    <w:rsid w:val="00317E9F"/>
    <w:rsid w:val="00317FC7"/>
    <w:rsid w:val="00320B6D"/>
    <w:rsid w:val="00320B8F"/>
    <w:rsid w:val="00320CDF"/>
    <w:rsid w:val="00320F31"/>
    <w:rsid w:val="00320FD7"/>
    <w:rsid w:val="00321072"/>
    <w:rsid w:val="003210F1"/>
    <w:rsid w:val="003211DE"/>
    <w:rsid w:val="003212C1"/>
    <w:rsid w:val="0032143B"/>
    <w:rsid w:val="003217CD"/>
    <w:rsid w:val="00321BD4"/>
    <w:rsid w:val="00321BFF"/>
    <w:rsid w:val="00321C3D"/>
    <w:rsid w:val="00321DA2"/>
    <w:rsid w:val="00321DC7"/>
    <w:rsid w:val="00321F95"/>
    <w:rsid w:val="0032215F"/>
    <w:rsid w:val="00322400"/>
    <w:rsid w:val="00322570"/>
    <w:rsid w:val="00322728"/>
    <w:rsid w:val="0032279B"/>
    <w:rsid w:val="00322A61"/>
    <w:rsid w:val="00322C3A"/>
    <w:rsid w:val="00322EA3"/>
    <w:rsid w:val="00322F72"/>
    <w:rsid w:val="00323063"/>
    <w:rsid w:val="003230EF"/>
    <w:rsid w:val="0032312C"/>
    <w:rsid w:val="0032315E"/>
    <w:rsid w:val="003231E1"/>
    <w:rsid w:val="00323209"/>
    <w:rsid w:val="0032347F"/>
    <w:rsid w:val="003234FF"/>
    <w:rsid w:val="0032378B"/>
    <w:rsid w:val="00323944"/>
    <w:rsid w:val="00323A00"/>
    <w:rsid w:val="00323FEF"/>
    <w:rsid w:val="00324198"/>
    <w:rsid w:val="00324203"/>
    <w:rsid w:val="003245AE"/>
    <w:rsid w:val="00324674"/>
    <w:rsid w:val="00324709"/>
    <w:rsid w:val="00324853"/>
    <w:rsid w:val="00324A33"/>
    <w:rsid w:val="00324BB7"/>
    <w:rsid w:val="00324C8F"/>
    <w:rsid w:val="00325046"/>
    <w:rsid w:val="0032534C"/>
    <w:rsid w:val="00325443"/>
    <w:rsid w:val="00325464"/>
    <w:rsid w:val="003256A2"/>
    <w:rsid w:val="0032576D"/>
    <w:rsid w:val="00325BD5"/>
    <w:rsid w:val="00325BE2"/>
    <w:rsid w:val="00325D96"/>
    <w:rsid w:val="00325EE4"/>
    <w:rsid w:val="003265F0"/>
    <w:rsid w:val="0032665E"/>
    <w:rsid w:val="00326AB9"/>
    <w:rsid w:val="00326B27"/>
    <w:rsid w:val="00326B2F"/>
    <w:rsid w:val="00326D97"/>
    <w:rsid w:val="00326DF5"/>
    <w:rsid w:val="00326EAB"/>
    <w:rsid w:val="00326F38"/>
    <w:rsid w:val="00326FE4"/>
    <w:rsid w:val="003270B0"/>
    <w:rsid w:val="003270DD"/>
    <w:rsid w:val="0032738C"/>
    <w:rsid w:val="003273B6"/>
    <w:rsid w:val="003277A7"/>
    <w:rsid w:val="003277B8"/>
    <w:rsid w:val="00327927"/>
    <w:rsid w:val="00327FD6"/>
    <w:rsid w:val="00330111"/>
    <w:rsid w:val="0033026C"/>
    <w:rsid w:val="003302E9"/>
    <w:rsid w:val="0033060B"/>
    <w:rsid w:val="00330C36"/>
    <w:rsid w:val="00330E19"/>
    <w:rsid w:val="00331025"/>
    <w:rsid w:val="00331036"/>
    <w:rsid w:val="00331049"/>
    <w:rsid w:val="0033128C"/>
    <w:rsid w:val="00331391"/>
    <w:rsid w:val="003314F7"/>
    <w:rsid w:val="003315BC"/>
    <w:rsid w:val="003315D2"/>
    <w:rsid w:val="003318BF"/>
    <w:rsid w:val="003318ED"/>
    <w:rsid w:val="003319CA"/>
    <w:rsid w:val="00331E86"/>
    <w:rsid w:val="003322BB"/>
    <w:rsid w:val="00332480"/>
    <w:rsid w:val="003324B4"/>
    <w:rsid w:val="003328C2"/>
    <w:rsid w:val="00332F5D"/>
    <w:rsid w:val="00332F7A"/>
    <w:rsid w:val="0033318D"/>
    <w:rsid w:val="00333323"/>
    <w:rsid w:val="00333388"/>
    <w:rsid w:val="00333565"/>
    <w:rsid w:val="003335B6"/>
    <w:rsid w:val="00333718"/>
    <w:rsid w:val="00333788"/>
    <w:rsid w:val="00333BBA"/>
    <w:rsid w:val="00333BE9"/>
    <w:rsid w:val="00333EF7"/>
    <w:rsid w:val="00333F3A"/>
    <w:rsid w:val="00334096"/>
    <w:rsid w:val="00334132"/>
    <w:rsid w:val="00334310"/>
    <w:rsid w:val="0033431E"/>
    <w:rsid w:val="003345AD"/>
    <w:rsid w:val="00334868"/>
    <w:rsid w:val="003350BB"/>
    <w:rsid w:val="0033547D"/>
    <w:rsid w:val="003354D6"/>
    <w:rsid w:val="00335567"/>
    <w:rsid w:val="003355BA"/>
    <w:rsid w:val="003358E2"/>
    <w:rsid w:val="00335ADB"/>
    <w:rsid w:val="00335B99"/>
    <w:rsid w:val="00335DE3"/>
    <w:rsid w:val="003360FD"/>
    <w:rsid w:val="00336190"/>
    <w:rsid w:val="0033626F"/>
    <w:rsid w:val="003362ED"/>
    <w:rsid w:val="0033641E"/>
    <w:rsid w:val="00336759"/>
    <w:rsid w:val="003367D1"/>
    <w:rsid w:val="003367D3"/>
    <w:rsid w:val="003367D7"/>
    <w:rsid w:val="0033694C"/>
    <w:rsid w:val="00336AD7"/>
    <w:rsid w:val="00336B0E"/>
    <w:rsid w:val="00336B1C"/>
    <w:rsid w:val="00336BBD"/>
    <w:rsid w:val="00336C18"/>
    <w:rsid w:val="00336CE8"/>
    <w:rsid w:val="00336DBF"/>
    <w:rsid w:val="0033706B"/>
    <w:rsid w:val="003370D2"/>
    <w:rsid w:val="00337467"/>
    <w:rsid w:val="003374BF"/>
    <w:rsid w:val="003376F3"/>
    <w:rsid w:val="00337839"/>
    <w:rsid w:val="0033792E"/>
    <w:rsid w:val="00337C3F"/>
    <w:rsid w:val="00340179"/>
    <w:rsid w:val="003401A2"/>
    <w:rsid w:val="003402F6"/>
    <w:rsid w:val="00340348"/>
    <w:rsid w:val="0034045A"/>
    <w:rsid w:val="0034048F"/>
    <w:rsid w:val="00340A6F"/>
    <w:rsid w:val="00340E03"/>
    <w:rsid w:val="00341131"/>
    <w:rsid w:val="0034129C"/>
    <w:rsid w:val="00341460"/>
    <w:rsid w:val="00341566"/>
    <w:rsid w:val="003415A4"/>
    <w:rsid w:val="003415B4"/>
    <w:rsid w:val="003417D3"/>
    <w:rsid w:val="00341964"/>
    <w:rsid w:val="00341B8F"/>
    <w:rsid w:val="00341C65"/>
    <w:rsid w:val="00341D9B"/>
    <w:rsid w:val="00341DB9"/>
    <w:rsid w:val="00341DDC"/>
    <w:rsid w:val="00341FE3"/>
    <w:rsid w:val="00341FEF"/>
    <w:rsid w:val="00342131"/>
    <w:rsid w:val="00342162"/>
    <w:rsid w:val="00342199"/>
    <w:rsid w:val="003421CD"/>
    <w:rsid w:val="003428CA"/>
    <w:rsid w:val="00342996"/>
    <w:rsid w:val="00342CFA"/>
    <w:rsid w:val="003432C4"/>
    <w:rsid w:val="00343353"/>
    <w:rsid w:val="00343354"/>
    <w:rsid w:val="0034352C"/>
    <w:rsid w:val="0034380A"/>
    <w:rsid w:val="003438B6"/>
    <w:rsid w:val="00343AF7"/>
    <w:rsid w:val="00343B3A"/>
    <w:rsid w:val="00343C33"/>
    <w:rsid w:val="00343CA2"/>
    <w:rsid w:val="00343D5A"/>
    <w:rsid w:val="00343E5A"/>
    <w:rsid w:val="003440DB"/>
    <w:rsid w:val="00344194"/>
    <w:rsid w:val="00344506"/>
    <w:rsid w:val="00344A85"/>
    <w:rsid w:val="00344AFA"/>
    <w:rsid w:val="00344B35"/>
    <w:rsid w:val="00344D8D"/>
    <w:rsid w:val="00344E09"/>
    <w:rsid w:val="00344F29"/>
    <w:rsid w:val="00344FFD"/>
    <w:rsid w:val="00345004"/>
    <w:rsid w:val="003450B4"/>
    <w:rsid w:val="0034520B"/>
    <w:rsid w:val="003452CB"/>
    <w:rsid w:val="003455C0"/>
    <w:rsid w:val="0034598B"/>
    <w:rsid w:val="00345DCC"/>
    <w:rsid w:val="00345E89"/>
    <w:rsid w:val="00345FFD"/>
    <w:rsid w:val="0034604F"/>
    <w:rsid w:val="00346161"/>
    <w:rsid w:val="00346194"/>
    <w:rsid w:val="00346342"/>
    <w:rsid w:val="0034643B"/>
    <w:rsid w:val="003464E4"/>
    <w:rsid w:val="0034652F"/>
    <w:rsid w:val="003465CF"/>
    <w:rsid w:val="003467D1"/>
    <w:rsid w:val="003468A8"/>
    <w:rsid w:val="003468E1"/>
    <w:rsid w:val="00346AE4"/>
    <w:rsid w:val="00346C63"/>
    <w:rsid w:val="00346DF7"/>
    <w:rsid w:val="00346EE0"/>
    <w:rsid w:val="00347082"/>
    <w:rsid w:val="003470DE"/>
    <w:rsid w:val="00347246"/>
    <w:rsid w:val="0034729A"/>
    <w:rsid w:val="003476A2"/>
    <w:rsid w:val="003476B9"/>
    <w:rsid w:val="00347737"/>
    <w:rsid w:val="00347798"/>
    <w:rsid w:val="00347A8E"/>
    <w:rsid w:val="00347AB5"/>
    <w:rsid w:val="00347CD4"/>
    <w:rsid w:val="00347DC9"/>
    <w:rsid w:val="00347E38"/>
    <w:rsid w:val="00350269"/>
    <w:rsid w:val="003502AF"/>
    <w:rsid w:val="003505D1"/>
    <w:rsid w:val="00350837"/>
    <w:rsid w:val="0035096E"/>
    <w:rsid w:val="00350C3F"/>
    <w:rsid w:val="00350F01"/>
    <w:rsid w:val="00350FE2"/>
    <w:rsid w:val="003511C0"/>
    <w:rsid w:val="00351485"/>
    <w:rsid w:val="003515BF"/>
    <w:rsid w:val="003516C1"/>
    <w:rsid w:val="00351788"/>
    <w:rsid w:val="00351B0E"/>
    <w:rsid w:val="00351B49"/>
    <w:rsid w:val="00351C11"/>
    <w:rsid w:val="00351D4B"/>
    <w:rsid w:val="00351D76"/>
    <w:rsid w:val="00351DB1"/>
    <w:rsid w:val="00351E1B"/>
    <w:rsid w:val="00351F6E"/>
    <w:rsid w:val="00351FD2"/>
    <w:rsid w:val="0035249C"/>
    <w:rsid w:val="00352573"/>
    <w:rsid w:val="003525B6"/>
    <w:rsid w:val="00352F7C"/>
    <w:rsid w:val="00352FE1"/>
    <w:rsid w:val="00353125"/>
    <w:rsid w:val="0035312E"/>
    <w:rsid w:val="003531D6"/>
    <w:rsid w:val="003535F7"/>
    <w:rsid w:val="00353958"/>
    <w:rsid w:val="00354147"/>
    <w:rsid w:val="0035454E"/>
    <w:rsid w:val="003545C3"/>
    <w:rsid w:val="00354716"/>
    <w:rsid w:val="0035472D"/>
    <w:rsid w:val="00354854"/>
    <w:rsid w:val="00354BE1"/>
    <w:rsid w:val="00354DAB"/>
    <w:rsid w:val="00354E42"/>
    <w:rsid w:val="00354E85"/>
    <w:rsid w:val="0035529C"/>
    <w:rsid w:val="003552F9"/>
    <w:rsid w:val="0035541D"/>
    <w:rsid w:val="0035543C"/>
    <w:rsid w:val="003554F2"/>
    <w:rsid w:val="003557DF"/>
    <w:rsid w:val="00355887"/>
    <w:rsid w:val="003558B2"/>
    <w:rsid w:val="00355985"/>
    <w:rsid w:val="00355B0A"/>
    <w:rsid w:val="00355D26"/>
    <w:rsid w:val="00355E0F"/>
    <w:rsid w:val="003560CF"/>
    <w:rsid w:val="0035661C"/>
    <w:rsid w:val="00356AE0"/>
    <w:rsid w:val="00356C7E"/>
    <w:rsid w:val="00356DA8"/>
    <w:rsid w:val="00356E17"/>
    <w:rsid w:val="00356FEA"/>
    <w:rsid w:val="00357260"/>
    <w:rsid w:val="003572E1"/>
    <w:rsid w:val="00357364"/>
    <w:rsid w:val="003573B5"/>
    <w:rsid w:val="003575B7"/>
    <w:rsid w:val="00357661"/>
    <w:rsid w:val="00357870"/>
    <w:rsid w:val="00357C43"/>
    <w:rsid w:val="00357C66"/>
    <w:rsid w:val="00357D0F"/>
    <w:rsid w:val="00357E5F"/>
    <w:rsid w:val="00360200"/>
    <w:rsid w:val="00360347"/>
    <w:rsid w:val="00360522"/>
    <w:rsid w:val="00360709"/>
    <w:rsid w:val="00360BC6"/>
    <w:rsid w:val="00360EB4"/>
    <w:rsid w:val="00360FD9"/>
    <w:rsid w:val="00361029"/>
    <w:rsid w:val="0036135A"/>
    <w:rsid w:val="003613FB"/>
    <w:rsid w:val="00361517"/>
    <w:rsid w:val="00361715"/>
    <w:rsid w:val="00361724"/>
    <w:rsid w:val="00361C6D"/>
    <w:rsid w:val="00361CA4"/>
    <w:rsid w:val="00362154"/>
    <w:rsid w:val="00362475"/>
    <w:rsid w:val="003624AF"/>
    <w:rsid w:val="00362543"/>
    <w:rsid w:val="003627EE"/>
    <w:rsid w:val="003628BE"/>
    <w:rsid w:val="00362A8E"/>
    <w:rsid w:val="00362FBD"/>
    <w:rsid w:val="00363017"/>
    <w:rsid w:val="0036326D"/>
    <w:rsid w:val="00363315"/>
    <w:rsid w:val="003633E2"/>
    <w:rsid w:val="00363464"/>
    <w:rsid w:val="00363496"/>
    <w:rsid w:val="00363520"/>
    <w:rsid w:val="00363689"/>
    <w:rsid w:val="00363ABB"/>
    <w:rsid w:val="00363C51"/>
    <w:rsid w:val="00363E0E"/>
    <w:rsid w:val="00363ED3"/>
    <w:rsid w:val="00364298"/>
    <w:rsid w:val="003642D7"/>
    <w:rsid w:val="003643D1"/>
    <w:rsid w:val="00364462"/>
    <w:rsid w:val="003647C2"/>
    <w:rsid w:val="00364923"/>
    <w:rsid w:val="00364A58"/>
    <w:rsid w:val="00364BBC"/>
    <w:rsid w:val="00364E2B"/>
    <w:rsid w:val="00364EC0"/>
    <w:rsid w:val="00364F2A"/>
    <w:rsid w:val="00364F55"/>
    <w:rsid w:val="00364F95"/>
    <w:rsid w:val="00364FFE"/>
    <w:rsid w:val="00365147"/>
    <w:rsid w:val="003651C9"/>
    <w:rsid w:val="00365384"/>
    <w:rsid w:val="003654DB"/>
    <w:rsid w:val="00365F40"/>
    <w:rsid w:val="00365FE7"/>
    <w:rsid w:val="003661FA"/>
    <w:rsid w:val="00366205"/>
    <w:rsid w:val="00366290"/>
    <w:rsid w:val="003666F5"/>
    <w:rsid w:val="00366A61"/>
    <w:rsid w:val="00366BBE"/>
    <w:rsid w:val="00366BC8"/>
    <w:rsid w:val="00366CE8"/>
    <w:rsid w:val="00366D03"/>
    <w:rsid w:val="00366DB9"/>
    <w:rsid w:val="00366E11"/>
    <w:rsid w:val="00366F3D"/>
    <w:rsid w:val="00366FD3"/>
    <w:rsid w:val="00366FFD"/>
    <w:rsid w:val="003670F8"/>
    <w:rsid w:val="00367102"/>
    <w:rsid w:val="00367117"/>
    <w:rsid w:val="003673C5"/>
    <w:rsid w:val="00367462"/>
    <w:rsid w:val="0036775E"/>
    <w:rsid w:val="003677CB"/>
    <w:rsid w:val="00367809"/>
    <w:rsid w:val="00367856"/>
    <w:rsid w:val="00367A79"/>
    <w:rsid w:val="00367B8C"/>
    <w:rsid w:val="003701EC"/>
    <w:rsid w:val="0037040F"/>
    <w:rsid w:val="003707E2"/>
    <w:rsid w:val="00370901"/>
    <w:rsid w:val="00370BBA"/>
    <w:rsid w:val="003710BF"/>
    <w:rsid w:val="00371104"/>
    <w:rsid w:val="003712B7"/>
    <w:rsid w:val="003712C5"/>
    <w:rsid w:val="00371790"/>
    <w:rsid w:val="0037181D"/>
    <w:rsid w:val="0037182D"/>
    <w:rsid w:val="0037184D"/>
    <w:rsid w:val="003718F8"/>
    <w:rsid w:val="003719A2"/>
    <w:rsid w:val="00371BB6"/>
    <w:rsid w:val="00371CE7"/>
    <w:rsid w:val="00371E38"/>
    <w:rsid w:val="00371E99"/>
    <w:rsid w:val="00371EA5"/>
    <w:rsid w:val="00371FC8"/>
    <w:rsid w:val="00372005"/>
    <w:rsid w:val="0037208E"/>
    <w:rsid w:val="003720F5"/>
    <w:rsid w:val="003723C9"/>
    <w:rsid w:val="003724CD"/>
    <w:rsid w:val="003724EE"/>
    <w:rsid w:val="00372504"/>
    <w:rsid w:val="003725E9"/>
    <w:rsid w:val="0037264E"/>
    <w:rsid w:val="003726F3"/>
    <w:rsid w:val="0037280E"/>
    <w:rsid w:val="0037284A"/>
    <w:rsid w:val="00372A17"/>
    <w:rsid w:val="00372BEC"/>
    <w:rsid w:val="00372CBD"/>
    <w:rsid w:val="00372D4E"/>
    <w:rsid w:val="00372E96"/>
    <w:rsid w:val="00372EA1"/>
    <w:rsid w:val="00372F33"/>
    <w:rsid w:val="00372F69"/>
    <w:rsid w:val="00373240"/>
    <w:rsid w:val="003735DF"/>
    <w:rsid w:val="003737E8"/>
    <w:rsid w:val="00373BE9"/>
    <w:rsid w:val="00373C20"/>
    <w:rsid w:val="00373DB5"/>
    <w:rsid w:val="00374051"/>
    <w:rsid w:val="003740F3"/>
    <w:rsid w:val="003740FA"/>
    <w:rsid w:val="003742C3"/>
    <w:rsid w:val="003742DD"/>
    <w:rsid w:val="00374AAB"/>
    <w:rsid w:val="00374F51"/>
    <w:rsid w:val="003751A8"/>
    <w:rsid w:val="003751DD"/>
    <w:rsid w:val="003752CA"/>
    <w:rsid w:val="0037550F"/>
    <w:rsid w:val="0037560E"/>
    <w:rsid w:val="00375928"/>
    <w:rsid w:val="00375A76"/>
    <w:rsid w:val="00375AAD"/>
    <w:rsid w:val="00375D4F"/>
    <w:rsid w:val="00376190"/>
    <w:rsid w:val="003761E6"/>
    <w:rsid w:val="003762D6"/>
    <w:rsid w:val="00376455"/>
    <w:rsid w:val="00376567"/>
    <w:rsid w:val="00376594"/>
    <w:rsid w:val="0037663C"/>
    <w:rsid w:val="003766AE"/>
    <w:rsid w:val="00376781"/>
    <w:rsid w:val="003767D6"/>
    <w:rsid w:val="00376868"/>
    <w:rsid w:val="0037695E"/>
    <w:rsid w:val="00376984"/>
    <w:rsid w:val="00376B1D"/>
    <w:rsid w:val="00376D20"/>
    <w:rsid w:val="00376F3C"/>
    <w:rsid w:val="00377071"/>
    <w:rsid w:val="0037708A"/>
    <w:rsid w:val="00377167"/>
    <w:rsid w:val="00377392"/>
    <w:rsid w:val="00377468"/>
    <w:rsid w:val="003775CA"/>
    <w:rsid w:val="003776B8"/>
    <w:rsid w:val="00377A51"/>
    <w:rsid w:val="00377C60"/>
    <w:rsid w:val="00377DCC"/>
    <w:rsid w:val="00377F2F"/>
    <w:rsid w:val="00377FFA"/>
    <w:rsid w:val="00380562"/>
    <w:rsid w:val="003805AD"/>
    <w:rsid w:val="00380601"/>
    <w:rsid w:val="003809F6"/>
    <w:rsid w:val="003813CF"/>
    <w:rsid w:val="003814D5"/>
    <w:rsid w:val="0038189A"/>
    <w:rsid w:val="00381A74"/>
    <w:rsid w:val="00381C7B"/>
    <w:rsid w:val="00381CB7"/>
    <w:rsid w:val="00381E9B"/>
    <w:rsid w:val="00382051"/>
    <w:rsid w:val="003820B7"/>
    <w:rsid w:val="003820F2"/>
    <w:rsid w:val="003821FE"/>
    <w:rsid w:val="003824F2"/>
    <w:rsid w:val="003826C2"/>
    <w:rsid w:val="0038282F"/>
    <w:rsid w:val="003828A0"/>
    <w:rsid w:val="00382ADE"/>
    <w:rsid w:val="00382D37"/>
    <w:rsid w:val="00382EAA"/>
    <w:rsid w:val="00382FB4"/>
    <w:rsid w:val="0038349B"/>
    <w:rsid w:val="00383DE8"/>
    <w:rsid w:val="00383F12"/>
    <w:rsid w:val="00384168"/>
    <w:rsid w:val="00384199"/>
    <w:rsid w:val="003841DB"/>
    <w:rsid w:val="00384510"/>
    <w:rsid w:val="00384544"/>
    <w:rsid w:val="00384665"/>
    <w:rsid w:val="00384674"/>
    <w:rsid w:val="0038478C"/>
    <w:rsid w:val="00384AD8"/>
    <w:rsid w:val="00384B89"/>
    <w:rsid w:val="00384CF8"/>
    <w:rsid w:val="00384DF3"/>
    <w:rsid w:val="0038517B"/>
    <w:rsid w:val="003851E9"/>
    <w:rsid w:val="003854B2"/>
    <w:rsid w:val="003854D2"/>
    <w:rsid w:val="003855E2"/>
    <w:rsid w:val="00385797"/>
    <w:rsid w:val="00385805"/>
    <w:rsid w:val="00385D28"/>
    <w:rsid w:val="00386230"/>
    <w:rsid w:val="00386415"/>
    <w:rsid w:val="00386657"/>
    <w:rsid w:val="00386A75"/>
    <w:rsid w:val="00386AA7"/>
    <w:rsid w:val="00386C82"/>
    <w:rsid w:val="00386E21"/>
    <w:rsid w:val="00386E4E"/>
    <w:rsid w:val="00386E7D"/>
    <w:rsid w:val="00386F09"/>
    <w:rsid w:val="003873D9"/>
    <w:rsid w:val="00387646"/>
    <w:rsid w:val="003876AD"/>
    <w:rsid w:val="00387767"/>
    <w:rsid w:val="00387813"/>
    <w:rsid w:val="003878FA"/>
    <w:rsid w:val="00387C22"/>
    <w:rsid w:val="003904B2"/>
    <w:rsid w:val="003906F1"/>
    <w:rsid w:val="00390795"/>
    <w:rsid w:val="00390830"/>
    <w:rsid w:val="00390A86"/>
    <w:rsid w:val="00390B8B"/>
    <w:rsid w:val="00391045"/>
    <w:rsid w:val="00391317"/>
    <w:rsid w:val="00391556"/>
    <w:rsid w:val="003918C1"/>
    <w:rsid w:val="00391BB0"/>
    <w:rsid w:val="00391BDD"/>
    <w:rsid w:val="00392430"/>
    <w:rsid w:val="00393014"/>
    <w:rsid w:val="0039334B"/>
    <w:rsid w:val="00393441"/>
    <w:rsid w:val="00393982"/>
    <w:rsid w:val="00393BCC"/>
    <w:rsid w:val="00393C61"/>
    <w:rsid w:val="0039412D"/>
    <w:rsid w:val="0039425B"/>
    <w:rsid w:val="0039445F"/>
    <w:rsid w:val="00394664"/>
    <w:rsid w:val="003948A1"/>
    <w:rsid w:val="003948D0"/>
    <w:rsid w:val="00394BDE"/>
    <w:rsid w:val="00394F51"/>
    <w:rsid w:val="00394F7E"/>
    <w:rsid w:val="0039535C"/>
    <w:rsid w:val="003953C7"/>
    <w:rsid w:val="0039564A"/>
    <w:rsid w:val="00395A8D"/>
    <w:rsid w:val="00395C1E"/>
    <w:rsid w:val="00395DF7"/>
    <w:rsid w:val="00395EDD"/>
    <w:rsid w:val="00395FA9"/>
    <w:rsid w:val="0039604C"/>
    <w:rsid w:val="0039613C"/>
    <w:rsid w:val="0039624D"/>
    <w:rsid w:val="003962A1"/>
    <w:rsid w:val="003967BE"/>
    <w:rsid w:val="00396967"/>
    <w:rsid w:val="00396B5A"/>
    <w:rsid w:val="00396DD2"/>
    <w:rsid w:val="00396F12"/>
    <w:rsid w:val="00396FE9"/>
    <w:rsid w:val="00397181"/>
    <w:rsid w:val="00397516"/>
    <w:rsid w:val="0039767A"/>
    <w:rsid w:val="003976FF"/>
    <w:rsid w:val="0039777F"/>
    <w:rsid w:val="00397788"/>
    <w:rsid w:val="003979ED"/>
    <w:rsid w:val="00397A96"/>
    <w:rsid w:val="00397B6B"/>
    <w:rsid w:val="00397CAC"/>
    <w:rsid w:val="00397DF9"/>
    <w:rsid w:val="00397E34"/>
    <w:rsid w:val="00397E37"/>
    <w:rsid w:val="00397EC6"/>
    <w:rsid w:val="003A025F"/>
    <w:rsid w:val="003A02E6"/>
    <w:rsid w:val="003A0656"/>
    <w:rsid w:val="003A0861"/>
    <w:rsid w:val="003A08A0"/>
    <w:rsid w:val="003A0BDC"/>
    <w:rsid w:val="003A0D71"/>
    <w:rsid w:val="003A0ED1"/>
    <w:rsid w:val="003A11DA"/>
    <w:rsid w:val="003A1294"/>
    <w:rsid w:val="003A1725"/>
    <w:rsid w:val="003A1863"/>
    <w:rsid w:val="003A195B"/>
    <w:rsid w:val="003A1EAB"/>
    <w:rsid w:val="003A21D3"/>
    <w:rsid w:val="003A230B"/>
    <w:rsid w:val="003A2466"/>
    <w:rsid w:val="003A253F"/>
    <w:rsid w:val="003A2654"/>
    <w:rsid w:val="003A2A76"/>
    <w:rsid w:val="003A2B7E"/>
    <w:rsid w:val="003A2EF6"/>
    <w:rsid w:val="003A31F2"/>
    <w:rsid w:val="003A33B2"/>
    <w:rsid w:val="003A349D"/>
    <w:rsid w:val="003A38B2"/>
    <w:rsid w:val="003A3A5C"/>
    <w:rsid w:val="003A3B0D"/>
    <w:rsid w:val="003A3B58"/>
    <w:rsid w:val="003A4502"/>
    <w:rsid w:val="003A48A2"/>
    <w:rsid w:val="003A4929"/>
    <w:rsid w:val="003A4A02"/>
    <w:rsid w:val="003A4BE4"/>
    <w:rsid w:val="003A4BFB"/>
    <w:rsid w:val="003A4E94"/>
    <w:rsid w:val="003A5019"/>
    <w:rsid w:val="003A5026"/>
    <w:rsid w:val="003A519F"/>
    <w:rsid w:val="003A51AC"/>
    <w:rsid w:val="003A5346"/>
    <w:rsid w:val="003A581F"/>
    <w:rsid w:val="003A597A"/>
    <w:rsid w:val="003A5B65"/>
    <w:rsid w:val="003A5D0C"/>
    <w:rsid w:val="003A5DFF"/>
    <w:rsid w:val="003A5FF6"/>
    <w:rsid w:val="003A605F"/>
    <w:rsid w:val="003A6356"/>
    <w:rsid w:val="003A6583"/>
    <w:rsid w:val="003A6782"/>
    <w:rsid w:val="003A67B8"/>
    <w:rsid w:val="003A6A9E"/>
    <w:rsid w:val="003A6BB2"/>
    <w:rsid w:val="003A6C04"/>
    <w:rsid w:val="003A6CCE"/>
    <w:rsid w:val="003A6D17"/>
    <w:rsid w:val="003A6D52"/>
    <w:rsid w:val="003A6D68"/>
    <w:rsid w:val="003A6DAF"/>
    <w:rsid w:val="003A6F08"/>
    <w:rsid w:val="003A7138"/>
    <w:rsid w:val="003A72C1"/>
    <w:rsid w:val="003A73B0"/>
    <w:rsid w:val="003A768F"/>
    <w:rsid w:val="003A79C7"/>
    <w:rsid w:val="003A7DF2"/>
    <w:rsid w:val="003A7EB7"/>
    <w:rsid w:val="003B0405"/>
    <w:rsid w:val="003B0526"/>
    <w:rsid w:val="003B08A1"/>
    <w:rsid w:val="003B0CBE"/>
    <w:rsid w:val="003B0D26"/>
    <w:rsid w:val="003B0EF2"/>
    <w:rsid w:val="003B10F2"/>
    <w:rsid w:val="003B11B0"/>
    <w:rsid w:val="003B1266"/>
    <w:rsid w:val="003B129C"/>
    <w:rsid w:val="003B12A4"/>
    <w:rsid w:val="003B1321"/>
    <w:rsid w:val="003B1451"/>
    <w:rsid w:val="003B1878"/>
    <w:rsid w:val="003B1B20"/>
    <w:rsid w:val="003B1B58"/>
    <w:rsid w:val="003B1BC3"/>
    <w:rsid w:val="003B20D1"/>
    <w:rsid w:val="003B2163"/>
    <w:rsid w:val="003B2210"/>
    <w:rsid w:val="003B2213"/>
    <w:rsid w:val="003B239C"/>
    <w:rsid w:val="003B2534"/>
    <w:rsid w:val="003B28DB"/>
    <w:rsid w:val="003B2972"/>
    <w:rsid w:val="003B29C7"/>
    <w:rsid w:val="003B2B37"/>
    <w:rsid w:val="003B2EA9"/>
    <w:rsid w:val="003B2EB3"/>
    <w:rsid w:val="003B2EE8"/>
    <w:rsid w:val="003B31BD"/>
    <w:rsid w:val="003B34C1"/>
    <w:rsid w:val="003B350D"/>
    <w:rsid w:val="003B36AC"/>
    <w:rsid w:val="003B37E9"/>
    <w:rsid w:val="003B3807"/>
    <w:rsid w:val="003B3F04"/>
    <w:rsid w:val="003B3FF8"/>
    <w:rsid w:val="003B40DB"/>
    <w:rsid w:val="003B42AE"/>
    <w:rsid w:val="003B4481"/>
    <w:rsid w:val="003B46F0"/>
    <w:rsid w:val="003B487A"/>
    <w:rsid w:val="003B48D0"/>
    <w:rsid w:val="003B4C72"/>
    <w:rsid w:val="003B4D9F"/>
    <w:rsid w:val="003B544F"/>
    <w:rsid w:val="003B5520"/>
    <w:rsid w:val="003B571C"/>
    <w:rsid w:val="003B5743"/>
    <w:rsid w:val="003B577B"/>
    <w:rsid w:val="003B59D7"/>
    <w:rsid w:val="003B5A51"/>
    <w:rsid w:val="003B5B74"/>
    <w:rsid w:val="003B5E1B"/>
    <w:rsid w:val="003B612F"/>
    <w:rsid w:val="003B62D4"/>
    <w:rsid w:val="003B662F"/>
    <w:rsid w:val="003B6785"/>
    <w:rsid w:val="003B6938"/>
    <w:rsid w:val="003B6B17"/>
    <w:rsid w:val="003B6B9E"/>
    <w:rsid w:val="003B6D13"/>
    <w:rsid w:val="003B6DE6"/>
    <w:rsid w:val="003B7113"/>
    <w:rsid w:val="003B71A9"/>
    <w:rsid w:val="003B73CF"/>
    <w:rsid w:val="003B77B5"/>
    <w:rsid w:val="003B7898"/>
    <w:rsid w:val="003B78E7"/>
    <w:rsid w:val="003B7D57"/>
    <w:rsid w:val="003B7DFD"/>
    <w:rsid w:val="003B7E41"/>
    <w:rsid w:val="003B7EDB"/>
    <w:rsid w:val="003C0204"/>
    <w:rsid w:val="003C052A"/>
    <w:rsid w:val="003C059B"/>
    <w:rsid w:val="003C05CA"/>
    <w:rsid w:val="003C0733"/>
    <w:rsid w:val="003C0945"/>
    <w:rsid w:val="003C0C0F"/>
    <w:rsid w:val="003C0CEE"/>
    <w:rsid w:val="003C0E4E"/>
    <w:rsid w:val="003C0FCB"/>
    <w:rsid w:val="003C100E"/>
    <w:rsid w:val="003C125E"/>
    <w:rsid w:val="003C13C6"/>
    <w:rsid w:val="003C147F"/>
    <w:rsid w:val="003C1655"/>
    <w:rsid w:val="003C1760"/>
    <w:rsid w:val="003C1789"/>
    <w:rsid w:val="003C1812"/>
    <w:rsid w:val="003C1869"/>
    <w:rsid w:val="003C1921"/>
    <w:rsid w:val="003C19AE"/>
    <w:rsid w:val="003C1A31"/>
    <w:rsid w:val="003C1B53"/>
    <w:rsid w:val="003C1DA2"/>
    <w:rsid w:val="003C1F2E"/>
    <w:rsid w:val="003C1F67"/>
    <w:rsid w:val="003C2193"/>
    <w:rsid w:val="003C258C"/>
    <w:rsid w:val="003C26C8"/>
    <w:rsid w:val="003C26CF"/>
    <w:rsid w:val="003C27FF"/>
    <w:rsid w:val="003C2A1F"/>
    <w:rsid w:val="003C2CF5"/>
    <w:rsid w:val="003C2D2F"/>
    <w:rsid w:val="003C2E03"/>
    <w:rsid w:val="003C2F13"/>
    <w:rsid w:val="003C309F"/>
    <w:rsid w:val="003C3187"/>
    <w:rsid w:val="003C31C5"/>
    <w:rsid w:val="003C31EA"/>
    <w:rsid w:val="003C3292"/>
    <w:rsid w:val="003C330B"/>
    <w:rsid w:val="003C3398"/>
    <w:rsid w:val="003C33E3"/>
    <w:rsid w:val="003C3417"/>
    <w:rsid w:val="003C344A"/>
    <w:rsid w:val="003C3526"/>
    <w:rsid w:val="003C36F1"/>
    <w:rsid w:val="003C3864"/>
    <w:rsid w:val="003C39B8"/>
    <w:rsid w:val="003C3A59"/>
    <w:rsid w:val="003C3B4C"/>
    <w:rsid w:val="003C3D1F"/>
    <w:rsid w:val="003C3D3C"/>
    <w:rsid w:val="003C3DB3"/>
    <w:rsid w:val="003C3EC7"/>
    <w:rsid w:val="003C3F9C"/>
    <w:rsid w:val="003C3FFB"/>
    <w:rsid w:val="003C401D"/>
    <w:rsid w:val="003C410A"/>
    <w:rsid w:val="003C417F"/>
    <w:rsid w:val="003C424C"/>
    <w:rsid w:val="003C45FE"/>
    <w:rsid w:val="003C472A"/>
    <w:rsid w:val="003C473F"/>
    <w:rsid w:val="003C47AD"/>
    <w:rsid w:val="003C481F"/>
    <w:rsid w:val="003C48E4"/>
    <w:rsid w:val="003C4B4A"/>
    <w:rsid w:val="003C4DCC"/>
    <w:rsid w:val="003C4EEF"/>
    <w:rsid w:val="003C5021"/>
    <w:rsid w:val="003C57B6"/>
    <w:rsid w:val="003C59FA"/>
    <w:rsid w:val="003C5A7B"/>
    <w:rsid w:val="003C5A86"/>
    <w:rsid w:val="003C5C29"/>
    <w:rsid w:val="003C5C33"/>
    <w:rsid w:val="003C5CE7"/>
    <w:rsid w:val="003C5D88"/>
    <w:rsid w:val="003C6095"/>
    <w:rsid w:val="003C60E3"/>
    <w:rsid w:val="003C63C6"/>
    <w:rsid w:val="003C67D4"/>
    <w:rsid w:val="003C69BF"/>
    <w:rsid w:val="003C6A3A"/>
    <w:rsid w:val="003C6A61"/>
    <w:rsid w:val="003C6B54"/>
    <w:rsid w:val="003C6B70"/>
    <w:rsid w:val="003C6D9F"/>
    <w:rsid w:val="003C735F"/>
    <w:rsid w:val="003C7545"/>
    <w:rsid w:val="003C760F"/>
    <w:rsid w:val="003C772C"/>
    <w:rsid w:val="003C7981"/>
    <w:rsid w:val="003C7A14"/>
    <w:rsid w:val="003C7ADF"/>
    <w:rsid w:val="003C7AF9"/>
    <w:rsid w:val="003C7B7F"/>
    <w:rsid w:val="003C7CB1"/>
    <w:rsid w:val="003C7D5E"/>
    <w:rsid w:val="003D0046"/>
    <w:rsid w:val="003D0113"/>
    <w:rsid w:val="003D01E8"/>
    <w:rsid w:val="003D04F0"/>
    <w:rsid w:val="003D095B"/>
    <w:rsid w:val="003D0A5B"/>
    <w:rsid w:val="003D0A90"/>
    <w:rsid w:val="003D0D7B"/>
    <w:rsid w:val="003D0F1A"/>
    <w:rsid w:val="003D1043"/>
    <w:rsid w:val="003D1195"/>
    <w:rsid w:val="003D134A"/>
    <w:rsid w:val="003D13BB"/>
    <w:rsid w:val="003D15FF"/>
    <w:rsid w:val="003D1619"/>
    <w:rsid w:val="003D18B5"/>
    <w:rsid w:val="003D1AB1"/>
    <w:rsid w:val="003D1E01"/>
    <w:rsid w:val="003D224F"/>
    <w:rsid w:val="003D2572"/>
    <w:rsid w:val="003D25B6"/>
    <w:rsid w:val="003D2649"/>
    <w:rsid w:val="003D2682"/>
    <w:rsid w:val="003D276A"/>
    <w:rsid w:val="003D281C"/>
    <w:rsid w:val="003D2A68"/>
    <w:rsid w:val="003D2BF8"/>
    <w:rsid w:val="003D2C81"/>
    <w:rsid w:val="003D2CDF"/>
    <w:rsid w:val="003D2CE2"/>
    <w:rsid w:val="003D309B"/>
    <w:rsid w:val="003D320E"/>
    <w:rsid w:val="003D3742"/>
    <w:rsid w:val="003D3752"/>
    <w:rsid w:val="003D3981"/>
    <w:rsid w:val="003D39CF"/>
    <w:rsid w:val="003D3B23"/>
    <w:rsid w:val="003D3C01"/>
    <w:rsid w:val="003D3C49"/>
    <w:rsid w:val="003D3CCD"/>
    <w:rsid w:val="003D3DAD"/>
    <w:rsid w:val="003D3F30"/>
    <w:rsid w:val="003D3FC6"/>
    <w:rsid w:val="003D4060"/>
    <w:rsid w:val="003D4170"/>
    <w:rsid w:val="003D438C"/>
    <w:rsid w:val="003D43D6"/>
    <w:rsid w:val="003D4420"/>
    <w:rsid w:val="003D46ED"/>
    <w:rsid w:val="003D470D"/>
    <w:rsid w:val="003D4712"/>
    <w:rsid w:val="003D4885"/>
    <w:rsid w:val="003D4896"/>
    <w:rsid w:val="003D4C70"/>
    <w:rsid w:val="003D4E1E"/>
    <w:rsid w:val="003D5225"/>
    <w:rsid w:val="003D522A"/>
    <w:rsid w:val="003D53FB"/>
    <w:rsid w:val="003D54F1"/>
    <w:rsid w:val="003D5569"/>
    <w:rsid w:val="003D5606"/>
    <w:rsid w:val="003D5797"/>
    <w:rsid w:val="003D58BD"/>
    <w:rsid w:val="003D5A29"/>
    <w:rsid w:val="003D5A89"/>
    <w:rsid w:val="003D5D42"/>
    <w:rsid w:val="003D6149"/>
    <w:rsid w:val="003D64FA"/>
    <w:rsid w:val="003D653A"/>
    <w:rsid w:val="003D6570"/>
    <w:rsid w:val="003D6624"/>
    <w:rsid w:val="003D6857"/>
    <w:rsid w:val="003D68F8"/>
    <w:rsid w:val="003D6A4A"/>
    <w:rsid w:val="003D6B4D"/>
    <w:rsid w:val="003D6C1E"/>
    <w:rsid w:val="003D6C64"/>
    <w:rsid w:val="003D6EB3"/>
    <w:rsid w:val="003D70C3"/>
    <w:rsid w:val="003D7201"/>
    <w:rsid w:val="003D7252"/>
    <w:rsid w:val="003D7394"/>
    <w:rsid w:val="003D7434"/>
    <w:rsid w:val="003D7678"/>
    <w:rsid w:val="003D772E"/>
    <w:rsid w:val="003D798A"/>
    <w:rsid w:val="003D7A4C"/>
    <w:rsid w:val="003D7B77"/>
    <w:rsid w:val="003D7C65"/>
    <w:rsid w:val="003E009C"/>
    <w:rsid w:val="003E052F"/>
    <w:rsid w:val="003E061E"/>
    <w:rsid w:val="003E0662"/>
    <w:rsid w:val="003E078E"/>
    <w:rsid w:val="003E08A6"/>
    <w:rsid w:val="003E0A4D"/>
    <w:rsid w:val="003E0CEC"/>
    <w:rsid w:val="003E0D1C"/>
    <w:rsid w:val="003E0D33"/>
    <w:rsid w:val="003E0F9A"/>
    <w:rsid w:val="003E1214"/>
    <w:rsid w:val="003E1431"/>
    <w:rsid w:val="003E167A"/>
    <w:rsid w:val="003E1832"/>
    <w:rsid w:val="003E187B"/>
    <w:rsid w:val="003E1933"/>
    <w:rsid w:val="003E1988"/>
    <w:rsid w:val="003E1A3C"/>
    <w:rsid w:val="003E1AB5"/>
    <w:rsid w:val="003E1B78"/>
    <w:rsid w:val="003E1BDF"/>
    <w:rsid w:val="003E1DEA"/>
    <w:rsid w:val="003E1FBF"/>
    <w:rsid w:val="003E23E6"/>
    <w:rsid w:val="003E2446"/>
    <w:rsid w:val="003E2479"/>
    <w:rsid w:val="003E259A"/>
    <w:rsid w:val="003E274B"/>
    <w:rsid w:val="003E2823"/>
    <w:rsid w:val="003E2CF5"/>
    <w:rsid w:val="003E30C7"/>
    <w:rsid w:val="003E3234"/>
    <w:rsid w:val="003E32B6"/>
    <w:rsid w:val="003E32BC"/>
    <w:rsid w:val="003E33F9"/>
    <w:rsid w:val="003E3610"/>
    <w:rsid w:val="003E361D"/>
    <w:rsid w:val="003E365B"/>
    <w:rsid w:val="003E37AB"/>
    <w:rsid w:val="003E37CF"/>
    <w:rsid w:val="003E38D8"/>
    <w:rsid w:val="003E38EC"/>
    <w:rsid w:val="003E39B2"/>
    <w:rsid w:val="003E3CDE"/>
    <w:rsid w:val="003E3E3D"/>
    <w:rsid w:val="003E3F33"/>
    <w:rsid w:val="003E419E"/>
    <w:rsid w:val="003E466C"/>
    <w:rsid w:val="003E46B4"/>
    <w:rsid w:val="003E4999"/>
    <w:rsid w:val="003E49C4"/>
    <w:rsid w:val="003E4A62"/>
    <w:rsid w:val="003E4AA4"/>
    <w:rsid w:val="003E4DD1"/>
    <w:rsid w:val="003E4F15"/>
    <w:rsid w:val="003E5293"/>
    <w:rsid w:val="003E52CB"/>
    <w:rsid w:val="003E531E"/>
    <w:rsid w:val="003E549D"/>
    <w:rsid w:val="003E55D9"/>
    <w:rsid w:val="003E58F4"/>
    <w:rsid w:val="003E61EB"/>
    <w:rsid w:val="003E629D"/>
    <w:rsid w:val="003E63F3"/>
    <w:rsid w:val="003E6725"/>
    <w:rsid w:val="003E6DF3"/>
    <w:rsid w:val="003E7073"/>
    <w:rsid w:val="003E748B"/>
    <w:rsid w:val="003E7A62"/>
    <w:rsid w:val="003E7C2D"/>
    <w:rsid w:val="003E7C3B"/>
    <w:rsid w:val="003E7D66"/>
    <w:rsid w:val="003E7F38"/>
    <w:rsid w:val="003F02AE"/>
    <w:rsid w:val="003F0482"/>
    <w:rsid w:val="003F049A"/>
    <w:rsid w:val="003F04D1"/>
    <w:rsid w:val="003F065F"/>
    <w:rsid w:val="003F074C"/>
    <w:rsid w:val="003F0811"/>
    <w:rsid w:val="003F098A"/>
    <w:rsid w:val="003F0BF2"/>
    <w:rsid w:val="003F0C94"/>
    <w:rsid w:val="003F0FA7"/>
    <w:rsid w:val="003F1247"/>
    <w:rsid w:val="003F1436"/>
    <w:rsid w:val="003F16C5"/>
    <w:rsid w:val="003F17DE"/>
    <w:rsid w:val="003F1AFD"/>
    <w:rsid w:val="003F1D7D"/>
    <w:rsid w:val="003F1DC8"/>
    <w:rsid w:val="003F212D"/>
    <w:rsid w:val="003F21E0"/>
    <w:rsid w:val="003F22E5"/>
    <w:rsid w:val="003F236D"/>
    <w:rsid w:val="003F2796"/>
    <w:rsid w:val="003F27DA"/>
    <w:rsid w:val="003F29B0"/>
    <w:rsid w:val="003F2A7B"/>
    <w:rsid w:val="003F2B0A"/>
    <w:rsid w:val="003F2E34"/>
    <w:rsid w:val="003F2EC9"/>
    <w:rsid w:val="003F322B"/>
    <w:rsid w:val="003F3296"/>
    <w:rsid w:val="003F32FC"/>
    <w:rsid w:val="003F34C8"/>
    <w:rsid w:val="003F35C1"/>
    <w:rsid w:val="003F387C"/>
    <w:rsid w:val="003F3ABB"/>
    <w:rsid w:val="003F3BD9"/>
    <w:rsid w:val="003F3E13"/>
    <w:rsid w:val="003F3E77"/>
    <w:rsid w:val="003F4227"/>
    <w:rsid w:val="003F428D"/>
    <w:rsid w:val="003F4603"/>
    <w:rsid w:val="003F467C"/>
    <w:rsid w:val="003F47A7"/>
    <w:rsid w:val="003F47A9"/>
    <w:rsid w:val="003F47DB"/>
    <w:rsid w:val="003F48AF"/>
    <w:rsid w:val="003F4943"/>
    <w:rsid w:val="003F4DE7"/>
    <w:rsid w:val="003F4E61"/>
    <w:rsid w:val="003F4EB9"/>
    <w:rsid w:val="003F4F21"/>
    <w:rsid w:val="003F4FC4"/>
    <w:rsid w:val="003F515D"/>
    <w:rsid w:val="003F5257"/>
    <w:rsid w:val="003F53F4"/>
    <w:rsid w:val="003F54A7"/>
    <w:rsid w:val="003F54E9"/>
    <w:rsid w:val="003F5622"/>
    <w:rsid w:val="003F5668"/>
    <w:rsid w:val="003F5A76"/>
    <w:rsid w:val="003F5B23"/>
    <w:rsid w:val="003F5B99"/>
    <w:rsid w:val="003F607D"/>
    <w:rsid w:val="003F613A"/>
    <w:rsid w:val="003F613F"/>
    <w:rsid w:val="003F61DA"/>
    <w:rsid w:val="003F6497"/>
    <w:rsid w:val="003F6550"/>
    <w:rsid w:val="003F6651"/>
    <w:rsid w:val="003F68FC"/>
    <w:rsid w:val="003F697B"/>
    <w:rsid w:val="003F6BE0"/>
    <w:rsid w:val="003F6CE7"/>
    <w:rsid w:val="003F6DED"/>
    <w:rsid w:val="003F6E41"/>
    <w:rsid w:val="003F6E75"/>
    <w:rsid w:val="003F6E98"/>
    <w:rsid w:val="003F6F68"/>
    <w:rsid w:val="003F70EF"/>
    <w:rsid w:val="003F7251"/>
    <w:rsid w:val="003F73FD"/>
    <w:rsid w:val="003F7C26"/>
    <w:rsid w:val="003F7C71"/>
    <w:rsid w:val="004000A9"/>
    <w:rsid w:val="004001B0"/>
    <w:rsid w:val="0040046E"/>
    <w:rsid w:val="004004B0"/>
    <w:rsid w:val="004006FB"/>
    <w:rsid w:val="00400865"/>
    <w:rsid w:val="004008A5"/>
    <w:rsid w:val="004009CC"/>
    <w:rsid w:val="004009DF"/>
    <w:rsid w:val="00400AC9"/>
    <w:rsid w:val="00400CA0"/>
    <w:rsid w:val="00401016"/>
    <w:rsid w:val="004012C8"/>
    <w:rsid w:val="0040142C"/>
    <w:rsid w:val="004015EB"/>
    <w:rsid w:val="004017C4"/>
    <w:rsid w:val="0040196E"/>
    <w:rsid w:val="004019A8"/>
    <w:rsid w:val="00401E62"/>
    <w:rsid w:val="00401F5B"/>
    <w:rsid w:val="00402257"/>
    <w:rsid w:val="0040242D"/>
    <w:rsid w:val="0040273F"/>
    <w:rsid w:val="0040293E"/>
    <w:rsid w:val="004029AD"/>
    <w:rsid w:val="00402ABB"/>
    <w:rsid w:val="00402BC2"/>
    <w:rsid w:val="00402C13"/>
    <w:rsid w:val="00402C73"/>
    <w:rsid w:val="00402D12"/>
    <w:rsid w:val="00402D75"/>
    <w:rsid w:val="00402E83"/>
    <w:rsid w:val="00402FB5"/>
    <w:rsid w:val="004030B8"/>
    <w:rsid w:val="0040323D"/>
    <w:rsid w:val="00403267"/>
    <w:rsid w:val="00403342"/>
    <w:rsid w:val="00403562"/>
    <w:rsid w:val="00403568"/>
    <w:rsid w:val="00403586"/>
    <w:rsid w:val="004036A5"/>
    <w:rsid w:val="004036CC"/>
    <w:rsid w:val="00403821"/>
    <w:rsid w:val="00403849"/>
    <w:rsid w:val="00403881"/>
    <w:rsid w:val="004038A9"/>
    <w:rsid w:val="00403AF1"/>
    <w:rsid w:val="00403E39"/>
    <w:rsid w:val="00403F2D"/>
    <w:rsid w:val="00404026"/>
    <w:rsid w:val="0040409B"/>
    <w:rsid w:val="004041D2"/>
    <w:rsid w:val="00404289"/>
    <w:rsid w:val="00404533"/>
    <w:rsid w:val="004049B1"/>
    <w:rsid w:val="00404A64"/>
    <w:rsid w:val="00404B4B"/>
    <w:rsid w:val="00404FFD"/>
    <w:rsid w:val="00405026"/>
    <w:rsid w:val="0040516C"/>
    <w:rsid w:val="00405397"/>
    <w:rsid w:val="004053C0"/>
    <w:rsid w:val="00405441"/>
    <w:rsid w:val="004054B7"/>
    <w:rsid w:val="004057CA"/>
    <w:rsid w:val="00405B9B"/>
    <w:rsid w:val="00405BD6"/>
    <w:rsid w:val="00405D22"/>
    <w:rsid w:val="00405D27"/>
    <w:rsid w:val="00405E75"/>
    <w:rsid w:val="00405EE8"/>
    <w:rsid w:val="00406138"/>
    <w:rsid w:val="0040619B"/>
    <w:rsid w:val="004063F1"/>
    <w:rsid w:val="00406409"/>
    <w:rsid w:val="004069B1"/>
    <w:rsid w:val="00406B1A"/>
    <w:rsid w:val="00406DDC"/>
    <w:rsid w:val="0040706A"/>
    <w:rsid w:val="004070A3"/>
    <w:rsid w:val="004072D6"/>
    <w:rsid w:val="0040743D"/>
    <w:rsid w:val="00407799"/>
    <w:rsid w:val="00407F54"/>
    <w:rsid w:val="00407F75"/>
    <w:rsid w:val="004100CC"/>
    <w:rsid w:val="004102CD"/>
    <w:rsid w:val="00410404"/>
    <w:rsid w:val="004107EE"/>
    <w:rsid w:val="004109F4"/>
    <w:rsid w:val="00410AA8"/>
    <w:rsid w:val="00410D34"/>
    <w:rsid w:val="00410DF1"/>
    <w:rsid w:val="00410E18"/>
    <w:rsid w:val="00410EFC"/>
    <w:rsid w:val="00411374"/>
    <w:rsid w:val="004113DC"/>
    <w:rsid w:val="0041158F"/>
    <w:rsid w:val="0041161F"/>
    <w:rsid w:val="00411701"/>
    <w:rsid w:val="004119BB"/>
    <w:rsid w:val="00411ADF"/>
    <w:rsid w:val="00411BDC"/>
    <w:rsid w:val="00411CFF"/>
    <w:rsid w:val="00411E5C"/>
    <w:rsid w:val="00411EEC"/>
    <w:rsid w:val="00411F83"/>
    <w:rsid w:val="00411FA9"/>
    <w:rsid w:val="00412138"/>
    <w:rsid w:val="00412199"/>
    <w:rsid w:val="004121F1"/>
    <w:rsid w:val="0041255F"/>
    <w:rsid w:val="004125A4"/>
    <w:rsid w:val="00412656"/>
    <w:rsid w:val="004128AD"/>
    <w:rsid w:val="00412931"/>
    <w:rsid w:val="00412A49"/>
    <w:rsid w:val="00412CF3"/>
    <w:rsid w:val="0041306D"/>
    <w:rsid w:val="00413205"/>
    <w:rsid w:val="0041333E"/>
    <w:rsid w:val="00413858"/>
    <w:rsid w:val="00413A4A"/>
    <w:rsid w:val="00413E11"/>
    <w:rsid w:val="00413E13"/>
    <w:rsid w:val="00413F3F"/>
    <w:rsid w:val="0041413F"/>
    <w:rsid w:val="004142EB"/>
    <w:rsid w:val="004145DD"/>
    <w:rsid w:val="00414C9F"/>
    <w:rsid w:val="00414FE6"/>
    <w:rsid w:val="00415034"/>
    <w:rsid w:val="004151B2"/>
    <w:rsid w:val="00415218"/>
    <w:rsid w:val="004154A7"/>
    <w:rsid w:val="00415646"/>
    <w:rsid w:val="004156A8"/>
    <w:rsid w:val="00415ACB"/>
    <w:rsid w:val="00415ACC"/>
    <w:rsid w:val="00415CB3"/>
    <w:rsid w:val="00415D60"/>
    <w:rsid w:val="00415D90"/>
    <w:rsid w:val="00415DA2"/>
    <w:rsid w:val="00416056"/>
    <w:rsid w:val="00416061"/>
    <w:rsid w:val="00416081"/>
    <w:rsid w:val="004160B0"/>
    <w:rsid w:val="00416322"/>
    <w:rsid w:val="004164BF"/>
    <w:rsid w:val="00416603"/>
    <w:rsid w:val="004166B1"/>
    <w:rsid w:val="0041670A"/>
    <w:rsid w:val="00416A17"/>
    <w:rsid w:val="00416ACE"/>
    <w:rsid w:val="00416B22"/>
    <w:rsid w:val="00416CB3"/>
    <w:rsid w:val="00416D09"/>
    <w:rsid w:val="00416F0B"/>
    <w:rsid w:val="00417103"/>
    <w:rsid w:val="00417514"/>
    <w:rsid w:val="0041780E"/>
    <w:rsid w:val="00417A69"/>
    <w:rsid w:val="00417A8F"/>
    <w:rsid w:val="00417ABB"/>
    <w:rsid w:val="00417D2A"/>
    <w:rsid w:val="00417E27"/>
    <w:rsid w:val="00417FB6"/>
    <w:rsid w:val="0042039C"/>
    <w:rsid w:val="00420482"/>
    <w:rsid w:val="00420699"/>
    <w:rsid w:val="00420778"/>
    <w:rsid w:val="004207EE"/>
    <w:rsid w:val="004208C9"/>
    <w:rsid w:val="004209A6"/>
    <w:rsid w:val="00420D8E"/>
    <w:rsid w:val="004212D6"/>
    <w:rsid w:val="00421470"/>
    <w:rsid w:val="0042152F"/>
    <w:rsid w:val="004216D6"/>
    <w:rsid w:val="00421803"/>
    <w:rsid w:val="00421811"/>
    <w:rsid w:val="004219A0"/>
    <w:rsid w:val="00421FF7"/>
    <w:rsid w:val="0042225B"/>
    <w:rsid w:val="0042227F"/>
    <w:rsid w:val="004224EE"/>
    <w:rsid w:val="004226CC"/>
    <w:rsid w:val="00422749"/>
    <w:rsid w:val="0042277A"/>
    <w:rsid w:val="0042277C"/>
    <w:rsid w:val="00422970"/>
    <w:rsid w:val="00422B69"/>
    <w:rsid w:val="00422B75"/>
    <w:rsid w:val="00422C85"/>
    <w:rsid w:val="00422F9B"/>
    <w:rsid w:val="00423222"/>
    <w:rsid w:val="0042373D"/>
    <w:rsid w:val="00423B3D"/>
    <w:rsid w:val="00423DAA"/>
    <w:rsid w:val="00423F45"/>
    <w:rsid w:val="004242B3"/>
    <w:rsid w:val="004248A6"/>
    <w:rsid w:val="00424E24"/>
    <w:rsid w:val="004252DE"/>
    <w:rsid w:val="004252E0"/>
    <w:rsid w:val="00425508"/>
    <w:rsid w:val="004255F7"/>
    <w:rsid w:val="00425A19"/>
    <w:rsid w:val="00425AD3"/>
    <w:rsid w:val="00425BAC"/>
    <w:rsid w:val="00425F00"/>
    <w:rsid w:val="004267C1"/>
    <w:rsid w:val="00426857"/>
    <w:rsid w:val="00426890"/>
    <w:rsid w:val="00426AB4"/>
    <w:rsid w:val="00426E77"/>
    <w:rsid w:val="0042709D"/>
    <w:rsid w:val="0042717E"/>
    <w:rsid w:val="004272EE"/>
    <w:rsid w:val="004273E7"/>
    <w:rsid w:val="004275B6"/>
    <w:rsid w:val="004276DF"/>
    <w:rsid w:val="00427762"/>
    <w:rsid w:val="00427C66"/>
    <w:rsid w:val="00427D63"/>
    <w:rsid w:val="00430163"/>
    <w:rsid w:val="00430479"/>
    <w:rsid w:val="00430480"/>
    <w:rsid w:val="004304EF"/>
    <w:rsid w:val="00430619"/>
    <w:rsid w:val="0043072A"/>
    <w:rsid w:val="00430888"/>
    <w:rsid w:val="0043089A"/>
    <w:rsid w:val="00430A48"/>
    <w:rsid w:val="00430B56"/>
    <w:rsid w:val="00430C09"/>
    <w:rsid w:val="00430CC9"/>
    <w:rsid w:val="00430F95"/>
    <w:rsid w:val="00431021"/>
    <w:rsid w:val="0043114E"/>
    <w:rsid w:val="0043119C"/>
    <w:rsid w:val="00431255"/>
    <w:rsid w:val="004312B8"/>
    <w:rsid w:val="00431441"/>
    <w:rsid w:val="00431668"/>
    <w:rsid w:val="00431949"/>
    <w:rsid w:val="0043197E"/>
    <w:rsid w:val="00431A83"/>
    <w:rsid w:val="00431D5B"/>
    <w:rsid w:val="00431F73"/>
    <w:rsid w:val="00432002"/>
    <w:rsid w:val="00432102"/>
    <w:rsid w:val="0043219E"/>
    <w:rsid w:val="004321FA"/>
    <w:rsid w:val="0043222F"/>
    <w:rsid w:val="00432385"/>
    <w:rsid w:val="004323E9"/>
    <w:rsid w:val="004325DF"/>
    <w:rsid w:val="00432693"/>
    <w:rsid w:val="00432694"/>
    <w:rsid w:val="004326C7"/>
    <w:rsid w:val="004327AB"/>
    <w:rsid w:val="004327EE"/>
    <w:rsid w:val="00432B75"/>
    <w:rsid w:val="00432E06"/>
    <w:rsid w:val="00432E0A"/>
    <w:rsid w:val="00432EB6"/>
    <w:rsid w:val="0043303D"/>
    <w:rsid w:val="0043305B"/>
    <w:rsid w:val="0043320A"/>
    <w:rsid w:val="00433245"/>
    <w:rsid w:val="004334CB"/>
    <w:rsid w:val="00433645"/>
    <w:rsid w:val="00433B1C"/>
    <w:rsid w:val="00433B28"/>
    <w:rsid w:val="00433D36"/>
    <w:rsid w:val="00433F06"/>
    <w:rsid w:val="0043413C"/>
    <w:rsid w:val="004341F5"/>
    <w:rsid w:val="00434252"/>
    <w:rsid w:val="0043453F"/>
    <w:rsid w:val="00434976"/>
    <w:rsid w:val="00434B17"/>
    <w:rsid w:val="00434B82"/>
    <w:rsid w:val="00434BD9"/>
    <w:rsid w:val="00434CA4"/>
    <w:rsid w:val="00434E5C"/>
    <w:rsid w:val="00434F7E"/>
    <w:rsid w:val="00434FD5"/>
    <w:rsid w:val="0043523D"/>
    <w:rsid w:val="004352E0"/>
    <w:rsid w:val="0043567E"/>
    <w:rsid w:val="00435A15"/>
    <w:rsid w:val="00435AA3"/>
    <w:rsid w:val="00435C6A"/>
    <w:rsid w:val="00435D29"/>
    <w:rsid w:val="00435DA6"/>
    <w:rsid w:val="00435DDF"/>
    <w:rsid w:val="00435F09"/>
    <w:rsid w:val="00435FF2"/>
    <w:rsid w:val="004360E0"/>
    <w:rsid w:val="004365B3"/>
    <w:rsid w:val="004365B6"/>
    <w:rsid w:val="00436745"/>
    <w:rsid w:val="00436A87"/>
    <w:rsid w:val="00436F8A"/>
    <w:rsid w:val="00437001"/>
    <w:rsid w:val="00437272"/>
    <w:rsid w:val="004374D7"/>
    <w:rsid w:val="00437661"/>
    <w:rsid w:val="0043768E"/>
    <w:rsid w:val="00437904"/>
    <w:rsid w:val="00437A29"/>
    <w:rsid w:val="00437B68"/>
    <w:rsid w:val="00437B6C"/>
    <w:rsid w:val="00437C8C"/>
    <w:rsid w:val="00437D30"/>
    <w:rsid w:val="00437E0F"/>
    <w:rsid w:val="00437F0C"/>
    <w:rsid w:val="00437F71"/>
    <w:rsid w:val="00440154"/>
    <w:rsid w:val="004401AC"/>
    <w:rsid w:val="00440462"/>
    <w:rsid w:val="0044046A"/>
    <w:rsid w:val="00440515"/>
    <w:rsid w:val="00440630"/>
    <w:rsid w:val="00440A4D"/>
    <w:rsid w:val="00440D6E"/>
    <w:rsid w:val="00440E9E"/>
    <w:rsid w:val="004410AC"/>
    <w:rsid w:val="00441337"/>
    <w:rsid w:val="00441397"/>
    <w:rsid w:val="004414B5"/>
    <w:rsid w:val="00441684"/>
    <w:rsid w:val="004416CF"/>
    <w:rsid w:val="004419B2"/>
    <w:rsid w:val="00441A67"/>
    <w:rsid w:val="00442321"/>
    <w:rsid w:val="00442492"/>
    <w:rsid w:val="00442548"/>
    <w:rsid w:val="004425BF"/>
    <w:rsid w:val="004426CB"/>
    <w:rsid w:val="004427D0"/>
    <w:rsid w:val="00442A77"/>
    <w:rsid w:val="00442FC0"/>
    <w:rsid w:val="0044308B"/>
    <w:rsid w:val="004430CC"/>
    <w:rsid w:val="00443389"/>
    <w:rsid w:val="004433BB"/>
    <w:rsid w:val="00443475"/>
    <w:rsid w:val="00443786"/>
    <w:rsid w:val="00443797"/>
    <w:rsid w:val="004437CB"/>
    <w:rsid w:val="004438A3"/>
    <w:rsid w:val="004439F6"/>
    <w:rsid w:val="00443A8E"/>
    <w:rsid w:val="00443C21"/>
    <w:rsid w:val="00443C4C"/>
    <w:rsid w:val="00443C6F"/>
    <w:rsid w:val="00443E87"/>
    <w:rsid w:val="00443F76"/>
    <w:rsid w:val="00444075"/>
    <w:rsid w:val="00444386"/>
    <w:rsid w:val="00444497"/>
    <w:rsid w:val="004445B1"/>
    <w:rsid w:val="00444796"/>
    <w:rsid w:val="00444E12"/>
    <w:rsid w:val="00444FA9"/>
    <w:rsid w:val="004451BD"/>
    <w:rsid w:val="0044527C"/>
    <w:rsid w:val="004452F4"/>
    <w:rsid w:val="004452F7"/>
    <w:rsid w:val="00445500"/>
    <w:rsid w:val="00445505"/>
    <w:rsid w:val="004455C7"/>
    <w:rsid w:val="00445605"/>
    <w:rsid w:val="004459AB"/>
    <w:rsid w:val="00445AE7"/>
    <w:rsid w:val="00445C74"/>
    <w:rsid w:val="004464B4"/>
    <w:rsid w:val="004464CD"/>
    <w:rsid w:val="004465BA"/>
    <w:rsid w:val="00446678"/>
    <w:rsid w:val="004466C6"/>
    <w:rsid w:val="00446765"/>
    <w:rsid w:val="00446786"/>
    <w:rsid w:val="004467C6"/>
    <w:rsid w:val="004467E2"/>
    <w:rsid w:val="004467F7"/>
    <w:rsid w:val="0044694B"/>
    <w:rsid w:val="004469BB"/>
    <w:rsid w:val="00446A70"/>
    <w:rsid w:val="00446FF7"/>
    <w:rsid w:val="00447022"/>
    <w:rsid w:val="00447033"/>
    <w:rsid w:val="004470B0"/>
    <w:rsid w:val="0044711E"/>
    <w:rsid w:val="00447613"/>
    <w:rsid w:val="004476B2"/>
    <w:rsid w:val="00447830"/>
    <w:rsid w:val="004479A2"/>
    <w:rsid w:val="00447ACE"/>
    <w:rsid w:val="00447B49"/>
    <w:rsid w:val="00447B78"/>
    <w:rsid w:val="00447D37"/>
    <w:rsid w:val="00447D5F"/>
    <w:rsid w:val="0045002E"/>
    <w:rsid w:val="00450068"/>
    <w:rsid w:val="004502E8"/>
    <w:rsid w:val="00450391"/>
    <w:rsid w:val="00450505"/>
    <w:rsid w:val="004507CA"/>
    <w:rsid w:val="00450829"/>
    <w:rsid w:val="00450B0F"/>
    <w:rsid w:val="00450B20"/>
    <w:rsid w:val="00450C84"/>
    <w:rsid w:val="00450CD6"/>
    <w:rsid w:val="00450D88"/>
    <w:rsid w:val="00450E3F"/>
    <w:rsid w:val="00450FB7"/>
    <w:rsid w:val="0045126E"/>
    <w:rsid w:val="00451723"/>
    <w:rsid w:val="004518F3"/>
    <w:rsid w:val="00451A08"/>
    <w:rsid w:val="00451C8E"/>
    <w:rsid w:val="00451FF3"/>
    <w:rsid w:val="0045206A"/>
    <w:rsid w:val="00452129"/>
    <w:rsid w:val="004521A1"/>
    <w:rsid w:val="00452263"/>
    <w:rsid w:val="00452355"/>
    <w:rsid w:val="004529B6"/>
    <w:rsid w:val="00452AD4"/>
    <w:rsid w:val="00452CF4"/>
    <w:rsid w:val="00452DA7"/>
    <w:rsid w:val="0045309A"/>
    <w:rsid w:val="004530EF"/>
    <w:rsid w:val="004531FD"/>
    <w:rsid w:val="0045350E"/>
    <w:rsid w:val="004536A1"/>
    <w:rsid w:val="004539D0"/>
    <w:rsid w:val="00453B68"/>
    <w:rsid w:val="00453B74"/>
    <w:rsid w:val="00453C48"/>
    <w:rsid w:val="00453CE9"/>
    <w:rsid w:val="00453DA7"/>
    <w:rsid w:val="00453E7D"/>
    <w:rsid w:val="004540E5"/>
    <w:rsid w:val="004541EF"/>
    <w:rsid w:val="00454373"/>
    <w:rsid w:val="004543CC"/>
    <w:rsid w:val="0045454A"/>
    <w:rsid w:val="004546C6"/>
    <w:rsid w:val="0045473E"/>
    <w:rsid w:val="00454852"/>
    <w:rsid w:val="00454A64"/>
    <w:rsid w:val="00454AE8"/>
    <w:rsid w:val="00454D49"/>
    <w:rsid w:val="00454DBA"/>
    <w:rsid w:val="00454E25"/>
    <w:rsid w:val="00454ED1"/>
    <w:rsid w:val="004550EB"/>
    <w:rsid w:val="00455208"/>
    <w:rsid w:val="0045557C"/>
    <w:rsid w:val="004555E5"/>
    <w:rsid w:val="00455692"/>
    <w:rsid w:val="00455BEE"/>
    <w:rsid w:val="00455F95"/>
    <w:rsid w:val="00455FB6"/>
    <w:rsid w:val="0045600F"/>
    <w:rsid w:val="0045608B"/>
    <w:rsid w:val="004566FD"/>
    <w:rsid w:val="00456A17"/>
    <w:rsid w:val="00456DF2"/>
    <w:rsid w:val="00456FA8"/>
    <w:rsid w:val="0045763E"/>
    <w:rsid w:val="004577D8"/>
    <w:rsid w:val="00457B51"/>
    <w:rsid w:val="00457BBD"/>
    <w:rsid w:val="00457BFE"/>
    <w:rsid w:val="00457C01"/>
    <w:rsid w:val="00457C02"/>
    <w:rsid w:val="00457D92"/>
    <w:rsid w:val="00460119"/>
    <w:rsid w:val="00460276"/>
    <w:rsid w:val="0046028E"/>
    <w:rsid w:val="00460555"/>
    <w:rsid w:val="0046057B"/>
    <w:rsid w:val="00460807"/>
    <w:rsid w:val="00460886"/>
    <w:rsid w:val="00460923"/>
    <w:rsid w:val="00460C1B"/>
    <w:rsid w:val="00460C39"/>
    <w:rsid w:val="00460EF5"/>
    <w:rsid w:val="00460FBC"/>
    <w:rsid w:val="00461304"/>
    <w:rsid w:val="004613B2"/>
    <w:rsid w:val="0046197A"/>
    <w:rsid w:val="00461A50"/>
    <w:rsid w:val="00461E2C"/>
    <w:rsid w:val="004621F2"/>
    <w:rsid w:val="00462272"/>
    <w:rsid w:val="00462783"/>
    <w:rsid w:val="004627F2"/>
    <w:rsid w:val="00462A1A"/>
    <w:rsid w:val="00462B67"/>
    <w:rsid w:val="00462B7C"/>
    <w:rsid w:val="00462F33"/>
    <w:rsid w:val="00463053"/>
    <w:rsid w:val="004631EA"/>
    <w:rsid w:val="00463642"/>
    <w:rsid w:val="0046364A"/>
    <w:rsid w:val="004636D8"/>
    <w:rsid w:val="00463774"/>
    <w:rsid w:val="00463ACF"/>
    <w:rsid w:val="00463E59"/>
    <w:rsid w:val="00463FBD"/>
    <w:rsid w:val="00463FC4"/>
    <w:rsid w:val="00464298"/>
    <w:rsid w:val="00464404"/>
    <w:rsid w:val="00464459"/>
    <w:rsid w:val="00464535"/>
    <w:rsid w:val="00464BAE"/>
    <w:rsid w:val="00464CFA"/>
    <w:rsid w:val="004651C9"/>
    <w:rsid w:val="00465378"/>
    <w:rsid w:val="004654B0"/>
    <w:rsid w:val="0046551D"/>
    <w:rsid w:val="00465548"/>
    <w:rsid w:val="004657F6"/>
    <w:rsid w:val="00465883"/>
    <w:rsid w:val="00465912"/>
    <w:rsid w:val="004659A5"/>
    <w:rsid w:val="00465CEA"/>
    <w:rsid w:val="00465E54"/>
    <w:rsid w:val="00465F6B"/>
    <w:rsid w:val="00465F98"/>
    <w:rsid w:val="004660D7"/>
    <w:rsid w:val="0046675F"/>
    <w:rsid w:val="00466787"/>
    <w:rsid w:val="004667D1"/>
    <w:rsid w:val="004667D6"/>
    <w:rsid w:val="00466917"/>
    <w:rsid w:val="00466B62"/>
    <w:rsid w:val="00466D14"/>
    <w:rsid w:val="00466F11"/>
    <w:rsid w:val="00466FA8"/>
    <w:rsid w:val="00467099"/>
    <w:rsid w:val="004671B9"/>
    <w:rsid w:val="004673D5"/>
    <w:rsid w:val="00467585"/>
    <w:rsid w:val="0046767D"/>
    <w:rsid w:val="00467835"/>
    <w:rsid w:val="00467976"/>
    <w:rsid w:val="0046799E"/>
    <w:rsid w:val="00467A8E"/>
    <w:rsid w:val="00467AB5"/>
    <w:rsid w:val="00467B37"/>
    <w:rsid w:val="00467B86"/>
    <w:rsid w:val="00467F62"/>
    <w:rsid w:val="00470038"/>
    <w:rsid w:val="004701C2"/>
    <w:rsid w:val="0047056C"/>
    <w:rsid w:val="004705C9"/>
    <w:rsid w:val="0047094E"/>
    <w:rsid w:val="004709E7"/>
    <w:rsid w:val="00470C96"/>
    <w:rsid w:val="00470E09"/>
    <w:rsid w:val="00470F88"/>
    <w:rsid w:val="00471029"/>
    <w:rsid w:val="00471307"/>
    <w:rsid w:val="00471489"/>
    <w:rsid w:val="00471554"/>
    <w:rsid w:val="004716E2"/>
    <w:rsid w:val="00471826"/>
    <w:rsid w:val="00471A25"/>
    <w:rsid w:val="00471BCA"/>
    <w:rsid w:val="00471CB9"/>
    <w:rsid w:val="00471D77"/>
    <w:rsid w:val="00471E18"/>
    <w:rsid w:val="00471E36"/>
    <w:rsid w:val="00472046"/>
    <w:rsid w:val="0047204B"/>
    <w:rsid w:val="004721A7"/>
    <w:rsid w:val="0047228F"/>
    <w:rsid w:val="00472334"/>
    <w:rsid w:val="00472364"/>
    <w:rsid w:val="00472475"/>
    <w:rsid w:val="00472513"/>
    <w:rsid w:val="00472590"/>
    <w:rsid w:val="004725FC"/>
    <w:rsid w:val="00472832"/>
    <w:rsid w:val="00472A61"/>
    <w:rsid w:val="00472AE6"/>
    <w:rsid w:val="00472B11"/>
    <w:rsid w:val="00472C42"/>
    <w:rsid w:val="00472C99"/>
    <w:rsid w:val="00472E2A"/>
    <w:rsid w:val="00472EC3"/>
    <w:rsid w:val="004730F3"/>
    <w:rsid w:val="0047353C"/>
    <w:rsid w:val="00473563"/>
    <w:rsid w:val="004736EF"/>
    <w:rsid w:val="004738B4"/>
    <w:rsid w:val="00473A21"/>
    <w:rsid w:val="00473A73"/>
    <w:rsid w:val="00473EA1"/>
    <w:rsid w:val="00473F21"/>
    <w:rsid w:val="00473F9B"/>
    <w:rsid w:val="00474052"/>
    <w:rsid w:val="0047420B"/>
    <w:rsid w:val="004742D2"/>
    <w:rsid w:val="00474354"/>
    <w:rsid w:val="0047437B"/>
    <w:rsid w:val="0047474B"/>
    <w:rsid w:val="0047488E"/>
    <w:rsid w:val="00474953"/>
    <w:rsid w:val="00474D01"/>
    <w:rsid w:val="00474D3C"/>
    <w:rsid w:val="00474F7C"/>
    <w:rsid w:val="0047535A"/>
    <w:rsid w:val="00475485"/>
    <w:rsid w:val="004756C8"/>
    <w:rsid w:val="004756D9"/>
    <w:rsid w:val="0047596C"/>
    <w:rsid w:val="0047597B"/>
    <w:rsid w:val="0047599D"/>
    <w:rsid w:val="00475E0F"/>
    <w:rsid w:val="004762EF"/>
    <w:rsid w:val="00476427"/>
    <w:rsid w:val="00476777"/>
    <w:rsid w:val="00476983"/>
    <w:rsid w:val="00476CEF"/>
    <w:rsid w:val="00476E7A"/>
    <w:rsid w:val="00476FAD"/>
    <w:rsid w:val="0047708E"/>
    <w:rsid w:val="00477097"/>
    <w:rsid w:val="004772D2"/>
    <w:rsid w:val="0047731F"/>
    <w:rsid w:val="0047741E"/>
    <w:rsid w:val="004774D3"/>
    <w:rsid w:val="00477606"/>
    <w:rsid w:val="004777DE"/>
    <w:rsid w:val="004778BB"/>
    <w:rsid w:val="00477A15"/>
    <w:rsid w:val="00477ECF"/>
    <w:rsid w:val="00480055"/>
    <w:rsid w:val="004801B8"/>
    <w:rsid w:val="004801F9"/>
    <w:rsid w:val="00480328"/>
    <w:rsid w:val="00480342"/>
    <w:rsid w:val="004804BB"/>
    <w:rsid w:val="00480780"/>
    <w:rsid w:val="0048079E"/>
    <w:rsid w:val="0048081B"/>
    <w:rsid w:val="004808CE"/>
    <w:rsid w:val="00480A23"/>
    <w:rsid w:val="00480C1C"/>
    <w:rsid w:val="00480C3D"/>
    <w:rsid w:val="00481017"/>
    <w:rsid w:val="004811C4"/>
    <w:rsid w:val="0048173A"/>
    <w:rsid w:val="004817BE"/>
    <w:rsid w:val="00481B72"/>
    <w:rsid w:val="00481F37"/>
    <w:rsid w:val="00481F54"/>
    <w:rsid w:val="004821F1"/>
    <w:rsid w:val="00482282"/>
    <w:rsid w:val="00482703"/>
    <w:rsid w:val="0048287B"/>
    <w:rsid w:val="00482BA5"/>
    <w:rsid w:val="00482E1B"/>
    <w:rsid w:val="00483008"/>
    <w:rsid w:val="00483340"/>
    <w:rsid w:val="004836E6"/>
    <w:rsid w:val="0048370D"/>
    <w:rsid w:val="004839D7"/>
    <w:rsid w:val="00483A16"/>
    <w:rsid w:val="00483BCA"/>
    <w:rsid w:val="00483C8C"/>
    <w:rsid w:val="00483D73"/>
    <w:rsid w:val="00483D74"/>
    <w:rsid w:val="00483F8A"/>
    <w:rsid w:val="00483FD2"/>
    <w:rsid w:val="00483FF9"/>
    <w:rsid w:val="004842E6"/>
    <w:rsid w:val="0048434F"/>
    <w:rsid w:val="004844DD"/>
    <w:rsid w:val="00484595"/>
    <w:rsid w:val="0048473A"/>
    <w:rsid w:val="004847E8"/>
    <w:rsid w:val="004849B6"/>
    <w:rsid w:val="00484AAA"/>
    <w:rsid w:val="00484C79"/>
    <w:rsid w:val="00484DAD"/>
    <w:rsid w:val="00484F11"/>
    <w:rsid w:val="004851A7"/>
    <w:rsid w:val="00485342"/>
    <w:rsid w:val="00485364"/>
    <w:rsid w:val="0048549D"/>
    <w:rsid w:val="004854B3"/>
    <w:rsid w:val="004854E8"/>
    <w:rsid w:val="004856F1"/>
    <w:rsid w:val="004857A2"/>
    <w:rsid w:val="004858A1"/>
    <w:rsid w:val="004858F4"/>
    <w:rsid w:val="0048590E"/>
    <w:rsid w:val="00485961"/>
    <w:rsid w:val="00485987"/>
    <w:rsid w:val="00485A89"/>
    <w:rsid w:val="00485AFA"/>
    <w:rsid w:val="004862FF"/>
    <w:rsid w:val="004863FA"/>
    <w:rsid w:val="00486450"/>
    <w:rsid w:val="0048665B"/>
    <w:rsid w:val="004866B2"/>
    <w:rsid w:val="004866F2"/>
    <w:rsid w:val="00486813"/>
    <w:rsid w:val="0048696D"/>
    <w:rsid w:val="00486C32"/>
    <w:rsid w:val="00486FBA"/>
    <w:rsid w:val="0048747E"/>
    <w:rsid w:val="0048751E"/>
    <w:rsid w:val="00487527"/>
    <w:rsid w:val="004879F2"/>
    <w:rsid w:val="00487C11"/>
    <w:rsid w:val="00487DEF"/>
    <w:rsid w:val="00487DFE"/>
    <w:rsid w:val="00487E59"/>
    <w:rsid w:val="00487ED1"/>
    <w:rsid w:val="00490544"/>
    <w:rsid w:val="00490603"/>
    <w:rsid w:val="004907A5"/>
    <w:rsid w:val="004909E7"/>
    <w:rsid w:val="00490C11"/>
    <w:rsid w:val="00490C51"/>
    <w:rsid w:val="00490E45"/>
    <w:rsid w:val="00490EE6"/>
    <w:rsid w:val="00491089"/>
    <w:rsid w:val="0049125E"/>
    <w:rsid w:val="0049133F"/>
    <w:rsid w:val="00491435"/>
    <w:rsid w:val="004916B2"/>
    <w:rsid w:val="004919F1"/>
    <w:rsid w:val="00491E25"/>
    <w:rsid w:val="00491EB9"/>
    <w:rsid w:val="004921A8"/>
    <w:rsid w:val="00492270"/>
    <w:rsid w:val="00492419"/>
    <w:rsid w:val="004924AA"/>
    <w:rsid w:val="00492513"/>
    <w:rsid w:val="00492518"/>
    <w:rsid w:val="0049268E"/>
    <w:rsid w:val="004926D2"/>
    <w:rsid w:val="004929A4"/>
    <w:rsid w:val="00492F16"/>
    <w:rsid w:val="00493023"/>
    <w:rsid w:val="00493456"/>
    <w:rsid w:val="004935DE"/>
    <w:rsid w:val="00493723"/>
    <w:rsid w:val="0049385A"/>
    <w:rsid w:val="00493947"/>
    <w:rsid w:val="00493D37"/>
    <w:rsid w:val="00493EC2"/>
    <w:rsid w:val="0049407F"/>
    <w:rsid w:val="00494181"/>
    <w:rsid w:val="0049433B"/>
    <w:rsid w:val="00494348"/>
    <w:rsid w:val="00494603"/>
    <w:rsid w:val="0049466C"/>
    <w:rsid w:val="00494886"/>
    <w:rsid w:val="00494935"/>
    <w:rsid w:val="00494AB9"/>
    <w:rsid w:val="00494C70"/>
    <w:rsid w:val="00494DC3"/>
    <w:rsid w:val="00494E54"/>
    <w:rsid w:val="0049552B"/>
    <w:rsid w:val="00495845"/>
    <w:rsid w:val="0049599B"/>
    <w:rsid w:val="0049599D"/>
    <w:rsid w:val="004959F9"/>
    <w:rsid w:val="00495C7E"/>
    <w:rsid w:val="00495CB6"/>
    <w:rsid w:val="00495FA0"/>
    <w:rsid w:val="00495FE0"/>
    <w:rsid w:val="0049607F"/>
    <w:rsid w:val="004961F0"/>
    <w:rsid w:val="004963D0"/>
    <w:rsid w:val="00496459"/>
    <w:rsid w:val="004964F6"/>
    <w:rsid w:val="00496557"/>
    <w:rsid w:val="00496BE9"/>
    <w:rsid w:val="00496D11"/>
    <w:rsid w:val="00496D46"/>
    <w:rsid w:val="00496EB8"/>
    <w:rsid w:val="00496F81"/>
    <w:rsid w:val="004972C9"/>
    <w:rsid w:val="0049756E"/>
    <w:rsid w:val="004976DB"/>
    <w:rsid w:val="004976E9"/>
    <w:rsid w:val="0049782E"/>
    <w:rsid w:val="00497C5C"/>
    <w:rsid w:val="00497EAD"/>
    <w:rsid w:val="00497F8F"/>
    <w:rsid w:val="004A00CD"/>
    <w:rsid w:val="004A015E"/>
    <w:rsid w:val="004A0249"/>
    <w:rsid w:val="004A02AE"/>
    <w:rsid w:val="004A0331"/>
    <w:rsid w:val="004A0571"/>
    <w:rsid w:val="004A094C"/>
    <w:rsid w:val="004A0C45"/>
    <w:rsid w:val="004A1131"/>
    <w:rsid w:val="004A12CE"/>
    <w:rsid w:val="004A1320"/>
    <w:rsid w:val="004A14F3"/>
    <w:rsid w:val="004A15EB"/>
    <w:rsid w:val="004A16C6"/>
    <w:rsid w:val="004A18E9"/>
    <w:rsid w:val="004A1CC4"/>
    <w:rsid w:val="004A1D1B"/>
    <w:rsid w:val="004A1EAC"/>
    <w:rsid w:val="004A1ECB"/>
    <w:rsid w:val="004A1F8A"/>
    <w:rsid w:val="004A2074"/>
    <w:rsid w:val="004A20D2"/>
    <w:rsid w:val="004A245C"/>
    <w:rsid w:val="004A24FC"/>
    <w:rsid w:val="004A2706"/>
    <w:rsid w:val="004A2812"/>
    <w:rsid w:val="004A2B07"/>
    <w:rsid w:val="004A2BA4"/>
    <w:rsid w:val="004A2C13"/>
    <w:rsid w:val="004A2D01"/>
    <w:rsid w:val="004A2D0C"/>
    <w:rsid w:val="004A2E86"/>
    <w:rsid w:val="004A3464"/>
    <w:rsid w:val="004A34E6"/>
    <w:rsid w:val="004A35AE"/>
    <w:rsid w:val="004A35DA"/>
    <w:rsid w:val="004A375F"/>
    <w:rsid w:val="004A376D"/>
    <w:rsid w:val="004A39D9"/>
    <w:rsid w:val="004A3B48"/>
    <w:rsid w:val="004A3B80"/>
    <w:rsid w:val="004A3C20"/>
    <w:rsid w:val="004A4077"/>
    <w:rsid w:val="004A409A"/>
    <w:rsid w:val="004A40D8"/>
    <w:rsid w:val="004A4216"/>
    <w:rsid w:val="004A4217"/>
    <w:rsid w:val="004A42BB"/>
    <w:rsid w:val="004A44DB"/>
    <w:rsid w:val="004A463E"/>
    <w:rsid w:val="004A47BF"/>
    <w:rsid w:val="004A496A"/>
    <w:rsid w:val="004A4AD5"/>
    <w:rsid w:val="004A4BED"/>
    <w:rsid w:val="004A4D13"/>
    <w:rsid w:val="004A4D24"/>
    <w:rsid w:val="004A4D92"/>
    <w:rsid w:val="004A4F64"/>
    <w:rsid w:val="004A501E"/>
    <w:rsid w:val="004A51A3"/>
    <w:rsid w:val="004A5223"/>
    <w:rsid w:val="004A5228"/>
    <w:rsid w:val="004A5276"/>
    <w:rsid w:val="004A54F4"/>
    <w:rsid w:val="004A55AF"/>
    <w:rsid w:val="004A55CC"/>
    <w:rsid w:val="004A581F"/>
    <w:rsid w:val="004A5AEA"/>
    <w:rsid w:val="004A5C0B"/>
    <w:rsid w:val="004A5C4E"/>
    <w:rsid w:val="004A5DE2"/>
    <w:rsid w:val="004A5EA8"/>
    <w:rsid w:val="004A5FCC"/>
    <w:rsid w:val="004A61C8"/>
    <w:rsid w:val="004A6432"/>
    <w:rsid w:val="004A68D0"/>
    <w:rsid w:val="004A6BEF"/>
    <w:rsid w:val="004A6C3B"/>
    <w:rsid w:val="004A6EBE"/>
    <w:rsid w:val="004A6FB0"/>
    <w:rsid w:val="004A6FF4"/>
    <w:rsid w:val="004A70FE"/>
    <w:rsid w:val="004A7153"/>
    <w:rsid w:val="004A7679"/>
    <w:rsid w:val="004A7693"/>
    <w:rsid w:val="004A7726"/>
    <w:rsid w:val="004A7732"/>
    <w:rsid w:val="004A7786"/>
    <w:rsid w:val="004A77BB"/>
    <w:rsid w:val="004A790F"/>
    <w:rsid w:val="004A7918"/>
    <w:rsid w:val="004A793A"/>
    <w:rsid w:val="004A7BB2"/>
    <w:rsid w:val="004A7C5A"/>
    <w:rsid w:val="004A7D46"/>
    <w:rsid w:val="004A7D69"/>
    <w:rsid w:val="004A7DDB"/>
    <w:rsid w:val="004B00B3"/>
    <w:rsid w:val="004B00F0"/>
    <w:rsid w:val="004B045B"/>
    <w:rsid w:val="004B0574"/>
    <w:rsid w:val="004B062C"/>
    <w:rsid w:val="004B085C"/>
    <w:rsid w:val="004B0B92"/>
    <w:rsid w:val="004B0BBC"/>
    <w:rsid w:val="004B0D46"/>
    <w:rsid w:val="004B0DDE"/>
    <w:rsid w:val="004B0F3C"/>
    <w:rsid w:val="004B149E"/>
    <w:rsid w:val="004B169E"/>
    <w:rsid w:val="004B1708"/>
    <w:rsid w:val="004B1754"/>
    <w:rsid w:val="004B1CCC"/>
    <w:rsid w:val="004B1D17"/>
    <w:rsid w:val="004B1DD7"/>
    <w:rsid w:val="004B1DEE"/>
    <w:rsid w:val="004B21A8"/>
    <w:rsid w:val="004B21C2"/>
    <w:rsid w:val="004B23BE"/>
    <w:rsid w:val="004B24FA"/>
    <w:rsid w:val="004B2554"/>
    <w:rsid w:val="004B279E"/>
    <w:rsid w:val="004B293F"/>
    <w:rsid w:val="004B2CB2"/>
    <w:rsid w:val="004B2CB5"/>
    <w:rsid w:val="004B2F36"/>
    <w:rsid w:val="004B2FB4"/>
    <w:rsid w:val="004B3021"/>
    <w:rsid w:val="004B3198"/>
    <w:rsid w:val="004B321D"/>
    <w:rsid w:val="004B34BE"/>
    <w:rsid w:val="004B3618"/>
    <w:rsid w:val="004B3855"/>
    <w:rsid w:val="004B3871"/>
    <w:rsid w:val="004B395D"/>
    <w:rsid w:val="004B3C95"/>
    <w:rsid w:val="004B3D54"/>
    <w:rsid w:val="004B3DD6"/>
    <w:rsid w:val="004B3E37"/>
    <w:rsid w:val="004B3F96"/>
    <w:rsid w:val="004B4167"/>
    <w:rsid w:val="004B42C0"/>
    <w:rsid w:val="004B45EC"/>
    <w:rsid w:val="004B4782"/>
    <w:rsid w:val="004B4B52"/>
    <w:rsid w:val="004B4C15"/>
    <w:rsid w:val="004B4DCD"/>
    <w:rsid w:val="004B5821"/>
    <w:rsid w:val="004B5823"/>
    <w:rsid w:val="004B5A36"/>
    <w:rsid w:val="004B5A7A"/>
    <w:rsid w:val="004B5CC8"/>
    <w:rsid w:val="004B609E"/>
    <w:rsid w:val="004B610A"/>
    <w:rsid w:val="004B6149"/>
    <w:rsid w:val="004B65C7"/>
    <w:rsid w:val="004B65EE"/>
    <w:rsid w:val="004B683C"/>
    <w:rsid w:val="004B6C3E"/>
    <w:rsid w:val="004B6CAE"/>
    <w:rsid w:val="004B6D3A"/>
    <w:rsid w:val="004B6E09"/>
    <w:rsid w:val="004B6FE2"/>
    <w:rsid w:val="004B70D1"/>
    <w:rsid w:val="004B71BA"/>
    <w:rsid w:val="004B72FA"/>
    <w:rsid w:val="004B7306"/>
    <w:rsid w:val="004B73DC"/>
    <w:rsid w:val="004B749A"/>
    <w:rsid w:val="004B74A8"/>
    <w:rsid w:val="004B74F3"/>
    <w:rsid w:val="004B7782"/>
    <w:rsid w:val="004B778A"/>
    <w:rsid w:val="004B78C7"/>
    <w:rsid w:val="004B799A"/>
    <w:rsid w:val="004B7A01"/>
    <w:rsid w:val="004B7C1E"/>
    <w:rsid w:val="004B7C2A"/>
    <w:rsid w:val="004B7CA1"/>
    <w:rsid w:val="004C00BB"/>
    <w:rsid w:val="004C01DC"/>
    <w:rsid w:val="004C043D"/>
    <w:rsid w:val="004C05A4"/>
    <w:rsid w:val="004C0678"/>
    <w:rsid w:val="004C07D8"/>
    <w:rsid w:val="004C0854"/>
    <w:rsid w:val="004C094B"/>
    <w:rsid w:val="004C09C5"/>
    <w:rsid w:val="004C11D0"/>
    <w:rsid w:val="004C127A"/>
    <w:rsid w:val="004C140E"/>
    <w:rsid w:val="004C1460"/>
    <w:rsid w:val="004C16E0"/>
    <w:rsid w:val="004C1ACB"/>
    <w:rsid w:val="004C1C4F"/>
    <w:rsid w:val="004C1E21"/>
    <w:rsid w:val="004C2234"/>
    <w:rsid w:val="004C237D"/>
    <w:rsid w:val="004C23AB"/>
    <w:rsid w:val="004C23B0"/>
    <w:rsid w:val="004C24E1"/>
    <w:rsid w:val="004C2610"/>
    <w:rsid w:val="004C27F4"/>
    <w:rsid w:val="004C2998"/>
    <w:rsid w:val="004C2AD8"/>
    <w:rsid w:val="004C3116"/>
    <w:rsid w:val="004C32A5"/>
    <w:rsid w:val="004C3471"/>
    <w:rsid w:val="004C3676"/>
    <w:rsid w:val="004C37D1"/>
    <w:rsid w:val="004C3A82"/>
    <w:rsid w:val="004C3B88"/>
    <w:rsid w:val="004C3BBB"/>
    <w:rsid w:val="004C3C3A"/>
    <w:rsid w:val="004C3D2F"/>
    <w:rsid w:val="004C3EAF"/>
    <w:rsid w:val="004C410B"/>
    <w:rsid w:val="004C41FE"/>
    <w:rsid w:val="004C433C"/>
    <w:rsid w:val="004C4343"/>
    <w:rsid w:val="004C43A7"/>
    <w:rsid w:val="004C4617"/>
    <w:rsid w:val="004C46E1"/>
    <w:rsid w:val="004C4968"/>
    <w:rsid w:val="004C4A22"/>
    <w:rsid w:val="004C4D14"/>
    <w:rsid w:val="004C4F09"/>
    <w:rsid w:val="004C4F2C"/>
    <w:rsid w:val="004C50C6"/>
    <w:rsid w:val="004C54DA"/>
    <w:rsid w:val="004C5544"/>
    <w:rsid w:val="004C5654"/>
    <w:rsid w:val="004C566D"/>
    <w:rsid w:val="004C599A"/>
    <w:rsid w:val="004C59D2"/>
    <w:rsid w:val="004C5A60"/>
    <w:rsid w:val="004C5B1D"/>
    <w:rsid w:val="004C5D21"/>
    <w:rsid w:val="004C5DBA"/>
    <w:rsid w:val="004C5EB0"/>
    <w:rsid w:val="004C61EC"/>
    <w:rsid w:val="004C62B2"/>
    <w:rsid w:val="004C62B9"/>
    <w:rsid w:val="004C6337"/>
    <w:rsid w:val="004C63D8"/>
    <w:rsid w:val="004C65D5"/>
    <w:rsid w:val="004C67E6"/>
    <w:rsid w:val="004C68B8"/>
    <w:rsid w:val="004C6B6F"/>
    <w:rsid w:val="004C6DC2"/>
    <w:rsid w:val="004C702B"/>
    <w:rsid w:val="004C70DD"/>
    <w:rsid w:val="004C72FD"/>
    <w:rsid w:val="004C75B8"/>
    <w:rsid w:val="004C7648"/>
    <w:rsid w:val="004C7755"/>
    <w:rsid w:val="004C77D4"/>
    <w:rsid w:val="004C7917"/>
    <w:rsid w:val="004C7977"/>
    <w:rsid w:val="004C7F79"/>
    <w:rsid w:val="004D0268"/>
    <w:rsid w:val="004D02CC"/>
    <w:rsid w:val="004D0411"/>
    <w:rsid w:val="004D04B2"/>
    <w:rsid w:val="004D0586"/>
    <w:rsid w:val="004D0EBA"/>
    <w:rsid w:val="004D0F30"/>
    <w:rsid w:val="004D1180"/>
    <w:rsid w:val="004D1285"/>
    <w:rsid w:val="004D12B5"/>
    <w:rsid w:val="004D1333"/>
    <w:rsid w:val="004D1395"/>
    <w:rsid w:val="004D13D0"/>
    <w:rsid w:val="004D13D7"/>
    <w:rsid w:val="004D13DA"/>
    <w:rsid w:val="004D16E5"/>
    <w:rsid w:val="004D172A"/>
    <w:rsid w:val="004D17B9"/>
    <w:rsid w:val="004D18E5"/>
    <w:rsid w:val="004D1A41"/>
    <w:rsid w:val="004D1B8B"/>
    <w:rsid w:val="004D1BFE"/>
    <w:rsid w:val="004D1CCE"/>
    <w:rsid w:val="004D1DE0"/>
    <w:rsid w:val="004D202D"/>
    <w:rsid w:val="004D231B"/>
    <w:rsid w:val="004D2340"/>
    <w:rsid w:val="004D23F1"/>
    <w:rsid w:val="004D26A6"/>
    <w:rsid w:val="004D27A9"/>
    <w:rsid w:val="004D2846"/>
    <w:rsid w:val="004D29B2"/>
    <w:rsid w:val="004D2CF8"/>
    <w:rsid w:val="004D2FF0"/>
    <w:rsid w:val="004D304E"/>
    <w:rsid w:val="004D307F"/>
    <w:rsid w:val="004D3180"/>
    <w:rsid w:val="004D323E"/>
    <w:rsid w:val="004D32FB"/>
    <w:rsid w:val="004D35C5"/>
    <w:rsid w:val="004D38C8"/>
    <w:rsid w:val="004D3A9A"/>
    <w:rsid w:val="004D3AB0"/>
    <w:rsid w:val="004D3D09"/>
    <w:rsid w:val="004D3F16"/>
    <w:rsid w:val="004D3F1B"/>
    <w:rsid w:val="004D3FC3"/>
    <w:rsid w:val="004D4171"/>
    <w:rsid w:val="004D4172"/>
    <w:rsid w:val="004D4628"/>
    <w:rsid w:val="004D46B0"/>
    <w:rsid w:val="004D46C1"/>
    <w:rsid w:val="004D4A80"/>
    <w:rsid w:val="004D4CE4"/>
    <w:rsid w:val="004D4DA2"/>
    <w:rsid w:val="004D4DFC"/>
    <w:rsid w:val="004D5073"/>
    <w:rsid w:val="004D510B"/>
    <w:rsid w:val="004D5119"/>
    <w:rsid w:val="004D55A9"/>
    <w:rsid w:val="004D5667"/>
    <w:rsid w:val="004D56D1"/>
    <w:rsid w:val="004D57CB"/>
    <w:rsid w:val="004D5A8F"/>
    <w:rsid w:val="004D5A9A"/>
    <w:rsid w:val="004D5C1E"/>
    <w:rsid w:val="004D5D35"/>
    <w:rsid w:val="004D5ECA"/>
    <w:rsid w:val="004D5F12"/>
    <w:rsid w:val="004D5FD0"/>
    <w:rsid w:val="004D6182"/>
    <w:rsid w:val="004D620F"/>
    <w:rsid w:val="004D624F"/>
    <w:rsid w:val="004D62E3"/>
    <w:rsid w:val="004D64EA"/>
    <w:rsid w:val="004D6565"/>
    <w:rsid w:val="004D65B0"/>
    <w:rsid w:val="004D66C0"/>
    <w:rsid w:val="004D67A0"/>
    <w:rsid w:val="004D6C48"/>
    <w:rsid w:val="004D71CD"/>
    <w:rsid w:val="004D72FC"/>
    <w:rsid w:val="004D78F3"/>
    <w:rsid w:val="004D7A55"/>
    <w:rsid w:val="004D7D32"/>
    <w:rsid w:val="004D7DBC"/>
    <w:rsid w:val="004D7F1C"/>
    <w:rsid w:val="004D7FA0"/>
    <w:rsid w:val="004E052B"/>
    <w:rsid w:val="004E0531"/>
    <w:rsid w:val="004E05E6"/>
    <w:rsid w:val="004E098C"/>
    <w:rsid w:val="004E0AB8"/>
    <w:rsid w:val="004E0DB8"/>
    <w:rsid w:val="004E0DF4"/>
    <w:rsid w:val="004E0DFE"/>
    <w:rsid w:val="004E0E29"/>
    <w:rsid w:val="004E0EF0"/>
    <w:rsid w:val="004E1A61"/>
    <w:rsid w:val="004E1C09"/>
    <w:rsid w:val="004E22FF"/>
    <w:rsid w:val="004E2955"/>
    <w:rsid w:val="004E2AB7"/>
    <w:rsid w:val="004E2BAF"/>
    <w:rsid w:val="004E2BD4"/>
    <w:rsid w:val="004E2C5E"/>
    <w:rsid w:val="004E2EAB"/>
    <w:rsid w:val="004E2F43"/>
    <w:rsid w:val="004E3296"/>
    <w:rsid w:val="004E32A6"/>
    <w:rsid w:val="004E3302"/>
    <w:rsid w:val="004E333D"/>
    <w:rsid w:val="004E34A3"/>
    <w:rsid w:val="004E3548"/>
    <w:rsid w:val="004E355B"/>
    <w:rsid w:val="004E3618"/>
    <w:rsid w:val="004E3827"/>
    <w:rsid w:val="004E38CF"/>
    <w:rsid w:val="004E3A44"/>
    <w:rsid w:val="004E3A99"/>
    <w:rsid w:val="004E3D19"/>
    <w:rsid w:val="004E41B7"/>
    <w:rsid w:val="004E42B3"/>
    <w:rsid w:val="004E4302"/>
    <w:rsid w:val="004E454A"/>
    <w:rsid w:val="004E4756"/>
    <w:rsid w:val="004E47F7"/>
    <w:rsid w:val="004E48CE"/>
    <w:rsid w:val="004E4DA2"/>
    <w:rsid w:val="004E4F37"/>
    <w:rsid w:val="004E4FF4"/>
    <w:rsid w:val="004E5052"/>
    <w:rsid w:val="004E50E7"/>
    <w:rsid w:val="004E564A"/>
    <w:rsid w:val="004E5886"/>
    <w:rsid w:val="004E5901"/>
    <w:rsid w:val="004E595E"/>
    <w:rsid w:val="004E5985"/>
    <w:rsid w:val="004E5A5A"/>
    <w:rsid w:val="004E5C99"/>
    <w:rsid w:val="004E5E41"/>
    <w:rsid w:val="004E5ED8"/>
    <w:rsid w:val="004E6135"/>
    <w:rsid w:val="004E61A3"/>
    <w:rsid w:val="004E61A7"/>
    <w:rsid w:val="004E67AD"/>
    <w:rsid w:val="004E6882"/>
    <w:rsid w:val="004E68AD"/>
    <w:rsid w:val="004E6A04"/>
    <w:rsid w:val="004E6AEE"/>
    <w:rsid w:val="004E6BB0"/>
    <w:rsid w:val="004E6BD5"/>
    <w:rsid w:val="004E6BDB"/>
    <w:rsid w:val="004E6BF0"/>
    <w:rsid w:val="004E6F19"/>
    <w:rsid w:val="004E6F5B"/>
    <w:rsid w:val="004E71F9"/>
    <w:rsid w:val="004E731F"/>
    <w:rsid w:val="004E732D"/>
    <w:rsid w:val="004E74F8"/>
    <w:rsid w:val="004E7737"/>
    <w:rsid w:val="004E7959"/>
    <w:rsid w:val="004E7B11"/>
    <w:rsid w:val="004E7E8F"/>
    <w:rsid w:val="004E7F6E"/>
    <w:rsid w:val="004F02F7"/>
    <w:rsid w:val="004F03FD"/>
    <w:rsid w:val="004F0925"/>
    <w:rsid w:val="004F0E19"/>
    <w:rsid w:val="004F0E6C"/>
    <w:rsid w:val="004F0EE5"/>
    <w:rsid w:val="004F1113"/>
    <w:rsid w:val="004F111C"/>
    <w:rsid w:val="004F1154"/>
    <w:rsid w:val="004F11D2"/>
    <w:rsid w:val="004F137E"/>
    <w:rsid w:val="004F13CB"/>
    <w:rsid w:val="004F152D"/>
    <w:rsid w:val="004F176D"/>
    <w:rsid w:val="004F1B16"/>
    <w:rsid w:val="004F1B80"/>
    <w:rsid w:val="004F1C2B"/>
    <w:rsid w:val="004F1DEB"/>
    <w:rsid w:val="004F1E97"/>
    <w:rsid w:val="004F1FA3"/>
    <w:rsid w:val="004F2173"/>
    <w:rsid w:val="004F2182"/>
    <w:rsid w:val="004F21A8"/>
    <w:rsid w:val="004F21DA"/>
    <w:rsid w:val="004F23AC"/>
    <w:rsid w:val="004F26B4"/>
    <w:rsid w:val="004F2A3B"/>
    <w:rsid w:val="004F2A6A"/>
    <w:rsid w:val="004F2C25"/>
    <w:rsid w:val="004F2FEF"/>
    <w:rsid w:val="004F3051"/>
    <w:rsid w:val="004F31CD"/>
    <w:rsid w:val="004F330B"/>
    <w:rsid w:val="004F3840"/>
    <w:rsid w:val="004F38DB"/>
    <w:rsid w:val="004F3A29"/>
    <w:rsid w:val="004F3D07"/>
    <w:rsid w:val="004F3D4B"/>
    <w:rsid w:val="004F3E6D"/>
    <w:rsid w:val="004F3F89"/>
    <w:rsid w:val="004F405A"/>
    <w:rsid w:val="004F41C1"/>
    <w:rsid w:val="004F4260"/>
    <w:rsid w:val="004F426C"/>
    <w:rsid w:val="004F4278"/>
    <w:rsid w:val="004F43FB"/>
    <w:rsid w:val="004F4475"/>
    <w:rsid w:val="004F4477"/>
    <w:rsid w:val="004F4575"/>
    <w:rsid w:val="004F4705"/>
    <w:rsid w:val="004F4A19"/>
    <w:rsid w:val="004F4ABA"/>
    <w:rsid w:val="004F4C14"/>
    <w:rsid w:val="004F4ED6"/>
    <w:rsid w:val="004F4F07"/>
    <w:rsid w:val="004F4F88"/>
    <w:rsid w:val="004F500A"/>
    <w:rsid w:val="004F50D8"/>
    <w:rsid w:val="004F5426"/>
    <w:rsid w:val="004F5445"/>
    <w:rsid w:val="004F567B"/>
    <w:rsid w:val="004F582A"/>
    <w:rsid w:val="004F6171"/>
    <w:rsid w:val="004F62E6"/>
    <w:rsid w:val="004F62EE"/>
    <w:rsid w:val="004F630C"/>
    <w:rsid w:val="004F6322"/>
    <w:rsid w:val="004F63A3"/>
    <w:rsid w:val="004F6554"/>
    <w:rsid w:val="004F6808"/>
    <w:rsid w:val="004F6A75"/>
    <w:rsid w:val="004F6AFD"/>
    <w:rsid w:val="004F6CB3"/>
    <w:rsid w:val="004F6CE3"/>
    <w:rsid w:val="004F72D0"/>
    <w:rsid w:val="004F7502"/>
    <w:rsid w:val="004F755E"/>
    <w:rsid w:val="004F7629"/>
    <w:rsid w:val="004F7688"/>
    <w:rsid w:val="004F773B"/>
    <w:rsid w:val="004F79CE"/>
    <w:rsid w:val="004F7B76"/>
    <w:rsid w:val="004F7CC9"/>
    <w:rsid w:val="004F7DA1"/>
    <w:rsid w:val="004F7FE3"/>
    <w:rsid w:val="0050010C"/>
    <w:rsid w:val="0050029A"/>
    <w:rsid w:val="0050037D"/>
    <w:rsid w:val="00500497"/>
    <w:rsid w:val="00500542"/>
    <w:rsid w:val="005005B6"/>
    <w:rsid w:val="00500604"/>
    <w:rsid w:val="0050060F"/>
    <w:rsid w:val="005007FF"/>
    <w:rsid w:val="005008AD"/>
    <w:rsid w:val="00500B45"/>
    <w:rsid w:val="00500BDA"/>
    <w:rsid w:val="00500D4D"/>
    <w:rsid w:val="00500DB1"/>
    <w:rsid w:val="00500ECB"/>
    <w:rsid w:val="00500F81"/>
    <w:rsid w:val="0050122A"/>
    <w:rsid w:val="00501331"/>
    <w:rsid w:val="00501778"/>
    <w:rsid w:val="00501923"/>
    <w:rsid w:val="00501997"/>
    <w:rsid w:val="005019FB"/>
    <w:rsid w:val="00501A89"/>
    <w:rsid w:val="00501A99"/>
    <w:rsid w:val="00501C9F"/>
    <w:rsid w:val="00501CF4"/>
    <w:rsid w:val="00501D13"/>
    <w:rsid w:val="00501FC1"/>
    <w:rsid w:val="005021F0"/>
    <w:rsid w:val="005022E5"/>
    <w:rsid w:val="00502739"/>
    <w:rsid w:val="005028E5"/>
    <w:rsid w:val="00502A9B"/>
    <w:rsid w:val="00502BAD"/>
    <w:rsid w:val="00502BCF"/>
    <w:rsid w:val="00502D57"/>
    <w:rsid w:val="00502E46"/>
    <w:rsid w:val="005030B5"/>
    <w:rsid w:val="005034A2"/>
    <w:rsid w:val="005036F9"/>
    <w:rsid w:val="0050396F"/>
    <w:rsid w:val="00503C9A"/>
    <w:rsid w:val="00503D3C"/>
    <w:rsid w:val="00503D52"/>
    <w:rsid w:val="00503F11"/>
    <w:rsid w:val="00504102"/>
    <w:rsid w:val="005041AF"/>
    <w:rsid w:val="005041DC"/>
    <w:rsid w:val="005041FF"/>
    <w:rsid w:val="00504276"/>
    <w:rsid w:val="005044D3"/>
    <w:rsid w:val="005046BE"/>
    <w:rsid w:val="00504774"/>
    <w:rsid w:val="00504830"/>
    <w:rsid w:val="00504864"/>
    <w:rsid w:val="005048E0"/>
    <w:rsid w:val="00504A09"/>
    <w:rsid w:val="00504A54"/>
    <w:rsid w:val="00504E71"/>
    <w:rsid w:val="00504E94"/>
    <w:rsid w:val="00505025"/>
    <w:rsid w:val="00505035"/>
    <w:rsid w:val="0050509D"/>
    <w:rsid w:val="005051DA"/>
    <w:rsid w:val="00505286"/>
    <w:rsid w:val="00505379"/>
    <w:rsid w:val="00505591"/>
    <w:rsid w:val="00505654"/>
    <w:rsid w:val="005058C1"/>
    <w:rsid w:val="005058D7"/>
    <w:rsid w:val="005058DC"/>
    <w:rsid w:val="00505927"/>
    <w:rsid w:val="00505A63"/>
    <w:rsid w:val="00505B31"/>
    <w:rsid w:val="005060ED"/>
    <w:rsid w:val="00506124"/>
    <w:rsid w:val="00506298"/>
    <w:rsid w:val="005062E4"/>
    <w:rsid w:val="00506337"/>
    <w:rsid w:val="0050654F"/>
    <w:rsid w:val="0050656B"/>
    <w:rsid w:val="0050679A"/>
    <w:rsid w:val="00506ADC"/>
    <w:rsid w:val="00506E22"/>
    <w:rsid w:val="00506FA4"/>
    <w:rsid w:val="00507018"/>
    <w:rsid w:val="00507020"/>
    <w:rsid w:val="005070C6"/>
    <w:rsid w:val="005071F1"/>
    <w:rsid w:val="00507237"/>
    <w:rsid w:val="00507671"/>
    <w:rsid w:val="005077F6"/>
    <w:rsid w:val="00507989"/>
    <w:rsid w:val="0050798F"/>
    <w:rsid w:val="00507CE7"/>
    <w:rsid w:val="00507E3D"/>
    <w:rsid w:val="00507EB6"/>
    <w:rsid w:val="0051011A"/>
    <w:rsid w:val="00510185"/>
    <w:rsid w:val="0051046B"/>
    <w:rsid w:val="005105EF"/>
    <w:rsid w:val="00510803"/>
    <w:rsid w:val="0051082F"/>
    <w:rsid w:val="00510905"/>
    <w:rsid w:val="00510B16"/>
    <w:rsid w:val="00510BA8"/>
    <w:rsid w:val="00510E3B"/>
    <w:rsid w:val="00510EE8"/>
    <w:rsid w:val="00510F2F"/>
    <w:rsid w:val="00510FC1"/>
    <w:rsid w:val="005111C5"/>
    <w:rsid w:val="00511283"/>
    <w:rsid w:val="005113F3"/>
    <w:rsid w:val="00511640"/>
    <w:rsid w:val="005116C7"/>
    <w:rsid w:val="005116EE"/>
    <w:rsid w:val="005117E7"/>
    <w:rsid w:val="00511981"/>
    <w:rsid w:val="00511A9B"/>
    <w:rsid w:val="00511B3A"/>
    <w:rsid w:val="00511D61"/>
    <w:rsid w:val="00511F02"/>
    <w:rsid w:val="0051299E"/>
    <w:rsid w:val="00512A59"/>
    <w:rsid w:val="00512AF2"/>
    <w:rsid w:val="00512B82"/>
    <w:rsid w:val="00512BBC"/>
    <w:rsid w:val="00512EC3"/>
    <w:rsid w:val="0051315B"/>
    <w:rsid w:val="00513167"/>
    <w:rsid w:val="0051320C"/>
    <w:rsid w:val="0051323F"/>
    <w:rsid w:val="005133D5"/>
    <w:rsid w:val="005135B8"/>
    <w:rsid w:val="00513719"/>
    <w:rsid w:val="005138EC"/>
    <w:rsid w:val="005139AC"/>
    <w:rsid w:val="00513D05"/>
    <w:rsid w:val="00513D9F"/>
    <w:rsid w:val="00513F6C"/>
    <w:rsid w:val="00513FBB"/>
    <w:rsid w:val="00514315"/>
    <w:rsid w:val="005143E0"/>
    <w:rsid w:val="0051458E"/>
    <w:rsid w:val="005145BD"/>
    <w:rsid w:val="0051477E"/>
    <w:rsid w:val="005147D6"/>
    <w:rsid w:val="005149C4"/>
    <w:rsid w:val="00514A1C"/>
    <w:rsid w:val="00514C0E"/>
    <w:rsid w:val="00514C31"/>
    <w:rsid w:val="00514D86"/>
    <w:rsid w:val="00514F96"/>
    <w:rsid w:val="00515084"/>
    <w:rsid w:val="0051534C"/>
    <w:rsid w:val="0051557A"/>
    <w:rsid w:val="00515648"/>
    <w:rsid w:val="005158CA"/>
    <w:rsid w:val="00515B04"/>
    <w:rsid w:val="00515C64"/>
    <w:rsid w:val="00515DED"/>
    <w:rsid w:val="00515DF5"/>
    <w:rsid w:val="00515F26"/>
    <w:rsid w:val="005162D7"/>
    <w:rsid w:val="0051647B"/>
    <w:rsid w:val="00516619"/>
    <w:rsid w:val="005167F9"/>
    <w:rsid w:val="00516844"/>
    <w:rsid w:val="005168AF"/>
    <w:rsid w:val="00516AF2"/>
    <w:rsid w:val="00516CC4"/>
    <w:rsid w:val="0051708D"/>
    <w:rsid w:val="0051713A"/>
    <w:rsid w:val="00517185"/>
    <w:rsid w:val="005172BC"/>
    <w:rsid w:val="005172FE"/>
    <w:rsid w:val="00517300"/>
    <w:rsid w:val="00517669"/>
    <w:rsid w:val="005176A4"/>
    <w:rsid w:val="005177D6"/>
    <w:rsid w:val="00517A70"/>
    <w:rsid w:val="00517C09"/>
    <w:rsid w:val="00517D96"/>
    <w:rsid w:val="00517F04"/>
    <w:rsid w:val="00517FCC"/>
    <w:rsid w:val="0052018E"/>
    <w:rsid w:val="00520467"/>
    <w:rsid w:val="0052061E"/>
    <w:rsid w:val="0052067F"/>
    <w:rsid w:val="005207E5"/>
    <w:rsid w:val="005209B2"/>
    <w:rsid w:val="00520E5E"/>
    <w:rsid w:val="00520EA4"/>
    <w:rsid w:val="00520FAD"/>
    <w:rsid w:val="00521033"/>
    <w:rsid w:val="005210DE"/>
    <w:rsid w:val="00521255"/>
    <w:rsid w:val="005213A9"/>
    <w:rsid w:val="00521840"/>
    <w:rsid w:val="0052198C"/>
    <w:rsid w:val="00521A46"/>
    <w:rsid w:val="00521D9A"/>
    <w:rsid w:val="00521EE9"/>
    <w:rsid w:val="00522299"/>
    <w:rsid w:val="00522536"/>
    <w:rsid w:val="00522674"/>
    <w:rsid w:val="005226AF"/>
    <w:rsid w:val="005227C2"/>
    <w:rsid w:val="00522844"/>
    <w:rsid w:val="00522B02"/>
    <w:rsid w:val="00522BEE"/>
    <w:rsid w:val="00522C0E"/>
    <w:rsid w:val="00522C71"/>
    <w:rsid w:val="00522E1E"/>
    <w:rsid w:val="00522EEC"/>
    <w:rsid w:val="00522EF1"/>
    <w:rsid w:val="005230F5"/>
    <w:rsid w:val="005234D2"/>
    <w:rsid w:val="00523669"/>
    <w:rsid w:val="005236F5"/>
    <w:rsid w:val="00523872"/>
    <w:rsid w:val="0052388E"/>
    <w:rsid w:val="00523918"/>
    <w:rsid w:val="00523A2D"/>
    <w:rsid w:val="00523A45"/>
    <w:rsid w:val="00523FAD"/>
    <w:rsid w:val="00524015"/>
    <w:rsid w:val="005243E2"/>
    <w:rsid w:val="005244B5"/>
    <w:rsid w:val="005244F5"/>
    <w:rsid w:val="0052453F"/>
    <w:rsid w:val="0052456A"/>
    <w:rsid w:val="00524719"/>
    <w:rsid w:val="00524B4C"/>
    <w:rsid w:val="00524BF0"/>
    <w:rsid w:val="00524CC4"/>
    <w:rsid w:val="00524D32"/>
    <w:rsid w:val="00525190"/>
    <w:rsid w:val="0052535C"/>
    <w:rsid w:val="005255B0"/>
    <w:rsid w:val="005255F0"/>
    <w:rsid w:val="00525613"/>
    <w:rsid w:val="00525785"/>
    <w:rsid w:val="005257E9"/>
    <w:rsid w:val="00525B83"/>
    <w:rsid w:val="00525BBD"/>
    <w:rsid w:val="00525C7E"/>
    <w:rsid w:val="00526121"/>
    <w:rsid w:val="00526216"/>
    <w:rsid w:val="00526271"/>
    <w:rsid w:val="00526338"/>
    <w:rsid w:val="0052634F"/>
    <w:rsid w:val="005264C5"/>
    <w:rsid w:val="005264E2"/>
    <w:rsid w:val="0052678D"/>
    <w:rsid w:val="0052685E"/>
    <w:rsid w:val="00526957"/>
    <w:rsid w:val="005269FB"/>
    <w:rsid w:val="00526A92"/>
    <w:rsid w:val="00526E45"/>
    <w:rsid w:val="00526EC4"/>
    <w:rsid w:val="00527374"/>
    <w:rsid w:val="00527408"/>
    <w:rsid w:val="0052744B"/>
    <w:rsid w:val="0052782C"/>
    <w:rsid w:val="00527862"/>
    <w:rsid w:val="00527A7C"/>
    <w:rsid w:val="00527A85"/>
    <w:rsid w:val="00527BA5"/>
    <w:rsid w:val="00527BEC"/>
    <w:rsid w:val="00527E20"/>
    <w:rsid w:val="00527E59"/>
    <w:rsid w:val="00527FE4"/>
    <w:rsid w:val="00530117"/>
    <w:rsid w:val="005301C9"/>
    <w:rsid w:val="005301F2"/>
    <w:rsid w:val="0053044C"/>
    <w:rsid w:val="00530487"/>
    <w:rsid w:val="005305E2"/>
    <w:rsid w:val="00530708"/>
    <w:rsid w:val="005307F5"/>
    <w:rsid w:val="00530A21"/>
    <w:rsid w:val="00531017"/>
    <w:rsid w:val="0053104C"/>
    <w:rsid w:val="00531431"/>
    <w:rsid w:val="0053186F"/>
    <w:rsid w:val="005318A9"/>
    <w:rsid w:val="00531A67"/>
    <w:rsid w:val="00531AB3"/>
    <w:rsid w:val="00531AD9"/>
    <w:rsid w:val="00531B10"/>
    <w:rsid w:val="00531C75"/>
    <w:rsid w:val="00532104"/>
    <w:rsid w:val="00532190"/>
    <w:rsid w:val="005322D5"/>
    <w:rsid w:val="00532977"/>
    <w:rsid w:val="00532D81"/>
    <w:rsid w:val="00532F06"/>
    <w:rsid w:val="00532F54"/>
    <w:rsid w:val="00533035"/>
    <w:rsid w:val="00533131"/>
    <w:rsid w:val="005332E7"/>
    <w:rsid w:val="005332F7"/>
    <w:rsid w:val="00533675"/>
    <w:rsid w:val="00533686"/>
    <w:rsid w:val="005339F4"/>
    <w:rsid w:val="00533C12"/>
    <w:rsid w:val="00533D35"/>
    <w:rsid w:val="00533F34"/>
    <w:rsid w:val="00533FD3"/>
    <w:rsid w:val="005340E2"/>
    <w:rsid w:val="0053412D"/>
    <w:rsid w:val="005343BC"/>
    <w:rsid w:val="00534719"/>
    <w:rsid w:val="0053491D"/>
    <w:rsid w:val="00535051"/>
    <w:rsid w:val="00535134"/>
    <w:rsid w:val="00535415"/>
    <w:rsid w:val="0053551D"/>
    <w:rsid w:val="00535796"/>
    <w:rsid w:val="005357E2"/>
    <w:rsid w:val="005358A2"/>
    <w:rsid w:val="005358D7"/>
    <w:rsid w:val="005358F4"/>
    <w:rsid w:val="00535C01"/>
    <w:rsid w:val="00535C2C"/>
    <w:rsid w:val="00535C51"/>
    <w:rsid w:val="00535D32"/>
    <w:rsid w:val="00535EC8"/>
    <w:rsid w:val="0053650A"/>
    <w:rsid w:val="0053653B"/>
    <w:rsid w:val="00536542"/>
    <w:rsid w:val="005365A6"/>
    <w:rsid w:val="0053676F"/>
    <w:rsid w:val="00536966"/>
    <w:rsid w:val="00536A22"/>
    <w:rsid w:val="00536ACA"/>
    <w:rsid w:val="00536B8B"/>
    <w:rsid w:val="00536E02"/>
    <w:rsid w:val="00536FCC"/>
    <w:rsid w:val="00537412"/>
    <w:rsid w:val="0053755E"/>
    <w:rsid w:val="005375C4"/>
    <w:rsid w:val="00537759"/>
    <w:rsid w:val="00537D12"/>
    <w:rsid w:val="00537E18"/>
    <w:rsid w:val="0054030E"/>
    <w:rsid w:val="0054034F"/>
    <w:rsid w:val="00540404"/>
    <w:rsid w:val="005405C9"/>
    <w:rsid w:val="005405E8"/>
    <w:rsid w:val="00540653"/>
    <w:rsid w:val="0054079C"/>
    <w:rsid w:val="00540A2D"/>
    <w:rsid w:val="00540A4E"/>
    <w:rsid w:val="00540FA5"/>
    <w:rsid w:val="00541009"/>
    <w:rsid w:val="005412CB"/>
    <w:rsid w:val="00541491"/>
    <w:rsid w:val="00541574"/>
    <w:rsid w:val="0054171D"/>
    <w:rsid w:val="0054178D"/>
    <w:rsid w:val="005417B0"/>
    <w:rsid w:val="0054181C"/>
    <w:rsid w:val="00541835"/>
    <w:rsid w:val="005418AC"/>
    <w:rsid w:val="00541914"/>
    <w:rsid w:val="00541A20"/>
    <w:rsid w:val="00541CCF"/>
    <w:rsid w:val="00541D29"/>
    <w:rsid w:val="00541E43"/>
    <w:rsid w:val="00541F31"/>
    <w:rsid w:val="00541F70"/>
    <w:rsid w:val="00541FA6"/>
    <w:rsid w:val="00542031"/>
    <w:rsid w:val="0054214D"/>
    <w:rsid w:val="005421A9"/>
    <w:rsid w:val="0054226B"/>
    <w:rsid w:val="00542390"/>
    <w:rsid w:val="005425D4"/>
    <w:rsid w:val="005425E2"/>
    <w:rsid w:val="005428AD"/>
    <w:rsid w:val="00542AEF"/>
    <w:rsid w:val="00542B39"/>
    <w:rsid w:val="00542B65"/>
    <w:rsid w:val="00542BFA"/>
    <w:rsid w:val="00542C5A"/>
    <w:rsid w:val="0054322F"/>
    <w:rsid w:val="005432DF"/>
    <w:rsid w:val="00543335"/>
    <w:rsid w:val="005434B0"/>
    <w:rsid w:val="005437A0"/>
    <w:rsid w:val="00543851"/>
    <w:rsid w:val="0054387B"/>
    <w:rsid w:val="00543935"/>
    <w:rsid w:val="00543988"/>
    <w:rsid w:val="005439DF"/>
    <w:rsid w:val="00543B04"/>
    <w:rsid w:val="00543B0F"/>
    <w:rsid w:val="00543EF2"/>
    <w:rsid w:val="00543F95"/>
    <w:rsid w:val="00543FB8"/>
    <w:rsid w:val="005440B1"/>
    <w:rsid w:val="0054466C"/>
    <w:rsid w:val="005446A4"/>
    <w:rsid w:val="00544BE3"/>
    <w:rsid w:val="00544C52"/>
    <w:rsid w:val="00545327"/>
    <w:rsid w:val="00545398"/>
    <w:rsid w:val="005454EB"/>
    <w:rsid w:val="00545571"/>
    <w:rsid w:val="00545AC8"/>
    <w:rsid w:val="00545B4E"/>
    <w:rsid w:val="00545BF7"/>
    <w:rsid w:val="00545C6A"/>
    <w:rsid w:val="00545D58"/>
    <w:rsid w:val="00545F35"/>
    <w:rsid w:val="005462B5"/>
    <w:rsid w:val="00546371"/>
    <w:rsid w:val="00546502"/>
    <w:rsid w:val="00546617"/>
    <w:rsid w:val="005467DA"/>
    <w:rsid w:val="00546C9F"/>
    <w:rsid w:val="00546F80"/>
    <w:rsid w:val="00547017"/>
    <w:rsid w:val="005474AC"/>
    <w:rsid w:val="00547580"/>
    <w:rsid w:val="0054790F"/>
    <w:rsid w:val="00547D1C"/>
    <w:rsid w:val="00547F33"/>
    <w:rsid w:val="00547FB5"/>
    <w:rsid w:val="00550261"/>
    <w:rsid w:val="0055047F"/>
    <w:rsid w:val="005504B2"/>
    <w:rsid w:val="00550B68"/>
    <w:rsid w:val="00550BF6"/>
    <w:rsid w:val="00550EAD"/>
    <w:rsid w:val="00550EBA"/>
    <w:rsid w:val="00550F76"/>
    <w:rsid w:val="00550F7E"/>
    <w:rsid w:val="0055105B"/>
    <w:rsid w:val="005510B2"/>
    <w:rsid w:val="00551120"/>
    <w:rsid w:val="00551246"/>
    <w:rsid w:val="0055166A"/>
    <w:rsid w:val="005516DE"/>
    <w:rsid w:val="00551808"/>
    <w:rsid w:val="00551841"/>
    <w:rsid w:val="00552089"/>
    <w:rsid w:val="00552172"/>
    <w:rsid w:val="0055223E"/>
    <w:rsid w:val="0055233B"/>
    <w:rsid w:val="005523C0"/>
    <w:rsid w:val="0055241C"/>
    <w:rsid w:val="005524F1"/>
    <w:rsid w:val="005526F6"/>
    <w:rsid w:val="0055273C"/>
    <w:rsid w:val="005527D6"/>
    <w:rsid w:val="00552810"/>
    <w:rsid w:val="00552991"/>
    <w:rsid w:val="00552A7D"/>
    <w:rsid w:val="00552CE3"/>
    <w:rsid w:val="00552DB1"/>
    <w:rsid w:val="00552E2C"/>
    <w:rsid w:val="00552E3A"/>
    <w:rsid w:val="00552E40"/>
    <w:rsid w:val="00552E80"/>
    <w:rsid w:val="00552E9D"/>
    <w:rsid w:val="00552ED3"/>
    <w:rsid w:val="0055307D"/>
    <w:rsid w:val="0055315E"/>
    <w:rsid w:val="00553176"/>
    <w:rsid w:val="00553323"/>
    <w:rsid w:val="0055361D"/>
    <w:rsid w:val="0055363B"/>
    <w:rsid w:val="005538B5"/>
    <w:rsid w:val="005539CB"/>
    <w:rsid w:val="00553A58"/>
    <w:rsid w:val="00553A91"/>
    <w:rsid w:val="00553C0F"/>
    <w:rsid w:val="00553DBC"/>
    <w:rsid w:val="005542E7"/>
    <w:rsid w:val="00554398"/>
    <w:rsid w:val="005543CB"/>
    <w:rsid w:val="00554432"/>
    <w:rsid w:val="005546FE"/>
    <w:rsid w:val="0055476F"/>
    <w:rsid w:val="005548FC"/>
    <w:rsid w:val="005549FF"/>
    <w:rsid w:val="00554B6A"/>
    <w:rsid w:val="00554C77"/>
    <w:rsid w:val="00554D66"/>
    <w:rsid w:val="00555086"/>
    <w:rsid w:val="00555337"/>
    <w:rsid w:val="005553B7"/>
    <w:rsid w:val="00555418"/>
    <w:rsid w:val="0055552C"/>
    <w:rsid w:val="005556B6"/>
    <w:rsid w:val="00555919"/>
    <w:rsid w:val="0055598A"/>
    <w:rsid w:val="00555AF6"/>
    <w:rsid w:val="00555B4C"/>
    <w:rsid w:val="00555CE9"/>
    <w:rsid w:val="00555D4F"/>
    <w:rsid w:val="00555F82"/>
    <w:rsid w:val="00556534"/>
    <w:rsid w:val="005566F7"/>
    <w:rsid w:val="005567E7"/>
    <w:rsid w:val="00556E49"/>
    <w:rsid w:val="005572B4"/>
    <w:rsid w:val="005572EB"/>
    <w:rsid w:val="00557311"/>
    <w:rsid w:val="0055731E"/>
    <w:rsid w:val="005573B4"/>
    <w:rsid w:val="00557581"/>
    <w:rsid w:val="005577E2"/>
    <w:rsid w:val="00557829"/>
    <w:rsid w:val="005578AF"/>
    <w:rsid w:val="00560142"/>
    <w:rsid w:val="005603A6"/>
    <w:rsid w:val="00560540"/>
    <w:rsid w:val="005607EC"/>
    <w:rsid w:val="005608FE"/>
    <w:rsid w:val="00560923"/>
    <w:rsid w:val="00560A29"/>
    <w:rsid w:val="00560C22"/>
    <w:rsid w:val="00560CDD"/>
    <w:rsid w:val="00560DAD"/>
    <w:rsid w:val="00560EC3"/>
    <w:rsid w:val="00560FD2"/>
    <w:rsid w:val="00561177"/>
    <w:rsid w:val="00561222"/>
    <w:rsid w:val="005616C4"/>
    <w:rsid w:val="005616EB"/>
    <w:rsid w:val="0056180D"/>
    <w:rsid w:val="00561836"/>
    <w:rsid w:val="00561D1D"/>
    <w:rsid w:val="00561D44"/>
    <w:rsid w:val="00561D9B"/>
    <w:rsid w:val="00561DFA"/>
    <w:rsid w:val="00561E8E"/>
    <w:rsid w:val="0056229D"/>
    <w:rsid w:val="0056254E"/>
    <w:rsid w:val="005626FD"/>
    <w:rsid w:val="00562CF2"/>
    <w:rsid w:val="00562D1D"/>
    <w:rsid w:val="00562E58"/>
    <w:rsid w:val="0056304F"/>
    <w:rsid w:val="005633A4"/>
    <w:rsid w:val="0056344A"/>
    <w:rsid w:val="005634BE"/>
    <w:rsid w:val="005637D6"/>
    <w:rsid w:val="00563864"/>
    <w:rsid w:val="00563CB3"/>
    <w:rsid w:val="00563DBE"/>
    <w:rsid w:val="00563F62"/>
    <w:rsid w:val="00564054"/>
    <w:rsid w:val="0056406B"/>
    <w:rsid w:val="005642EF"/>
    <w:rsid w:val="0056443B"/>
    <w:rsid w:val="005644A2"/>
    <w:rsid w:val="00564522"/>
    <w:rsid w:val="005645A0"/>
    <w:rsid w:val="00564654"/>
    <w:rsid w:val="00564685"/>
    <w:rsid w:val="0056489A"/>
    <w:rsid w:val="00564C16"/>
    <w:rsid w:val="00564C1A"/>
    <w:rsid w:val="00564D3E"/>
    <w:rsid w:val="00564FB2"/>
    <w:rsid w:val="00565012"/>
    <w:rsid w:val="00565246"/>
    <w:rsid w:val="005655C1"/>
    <w:rsid w:val="00565601"/>
    <w:rsid w:val="00565674"/>
    <w:rsid w:val="00565C72"/>
    <w:rsid w:val="00565D0E"/>
    <w:rsid w:val="00565D57"/>
    <w:rsid w:val="0056601B"/>
    <w:rsid w:val="0056636E"/>
    <w:rsid w:val="00566569"/>
    <w:rsid w:val="00566901"/>
    <w:rsid w:val="00566A3E"/>
    <w:rsid w:val="00566ADC"/>
    <w:rsid w:val="00566B48"/>
    <w:rsid w:val="00566C41"/>
    <w:rsid w:val="005670BF"/>
    <w:rsid w:val="00567203"/>
    <w:rsid w:val="005674AB"/>
    <w:rsid w:val="005678EF"/>
    <w:rsid w:val="00567942"/>
    <w:rsid w:val="00567A1B"/>
    <w:rsid w:val="00567A8F"/>
    <w:rsid w:val="00567B0E"/>
    <w:rsid w:val="00567C26"/>
    <w:rsid w:val="00567DCA"/>
    <w:rsid w:val="00570262"/>
    <w:rsid w:val="005702DD"/>
    <w:rsid w:val="00570348"/>
    <w:rsid w:val="00570452"/>
    <w:rsid w:val="00570478"/>
    <w:rsid w:val="0057050D"/>
    <w:rsid w:val="005706B6"/>
    <w:rsid w:val="00570703"/>
    <w:rsid w:val="00570A2F"/>
    <w:rsid w:val="00570F7E"/>
    <w:rsid w:val="0057102B"/>
    <w:rsid w:val="0057112E"/>
    <w:rsid w:val="00571165"/>
    <w:rsid w:val="00571669"/>
    <w:rsid w:val="00571802"/>
    <w:rsid w:val="00571913"/>
    <w:rsid w:val="00571943"/>
    <w:rsid w:val="00571A0B"/>
    <w:rsid w:val="00571E1D"/>
    <w:rsid w:val="005721B9"/>
    <w:rsid w:val="00572222"/>
    <w:rsid w:val="00572259"/>
    <w:rsid w:val="00572307"/>
    <w:rsid w:val="00572348"/>
    <w:rsid w:val="0057259C"/>
    <w:rsid w:val="00572C7A"/>
    <w:rsid w:val="00572CF5"/>
    <w:rsid w:val="00572D27"/>
    <w:rsid w:val="00572DD5"/>
    <w:rsid w:val="00572FCC"/>
    <w:rsid w:val="00572FEB"/>
    <w:rsid w:val="0057301E"/>
    <w:rsid w:val="0057308B"/>
    <w:rsid w:val="005733CE"/>
    <w:rsid w:val="00573791"/>
    <w:rsid w:val="00573886"/>
    <w:rsid w:val="0057391C"/>
    <w:rsid w:val="00573989"/>
    <w:rsid w:val="00573E77"/>
    <w:rsid w:val="00574187"/>
    <w:rsid w:val="00574341"/>
    <w:rsid w:val="005748A6"/>
    <w:rsid w:val="005748E0"/>
    <w:rsid w:val="00574A33"/>
    <w:rsid w:val="00574C0B"/>
    <w:rsid w:val="00574D4D"/>
    <w:rsid w:val="00574DF3"/>
    <w:rsid w:val="00574EFA"/>
    <w:rsid w:val="0057509B"/>
    <w:rsid w:val="00575172"/>
    <w:rsid w:val="00575221"/>
    <w:rsid w:val="005752AD"/>
    <w:rsid w:val="00575382"/>
    <w:rsid w:val="0057547C"/>
    <w:rsid w:val="0057549F"/>
    <w:rsid w:val="005754A3"/>
    <w:rsid w:val="005754B4"/>
    <w:rsid w:val="0057555C"/>
    <w:rsid w:val="0057562F"/>
    <w:rsid w:val="00575670"/>
    <w:rsid w:val="00575941"/>
    <w:rsid w:val="00575A02"/>
    <w:rsid w:val="00575C01"/>
    <w:rsid w:val="00575DBE"/>
    <w:rsid w:val="005761C8"/>
    <w:rsid w:val="0057620E"/>
    <w:rsid w:val="00576229"/>
    <w:rsid w:val="005762E7"/>
    <w:rsid w:val="00576693"/>
    <w:rsid w:val="00576781"/>
    <w:rsid w:val="00576869"/>
    <w:rsid w:val="00576872"/>
    <w:rsid w:val="00576A85"/>
    <w:rsid w:val="00576A8B"/>
    <w:rsid w:val="00576C16"/>
    <w:rsid w:val="00576D2D"/>
    <w:rsid w:val="00576FE6"/>
    <w:rsid w:val="005770A9"/>
    <w:rsid w:val="00577109"/>
    <w:rsid w:val="0057740E"/>
    <w:rsid w:val="005774E2"/>
    <w:rsid w:val="005776F3"/>
    <w:rsid w:val="0057778F"/>
    <w:rsid w:val="005779EC"/>
    <w:rsid w:val="00577A48"/>
    <w:rsid w:val="00577BA1"/>
    <w:rsid w:val="00577BAE"/>
    <w:rsid w:val="00577C41"/>
    <w:rsid w:val="00577D8C"/>
    <w:rsid w:val="00580180"/>
    <w:rsid w:val="005803AC"/>
    <w:rsid w:val="005804EB"/>
    <w:rsid w:val="005808B8"/>
    <w:rsid w:val="005809A7"/>
    <w:rsid w:val="00580E0B"/>
    <w:rsid w:val="00580E7D"/>
    <w:rsid w:val="00580E8F"/>
    <w:rsid w:val="005810BE"/>
    <w:rsid w:val="00581152"/>
    <w:rsid w:val="0058119D"/>
    <w:rsid w:val="00581467"/>
    <w:rsid w:val="00581768"/>
    <w:rsid w:val="00581AD4"/>
    <w:rsid w:val="00581D23"/>
    <w:rsid w:val="00581D85"/>
    <w:rsid w:val="00582087"/>
    <w:rsid w:val="00582177"/>
    <w:rsid w:val="00582321"/>
    <w:rsid w:val="005823E1"/>
    <w:rsid w:val="00582890"/>
    <w:rsid w:val="0058296F"/>
    <w:rsid w:val="00582C33"/>
    <w:rsid w:val="00582D80"/>
    <w:rsid w:val="00582E15"/>
    <w:rsid w:val="0058336C"/>
    <w:rsid w:val="00583542"/>
    <w:rsid w:val="00583931"/>
    <w:rsid w:val="00583A17"/>
    <w:rsid w:val="00583ABB"/>
    <w:rsid w:val="00583B28"/>
    <w:rsid w:val="00583B8B"/>
    <w:rsid w:val="00583CB4"/>
    <w:rsid w:val="005840DB"/>
    <w:rsid w:val="005840DF"/>
    <w:rsid w:val="00584243"/>
    <w:rsid w:val="00584515"/>
    <w:rsid w:val="00584540"/>
    <w:rsid w:val="00584545"/>
    <w:rsid w:val="005848BE"/>
    <w:rsid w:val="005848D4"/>
    <w:rsid w:val="005848D6"/>
    <w:rsid w:val="00584A7C"/>
    <w:rsid w:val="00584B6F"/>
    <w:rsid w:val="00584C22"/>
    <w:rsid w:val="00584E89"/>
    <w:rsid w:val="00584F6D"/>
    <w:rsid w:val="00585005"/>
    <w:rsid w:val="00585017"/>
    <w:rsid w:val="005852B8"/>
    <w:rsid w:val="0058534F"/>
    <w:rsid w:val="005854F8"/>
    <w:rsid w:val="00585637"/>
    <w:rsid w:val="00585657"/>
    <w:rsid w:val="0058586F"/>
    <w:rsid w:val="005858B0"/>
    <w:rsid w:val="005858D1"/>
    <w:rsid w:val="005858D9"/>
    <w:rsid w:val="00585BD3"/>
    <w:rsid w:val="00585E25"/>
    <w:rsid w:val="00585F19"/>
    <w:rsid w:val="005864A2"/>
    <w:rsid w:val="00586559"/>
    <w:rsid w:val="005865AE"/>
    <w:rsid w:val="00586B6A"/>
    <w:rsid w:val="00586B87"/>
    <w:rsid w:val="00586C30"/>
    <w:rsid w:val="00586C39"/>
    <w:rsid w:val="00586DBB"/>
    <w:rsid w:val="00586EB6"/>
    <w:rsid w:val="00586F2A"/>
    <w:rsid w:val="005871E3"/>
    <w:rsid w:val="005874C1"/>
    <w:rsid w:val="005874C2"/>
    <w:rsid w:val="00587636"/>
    <w:rsid w:val="0058764A"/>
    <w:rsid w:val="0058768A"/>
    <w:rsid w:val="00587839"/>
    <w:rsid w:val="00587974"/>
    <w:rsid w:val="00587B63"/>
    <w:rsid w:val="00587B8A"/>
    <w:rsid w:val="00587BF2"/>
    <w:rsid w:val="00587C80"/>
    <w:rsid w:val="00587CFB"/>
    <w:rsid w:val="0059010E"/>
    <w:rsid w:val="005902E2"/>
    <w:rsid w:val="005903F6"/>
    <w:rsid w:val="00590429"/>
    <w:rsid w:val="0059047D"/>
    <w:rsid w:val="00590692"/>
    <w:rsid w:val="005907EC"/>
    <w:rsid w:val="00590994"/>
    <w:rsid w:val="00591709"/>
    <w:rsid w:val="00591745"/>
    <w:rsid w:val="00591759"/>
    <w:rsid w:val="0059190A"/>
    <w:rsid w:val="005919B7"/>
    <w:rsid w:val="00591CDB"/>
    <w:rsid w:val="00591FBC"/>
    <w:rsid w:val="005920D4"/>
    <w:rsid w:val="005924AB"/>
    <w:rsid w:val="005925CC"/>
    <w:rsid w:val="00592650"/>
    <w:rsid w:val="0059266B"/>
    <w:rsid w:val="005927C8"/>
    <w:rsid w:val="00592E39"/>
    <w:rsid w:val="00593476"/>
    <w:rsid w:val="00593483"/>
    <w:rsid w:val="005934F0"/>
    <w:rsid w:val="0059373E"/>
    <w:rsid w:val="00593950"/>
    <w:rsid w:val="00593997"/>
    <w:rsid w:val="005939D9"/>
    <w:rsid w:val="00593AB3"/>
    <w:rsid w:val="00593F99"/>
    <w:rsid w:val="00594146"/>
    <w:rsid w:val="0059431E"/>
    <w:rsid w:val="005943FE"/>
    <w:rsid w:val="0059470F"/>
    <w:rsid w:val="0059476D"/>
    <w:rsid w:val="0059482F"/>
    <w:rsid w:val="00594882"/>
    <w:rsid w:val="005948DB"/>
    <w:rsid w:val="00594B69"/>
    <w:rsid w:val="00594BD5"/>
    <w:rsid w:val="005951A0"/>
    <w:rsid w:val="00595240"/>
    <w:rsid w:val="005952BE"/>
    <w:rsid w:val="0059544B"/>
    <w:rsid w:val="00595557"/>
    <w:rsid w:val="005957CE"/>
    <w:rsid w:val="00595867"/>
    <w:rsid w:val="00595872"/>
    <w:rsid w:val="00595B3C"/>
    <w:rsid w:val="00595C56"/>
    <w:rsid w:val="00595D42"/>
    <w:rsid w:val="00595E30"/>
    <w:rsid w:val="00595E6B"/>
    <w:rsid w:val="0059607B"/>
    <w:rsid w:val="0059618A"/>
    <w:rsid w:val="005961BC"/>
    <w:rsid w:val="0059641D"/>
    <w:rsid w:val="005964CE"/>
    <w:rsid w:val="00596582"/>
    <w:rsid w:val="0059669C"/>
    <w:rsid w:val="0059674B"/>
    <w:rsid w:val="00596789"/>
    <w:rsid w:val="005967BC"/>
    <w:rsid w:val="005967E5"/>
    <w:rsid w:val="00596910"/>
    <w:rsid w:val="00596CCA"/>
    <w:rsid w:val="00596D65"/>
    <w:rsid w:val="00596E9B"/>
    <w:rsid w:val="00596F82"/>
    <w:rsid w:val="00597070"/>
    <w:rsid w:val="00597176"/>
    <w:rsid w:val="0059731D"/>
    <w:rsid w:val="00597320"/>
    <w:rsid w:val="005973F1"/>
    <w:rsid w:val="0059741E"/>
    <w:rsid w:val="005974D4"/>
    <w:rsid w:val="005977F1"/>
    <w:rsid w:val="0059783C"/>
    <w:rsid w:val="00597A32"/>
    <w:rsid w:val="00597CE9"/>
    <w:rsid w:val="00597DDC"/>
    <w:rsid w:val="005A005B"/>
    <w:rsid w:val="005A033F"/>
    <w:rsid w:val="005A0392"/>
    <w:rsid w:val="005A0624"/>
    <w:rsid w:val="005A06B2"/>
    <w:rsid w:val="005A0A42"/>
    <w:rsid w:val="005A0B99"/>
    <w:rsid w:val="005A0BF1"/>
    <w:rsid w:val="005A0C0B"/>
    <w:rsid w:val="005A0D2A"/>
    <w:rsid w:val="005A0FB4"/>
    <w:rsid w:val="005A12D5"/>
    <w:rsid w:val="005A1473"/>
    <w:rsid w:val="005A1593"/>
    <w:rsid w:val="005A1709"/>
    <w:rsid w:val="005A1A16"/>
    <w:rsid w:val="005A1A6D"/>
    <w:rsid w:val="005A1AF4"/>
    <w:rsid w:val="005A1B72"/>
    <w:rsid w:val="005A1CDC"/>
    <w:rsid w:val="005A1D3C"/>
    <w:rsid w:val="005A1ECE"/>
    <w:rsid w:val="005A1F1F"/>
    <w:rsid w:val="005A2039"/>
    <w:rsid w:val="005A205E"/>
    <w:rsid w:val="005A20EA"/>
    <w:rsid w:val="005A234A"/>
    <w:rsid w:val="005A2375"/>
    <w:rsid w:val="005A2730"/>
    <w:rsid w:val="005A2864"/>
    <w:rsid w:val="005A2AF7"/>
    <w:rsid w:val="005A2B4B"/>
    <w:rsid w:val="005A2BC7"/>
    <w:rsid w:val="005A2CDF"/>
    <w:rsid w:val="005A2F9A"/>
    <w:rsid w:val="005A30C4"/>
    <w:rsid w:val="005A33D6"/>
    <w:rsid w:val="005A35F5"/>
    <w:rsid w:val="005A3652"/>
    <w:rsid w:val="005A3673"/>
    <w:rsid w:val="005A36A3"/>
    <w:rsid w:val="005A37A5"/>
    <w:rsid w:val="005A3940"/>
    <w:rsid w:val="005A3AD9"/>
    <w:rsid w:val="005A3D8F"/>
    <w:rsid w:val="005A41FD"/>
    <w:rsid w:val="005A4293"/>
    <w:rsid w:val="005A429B"/>
    <w:rsid w:val="005A439E"/>
    <w:rsid w:val="005A441F"/>
    <w:rsid w:val="005A4444"/>
    <w:rsid w:val="005A44B5"/>
    <w:rsid w:val="005A45CA"/>
    <w:rsid w:val="005A461A"/>
    <w:rsid w:val="005A47B8"/>
    <w:rsid w:val="005A4981"/>
    <w:rsid w:val="005A49F2"/>
    <w:rsid w:val="005A4A88"/>
    <w:rsid w:val="005A4B02"/>
    <w:rsid w:val="005A4D3B"/>
    <w:rsid w:val="005A4E0B"/>
    <w:rsid w:val="005A4EB9"/>
    <w:rsid w:val="005A538E"/>
    <w:rsid w:val="005A5446"/>
    <w:rsid w:val="005A55D0"/>
    <w:rsid w:val="005A562E"/>
    <w:rsid w:val="005A572C"/>
    <w:rsid w:val="005A5771"/>
    <w:rsid w:val="005A5811"/>
    <w:rsid w:val="005A59C8"/>
    <w:rsid w:val="005A59E6"/>
    <w:rsid w:val="005A5A48"/>
    <w:rsid w:val="005A5B86"/>
    <w:rsid w:val="005A5CCE"/>
    <w:rsid w:val="005A5F0E"/>
    <w:rsid w:val="005A60F8"/>
    <w:rsid w:val="005A6143"/>
    <w:rsid w:val="005A6220"/>
    <w:rsid w:val="005A62D5"/>
    <w:rsid w:val="005A649B"/>
    <w:rsid w:val="005A663C"/>
    <w:rsid w:val="005A66B1"/>
    <w:rsid w:val="005A682C"/>
    <w:rsid w:val="005A7192"/>
    <w:rsid w:val="005A7422"/>
    <w:rsid w:val="005A74D9"/>
    <w:rsid w:val="005A7509"/>
    <w:rsid w:val="005A76D6"/>
    <w:rsid w:val="005A76FF"/>
    <w:rsid w:val="005A78E4"/>
    <w:rsid w:val="005A7ACB"/>
    <w:rsid w:val="005A7B14"/>
    <w:rsid w:val="005A7CB4"/>
    <w:rsid w:val="005B005F"/>
    <w:rsid w:val="005B00B8"/>
    <w:rsid w:val="005B024D"/>
    <w:rsid w:val="005B02F8"/>
    <w:rsid w:val="005B05CA"/>
    <w:rsid w:val="005B072C"/>
    <w:rsid w:val="005B0747"/>
    <w:rsid w:val="005B0862"/>
    <w:rsid w:val="005B0986"/>
    <w:rsid w:val="005B0ACA"/>
    <w:rsid w:val="005B0B23"/>
    <w:rsid w:val="005B0D81"/>
    <w:rsid w:val="005B0EFA"/>
    <w:rsid w:val="005B0F3E"/>
    <w:rsid w:val="005B0F58"/>
    <w:rsid w:val="005B11E1"/>
    <w:rsid w:val="005B12EC"/>
    <w:rsid w:val="005B1491"/>
    <w:rsid w:val="005B153D"/>
    <w:rsid w:val="005B1619"/>
    <w:rsid w:val="005B1686"/>
    <w:rsid w:val="005B1D4F"/>
    <w:rsid w:val="005B21D2"/>
    <w:rsid w:val="005B22FD"/>
    <w:rsid w:val="005B23A1"/>
    <w:rsid w:val="005B23DD"/>
    <w:rsid w:val="005B2425"/>
    <w:rsid w:val="005B24DF"/>
    <w:rsid w:val="005B2703"/>
    <w:rsid w:val="005B271F"/>
    <w:rsid w:val="005B2760"/>
    <w:rsid w:val="005B28D1"/>
    <w:rsid w:val="005B2918"/>
    <w:rsid w:val="005B295C"/>
    <w:rsid w:val="005B2A46"/>
    <w:rsid w:val="005B2B68"/>
    <w:rsid w:val="005B2B85"/>
    <w:rsid w:val="005B2C4F"/>
    <w:rsid w:val="005B2EEB"/>
    <w:rsid w:val="005B3327"/>
    <w:rsid w:val="005B33E0"/>
    <w:rsid w:val="005B342B"/>
    <w:rsid w:val="005B3493"/>
    <w:rsid w:val="005B3584"/>
    <w:rsid w:val="005B3674"/>
    <w:rsid w:val="005B37D7"/>
    <w:rsid w:val="005B381F"/>
    <w:rsid w:val="005B38FC"/>
    <w:rsid w:val="005B3D67"/>
    <w:rsid w:val="005B450C"/>
    <w:rsid w:val="005B46F0"/>
    <w:rsid w:val="005B4AB3"/>
    <w:rsid w:val="005B4B6B"/>
    <w:rsid w:val="005B4BFA"/>
    <w:rsid w:val="005B4C6B"/>
    <w:rsid w:val="005B4C7E"/>
    <w:rsid w:val="005B4D86"/>
    <w:rsid w:val="005B5186"/>
    <w:rsid w:val="005B52AA"/>
    <w:rsid w:val="005B549D"/>
    <w:rsid w:val="005B55E5"/>
    <w:rsid w:val="005B56C8"/>
    <w:rsid w:val="005B58EC"/>
    <w:rsid w:val="005B59B0"/>
    <w:rsid w:val="005B5CB1"/>
    <w:rsid w:val="005B5DEF"/>
    <w:rsid w:val="005B605C"/>
    <w:rsid w:val="005B608A"/>
    <w:rsid w:val="005B63A2"/>
    <w:rsid w:val="005B6410"/>
    <w:rsid w:val="005B6768"/>
    <w:rsid w:val="005B6A75"/>
    <w:rsid w:val="005B6B60"/>
    <w:rsid w:val="005B6DD4"/>
    <w:rsid w:val="005B6DEC"/>
    <w:rsid w:val="005B71FC"/>
    <w:rsid w:val="005B72B7"/>
    <w:rsid w:val="005B732A"/>
    <w:rsid w:val="005B76C3"/>
    <w:rsid w:val="005B770F"/>
    <w:rsid w:val="005B7B1E"/>
    <w:rsid w:val="005B7C38"/>
    <w:rsid w:val="005B7D51"/>
    <w:rsid w:val="005B7E1E"/>
    <w:rsid w:val="005B7ECB"/>
    <w:rsid w:val="005B7FA1"/>
    <w:rsid w:val="005B7FE6"/>
    <w:rsid w:val="005C02E8"/>
    <w:rsid w:val="005C06CA"/>
    <w:rsid w:val="005C070E"/>
    <w:rsid w:val="005C084E"/>
    <w:rsid w:val="005C08D7"/>
    <w:rsid w:val="005C094E"/>
    <w:rsid w:val="005C09C8"/>
    <w:rsid w:val="005C0AD3"/>
    <w:rsid w:val="005C0BC2"/>
    <w:rsid w:val="005C0D01"/>
    <w:rsid w:val="005C1087"/>
    <w:rsid w:val="005C11B1"/>
    <w:rsid w:val="005C1257"/>
    <w:rsid w:val="005C1302"/>
    <w:rsid w:val="005C1395"/>
    <w:rsid w:val="005C140F"/>
    <w:rsid w:val="005C1475"/>
    <w:rsid w:val="005C1888"/>
    <w:rsid w:val="005C1B4D"/>
    <w:rsid w:val="005C1CB1"/>
    <w:rsid w:val="005C1D8D"/>
    <w:rsid w:val="005C1DAF"/>
    <w:rsid w:val="005C1EE0"/>
    <w:rsid w:val="005C1F03"/>
    <w:rsid w:val="005C1FEB"/>
    <w:rsid w:val="005C2095"/>
    <w:rsid w:val="005C225F"/>
    <w:rsid w:val="005C24C8"/>
    <w:rsid w:val="005C26EE"/>
    <w:rsid w:val="005C27A4"/>
    <w:rsid w:val="005C29B1"/>
    <w:rsid w:val="005C2CEA"/>
    <w:rsid w:val="005C2D04"/>
    <w:rsid w:val="005C2E8F"/>
    <w:rsid w:val="005C30C3"/>
    <w:rsid w:val="005C32D8"/>
    <w:rsid w:val="005C3390"/>
    <w:rsid w:val="005C35E7"/>
    <w:rsid w:val="005C3612"/>
    <w:rsid w:val="005C3C8D"/>
    <w:rsid w:val="005C3EE9"/>
    <w:rsid w:val="005C3F32"/>
    <w:rsid w:val="005C3F3C"/>
    <w:rsid w:val="005C401F"/>
    <w:rsid w:val="005C41D5"/>
    <w:rsid w:val="005C437F"/>
    <w:rsid w:val="005C4518"/>
    <w:rsid w:val="005C4915"/>
    <w:rsid w:val="005C4AB6"/>
    <w:rsid w:val="005C4D6E"/>
    <w:rsid w:val="005C4D75"/>
    <w:rsid w:val="005C4DE1"/>
    <w:rsid w:val="005C4EF9"/>
    <w:rsid w:val="005C4FC2"/>
    <w:rsid w:val="005C5075"/>
    <w:rsid w:val="005C5471"/>
    <w:rsid w:val="005C55C5"/>
    <w:rsid w:val="005C5723"/>
    <w:rsid w:val="005C5788"/>
    <w:rsid w:val="005C5836"/>
    <w:rsid w:val="005C5857"/>
    <w:rsid w:val="005C5964"/>
    <w:rsid w:val="005C59FB"/>
    <w:rsid w:val="005C5A2A"/>
    <w:rsid w:val="005C5A56"/>
    <w:rsid w:val="005C5DAF"/>
    <w:rsid w:val="005C5EF8"/>
    <w:rsid w:val="005C6510"/>
    <w:rsid w:val="005C66E8"/>
    <w:rsid w:val="005C6B40"/>
    <w:rsid w:val="005C6BA0"/>
    <w:rsid w:val="005C6D39"/>
    <w:rsid w:val="005C716B"/>
    <w:rsid w:val="005C71CE"/>
    <w:rsid w:val="005C77B1"/>
    <w:rsid w:val="005C7ABA"/>
    <w:rsid w:val="005C7AFD"/>
    <w:rsid w:val="005C7B44"/>
    <w:rsid w:val="005D0186"/>
    <w:rsid w:val="005D022B"/>
    <w:rsid w:val="005D0611"/>
    <w:rsid w:val="005D071E"/>
    <w:rsid w:val="005D07F9"/>
    <w:rsid w:val="005D08D5"/>
    <w:rsid w:val="005D0906"/>
    <w:rsid w:val="005D0BE8"/>
    <w:rsid w:val="005D0CDC"/>
    <w:rsid w:val="005D120C"/>
    <w:rsid w:val="005D1289"/>
    <w:rsid w:val="005D132C"/>
    <w:rsid w:val="005D1546"/>
    <w:rsid w:val="005D1638"/>
    <w:rsid w:val="005D16D6"/>
    <w:rsid w:val="005D17EA"/>
    <w:rsid w:val="005D1A79"/>
    <w:rsid w:val="005D1BC5"/>
    <w:rsid w:val="005D1E00"/>
    <w:rsid w:val="005D1F9D"/>
    <w:rsid w:val="005D1FC1"/>
    <w:rsid w:val="005D21AD"/>
    <w:rsid w:val="005D2368"/>
    <w:rsid w:val="005D26E5"/>
    <w:rsid w:val="005D277F"/>
    <w:rsid w:val="005D2878"/>
    <w:rsid w:val="005D2B5D"/>
    <w:rsid w:val="005D31F2"/>
    <w:rsid w:val="005D321C"/>
    <w:rsid w:val="005D3514"/>
    <w:rsid w:val="005D3524"/>
    <w:rsid w:val="005D38FC"/>
    <w:rsid w:val="005D3E8B"/>
    <w:rsid w:val="005D3F10"/>
    <w:rsid w:val="005D3F76"/>
    <w:rsid w:val="005D3FE5"/>
    <w:rsid w:val="005D42A9"/>
    <w:rsid w:val="005D44E7"/>
    <w:rsid w:val="005D45AA"/>
    <w:rsid w:val="005D469D"/>
    <w:rsid w:val="005D48F7"/>
    <w:rsid w:val="005D4FCD"/>
    <w:rsid w:val="005D4FDD"/>
    <w:rsid w:val="005D539F"/>
    <w:rsid w:val="005D5472"/>
    <w:rsid w:val="005D54C7"/>
    <w:rsid w:val="005D55AE"/>
    <w:rsid w:val="005D56B0"/>
    <w:rsid w:val="005D56DC"/>
    <w:rsid w:val="005D57E9"/>
    <w:rsid w:val="005D584B"/>
    <w:rsid w:val="005D58B7"/>
    <w:rsid w:val="005D594D"/>
    <w:rsid w:val="005D5B5A"/>
    <w:rsid w:val="005D5C56"/>
    <w:rsid w:val="005D5E31"/>
    <w:rsid w:val="005D5EBE"/>
    <w:rsid w:val="005D5EFD"/>
    <w:rsid w:val="005D5F68"/>
    <w:rsid w:val="005D6098"/>
    <w:rsid w:val="005D630A"/>
    <w:rsid w:val="005D677C"/>
    <w:rsid w:val="005D690E"/>
    <w:rsid w:val="005D6957"/>
    <w:rsid w:val="005D6A91"/>
    <w:rsid w:val="005D6BEB"/>
    <w:rsid w:val="005D6CA5"/>
    <w:rsid w:val="005D6D5F"/>
    <w:rsid w:val="005D6F1A"/>
    <w:rsid w:val="005D6FBE"/>
    <w:rsid w:val="005D700E"/>
    <w:rsid w:val="005D72D8"/>
    <w:rsid w:val="005D7335"/>
    <w:rsid w:val="005D7376"/>
    <w:rsid w:val="005D7573"/>
    <w:rsid w:val="005D780E"/>
    <w:rsid w:val="005D7A84"/>
    <w:rsid w:val="005D7B33"/>
    <w:rsid w:val="005D7F72"/>
    <w:rsid w:val="005E02BE"/>
    <w:rsid w:val="005E0378"/>
    <w:rsid w:val="005E0404"/>
    <w:rsid w:val="005E0468"/>
    <w:rsid w:val="005E05BC"/>
    <w:rsid w:val="005E0658"/>
    <w:rsid w:val="005E067B"/>
    <w:rsid w:val="005E06FB"/>
    <w:rsid w:val="005E0703"/>
    <w:rsid w:val="005E081D"/>
    <w:rsid w:val="005E0896"/>
    <w:rsid w:val="005E089C"/>
    <w:rsid w:val="005E091A"/>
    <w:rsid w:val="005E091E"/>
    <w:rsid w:val="005E0D3D"/>
    <w:rsid w:val="005E0D44"/>
    <w:rsid w:val="005E0F36"/>
    <w:rsid w:val="005E0FAD"/>
    <w:rsid w:val="005E0FD3"/>
    <w:rsid w:val="005E10D4"/>
    <w:rsid w:val="005E1316"/>
    <w:rsid w:val="005E15C9"/>
    <w:rsid w:val="005E1726"/>
    <w:rsid w:val="005E1CC8"/>
    <w:rsid w:val="005E1EEF"/>
    <w:rsid w:val="005E1FB9"/>
    <w:rsid w:val="005E2051"/>
    <w:rsid w:val="005E21C6"/>
    <w:rsid w:val="005E22BB"/>
    <w:rsid w:val="005E2397"/>
    <w:rsid w:val="005E26E4"/>
    <w:rsid w:val="005E2738"/>
    <w:rsid w:val="005E2972"/>
    <w:rsid w:val="005E2E03"/>
    <w:rsid w:val="005E303C"/>
    <w:rsid w:val="005E307D"/>
    <w:rsid w:val="005E308C"/>
    <w:rsid w:val="005E31E4"/>
    <w:rsid w:val="005E3263"/>
    <w:rsid w:val="005E35DC"/>
    <w:rsid w:val="005E3667"/>
    <w:rsid w:val="005E379F"/>
    <w:rsid w:val="005E38DE"/>
    <w:rsid w:val="005E38FB"/>
    <w:rsid w:val="005E3E00"/>
    <w:rsid w:val="005E3E65"/>
    <w:rsid w:val="005E3FFA"/>
    <w:rsid w:val="005E466A"/>
    <w:rsid w:val="005E4A91"/>
    <w:rsid w:val="005E4AF3"/>
    <w:rsid w:val="005E4CB4"/>
    <w:rsid w:val="005E4F5D"/>
    <w:rsid w:val="005E5003"/>
    <w:rsid w:val="005E53F7"/>
    <w:rsid w:val="005E540D"/>
    <w:rsid w:val="005E55C1"/>
    <w:rsid w:val="005E55CB"/>
    <w:rsid w:val="005E58E3"/>
    <w:rsid w:val="005E5A89"/>
    <w:rsid w:val="005E5B66"/>
    <w:rsid w:val="005E5F96"/>
    <w:rsid w:val="005E604E"/>
    <w:rsid w:val="005E626A"/>
    <w:rsid w:val="005E62FA"/>
    <w:rsid w:val="005E6A32"/>
    <w:rsid w:val="005E6D97"/>
    <w:rsid w:val="005E6E76"/>
    <w:rsid w:val="005E7090"/>
    <w:rsid w:val="005E7238"/>
    <w:rsid w:val="005E723C"/>
    <w:rsid w:val="005E72D0"/>
    <w:rsid w:val="005E7334"/>
    <w:rsid w:val="005E734C"/>
    <w:rsid w:val="005E7455"/>
    <w:rsid w:val="005E7637"/>
    <w:rsid w:val="005E77FE"/>
    <w:rsid w:val="005E788E"/>
    <w:rsid w:val="005E7909"/>
    <w:rsid w:val="005E7B1B"/>
    <w:rsid w:val="005E7FDC"/>
    <w:rsid w:val="005F04DB"/>
    <w:rsid w:val="005F0781"/>
    <w:rsid w:val="005F1060"/>
    <w:rsid w:val="005F12D1"/>
    <w:rsid w:val="005F136E"/>
    <w:rsid w:val="005F1419"/>
    <w:rsid w:val="005F1562"/>
    <w:rsid w:val="005F15F8"/>
    <w:rsid w:val="005F16BA"/>
    <w:rsid w:val="005F1826"/>
    <w:rsid w:val="005F18CD"/>
    <w:rsid w:val="005F1C63"/>
    <w:rsid w:val="005F1CF3"/>
    <w:rsid w:val="005F200E"/>
    <w:rsid w:val="005F22C0"/>
    <w:rsid w:val="005F2349"/>
    <w:rsid w:val="005F23D0"/>
    <w:rsid w:val="005F23E2"/>
    <w:rsid w:val="005F244B"/>
    <w:rsid w:val="005F298D"/>
    <w:rsid w:val="005F2CCC"/>
    <w:rsid w:val="005F2F08"/>
    <w:rsid w:val="005F33A7"/>
    <w:rsid w:val="005F33EF"/>
    <w:rsid w:val="005F3962"/>
    <w:rsid w:val="005F397F"/>
    <w:rsid w:val="005F3A64"/>
    <w:rsid w:val="005F3C37"/>
    <w:rsid w:val="005F3CC8"/>
    <w:rsid w:val="005F3EE8"/>
    <w:rsid w:val="005F3F89"/>
    <w:rsid w:val="005F44D0"/>
    <w:rsid w:val="005F469B"/>
    <w:rsid w:val="005F4765"/>
    <w:rsid w:val="005F4877"/>
    <w:rsid w:val="005F4B29"/>
    <w:rsid w:val="005F50B6"/>
    <w:rsid w:val="005F578A"/>
    <w:rsid w:val="005F5C89"/>
    <w:rsid w:val="005F5F4F"/>
    <w:rsid w:val="005F5FBC"/>
    <w:rsid w:val="005F61F5"/>
    <w:rsid w:val="005F625B"/>
    <w:rsid w:val="005F636F"/>
    <w:rsid w:val="005F68FC"/>
    <w:rsid w:val="005F6902"/>
    <w:rsid w:val="005F698E"/>
    <w:rsid w:val="005F69A7"/>
    <w:rsid w:val="005F6A17"/>
    <w:rsid w:val="005F6B64"/>
    <w:rsid w:val="005F6BAC"/>
    <w:rsid w:val="005F6D47"/>
    <w:rsid w:val="005F6F78"/>
    <w:rsid w:val="005F7061"/>
    <w:rsid w:val="005F7104"/>
    <w:rsid w:val="005F735F"/>
    <w:rsid w:val="005F7397"/>
    <w:rsid w:val="005F73D6"/>
    <w:rsid w:val="005F756B"/>
    <w:rsid w:val="005F7709"/>
    <w:rsid w:val="005F77BA"/>
    <w:rsid w:val="005F78AE"/>
    <w:rsid w:val="005F79B8"/>
    <w:rsid w:val="005F7B67"/>
    <w:rsid w:val="005F7BCC"/>
    <w:rsid w:val="005F7D7A"/>
    <w:rsid w:val="005F7DB8"/>
    <w:rsid w:val="005F7F44"/>
    <w:rsid w:val="00600618"/>
    <w:rsid w:val="00600909"/>
    <w:rsid w:val="006009BA"/>
    <w:rsid w:val="00600A4D"/>
    <w:rsid w:val="00600ABB"/>
    <w:rsid w:val="00600B8C"/>
    <w:rsid w:val="0060151E"/>
    <w:rsid w:val="0060177E"/>
    <w:rsid w:val="00601995"/>
    <w:rsid w:val="00601C49"/>
    <w:rsid w:val="00601C7D"/>
    <w:rsid w:val="00601EB3"/>
    <w:rsid w:val="006020DB"/>
    <w:rsid w:val="0060235A"/>
    <w:rsid w:val="00602400"/>
    <w:rsid w:val="006024E8"/>
    <w:rsid w:val="006027CA"/>
    <w:rsid w:val="00602996"/>
    <w:rsid w:val="00602BEC"/>
    <w:rsid w:val="00602DF5"/>
    <w:rsid w:val="00602F5A"/>
    <w:rsid w:val="00603009"/>
    <w:rsid w:val="00603258"/>
    <w:rsid w:val="00603551"/>
    <w:rsid w:val="0060357D"/>
    <w:rsid w:val="00603730"/>
    <w:rsid w:val="00603767"/>
    <w:rsid w:val="00603815"/>
    <w:rsid w:val="00603838"/>
    <w:rsid w:val="00603894"/>
    <w:rsid w:val="0060399F"/>
    <w:rsid w:val="00603DDC"/>
    <w:rsid w:val="00603FCF"/>
    <w:rsid w:val="00604174"/>
    <w:rsid w:val="00604294"/>
    <w:rsid w:val="006043A1"/>
    <w:rsid w:val="0060443E"/>
    <w:rsid w:val="0060463D"/>
    <w:rsid w:val="006046E3"/>
    <w:rsid w:val="00604846"/>
    <w:rsid w:val="00604A97"/>
    <w:rsid w:val="00604B14"/>
    <w:rsid w:val="00604B89"/>
    <w:rsid w:val="00604F60"/>
    <w:rsid w:val="0060506F"/>
    <w:rsid w:val="006051AD"/>
    <w:rsid w:val="0060525D"/>
    <w:rsid w:val="0060536D"/>
    <w:rsid w:val="00605374"/>
    <w:rsid w:val="006053D3"/>
    <w:rsid w:val="0060568B"/>
    <w:rsid w:val="00605888"/>
    <w:rsid w:val="00605903"/>
    <w:rsid w:val="00605A7D"/>
    <w:rsid w:val="00605B20"/>
    <w:rsid w:val="00605C67"/>
    <w:rsid w:val="00605D37"/>
    <w:rsid w:val="00605DEF"/>
    <w:rsid w:val="00606026"/>
    <w:rsid w:val="006061D6"/>
    <w:rsid w:val="006063BB"/>
    <w:rsid w:val="00606507"/>
    <w:rsid w:val="00606C1C"/>
    <w:rsid w:val="00607114"/>
    <w:rsid w:val="006071DD"/>
    <w:rsid w:val="0060726D"/>
    <w:rsid w:val="006072C3"/>
    <w:rsid w:val="006073ED"/>
    <w:rsid w:val="00607596"/>
    <w:rsid w:val="0060759B"/>
    <w:rsid w:val="00607736"/>
    <w:rsid w:val="00607805"/>
    <w:rsid w:val="00607A21"/>
    <w:rsid w:val="00607C41"/>
    <w:rsid w:val="00607E93"/>
    <w:rsid w:val="00607EA0"/>
    <w:rsid w:val="00607EB9"/>
    <w:rsid w:val="00607F09"/>
    <w:rsid w:val="006100DD"/>
    <w:rsid w:val="0061017C"/>
    <w:rsid w:val="00610374"/>
    <w:rsid w:val="0061046D"/>
    <w:rsid w:val="0061047F"/>
    <w:rsid w:val="006105BD"/>
    <w:rsid w:val="006106BE"/>
    <w:rsid w:val="006107D3"/>
    <w:rsid w:val="0061086F"/>
    <w:rsid w:val="006108DA"/>
    <w:rsid w:val="00610910"/>
    <w:rsid w:val="00610977"/>
    <w:rsid w:val="0061097E"/>
    <w:rsid w:val="00611547"/>
    <w:rsid w:val="0061192E"/>
    <w:rsid w:val="00611BF8"/>
    <w:rsid w:val="00611DB1"/>
    <w:rsid w:val="00611DDA"/>
    <w:rsid w:val="00612158"/>
    <w:rsid w:val="00612199"/>
    <w:rsid w:val="00612222"/>
    <w:rsid w:val="00612396"/>
    <w:rsid w:val="0061263C"/>
    <w:rsid w:val="00612693"/>
    <w:rsid w:val="006128A0"/>
    <w:rsid w:val="00612AA2"/>
    <w:rsid w:val="00612AEF"/>
    <w:rsid w:val="00612B02"/>
    <w:rsid w:val="00612D30"/>
    <w:rsid w:val="00612E58"/>
    <w:rsid w:val="00612EF7"/>
    <w:rsid w:val="00613102"/>
    <w:rsid w:val="00613252"/>
    <w:rsid w:val="00613536"/>
    <w:rsid w:val="0061360F"/>
    <w:rsid w:val="00613A2F"/>
    <w:rsid w:val="00613E80"/>
    <w:rsid w:val="00613F43"/>
    <w:rsid w:val="00613F47"/>
    <w:rsid w:val="0061405F"/>
    <w:rsid w:val="00614288"/>
    <w:rsid w:val="006142BC"/>
    <w:rsid w:val="006147B1"/>
    <w:rsid w:val="006148E4"/>
    <w:rsid w:val="006148E9"/>
    <w:rsid w:val="006148ED"/>
    <w:rsid w:val="00614961"/>
    <w:rsid w:val="00614A5E"/>
    <w:rsid w:val="00614CF6"/>
    <w:rsid w:val="00614D93"/>
    <w:rsid w:val="00614E9F"/>
    <w:rsid w:val="006153D3"/>
    <w:rsid w:val="0061547E"/>
    <w:rsid w:val="0061555F"/>
    <w:rsid w:val="00615602"/>
    <w:rsid w:val="0061569A"/>
    <w:rsid w:val="006157D7"/>
    <w:rsid w:val="006159F9"/>
    <w:rsid w:val="00615E0B"/>
    <w:rsid w:val="00615F1E"/>
    <w:rsid w:val="006160A3"/>
    <w:rsid w:val="0061639E"/>
    <w:rsid w:val="006164F9"/>
    <w:rsid w:val="00616501"/>
    <w:rsid w:val="006166AA"/>
    <w:rsid w:val="00617029"/>
    <w:rsid w:val="00617385"/>
    <w:rsid w:val="00617396"/>
    <w:rsid w:val="00617885"/>
    <w:rsid w:val="00617CE0"/>
    <w:rsid w:val="006201F8"/>
    <w:rsid w:val="006204B1"/>
    <w:rsid w:val="006204F1"/>
    <w:rsid w:val="006204FD"/>
    <w:rsid w:val="006207D9"/>
    <w:rsid w:val="00620803"/>
    <w:rsid w:val="0062080C"/>
    <w:rsid w:val="00620897"/>
    <w:rsid w:val="00620974"/>
    <w:rsid w:val="006209BA"/>
    <w:rsid w:val="00620CFE"/>
    <w:rsid w:val="00620D20"/>
    <w:rsid w:val="00620F6A"/>
    <w:rsid w:val="006210F6"/>
    <w:rsid w:val="00621113"/>
    <w:rsid w:val="0062125B"/>
    <w:rsid w:val="006216C9"/>
    <w:rsid w:val="0062177C"/>
    <w:rsid w:val="00621902"/>
    <w:rsid w:val="00621E34"/>
    <w:rsid w:val="00621E4F"/>
    <w:rsid w:val="00621EBD"/>
    <w:rsid w:val="00621FF9"/>
    <w:rsid w:val="00622075"/>
    <w:rsid w:val="00622152"/>
    <w:rsid w:val="00622216"/>
    <w:rsid w:val="00622243"/>
    <w:rsid w:val="00622288"/>
    <w:rsid w:val="00622375"/>
    <w:rsid w:val="006227EA"/>
    <w:rsid w:val="0062282D"/>
    <w:rsid w:val="006228FD"/>
    <w:rsid w:val="006229B4"/>
    <w:rsid w:val="00622A17"/>
    <w:rsid w:val="00622BBE"/>
    <w:rsid w:val="00622C5C"/>
    <w:rsid w:val="00622CA3"/>
    <w:rsid w:val="00623022"/>
    <w:rsid w:val="0062304E"/>
    <w:rsid w:val="0062307B"/>
    <w:rsid w:val="00623095"/>
    <w:rsid w:val="0062342A"/>
    <w:rsid w:val="0062358D"/>
    <w:rsid w:val="00623B38"/>
    <w:rsid w:val="00623D1C"/>
    <w:rsid w:val="00623D6C"/>
    <w:rsid w:val="006242EA"/>
    <w:rsid w:val="006243D8"/>
    <w:rsid w:val="0062473F"/>
    <w:rsid w:val="006247D7"/>
    <w:rsid w:val="0062498E"/>
    <w:rsid w:val="00624B99"/>
    <w:rsid w:val="00624CD2"/>
    <w:rsid w:val="00624D3B"/>
    <w:rsid w:val="006253EF"/>
    <w:rsid w:val="006255B5"/>
    <w:rsid w:val="006255BD"/>
    <w:rsid w:val="0062581A"/>
    <w:rsid w:val="006259EA"/>
    <w:rsid w:val="00625A15"/>
    <w:rsid w:val="00625A52"/>
    <w:rsid w:val="00625A85"/>
    <w:rsid w:val="00625B10"/>
    <w:rsid w:val="00625BC2"/>
    <w:rsid w:val="00625CD4"/>
    <w:rsid w:val="00625F3B"/>
    <w:rsid w:val="00625F52"/>
    <w:rsid w:val="00625FFF"/>
    <w:rsid w:val="00626222"/>
    <w:rsid w:val="00626316"/>
    <w:rsid w:val="00626421"/>
    <w:rsid w:val="00626676"/>
    <w:rsid w:val="006266B8"/>
    <w:rsid w:val="006267D3"/>
    <w:rsid w:val="00626D9B"/>
    <w:rsid w:val="00626E94"/>
    <w:rsid w:val="00626F46"/>
    <w:rsid w:val="00626F8C"/>
    <w:rsid w:val="0062701B"/>
    <w:rsid w:val="00627111"/>
    <w:rsid w:val="00627119"/>
    <w:rsid w:val="00627461"/>
    <w:rsid w:val="006274A8"/>
    <w:rsid w:val="006279F2"/>
    <w:rsid w:val="00627C4D"/>
    <w:rsid w:val="00627E01"/>
    <w:rsid w:val="00627E49"/>
    <w:rsid w:val="00630047"/>
    <w:rsid w:val="0063008B"/>
    <w:rsid w:val="006302F5"/>
    <w:rsid w:val="00630408"/>
    <w:rsid w:val="00630672"/>
    <w:rsid w:val="00630839"/>
    <w:rsid w:val="006308C7"/>
    <w:rsid w:val="0063092F"/>
    <w:rsid w:val="00630A20"/>
    <w:rsid w:val="00630AE8"/>
    <w:rsid w:val="00630B31"/>
    <w:rsid w:val="006312FF"/>
    <w:rsid w:val="0063139A"/>
    <w:rsid w:val="00631434"/>
    <w:rsid w:val="0063166A"/>
    <w:rsid w:val="0063197C"/>
    <w:rsid w:val="00631AA9"/>
    <w:rsid w:val="00631C70"/>
    <w:rsid w:val="00631CA1"/>
    <w:rsid w:val="00632376"/>
    <w:rsid w:val="006325E5"/>
    <w:rsid w:val="00632895"/>
    <w:rsid w:val="00632958"/>
    <w:rsid w:val="00632B7A"/>
    <w:rsid w:val="00632C89"/>
    <w:rsid w:val="00632D10"/>
    <w:rsid w:val="00633063"/>
    <w:rsid w:val="0063324F"/>
    <w:rsid w:val="00633280"/>
    <w:rsid w:val="0063340C"/>
    <w:rsid w:val="006335DF"/>
    <w:rsid w:val="00633625"/>
    <w:rsid w:val="006336A5"/>
    <w:rsid w:val="00633811"/>
    <w:rsid w:val="00633BAA"/>
    <w:rsid w:val="00633F21"/>
    <w:rsid w:val="006343E5"/>
    <w:rsid w:val="00634581"/>
    <w:rsid w:val="00634693"/>
    <w:rsid w:val="006346EC"/>
    <w:rsid w:val="0063492A"/>
    <w:rsid w:val="00634981"/>
    <w:rsid w:val="00634B75"/>
    <w:rsid w:val="00634C4F"/>
    <w:rsid w:val="00634C9F"/>
    <w:rsid w:val="00634DB9"/>
    <w:rsid w:val="00634ECA"/>
    <w:rsid w:val="00634F80"/>
    <w:rsid w:val="00635087"/>
    <w:rsid w:val="0063518C"/>
    <w:rsid w:val="00635252"/>
    <w:rsid w:val="006352C9"/>
    <w:rsid w:val="00635578"/>
    <w:rsid w:val="00635C53"/>
    <w:rsid w:val="006360E8"/>
    <w:rsid w:val="00636502"/>
    <w:rsid w:val="00636833"/>
    <w:rsid w:val="006369E1"/>
    <w:rsid w:val="006369EA"/>
    <w:rsid w:val="00636B37"/>
    <w:rsid w:val="00636C83"/>
    <w:rsid w:val="00636CED"/>
    <w:rsid w:val="00636E44"/>
    <w:rsid w:val="00636EAF"/>
    <w:rsid w:val="00637082"/>
    <w:rsid w:val="006371D5"/>
    <w:rsid w:val="00637204"/>
    <w:rsid w:val="006372F2"/>
    <w:rsid w:val="00637AEF"/>
    <w:rsid w:val="00637D0C"/>
    <w:rsid w:val="0064019A"/>
    <w:rsid w:val="006401C0"/>
    <w:rsid w:val="0064057E"/>
    <w:rsid w:val="0064062C"/>
    <w:rsid w:val="006407AA"/>
    <w:rsid w:val="00640C63"/>
    <w:rsid w:val="00640D2B"/>
    <w:rsid w:val="00641162"/>
    <w:rsid w:val="00641166"/>
    <w:rsid w:val="00641227"/>
    <w:rsid w:val="00641337"/>
    <w:rsid w:val="00641396"/>
    <w:rsid w:val="0064172A"/>
    <w:rsid w:val="006419EA"/>
    <w:rsid w:val="00641A48"/>
    <w:rsid w:val="00641D7C"/>
    <w:rsid w:val="00641E43"/>
    <w:rsid w:val="00641F4F"/>
    <w:rsid w:val="00641F66"/>
    <w:rsid w:val="00642033"/>
    <w:rsid w:val="00642093"/>
    <w:rsid w:val="00642747"/>
    <w:rsid w:val="00642838"/>
    <w:rsid w:val="00642894"/>
    <w:rsid w:val="00642932"/>
    <w:rsid w:val="0064309E"/>
    <w:rsid w:val="006431AC"/>
    <w:rsid w:val="0064320D"/>
    <w:rsid w:val="006432E6"/>
    <w:rsid w:val="006435F5"/>
    <w:rsid w:val="00643796"/>
    <w:rsid w:val="006437C4"/>
    <w:rsid w:val="006439BF"/>
    <w:rsid w:val="006439DF"/>
    <w:rsid w:val="00643B44"/>
    <w:rsid w:val="00643D51"/>
    <w:rsid w:val="00643F0C"/>
    <w:rsid w:val="00643F93"/>
    <w:rsid w:val="00643FD7"/>
    <w:rsid w:val="006440A2"/>
    <w:rsid w:val="00644243"/>
    <w:rsid w:val="00644363"/>
    <w:rsid w:val="00644764"/>
    <w:rsid w:val="00644FA1"/>
    <w:rsid w:val="006451FB"/>
    <w:rsid w:val="006455D5"/>
    <w:rsid w:val="00645712"/>
    <w:rsid w:val="0064586C"/>
    <w:rsid w:val="00645988"/>
    <w:rsid w:val="00645B97"/>
    <w:rsid w:val="00645C80"/>
    <w:rsid w:val="00645FA6"/>
    <w:rsid w:val="00645FCA"/>
    <w:rsid w:val="006462BE"/>
    <w:rsid w:val="006463DF"/>
    <w:rsid w:val="0064669B"/>
    <w:rsid w:val="00646896"/>
    <w:rsid w:val="0064693D"/>
    <w:rsid w:val="00646CEA"/>
    <w:rsid w:val="00646E2C"/>
    <w:rsid w:val="00646E6E"/>
    <w:rsid w:val="006472D0"/>
    <w:rsid w:val="00647586"/>
    <w:rsid w:val="0064780D"/>
    <w:rsid w:val="00647810"/>
    <w:rsid w:val="006478CC"/>
    <w:rsid w:val="00647AB6"/>
    <w:rsid w:val="00647C4D"/>
    <w:rsid w:val="00647D8E"/>
    <w:rsid w:val="00647E47"/>
    <w:rsid w:val="00647EF5"/>
    <w:rsid w:val="00650316"/>
    <w:rsid w:val="0065034B"/>
    <w:rsid w:val="00650533"/>
    <w:rsid w:val="00650596"/>
    <w:rsid w:val="00650676"/>
    <w:rsid w:val="006506DE"/>
    <w:rsid w:val="00650885"/>
    <w:rsid w:val="0065089F"/>
    <w:rsid w:val="00650A33"/>
    <w:rsid w:val="00650F03"/>
    <w:rsid w:val="00651005"/>
    <w:rsid w:val="006510CF"/>
    <w:rsid w:val="00651107"/>
    <w:rsid w:val="006511EE"/>
    <w:rsid w:val="00651248"/>
    <w:rsid w:val="0065124E"/>
    <w:rsid w:val="006513B1"/>
    <w:rsid w:val="00651522"/>
    <w:rsid w:val="00651A27"/>
    <w:rsid w:val="00651C9B"/>
    <w:rsid w:val="00651DBE"/>
    <w:rsid w:val="00651F7D"/>
    <w:rsid w:val="0065217C"/>
    <w:rsid w:val="00652320"/>
    <w:rsid w:val="00652387"/>
    <w:rsid w:val="00652518"/>
    <w:rsid w:val="0065256C"/>
    <w:rsid w:val="0065267E"/>
    <w:rsid w:val="00652A4B"/>
    <w:rsid w:val="00652AB4"/>
    <w:rsid w:val="00652D77"/>
    <w:rsid w:val="00652DB5"/>
    <w:rsid w:val="00653082"/>
    <w:rsid w:val="0065309F"/>
    <w:rsid w:val="00653175"/>
    <w:rsid w:val="006531ED"/>
    <w:rsid w:val="00653265"/>
    <w:rsid w:val="00653353"/>
    <w:rsid w:val="00653374"/>
    <w:rsid w:val="006534A5"/>
    <w:rsid w:val="0065392B"/>
    <w:rsid w:val="00653977"/>
    <w:rsid w:val="006539C5"/>
    <w:rsid w:val="00653A71"/>
    <w:rsid w:val="00653BCB"/>
    <w:rsid w:val="00653C65"/>
    <w:rsid w:val="00653C73"/>
    <w:rsid w:val="00653E1C"/>
    <w:rsid w:val="00653E20"/>
    <w:rsid w:val="00653F2F"/>
    <w:rsid w:val="006540B3"/>
    <w:rsid w:val="0065419B"/>
    <w:rsid w:val="00654227"/>
    <w:rsid w:val="006544CC"/>
    <w:rsid w:val="006544DE"/>
    <w:rsid w:val="00654710"/>
    <w:rsid w:val="00654753"/>
    <w:rsid w:val="006547E4"/>
    <w:rsid w:val="00654C87"/>
    <w:rsid w:val="00654E10"/>
    <w:rsid w:val="00655285"/>
    <w:rsid w:val="006554BF"/>
    <w:rsid w:val="006554FE"/>
    <w:rsid w:val="0065559B"/>
    <w:rsid w:val="00655749"/>
    <w:rsid w:val="0065593C"/>
    <w:rsid w:val="006559C9"/>
    <w:rsid w:val="006559E6"/>
    <w:rsid w:val="00655A1A"/>
    <w:rsid w:val="00655C46"/>
    <w:rsid w:val="00655CB1"/>
    <w:rsid w:val="00655D16"/>
    <w:rsid w:val="00655F60"/>
    <w:rsid w:val="006563F8"/>
    <w:rsid w:val="00656576"/>
    <w:rsid w:val="00656889"/>
    <w:rsid w:val="00656A95"/>
    <w:rsid w:val="00656C1F"/>
    <w:rsid w:val="00656CC0"/>
    <w:rsid w:val="00656D0D"/>
    <w:rsid w:val="00656D4E"/>
    <w:rsid w:val="00656DA4"/>
    <w:rsid w:val="00656E49"/>
    <w:rsid w:val="00656EE1"/>
    <w:rsid w:val="00656F5F"/>
    <w:rsid w:val="00656FF4"/>
    <w:rsid w:val="0065703C"/>
    <w:rsid w:val="006570BC"/>
    <w:rsid w:val="0065712A"/>
    <w:rsid w:val="00657206"/>
    <w:rsid w:val="00657395"/>
    <w:rsid w:val="006573BD"/>
    <w:rsid w:val="00657451"/>
    <w:rsid w:val="00657460"/>
    <w:rsid w:val="00657969"/>
    <w:rsid w:val="00657A30"/>
    <w:rsid w:val="00657B91"/>
    <w:rsid w:val="00657C58"/>
    <w:rsid w:val="00657D5D"/>
    <w:rsid w:val="00657DAE"/>
    <w:rsid w:val="00657F63"/>
    <w:rsid w:val="0066017F"/>
    <w:rsid w:val="00660496"/>
    <w:rsid w:val="006605C3"/>
    <w:rsid w:val="00660811"/>
    <w:rsid w:val="0066085E"/>
    <w:rsid w:val="00660EC0"/>
    <w:rsid w:val="00660FB7"/>
    <w:rsid w:val="006613EF"/>
    <w:rsid w:val="00661524"/>
    <w:rsid w:val="0066182B"/>
    <w:rsid w:val="00661899"/>
    <w:rsid w:val="00661BE2"/>
    <w:rsid w:val="00661DF9"/>
    <w:rsid w:val="006620D7"/>
    <w:rsid w:val="006625A6"/>
    <w:rsid w:val="00662841"/>
    <w:rsid w:val="00662968"/>
    <w:rsid w:val="00662969"/>
    <w:rsid w:val="00662975"/>
    <w:rsid w:val="00662B90"/>
    <w:rsid w:val="00662CC6"/>
    <w:rsid w:val="00662EBC"/>
    <w:rsid w:val="00663017"/>
    <w:rsid w:val="006631CE"/>
    <w:rsid w:val="00663368"/>
    <w:rsid w:val="006639AB"/>
    <w:rsid w:val="006639EE"/>
    <w:rsid w:val="00663AA1"/>
    <w:rsid w:val="00663E9A"/>
    <w:rsid w:val="00663EEF"/>
    <w:rsid w:val="00663FA2"/>
    <w:rsid w:val="00663FAD"/>
    <w:rsid w:val="00664141"/>
    <w:rsid w:val="0066461B"/>
    <w:rsid w:val="0066463E"/>
    <w:rsid w:val="00664794"/>
    <w:rsid w:val="00664BF5"/>
    <w:rsid w:val="00664D70"/>
    <w:rsid w:val="00664F21"/>
    <w:rsid w:val="00664F7C"/>
    <w:rsid w:val="00664F7F"/>
    <w:rsid w:val="00664FE7"/>
    <w:rsid w:val="0066501C"/>
    <w:rsid w:val="006650DA"/>
    <w:rsid w:val="006651AD"/>
    <w:rsid w:val="006652F5"/>
    <w:rsid w:val="0066543F"/>
    <w:rsid w:val="00665724"/>
    <w:rsid w:val="00665732"/>
    <w:rsid w:val="006658C0"/>
    <w:rsid w:val="00665B22"/>
    <w:rsid w:val="00665C5C"/>
    <w:rsid w:val="00665C60"/>
    <w:rsid w:val="00665CD1"/>
    <w:rsid w:val="006661FE"/>
    <w:rsid w:val="00666325"/>
    <w:rsid w:val="00666688"/>
    <w:rsid w:val="006667E0"/>
    <w:rsid w:val="0066692C"/>
    <w:rsid w:val="00666A7A"/>
    <w:rsid w:val="00666B28"/>
    <w:rsid w:val="00666BC8"/>
    <w:rsid w:val="00666BF3"/>
    <w:rsid w:val="00666C15"/>
    <w:rsid w:val="00666DDA"/>
    <w:rsid w:val="00666FB2"/>
    <w:rsid w:val="006671C0"/>
    <w:rsid w:val="00667353"/>
    <w:rsid w:val="006673EE"/>
    <w:rsid w:val="00667669"/>
    <w:rsid w:val="0066790D"/>
    <w:rsid w:val="00667918"/>
    <w:rsid w:val="00667930"/>
    <w:rsid w:val="00667A67"/>
    <w:rsid w:val="00667AAA"/>
    <w:rsid w:val="00667BF3"/>
    <w:rsid w:val="00667C78"/>
    <w:rsid w:val="00667DEF"/>
    <w:rsid w:val="00667DF5"/>
    <w:rsid w:val="00667EB7"/>
    <w:rsid w:val="00670004"/>
    <w:rsid w:val="006700B8"/>
    <w:rsid w:val="00670139"/>
    <w:rsid w:val="0067031E"/>
    <w:rsid w:val="006703CF"/>
    <w:rsid w:val="0067042D"/>
    <w:rsid w:val="0067058D"/>
    <w:rsid w:val="006708D4"/>
    <w:rsid w:val="00670A5F"/>
    <w:rsid w:val="00670AA6"/>
    <w:rsid w:val="00670B10"/>
    <w:rsid w:val="00670B94"/>
    <w:rsid w:val="00670D1A"/>
    <w:rsid w:val="00670E00"/>
    <w:rsid w:val="00670EB6"/>
    <w:rsid w:val="00671167"/>
    <w:rsid w:val="006714FC"/>
    <w:rsid w:val="00671632"/>
    <w:rsid w:val="006719F7"/>
    <w:rsid w:val="00671A4F"/>
    <w:rsid w:val="00671EFD"/>
    <w:rsid w:val="00671F22"/>
    <w:rsid w:val="006720B8"/>
    <w:rsid w:val="006726B8"/>
    <w:rsid w:val="00672770"/>
    <w:rsid w:val="006728B0"/>
    <w:rsid w:val="006729C6"/>
    <w:rsid w:val="00672BFA"/>
    <w:rsid w:val="00672D0D"/>
    <w:rsid w:val="00672D68"/>
    <w:rsid w:val="00672E4C"/>
    <w:rsid w:val="006731ED"/>
    <w:rsid w:val="006732C9"/>
    <w:rsid w:val="006733F4"/>
    <w:rsid w:val="00673400"/>
    <w:rsid w:val="00673C8C"/>
    <w:rsid w:val="00673DA0"/>
    <w:rsid w:val="00673DE1"/>
    <w:rsid w:val="00673ED2"/>
    <w:rsid w:val="006741E1"/>
    <w:rsid w:val="0067421A"/>
    <w:rsid w:val="00674302"/>
    <w:rsid w:val="00674562"/>
    <w:rsid w:val="0067484F"/>
    <w:rsid w:val="00674B20"/>
    <w:rsid w:val="00675174"/>
    <w:rsid w:val="006751CF"/>
    <w:rsid w:val="00675278"/>
    <w:rsid w:val="0067533D"/>
    <w:rsid w:val="0067543E"/>
    <w:rsid w:val="006756A9"/>
    <w:rsid w:val="0067579F"/>
    <w:rsid w:val="00675808"/>
    <w:rsid w:val="00675AD0"/>
    <w:rsid w:val="00675B5E"/>
    <w:rsid w:val="00675D73"/>
    <w:rsid w:val="0067606C"/>
    <w:rsid w:val="0067617A"/>
    <w:rsid w:val="006762B2"/>
    <w:rsid w:val="00676377"/>
    <w:rsid w:val="00676563"/>
    <w:rsid w:val="006766FE"/>
    <w:rsid w:val="0067675F"/>
    <w:rsid w:val="006768AA"/>
    <w:rsid w:val="00676996"/>
    <w:rsid w:val="006769EF"/>
    <w:rsid w:val="00676B76"/>
    <w:rsid w:val="00676BF5"/>
    <w:rsid w:val="00676CB9"/>
    <w:rsid w:val="00676D10"/>
    <w:rsid w:val="00676D27"/>
    <w:rsid w:val="006770B9"/>
    <w:rsid w:val="0067742E"/>
    <w:rsid w:val="00677544"/>
    <w:rsid w:val="00677552"/>
    <w:rsid w:val="00677767"/>
    <w:rsid w:val="0067777A"/>
    <w:rsid w:val="00677910"/>
    <w:rsid w:val="00677B81"/>
    <w:rsid w:val="00677BE0"/>
    <w:rsid w:val="00677C1E"/>
    <w:rsid w:val="00677CF1"/>
    <w:rsid w:val="0068002F"/>
    <w:rsid w:val="0068011E"/>
    <w:rsid w:val="006805E1"/>
    <w:rsid w:val="006806FF"/>
    <w:rsid w:val="0068075D"/>
    <w:rsid w:val="00680A6A"/>
    <w:rsid w:val="00680B3B"/>
    <w:rsid w:val="00680B42"/>
    <w:rsid w:val="00680D6B"/>
    <w:rsid w:val="0068101F"/>
    <w:rsid w:val="0068107D"/>
    <w:rsid w:val="0068127D"/>
    <w:rsid w:val="006816B5"/>
    <w:rsid w:val="006817A5"/>
    <w:rsid w:val="00681854"/>
    <w:rsid w:val="00681964"/>
    <w:rsid w:val="00681B6E"/>
    <w:rsid w:val="00681BDB"/>
    <w:rsid w:val="00682131"/>
    <w:rsid w:val="006821B9"/>
    <w:rsid w:val="00682620"/>
    <w:rsid w:val="00682A19"/>
    <w:rsid w:val="00682C50"/>
    <w:rsid w:val="00682C85"/>
    <w:rsid w:val="00682DF1"/>
    <w:rsid w:val="00682E86"/>
    <w:rsid w:val="006831E0"/>
    <w:rsid w:val="00683304"/>
    <w:rsid w:val="006833B1"/>
    <w:rsid w:val="0068349B"/>
    <w:rsid w:val="0068349D"/>
    <w:rsid w:val="00683501"/>
    <w:rsid w:val="00683577"/>
    <w:rsid w:val="00683A29"/>
    <w:rsid w:val="00683A2F"/>
    <w:rsid w:val="00683ACB"/>
    <w:rsid w:val="00683DEE"/>
    <w:rsid w:val="00683EAF"/>
    <w:rsid w:val="00683F0F"/>
    <w:rsid w:val="00683F30"/>
    <w:rsid w:val="0068432A"/>
    <w:rsid w:val="006843E9"/>
    <w:rsid w:val="00684426"/>
    <w:rsid w:val="006844EE"/>
    <w:rsid w:val="00684511"/>
    <w:rsid w:val="0068456D"/>
    <w:rsid w:val="00684645"/>
    <w:rsid w:val="00684670"/>
    <w:rsid w:val="00684699"/>
    <w:rsid w:val="00684847"/>
    <w:rsid w:val="00684A1C"/>
    <w:rsid w:val="00684DA4"/>
    <w:rsid w:val="00684DA8"/>
    <w:rsid w:val="00684DDB"/>
    <w:rsid w:val="00684DFE"/>
    <w:rsid w:val="00684E62"/>
    <w:rsid w:val="00684F0B"/>
    <w:rsid w:val="00685389"/>
    <w:rsid w:val="00685432"/>
    <w:rsid w:val="006854E2"/>
    <w:rsid w:val="006856BE"/>
    <w:rsid w:val="00685752"/>
    <w:rsid w:val="0068577E"/>
    <w:rsid w:val="00685A64"/>
    <w:rsid w:val="00685AD0"/>
    <w:rsid w:val="00685B71"/>
    <w:rsid w:val="00685D02"/>
    <w:rsid w:val="00685EC8"/>
    <w:rsid w:val="006860A4"/>
    <w:rsid w:val="0068618E"/>
    <w:rsid w:val="006864E6"/>
    <w:rsid w:val="00686778"/>
    <w:rsid w:val="00686802"/>
    <w:rsid w:val="00686864"/>
    <w:rsid w:val="00686977"/>
    <w:rsid w:val="006869FC"/>
    <w:rsid w:val="00686ACA"/>
    <w:rsid w:val="00686DC8"/>
    <w:rsid w:val="00686E29"/>
    <w:rsid w:val="00686E57"/>
    <w:rsid w:val="00686EC8"/>
    <w:rsid w:val="00686ECA"/>
    <w:rsid w:val="00686FBF"/>
    <w:rsid w:val="0068700D"/>
    <w:rsid w:val="006874EC"/>
    <w:rsid w:val="006875DD"/>
    <w:rsid w:val="00687972"/>
    <w:rsid w:val="00690226"/>
    <w:rsid w:val="00690286"/>
    <w:rsid w:val="006902B6"/>
    <w:rsid w:val="0069069D"/>
    <w:rsid w:val="006907A4"/>
    <w:rsid w:val="0069091E"/>
    <w:rsid w:val="00690A31"/>
    <w:rsid w:val="00690A98"/>
    <w:rsid w:val="00690AA0"/>
    <w:rsid w:val="00690AEA"/>
    <w:rsid w:val="00690FA7"/>
    <w:rsid w:val="00691039"/>
    <w:rsid w:val="0069105A"/>
    <w:rsid w:val="0069144B"/>
    <w:rsid w:val="00691542"/>
    <w:rsid w:val="0069170A"/>
    <w:rsid w:val="00691823"/>
    <w:rsid w:val="0069187B"/>
    <w:rsid w:val="00691A92"/>
    <w:rsid w:val="00691B06"/>
    <w:rsid w:val="00691B6F"/>
    <w:rsid w:val="00691C6D"/>
    <w:rsid w:val="00691D50"/>
    <w:rsid w:val="00691EF4"/>
    <w:rsid w:val="00691F1A"/>
    <w:rsid w:val="0069295F"/>
    <w:rsid w:val="00692AEA"/>
    <w:rsid w:val="00692B3D"/>
    <w:rsid w:val="00692E42"/>
    <w:rsid w:val="00692F93"/>
    <w:rsid w:val="00692FC7"/>
    <w:rsid w:val="006931B6"/>
    <w:rsid w:val="006934FB"/>
    <w:rsid w:val="00693747"/>
    <w:rsid w:val="00693A3C"/>
    <w:rsid w:val="00693A99"/>
    <w:rsid w:val="00693D59"/>
    <w:rsid w:val="00693F07"/>
    <w:rsid w:val="0069432B"/>
    <w:rsid w:val="006944C3"/>
    <w:rsid w:val="00694772"/>
    <w:rsid w:val="006947FE"/>
    <w:rsid w:val="00694804"/>
    <w:rsid w:val="00694876"/>
    <w:rsid w:val="0069491C"/>
    <w:rsid w:val="00694975"/>
    <w:rsid w:val="00694EE1"/>
    <w:rsid w:val="006950E2"/>
    <w:rsid w:val="006952CB"/>
    <w:rsid w:val="006955BC"/>
    <w:rsid w:val="0069577A"/>
    <w:rsid w:val="00695AED"/>
    <w:rsid w:val="00695B1D"/>
    <w:rsid w:val="00695BAE"/>
    <w:rsid w:val="00695BB1"/>
    <w:rsid w:val="00695C05"/>
    <w:rsid w:val="00695CC8"/>
    <w:rsid w:val="00696183"/>
    <w:rsid w:val="006963D5"/>
    <w:rsid w:val="00696408"/>
    <w:rsid w:val="006966AE"/>
    <w:rsid w:val="006966AF"/>
    <w:rsid w:val="006967E7"/>
    <w:rsid w:val="0069690E"/>
    <w:rsid w:val="00696D11"/>
    <w:rsid w:val="00696DE2"/>
    <w:rsid w:val="00697313"/>
    <w:rsid w:val="00697497"/>
    <w:rsid w:val="0069750F"/>
    <w:rsid w:val="006976BF"/>
    <w:rsid w:val="00697895"/>
    <w:rsid w:val="00697974"/>
    <w:rsid w:val="00697F2F"/>
    <w:rsid w:val="00697F86"/>
    <w:rsid w:val="006A00D0"/>
    <w:rsid w:val="006A0194"/>
    <w:rsid w:val="006A0435"/>
    <w:rsid w:val="006A06BD"/>
    <w:rsid w:val="006A07CB"/>
    <w:rsid w:val="006A09A9"/>
    <w:rsid w:val="006A0A59"/>
    <w:rsid w:val="006A0E39"/>
    <w:rsid w:val="006A0FA0"/>
    <w:rsid w:val="006A1325"/>
    <w:rsid w:val="006A139C"/>
    <w:rsid w:val="006A144A"/>
    <w:rsid w:val="006A14C0"/>
    <w:rsid w:val="006A1918"/>
    <w:rsid w:val="006A1DCC"/>
    <w:rsid w:val="006A1E51"/>
    <w:rsid w:val="006A1E60"/>
    <w:rsid w:val="006A1EA7"/>
    <w:rsid w:val="006A211B"/>
    <w:rsid w:val="006A2183"/>
    <w:rsid w:val="006A2407"/>
    <w:rsid w:val="006A2682"/>
    <w:rsid w:val="006A2805"/>
    <w:rsid w:val="006A28E8"/>
    <w:rsid w:val="006A293D"/>
    <w:rsid w:val="006A2B5D"/>
    <w:rsid w:val="006A2BA6"/>
    <w:rsid w:val="006A2D2A"/>
    <w:rsid w:val="006A32D3"/>
    <w:rsid w:val="006A33C5"/>
    <w:rsid w:val="006A3451"/>
    <w:rsid w:val="006A3486"/>
    <w:rsid w:val="006A365F"/>
    <w:rsid w:val="006A394C"/>
    <w:rsid w:val="006A3D05"/>
    <w:rsid w:val="006A3E7B"/>
    <w:rsid w:val="006A3F6E"/>
    <w:rsid w:val="006A4038"/>
    <w:rsid w:val="006A4163"/>
    <w:rsid w:val="006A449B"/>
    <w:rsid w:val="006A4558"/>
    <w:rsid w:val="006A4755"/>
    <w:rsid w:val="006A4804"/>
    <w:rsid w:val="006A486E"/>
    <w:rsid w:val="006A52B7"/>
    <w:rsid w:val="006A5659"/>
    <w:rsid w:val="006A578F"/>
    <w:rsid w:val="006A5ADD"/>
    <w:rsid w:val="006A5B40"/>
    <w:rsid w:val="006A5B90"/>
    <w:rsid w:val="006A5DB5"/>
    <w:rsid w:val="006A5DB7"/>
    <w:rsid w:val="006A5E33"/>
    <w:rsid w:val="006A5FFD"/>
    <w:rsid w:val="006A61FE"/>
    <w:rsid w:val="006A6734"/>
    <w:rsid w:val="006A678B"/>
    <w:rsid w:val="006A6954"/>
    <w:rsid w:val="006A6D8A"/>
    <w:rsid w:val="006A7066"/>
    <w:rsid w:val="006A7331"/>
    <w:rsid w:val="006A76C6"/>
    <w:rsid w:val="006A7749"/>
    <w:rsid w:val="006A79CC"/>
    <w:rsid w:val="006A7C7D"/>
    <w:rsid w:val="006A7D1F"/>
    <w:rsid w:val="006A7D3B"/>
    <w:rsid w:val="006A7DD9"/>
    <w:rsid w:val="006A7E20"/>
    <w:rsid w:val="006A7EC6"/>
    <w:rsid w:val="006A7F2B"/>
    <w:rsid w:val="006B0121"/>
    <w:rsid w:val="006B0299"/>
    <w:rsid w:val="006B02EA"/>
    <w:rsid w:val="006B0C06"/>
    <w:rsid w:val="006B0C7F"/>
    <w:rsid w:val="006B0CDE"/>
    <w:rsid w:val="006B1012"/>
    <w:rsid w:val="006B1077"/>
    <w:rsid w:val="006B16AB"/>
    <w:rsid w:val="006B1AD8"/>
    <w:rsid w:val="006B2230"/>
    <w:rsid w:val="006B2352"/>
    <w:rsid w:val="006B23E2"/>
    <w:rsid w:val="006B2440"/>
    <w:rsid w:val="006B25E9"/>
    <w:rsid w:val="006B26B8"/>
    <w:rsid w:val="006B2765"/>
    <w:rsid w:val="006B27EE"/>
    <w:rsid w:val="006B2962"/>
    <w:rsid w:val="006B2EAE"/>
    <w:rsid w:val="006B2F35"/>
    <w:rsid w:val="006B2F5C"/>
    <w:rsid w:val="006B2F8F"/>
    <w:rsid w:val="006B2FBB"/>
    <w:rsid w:val="006B3061"/>
    <w:rsid w:val="006B3089"/>
    <w:rsid w:val="006B313E"/>
    <w:rsid w:val="006B344D"/>
    <w:rsid w:val="006B34AD"/>
    <w:rsid w:val="006B368C"/>
    <w:rsid w:val="006B37F3"/>
    <w:rsid w:val="006B3813"/>
    <w:rsid w:val="006B3AC9"/>
    <w:rsid w:val="006B3C0F"/>
    <w:rsid w:val="006B3DF8"/>
    <w:rsid w:val="006B3EBA"/>
    <w:rsid w:val="006B3F39"/>
    <w:rsid w:val="006B4213"/>
    <w:rsid w:val="006B425D"/>
    <w:rsid w:val="006B43DD"/>
    <w:rsid w:val="006B48FE"/>
    <w:rsid w:val="006B4A73"/>
    <w:rsid w:val="006B4DB5"/>
    <w:rsid w:val="006B4E4C"/>
    <w:rsid w:val="006B4F4A"/>
    <w:rsid w:val="006B4F85"/>
    <w:rsid w:val="006B5099"/>
    <w:rsid w:val="006B50DB"/>
    <w:rsid w:val="006B52DF"/>
    <w:rsid w:val="006B5595"/>
    <w:rsid w:val="006B573D"/>
    <w:rsid w:val="006B58AE"/>
    <w:rsid w:val="006B5983"/>
    <w:rsid w:val="006B5A0E"/>
    <w:rsid w:val="006B5C79"/>
    <w:rsid w:val="006B5F42"/>
    <w:rsid w:val="006B5F7D"/>
    <w:rsid w:val="006B6069"/>
    <w:rsid w:val="006B6195"/>
    <w:rsid w:val="006B6230"/>
    <w:rsid w:val="006B659C"/>
    <w:rsid w:val="006B668C"/>
    <w:rsid w:val="006B6691"/>
    <w:rsid w:val="006B6F23"/>
    <w:rsid w:val="006B711B"/>
    <w:rsid w:val="006B7171"/>
    <w:rsid w:val="006B73A8"/>
    <w:rsid w:val="006B73B3"/>
    <w:rsid w:val="006B7666"/>
    <w:rsid w:val="006B77BE"/>
    <w:rsid w:val="006B78CE"/>
    <w:rsid w:val="006B79C6"/>
    <w:rsid w:val="006B7ADF"/>
    <w:rsid w:val="006B7C8D"/>
    <w:rsid w:val="006B7D32"/>
    <w:rsid w:val="006B7DA1"/>
    <w:rsid w:val="006B7EC4"/>
    <w:rsid w:val="006C005F"/>
    <w:rsid w:val="006C00E2"/>
    <w:rsid w:val="006C012F"/>
    <w:rsid w:val="006C017B"/>
    <w:rsid w:val="006C01FA"/>
    <w:rsid w:val="006C0362"/>
    <w:rsid w:val="006C058A"/>
    <w:rsid w:val="006C0685"/>
    <w:rsid w:val="006C080F"/>
    <w:rsid w:val="006C0BCC"/>
    <w:rsid w:val="006C0BD8"/>
    <w:rsid w:val="006C0C4B"/>
    <w:rsid w:val="006C0EC0"/>
    <w:rsid w:val="006C0F76"/>
    <w:rsid w:val="006C1385"/>
    <w:rsid w:val="006C1463"/>
    <w:rsid w:val="006C1470"/>
    <w:rsid w:val="006C15EB"/>
    <w:rsid w:val="006C1745"/>
    <w:rsid w:val="006C197B"/>
    <w:rsid w:val="006C1A21"/>
    <w:rsid w:val="006C1A4E"/>
    <w:rsid w:val="006C1A7B"/>
    <w:rsid w:val="006C1A8F"/>
    <w:rsid w:val="006C1CA1"/>
    <w:rsid w:val="006C1E75"/>
    <w:rsid w:val="006C253E"/>
    <w:rsid w:val="006C259C"/>
    <w:rsid w:val="006C29FD"/>
    <w:rsid w:val="006C2E04"/>
    <w:rsid w:val="006C2E1E"/>
    <w:rsid w:val="006C2E32"/>
    <w:rsid w:val="006C2F0F"/>
    <w:rsid w:val="006C2F51"/>
    <w:rsid w:val="006C32C8"/>
    <w:rsid w:val="006C358D"/>
    <w:rsid w:val="006C359D"/>
    <w:rsid w:val="006C36AC"/>
    <w:rsid w:val="006C3916"/>
    <w:rsid w:val="006C39CD"/>
    <w:rsid w:val="006C3A07"/>
    <w:rsid w:val="006C3C81"/>
    <w:rsid w:val="006C3F41"/>
    <w:rsid w:val="006C403D"/>
    <w:rsid w:val="006C41C4"/>
    <w:rsid w:val="006C4295"/>
    <w:rsid w:val="006C42F4"/>
    <w:rsid w:val="006C447F"/>
    <w:rsid w:val="006C4652"/>
    <w:rsid w:val="006C4710"/>
    <w:rsid w:val="006C4733"/>
    <w:rsid w:val="006C4988"/>
    <w:rsid w:val="006C4BDE"/>
    <w:rsid w:val="006C4C4F"/>
    <w:rsid w:val="006C4F93"/>
    <w:rsid w:val="006C5001"/>
    <w:rsid w:val="006C515A"/>
    <w:rsid w:val="006C52CA"/>
    <w:rsid w:val="006C54DC"/>
    <w:rsid w:val="006C554D"/>
    <w:rsid w:val="006C5972"/>
    <w:rsid w:val="006C5B21"/>
    <w:rsid w:val="006C5CF1"/>
    <w:rsid w:val="006C5D2D"/>
    <w:rsid w:val="006C5D46"/>
    <w:rsid w:val="006C604B"/>
    <w:rsid w:val="006C60F9"/>
    <w:rsid w:val="006C62FF"/>
    <w:rsid w:val="006C6421"/>
    <w:rsid w:val="006C643D"/>
    <w:rsid w:val="006C64D7"/>
    <w:rsid w:val="006C6572"/>
    <w:rsid w:val="006C6598"/>
    <w:rsid w:val="006C6614"/>
    <w:rsid w:val="006C6A90"/>
    <w:rsid w:val="006C6DD4"/>
    <w:rsid w:val="006C72D7"/>
    <w:rsid w:val="006C7329"/>
    <w:rsid w:val="006C741A"/>
    <w:rsid w:val="006C7460"/>
    <w:rsid w:val="006C74C0"/>
    <w:rsid w:val="006C769E"/>
    <w:rsid w:val="006C7735"/>
    <w:rsid w:val="006C7BC0"/>
    <w:rsid w:val="006C7ED3"/>
    <w:rsid w:val="006D022F"/>
    <w:rsid w:val="006D05CB"/>
    <w:rsid w:val="006D06D8"/>
    <w:rsid w:val="006D0813"/>
    <w:rsid w:val="006D08B4"/>
    <w:rsid w:val="006D099E"/>
    <w:rsid w:val="006D0B06"/>
    <w:rsid w:val="006D0C88"/>
    <w:rsid w:val="006D0D4F"/>
    <w:rsid w:val="006D0ECC"/>
    <w:rsid w:val="006D110A"/>
    <w:rsid w:val="006D1175"/>
    <w:rsid w:val="006D1834"/>
    <w:rsid w:val="006D18E2"/>
    <w:rsid w:val="006D193F"/>
    <w:rsid w:val="006D1940"/>
    <w:rsid w:val="006D1A46"/>
    <w:rsid w:val="006D22BD"/>
    <w:rsid w:val="006D23F7"/>
    <w:rsid w:val="006D24CF"/>
    <w:rsid w:val="006D275B"/>
    <w:rsid w:val="006D2778"/>
    <w:rsid w:val="006D29D7"/>
    <w:rsid w:val="006D29F0"/>
    <w:rsid w:val="006D2B83"/>
    <w:rsid w:val="006D2E87"/>
    <w:rsid w:val="006D31AC"/>
    <w:rsid w:val="006D350B"/>
    <w:rsid w:val="006D38C7"/>
    <w:rsid w:val="006D3955"/>
    <w:rsid w:val="006D3A09"/>
    <w:rsid w:val="006D3C4B"/>
    <w:rsid w:val="006D3F2B"/>
    <w:rsid w:val="006D4038"/>
    <w:rsid w:val="006D428C"/>
    <w:rsid w:val="006D455D"/>
    <w:rsid w:val="006D458C"/>
    <w:rsid w:val="006D46FF"/>
    <w:rsid w:val="006D4752"/>
    <w:rsid w:val="006D48E5"/>
    <w:rsid w:val="006D4A81"/>
    <w:rsid w:val="006D4B3B"/>
    <w:rsid w:val="006D4D09"/>
    <w:rsid w:val="006D4D75"/>
    <w:rsid w:val="006D4EC1"/>
    <w:rsid w:val="006D5136"/>
    <w:rsid w:val="006D5186"/>
    <w:rsid w:val="006D5308"/>
    <w:rsid w:val="006D5356"/>
    <w:rsid w:val="006D540E"/>
    <w:rsid w:val="006D582E"/>
    <w:rsid w:val="006D58E6"/>
    <w:rsid w:val="006D6051"/>
    <w:rsid w:val="006D62DE"/>
    <w:rsid w:val="006D648F"/>
    <w:rsid w:val="006D65F3"/>
    <w:rsid w:val="006D68BE"/>
    <w:rsid w:val="006D6935"/>
    <w:rsid w:val="006D6ABC"/>
    <w:rsid w:val="006D6ABF"/>
    <w:rsid w:val="006D6C95"/>
    <w:rsid w:val="006D6FB7"/>
    <w:rsid w:val="006D715F"/>
    <w:rsid w:val="006D7483"/>
    <w:rsid w:val="006D79B5"/>
    <w:rsid w:val="006D7A7D"/>
    <w:rsid w:val="006D7AFB"/>
    <w:rsid w:val="006D7C0A"/>
    <w:rsid w:val="006D7CCC"/>
    <w:rsid w:val="006D7F9A"/>
    <w:rsid w:val="006E00A6"/>
    <w:rsid w:val="006E0326"/>
    <w:rsid w:val="006E04AE"/>
    <w:rsid w:val="006E057D"/>
    <w:rsid w:val="006E064E"/>
    <w:rsid w:val="006E08A5"/>
    <w:rsid w:val="006E09C5"/>
    <w:rsid w:val="006E0D80"/>
    <w:rsid w:val="006E0F8F"/>
    <w:rsid w:val="006E1111"/>
    <w:rsid w:val="006E11A5"/>
    <w:rsid w:val="006E1240"/>
    <w:rsid w:val="006E135C"/>
    <w:rsid w:val="006E1735"/>
    <w:rsid w:val="006E1973"/>
    <w:rsid w:val="006E199F"/>
    <w:rsid w:val="006E1B69"/>
    <w:rsid w:val="006E1BC8"/>
    <w:rsid w:val="006E1C2E"/>
    <w:rsid w:val="006E1CF4"/>
    <w:rsid w:val="006E2084"/>
    <w:rsid w:val="006E2236"/>
    <w:rsid w:val="006E2334"/>
    <w:rsid w:val="006E27E0"/>
    <w:rsid w:val="006E27EF"/>
    <w:rsid w:val="006E288F"/>
    <w:rsid w:val="006E2E09"/>
    <w:rsid w:val="006E2E7F"/>
    <w:rsid w:val="006E31CC"/>
    <w:rsid w:val="006E3611"/>
    <w:rsid w:val="006E3663"/>
    <w:rsid w:val="006E3768"/>
    <w:rsid w:val="006E394D"/>
    <w:rsid w:val="006E3A54"/>
    <w:rsid w:val="006E3CB6"/>
    <w:rsid w:val="006E3D7F"/>
    <w:rsid w:val="006E3E1F"/>
    <w:rsid w:val="006E3E57"/>
    <w:rsid w:val="006E4393"/>
    <w:rsid w:val="006E43F7"/>
    <w:rsid w:val="006E4748"/>
    <w:rsid w:val="006E48C1"/>
    <w:rsid w:val="006E4AAD"/>
    <w:rsid w:val="006E4B7C"/>
    <w:rsid w:val="006E4D59"/>
    <w:rsid w:val="006E4E21"/>
    <w:rsid w:val="006E4E7A"/>
    <w:rsid w:val="006E5096"/>
    <w:rsid w:val="006E527D"/>
    <w:rsid w:val="006E535C"/>
    <w:rsid w:val="006E53C7"/>
    <w:rsid w:val="006E53F7"/>
    <w:rsid w:val="006E5461"/>
    <w:rsid w:val="006E57EA"/>
    <w:rsid w:val="006E57F0"/>
    <w:rsid w:val="006E5995"/>
    <w:rsid w:val="006E59A4"/>
    <w:rsid w:val="006E5B09"/>
    <w:rsid w:val="006E5B0E"/>
    <w:rsid w:val="006E5B76"/>
    <w:rsid w:val="006E5CC1"/>
    <w:rsid w:val="006E5D4F"/>
    <w:rsid w:val="006E5FC1"/>
    <w:rsid w:val="006E61C3"/>
    <w:rsid w:val="006E628E"/>
    <w:rsid w:val="006E637A"/>
    <w:rsid w:val="006E63B1"/>
    <w:rsid w:val="006E63EA"/>
    <w:rsid w:val="006E63FD"/>
    <w:rsid w:val="006E656F"/>
    <w:rsid w:val="006E6680"/>
    <w:rsid w:val="006E68C8"/>
    <w:rsid w:val="006E6AE8"/>
    <w:rsid w:val="006E6B18"/>
    <w:rsid w:val="006E70E9"/>
    <w:rsid w:val="006E73C1"/>
    <w:rsid w:val="006E75B1"/>
    <w:rsid w:val="006E7640"/>
    <w:rsid w:val="006E7660"/>
    <w:rsid w:val="006E76BE"/>
    <w:rsid w:val="006E7C41"/>
    <w:rsid w:val="006E7D3E"/>
    <w:rsid w:val="006E7D41"/>
    <w:rsid w:val="006F0064"/>
    <w:rsid w:val="006F0182"/>
    <w:rsid w:val="006F0245"/>
    <w:rsid w:val="006F0398"/>
    <w:rsid w:val="006F0453"/>
    <w:rsid w:val="006F0968"/>
    <w:rsid w:val="006F0AB9"/>
    <w:rsid w:val="006F0B44"/>
    <w:rsid w:val="006F0D29"/>
    <w:rsid w:val="006F0D31"/>
    <w:rsid w:val="006F0D73"/>
    <w:rsid w:val="006F1067"/>
    <w:rsid w:val="006F1197"/>
    <w:rsid w:val="006F128E"/>
    <w:rsid w:val="006F1324"/>
    <w:rsid w:val="006F13A5"/>
    <w:rsid w:val="006F13CE"/>
    <w:rsid w:val="006F145A"/>
    <w:rsid w:val="006F148C"/>
    <w:rsid w:val="006F1490"/>
    <w:rsid w:val="006F14AB"/>
    <w:rsid w:val="006F17C1"/>
    <w:rsid w:val="006F17DF"/>
    <w:rsid w:val="006F199E"/>
    <w:rsid w:val="006F1CF4"/>
    <w:rsid w:val="006F2026"/>
    <w:rsid w:val="006F203E"/>
    <w:rsid w:val="006F279D"/>
    <w:rsid w:val="006F29FD"/>
    <w:rsid w:val="006F2B10"/>
    <w:rsid w:val="006F2D7F"/>
    <w:rsid w:val="006F2E1B"/>
    <w:rsid w:val="006F2FC6"/>
    <w:rsid w:val="006F31B3"/>
    <w:rsid w:val="006F3234"/>
    <w:rsid w:val="006F3235"/>
    <w:rsid w:val="006F32F4"/>
    <w:rsid w:val="006F34F4"/>
    <w:rsid w:val="006F36EB"/>
    <w:rsid w:val="006F3805"/>
    <w:rsid w:val="006F389B"/>
    <w:rsid w:val="006F3927"/>
    <w:rsid w:val="006F3A67"/>
    <w:rsid w:val="006F3D75"/>
    <w:rsid w:val="006F3EE3"/>
    <w:rsid w:val="006F3F2A"/>
    <w:rsid w:val="006F4132"/>
    <w:rsid w:val="006F427B"/>
    <w:rsid w:val="006F42D7"/>
    <w:rsid w:val="006F447E"/>
    <w:rsid w:val="006F4581"/>
    <w:rsid w:val="006F458E"/>
    <w:rsid w:val="006F4847"/>
    <w:rsid w:val="006F4D04"/>
    <w:rsid w:val="006F4DE7"/>
    <w:rsid w:val="006F4DF8"/>
    <w:rsid w:val="006F4F2C"/>
    <w:rsid w:val="006F5190"/>
    <w:rsid w:val="006F5352"/>
    <w:rsid w:val="006F5A3A"/>
    <w:rsid w:val="006F5D00"/>
    <w:rsid w:val="006F5D85"/>
    <w:rsid w:val="006F6220"/>
    <w:rsid w:val="006F67B0"/>
    <w:rsid w:val="006F6807"/>
    <w:rsid w:val="006F6943"/>
    <w:rsid w:val="006F6EA2"/>
    <w:rsid w:val="006F7109"/>
    <w:rsid w:val="006F715C"/>
    <w:rsid w:val="006F7235"/>
    <w:rsid w:val="006F7245"/>
    <w:rsid w:val="006F727D"/>
    <w:rsid w:val="006F744A"/>
    <w:rsid w:val="006F7667"/>
    <w:rsid w:val="006F7668"/>
    <w:rsid w:val="006F7A5D"/>
    <w:rsid w:val="006F7AD4"/>
    <w:rsid w:val="0070003A"/>
    <w:rsid w:val="007002D9"/>
    <w:rsid w:val="007004D5"/>
    <w:rsid w:val="007004DD"/>
    <w:rsid w:val="00700669"/>
    <w:rsid w:val="00700B89"/>
    <w:rsid w:val="00700DE4"/>
    <w:rsid w:val="00700EE3"/>
    <w:rsid w:val="007016CC"/>
    <w:rsid w:val="007017C6"/>
    <w:rsid w:val="0070190C"/>
    <w:rsid w:val="0070197B"/>
    <w:rsid w:val="00701A34"/>
    <w:rsid w:val="00701A73"/>
    <w:rsid w:val="00701AEE"/>
    <w:rsid w:val="00701C04"/>
    <w:rsid w:val="00701C12"/>
    <w:rsid w:val="00701C95"/>
    <w:rsid w:val="00701E50"/>
    <w:rsid w:val="00702251"/>
    <w:rsid w:val="00702446"/>
    <w:rsid w:val="007024B3"/>
    <w:rsid w:val="00702665"/>
    <w:rsid w:val="0070274F"/>
    <w:rsid w:val="00702941"/>
    <w:rsid w:val="00702957"/>
    <w:rsid w:val="007029B9"/>
    <w:rsid w:val="00702A36"/>
    <w:rsid w:val="00702A42"/>
    <w:rsid w:val="00702A58"/>
    <w:rsid w:val="00702B54"/>
    <w:rsid w:val="00702BF4"/>
    <w:rsid w:val="00702F26"/>
    <w:rsid w:val="00703047"/>
    <w:rsid w:val="00703141"/>
    <w:rsid w:val="007031CE"/>
    <w:rsid w:val="00703306"/>
    <w:rsid w:val="00703564"/>
    <w:rsid w:val="00703859"/>
    <w:rsid w:val="00703CEC"/>
    <w:rsid w:val="00703FF0"/>
    <w:rsid w:val="0070405C"/>
    <w:rsid w:val="0070438D"/>
    <w:rsid w:val="0070440C"/>
    <w:rsid w:val="00704460"/>
    <w:rsid w:val="007049AB"/>
    <w:rsid w:val="007049EF"/>
    <w:rsid w:val="00704AA3"/>
    <w:rsid w:val="00704C3F"/>
    <w:rsid w:val="00705072"/>
    <w:rsid w:val="00705077"/>
    <w:rsid w:val="00705188"/>
    <w:rsid w:val="00705324"/>
    <w:rsid w:val="00705434"/>
    <w:rsid w:val="00705B14"/>
    <w:rsid w:val="00705C95"/>
    <w:rsid w:val="00705E26"/>
    <w:rsid w:val="00705EAE"/>
    <w:rsid w:val="00705FFC"/>
    <w:rsid w:val="0070605A"/>
    <w:rsid w:val="007060BA"/>
    <w:rsid w:val="007064D2"/>
    <w:rsid w:val="00706971"/>
    <w:rsid w:val="00706ACD"/>
    <w:rsid w:val="00706C15"/>
    <w:rsid w:val="00706CB1"/>
    <w:rsid w:val="00706EE6"/>
    <w:rsid w:val="00707074"/>
    <w:rsid w:val="00707889"/>
    <w:rsid w:val="0070794C"/>
    <w:rsid w:val="00707AD5"/>
    <w:rsid w:val="00707D7F"/>
    <w:rsid w:val="00707F4E"/>
    <w:rsid w:val="00707F82"/>
    <w:rsid w:val="00710097"/>
    <w:rsid w:val="00710475"/>
    <w:rsid w:val="007106B4"/>
    <w:rsid w:val="0071080C"/>
    <w:rsid w:val="0071080E"/>
    <w:rsid w:val="007109CE"/>
    <w:rsid w:val="00710D99"/>
    <w:rsid w:val="00710E63"/>
    <w:rsid w:val="00710F54"/>
    <w:rsid w:val="00710FDA"/>
    <w:rsid w:val="007112EC"/>
    <w:rsid w:val="007115F7"/>
    <w:rsid w:val="00711654"/>
    <w:rsid w:val="0071181C"/>
    <w:rsid w:val="00711A35"/>
    <w:rsid w:val="00711FFE"/>
    <w:rsid w:val="00712065"/>
    <w:rsid w:val="007123FE"/>
    <w:rsid w:val="0071250D"/>
    <w:rsid w:val="00712910"/>
    <w:rsid w:val="00712A25"/>
    <w:rsid w:val="00712C90"/>
    <w:rsid w:val="00713018"/>
    <w:rsid w:val="00713027"/>
    <w:rsid w:val="007133CA"/>
    <w:rsid w:val="0071348C"/>
    <w:rsid w:val="0071369D"/>
    <w:rsid w:val="00713C92"/>
    <w:rsid w:val="00713E61"/>
    <w:rsid w:val="00713F10"/>
    <w:rsid w:val="00714106"/>
    <w:rsid w:val="007145C6"/>
    <w:rsid w:val="00714660"/>
    <w:rsid w:val="0071469E"/>
    <w:rsid w:val="00714A68"/>
    <w:rsid w:val="00714EF5"/>
    <w:rsid w:val="00714FE1"/>
    <w:rsid w:val="007150B0"/>
    <w:rsid w:val="00715109"/>
    <w:rsid w:val="00715447"/>
    <w:rsid w:val="0071549B"/>
    <w:rsid w:val="0071571C"/>
    <w:rsid w:val="007158D6"/>
    <w:rsid w:val="00715AB2"/>
    <w:rsid w:val="00715AE7"/>
    <w:rsid w:val="00715D93"/>
    <w:rsid w:val="00715E50"/>
    <w:rsid w:val="007165E6"/>
    <w:rsid w:val="0071669A"/>
    <w:rsid w:val="00716844"/>
    <w:rsid w:val="007168DF"/>
    <w:rsid w:val="00716A28"/>
    <w:rsid w:val="00716A5B"/>
    <w:rsid w:val="00716AB8"/>
    <w:rsid w:val="00716B00"/>
    <w:rsid w:val="00716B1F"/>
    <w:rsid w:val="00716B36"/>
    <w:rsid w:val="00716C21"/>
    <w:rsid w:val="00716C3A"/>
    <w:rsid w:val="007174BE"/>
    <w:rsid w:val="007174F4"/>
    <w:rsid w:val="00717649"/>
    <w:rsid w:val="007177F3"/>
    <w:rsid w:val="007178F3"/>
    <w:rsid w:val="00717AF3"/>
    <w:rsid w:val="00717DB7"/>
    <w:rsid w:val="00717F3E"/>
    <w:rsid w:val="00720117"/>
    <w:rsid w:val="00720458"/>
    <w:rsid w:val="007204AF"/>
    <w:rsid w:val="00720553"/>
    <w:rsid w:val="007207EE"/>
    <w:rsid w:val="007209CC"/>
    <w:rsid w:val="007209E9"/>
    <w:rsid w:val="00720A1A"/>
    <w:rsid w:val="00720D0C"/>
    <w:rsid w:val="00720DB1"/>
    <w:rsid w:val="00720E73"/>
    <w:rsid w:val="00720F8C"/>
    <w:rsid w:val="00720FF7"/>
    <w:rsid w:val="0072101A"/>
    <w:rsid w:val="00721059"/>
    <w:rsid w:val="00721203"/>
    <w:rsid w:val="00721398"/>
    <w:rsid w:val="00721407"/>
    <w:rsid w:val="00721539"/>
    <w:rsid w:val="0072154D"/>
    <w:rsid w:val="00721901"/>
    <w:rsid w:val="00721B9B"/>
    <w:rsid w:val="00721BBD"/>
    <w:rsid w:val="00721BBF"/>
    <w:rsid w:val="00721C50"/>
    <w:rsid w:val="00721E49"/>
    <w:rsid w:val="00721F79"/>
    <w:rsid w:val="007221FF"/>
    <w:rsid w:val="00722229"/>
    <w:rsid w:val="00722238"/>
    <w:rsid w:val="00722458"/>
    <w:rsid w:val="007227FC"/>
    <w:rsid w:val="00722A72"/>
    <w:rsid w:val="00722AB3"/>
    <w:rsid w:val="0072314B"/>
    <w:rsid w:val="007231B9"/>
    <w:rsid w:val="007232DF"/>
    <w:rsid w:val="00723303"/>
    <w:rsid w:val="007233F2"/>
    <w:rsid w:val="007234E4"/>
    <w:rsid w:val="00723567"/>
    <w:rsid w:val="0072385F"/>
    <w:rsid w:val="0072398A"/>
    <w:rsid w:val="00723A45"/>
    <w:rsid w:val="00723AC2"/>
    <w:rsid w:val="00723BE7"/>
    <w:rsid w:val="00723CE2"/>
    <w:rsid w:val="00723D5F"/>
    <w:rsid w:val="00724394"/>
    <w:rsid w:val="007244E9"/>
    <w:rsid w:val="00724718"/>
    <w:rsid w:val="0072481D"/>
    <w:rsid w:val="0072495F"/>
    <w:rsid w:val="00724A63"/>
    <w:rsid w:val="00724C56"/>
    <w:rsid w:val="00724FC1"/>
    <w:rsid w:val="00725037"/>
    <w:rsid w:val="0072506A"/>
    <w:rsid w:val="00725171"/>
    <w:rsid w:val="00725193"/>
    <w:rsid w:val="00725510"/>
    <w:rsid w:val="00725894"/>
    <w:rsid w:val="007258F2"/>
    <w:rsid w:val="007259BC"/>
    <w:rsid w:val="007259E4"/>
    <w:rsid w:val="00725A15"/>
    <w:rsid w:val="00725C65"/>
    <w:rsid w:val="00725EF5"/>
    <w:rsid w:val="00726265"/>
    <w:rsid w:val="00726399"/>
    <w:rsid w:val="007264FE"/>
    <w:rsid w:val="00726519"/>
    <w:rsid w:val="00726528"/>
    <w:rsid w:val="00726548"/>
    <w:rsid w:val="00726653"/>
    <w:rsid w:val="007266BC"/>
    <w:rsid w:val="00726B92"/>
    <w:rsid w:val="00726DDF"/>
    <w:rsid w:val="00726F35"/>
    <w:rsid w:val="007270B1"/>
    <w:rsid w:val="007270D0"/>
    <w:rsid w:val="0072717F"/>
    <w:rsid w:val="007273A6"/>
    <w:rsid w:val="00727408"/>
    <w:rsid w:val="00727625"/>
    <w:rsid w:val="00727784"/>
    <w:rsid w:val="00727801"/>
    <w:rsid w:val="00727815"/>
    <w:rsid w:val="0072792D"/>
    <w:rsid w:val="00727ADF"/>
    <w:rsid w:val="00727B1C"/>
    <w:rsid w:val="00727B42"/>
    <w:rsid w:val="00727D1B"/>
    <w:rsid w:val="00727DC8"/>
    <w:rsid w:val="00727EF5"/>
    <w:rsid w:val="00727F40"/>
    <w:rsid w:val="007301F7"/>
    <w:rsid w:val="0073031D"/>
    <w:rsid w:val="0073042C"/>
    <w:rsid w:val="007305DB"/>
    <w:rsid w:val="00730777"/>
    <w:rsid w:val="007308CC"/>
    <w:rsid w:val="0073090E"/>
    <w:rsid w:val="007309B1"/>
    <w:rsid w:val="00730A67"/>
    <w:rsid w:val="00730BC0"/>
    <w:rsid w:val="00730D1F"/>
    <w:rsid w:val="00730FDE"/>
    <w:rsid w:val="007312D4"/>
    <w:rsid w:val="00731308"/>
    <w:rsid w:val="0073145F"/>
    <w:rsid w:val="007319B6"/>
    <w:rsid w:val="00731A69"/>
    <w:rsid w:val="00731B70"/>
    <w:rsid w:val="00731E23"/>
    <w:rsid w:val="00731E4C"/>
    <w:rsid w:val="00732268"/>
    <w:rsid w:val="007322D8"/>
    <w:rsid w:val="007322E4"/>
    <w:rsid w:val="00732320"/>
    <w:rsid w:val="0073234A"/>
    <w:rsid w:val="00732443"/>
    <w:rsid w:val="00732593"/>
    <w:rsid w:val="007325B0"/>
    <w:rsid w:val="00732616"/>
    <w:rsid w:val="00732683"/>
    <w:rsid w:val="007326F9"/>
    <w:rsid w:val="00732750"/>
    <w:rsid w:val="007328C8"/>
    <w:rsid w:val="00732BD5"/>
    <w:rsid w:val="00732FB0"/>
    <w:rsid w:val="00733013"/>
    <w:rsid w:val="00733097"/>
    <w:rsid w:val="007333E4"/>
    <w:rsid w:val="007337D5"/>
    <w:rsid w:val="00733840"/>
    <w:rsid w:val="00733A7C"/>
    <w:rsid w:val="00733BB3"/>
    <w:rsid w:val="00733D72"/>
    <w:rsid w:val="00733E98"/>
    <w:rsid w:val="00733EDA"/>
    <w:rsid w:val="007341E5"/>
    <w:rsid w:val="00734208"/>
    <w:rsid w:val="00734303"/>
    <w:rsid w:val="0073434E"/>
    <w:rsid w:val="00734482"/>
    <w:rsid w:val="007345B2"/>
    <w:rsid w:val="007345BC"/>
    <w:rsid w:val="00734912"/>
    <w:rsid w:val="00734A45"/>
    <w:rsid w:val="00734C0D"/>
    <w:rsid w:val="00734CBC"/>
    <w:rsid w:val="00734CF2"/>
    <w:rsid w:val="00734EAB"/>
    <w:rsid w:val="00734F1F"/>
    <w:rsid w:val="0073520F"/>
    <w:rsid w:val="00735424"/>
    <w:rsid w:val="00735448"/>
    <w:rsid w:val="00735795"/>
    <w:rsid w:val="007357A6"/>
    <w:rsid w:val="007357C6"/>
    <w:rsid w:val="00735AFE"/>
    <w:rsid w:val="00735F97"/>
    <w:rsid w:val="007360B0"/>
    <w:rsid w:val="0073637E"/>
    <w:rsid w:val="007366D0"/>
    <w:rsid w:val="0073675A"/>
    <w:rsid w:val="007367C1"/>
    <w:rsid w:val="00736A67"/>
    <w:rsid w:val="00736DDF"/>
    <w:rsid w:val="00736DEA"/>
    <w:rsid w:val="00736E29"/>
    <w:rsid w:val="00736E45"/>
    <w:rsid w:val="00736E4D"/>
    <w:rsid w:val="00736EA4"/>
    <w:rsid w:val="00736F34"/>
    <w:rsid w:val="00736FC2"/>
    <w:rsid w:val="007370DD"/>
    <w:rsid w:val="00737190"/>
    <w:rsid w:val="007371B6"/>
    <w:rsid w:val="007371FC"/>
    <w:rsid w:val="0073737A"/>
    <w:rsid w:val="00737576"/>
    <w:rsid w:val="007376EB"/>
    <w:rsid w:val="0073770A"/>
    <w:rsid w:val="0073771A"/>
    <w:rsid w:val="0073789F"/>
    <w:rsid w:val="00737C78"/>
    <w:rsid w:val="00737EAE"/>
    <w:rsid w:val="0074000C"/>
    <w:rsid w:val="00740212"/>
    <w:rsid w:val="0074025B"/>
    <w:rsid w:val="00740322"/>
    <w:rsid w:val="007403A5"/>
    <w:rsid w:val="00740509"/>
    <w:rsid w:val="007405F0"/>
    <w:rsid w:val="0074066C"/>
    <w:rsid w:val="007406E7"/>
    <w:rsid w:val="00740AF2"/>
    <w:rsid w:val="00740C76"/>
    <w:rsid w:val="00740EBD"/>
    <w:rsid w:val="00740F91"/>
    <w:rsid w:val="00741052"/>
    <w:rsid w:val="007412E8"/>
    <w:rsid w:val="007412F8"/>
    <w:rsid w:val="007413F1"/>
    <w:rsid w:val="00741517"/>
    <w:rsid w:val="00741666"/>
    <w:rsid w:val="007416C9"/>
    <w:rsid w:val="0074175F"/>
    <w:rsid w:val="007417C0"/>
    <w:rsid w:val="00741907"/>
    <w:rsid w:val="00741AFD"/>
    <w:rsid w:val="00741CF7"/>
    <w:rsid w:val="00741DEA"/>
    <w:rsid w:val="00741EA1"/>
    <w:rsid w:val="00741FEA"/>
    <w:rsid w:val="00742034"/>
    <w:rsid w:val="007420EA"/>
    <w:rsid w:val="00742153"/>
    <w:rsid w:val="00742230"/>
    <w:rsid w:val="0074233F"/>
    <w:rsid w:val="00742414"/>
    <w:rsid w:val="007426E0"/>
    <w:rsid w:val="007427D8"/>
    <w:rsid w:val="00742811"/>
    <w:rsid w:val="00742966"/>
    <w:rsid w:val="00742B19"/>
    <w:rsid w:val="00742B7D"/>
    <w:rsid w:val="00742CA6"/>
    <w:rsid w:val="00742E7D"/>
    <w:rsid w:val="00742E8A"/>
    <w:rsid w:val="00743076"/>
    <w:rsid w:val="00743176"/>
    <w:rsid w:val="00743198"/>
    <w:rsid w:val="00743280"/>
    <w:rsid w:val="00743290"/>
    <w:rsid w:val="0074354A"/>
    <w:rsid w:val="00743617"/>
    <w:rsid w:val="0074383B"/>
    <w:rsid w:val="00743CC8"/>
    <w:rsid w:val="00743FB2"/>
    <w:rsid w:val="0074420A"/>
    <w:rsid w:val="00744630"/>
    <w:rsid w:val="007447B0"/>
    <w:rsid w:val="00744828"/>
    <w:rsid w:val="007449EF"/>
    <w:rsid w:val="00744C5E"/>
    <w:rsid w:val="00744D01"/>
    <w:rsid w:val="00744E10"/>
    <w:rsid w:val="007450D5"/>
    <w:rsid w:val="00745142"/>
    <w:rsid w:val="0074526F"/>
    <w:rsid w:val="0074530A"/>
    <w:rsid w:val="00745481"/>
    <w:rsid w:val="0074552E"/>
    <w:rsid w:val="007455AD"/>
    <w:rsid w:val="00745786"/>
    <w:rsid w:val="00745934"/>
    <w:rsid w:val="00745A1F"/>
    <w:rsid w:val="00745BC3"/>
    <w:rsid w:val="00745D31"/>
    <w:rsid w:val="00745F58"/>
    <w:rsid w:val="007461D2"/>
    <w:rsid w:val="007463FC"/>
    <w:rsid w:val="007464A1"/>
    <w:rsid w:val="007464B7"/>
    <w:rsid w:val="00746969"/>
    <w:rsid w:val="00746C8C"/>
    <w:rsid w:val="00746CEF"/>
    <w:rsid w:val="00747295"/>
    <w:rsid w:val="007472B4"/>
    <w:rsid w:val="00747350"/>
    <w:rsid w:val="00747390"/>
    <w:rsid w:val="007474CB"/>
    <w:rsid w:val="00747583"/>
    <w:rsid w:val="00747746"/>
    <w:rsid w:val="0074780A"/>
    <w:rsid w:val="007478AE"/>
    <w:rsid w:val="0074793F"/>
    <w:rsid w:val="0074794D"/>
    <w:rsid w:val="00747A55"/>
    <w:rsid w:val="00747A87"/>
    <w:rsid w:val="00747E1D"/>
    <w:rsid w:val="007503C5"/>
    <w:rsid w:val="007503EA"/>
    <w:rsid w:val="00750A2F"/>
    <w:rsid w:val="00750AC6"/>
    <w:rsid w:val="00750BDA"/>
    <w:rsid w:val="0075122C"/>
    <w:rsid w:val="0075127D"/>
    <w:rsid w:val="007513E0"/>
    <w:rsid w:val="0075150E"/>
    <w:rsid w:val="007515D1"/>
    <w:rsid w:val="007517CC"/>
    <w:rsid w:val="00751968"/>
    <w:rsid w:val="007519A1"/>
    <w:rsid w:val="00751BF3"/>
    <w:rsid w:val="00751C1C"/>
    <w:rsid w:val="00751DF8"/>
    <w:rsid w:val="00751FC3"/>
    <w:rsid w:val="00752167"/>
    <w:rsid w:val="007522F9"/>
    <w:rsid w:val="00752318"/>
    <w:rsid w:val="007523E3"/>
    <w:rsid w:val="0075242F"/>
    <w:rsid w:val="00752861"/>
    <w:rsid w:val="00752AFD"/>
    <w:rsid w:val="00752B94"/>
    <w:rsid w:val="00752BBE"/>
    <w:rsid w:val="00752C40"/>
    <w:rsid w:val="00752DA9"/>
    <w:rsid w:val="00752E50"/>
    <w:rsid w:val="00752E9B"/>
    <w:rsid w:val="00752F1D"/>
    <w:rsid w:val="007531B2"/>
    <w:rsid w:val="0075349A"/>
    <w:rsid w:val="007534DC"/>
    <w:rsid w:val="007535B9"/>
    <w:rsid w:val="007539B9"/>
    <w:rsid w:val="007539DD"/>
    <w:rsid w:val="00753D5C"/>
    <w:rsid w:val="00754001"/>
    <w:rsid w:val="00754067"/>
    <w:rsid w:val="0075432F"/>
    <w:rsid w:val="007545AB"/>
    <w:rsid w:val="00754766"/>
    <w:rsid w:val="00754808"/>
    <w:rsid w:val="00754909"/>
    <w:rsid w:val="0075491A"/>
    <w:rsid w:val="00754971"/>
    <w:rsid w:val="00754AF0"/>
    <w:rsid w:val="00754B67"/>
    <w:rsid w:val="00754F5C"/>
    <w:rsid w:val="00754F92"/>
    <w:rsid w:val="00755022"/>
    <w:rsid w:val="00755291"/>
    <w:rsid w:val="00755571"/>
    <w:rsid w:val="00755617"/>
    <w:rsid w:val="0075586F"/>
    <w:rsid w:val="007559BE"/>
    <w:rsid w:val="00755C88"/>
    <w:rsid w:val="00755D91"/>
    <w:rsid w:val="00755F1B"/>
    <w:rsid w:val="00755F7E"/>
    <w:rsid w:val="007563A4"/>
    <w:rsid w:val="007568C1"/>
    <w:rsid w:val="0075693D"/>
    <w:rsid w:val="00756B93"/>
    <w:rsid w:val="00756C1C"/>
    <w:rsid w:val="00756E30"/>
    <w:rsid w:val="00756F2D"/>
    <w:rsid w:val="007571B9"/>
    <w:rsid w:val="0075734B"/>
    <w:rsid w:val="007575E8"/>
    <w:rsid w:val="00757644"/>
    <w:rsid w:val="00757938"/>
    <w:rsid w:val="00757954"/>
    <w:rsid w:val="007579B9"/>
    <w:rsid w:val="00757C42"/>
    <w:rsid w:val="00757CB3"/>
    <w:rsid w:val="00757DBC"/>
    <w:rsid w:val="00760073"/>
    <w:rsid w:val="0076021A"/>
    <w:rsid w:val="0076043D"/>
    <w:rsid w:val="00760479"/>
    <w:rsid w:val="0076047B"/>
    <w:rsid w:val="007605B0"/>
    <w:rsid w:val="00760726"/>
    <w:rsid w:val="007607E7"/>
    <w:rsid w:val="00760944"/>
    <w:rsid w:val="00760E20"/>
    <w:rsid w:val="00760EF9"/>
    <w:rsid w:val="00761209"/>
    <w:rsid w:val="00761323"/>
    <w:rsid w:val="00761528"/>
    <w:rsid w:val="007615E8"/>
    <w:rsid w:val="00761708"/>
    <w:rsid w:val="0076174B"/>
    <w:rsid w:val="00761828"/>
    <w:rsid w:val="00761840"/>
    <w:rsid w:val="007618CE"/>
    <w:rsid w:val="00761A34"/>
    <w:rsid w:val="00761C1E"/>
    <w:rsid w:val="00761C48"/>
    <w:rsid w:val="00762012"/>
    <w:rsid w:val="00762078"/>
    <w:rsid w:val="007621EB"/>
    <w:rsid w:val="00762228"/>
    <w:rsid w:val="00762450"/>
    <w:rsid w:val="0076267F"/>
    <w:rsid w:val="007626BD"/>
    <w:rsid w:val="0076278E"/>
    <w:rsid w:val="00762823"/>
    <w:rsid w:val="00762B35"/>
    <w:rsid w:val="00762E35"/>
    <w:rsid w:val="007631C1"/>
    <w:rsid w:val="00763228"/>
    <w:rsid w:val="00763B9E"/>
    <w:rsid w:val="00763DC6"/>
    <w:rsid w:val="00764041"/>
    <w:rsid w:val="00764292"/>
    <w:rsid w:val="00764392"/>
    <w:rsid w:val="00764599"/>
    <w:rsid w:val="0076494B"/>
    <w:rsid w:val="00764999"/>
    <w:rsid w:val="00764A82"/>
    <w:rsid w:val="00764A97"/>
    <w:rsid w:val="00764C33"/>
    <w:rsid w:val="00764DAE"/>
    <w:rsid w:val="00764F36"/>
    <w:rsid w:val="007651C9"/>
    <w:rsid w:val="0076533C"/>
    <w:rsid w:val="007653B1"/>
    <w:rsid w:val="0076580A"/>
    <w:rsid w:val="0076591C"/>
    <w:rsid w:val="00765B3F"/>
    <w:rsid w:val="00766650"/>
    <w:rsid w:val="0076669F"/>
    <w:rsid w:val="007666E5"/>
    <w:rsid w:val="00766815"/>
    <w:rsid w:val="00766DDA"/>
    <w:rsid w:val="00766DDD"/>
    <w:rsid w:val="00766FB3"/>
    <w:rsid w:val="0076735D"/>
    <w:rsid w:val="007675AF"/>
    <w:rsid w:val="007678B5"/>
    <w:rsid w:val="0076797D"/>
    <w:rsid w:val="00767A5F"/>
    <w:rsid w:val="00767BFD"/>
    <w:rsid w:val="00767EE0"/>
    <w:rsid w:val="007700BF"/>
    <w:rsid w:val="0077013B"/>
    <w:rsid w:val="00770463"/>
    <w:rsid w:val="007705C3"/>
    <w:rsid w:val="0077088E"/>
    <w:rsid w:val="007708CF"/>
    <w:rsid w:val="00770CB6"/>
    <w:rsid w:val="00770D88"/>
    <w:rsid w:val="00770F6C"/>
    <w:rsid w:val="007715B8"/>
    <w:rsid w:val="007718B0"/>
    <w:rsid w:val="007719AD"/>
    <w:rsid w:val="00771AF5"/>
    <w:rsid w:val="00771C3E"/>
    <w:rsid w:val="00771D26"/>
    <w:rsid w:val="00771D47"/>
    <w:rsid w:val="00771E36"/>
    <w:rsid w:val="00771EE5"/>
    <w:rsid w:val="00772433"/>
    <w:rsid w:val="00772451"/>
    <w:rsid w:val="0077269A"/>
    <w:rsid w:val="007726AD"/>
    <w:rsid w:val="00772784"/>
    <w:rsid w:val="0077285A"/>
    <w:rsid w:val="00773284"/>
    <w:rsid w:val="00773437"/>
    <w:rsid w:val="00773568"/>
    <w:rsid w:val="007738C4"/>
    <w:rsid w:val="0077398A"/>
    <w:rsid w:val="00773A5B"/>
    <w:rsid w:val="00773C52"/>
    <w:rsid w:val="00773C9D"/>
    <w:rsid w:val="00773D35"/>
    <w:rsid w:val="00773E4D"/>
    <w:rsid w:val="00773F6D"/>
    <w:rsid w:val="0077400B"/>
    <w:rsid w:val="00774084"/>
    <w:rsid w:val="007742E9"/>
    <w:rsid w:val="0077431A"/>
    <w:rsid w:val="0077445E"/>
    <w:rsid w:val="00774463"/>
    <w:rsid w:val="00774562"/>
    <w:rsid w:val="00774652"/>
    <w:rsid w:val="00774815"/>
    <w:rsid w:val="007748BC"/>
    <w:rsid w:val="00774BE8"/>
    <w:rsid w:val="00774D72"/>
    <w:rsid w:val="00774DEB"/>
    <w:rsid w:val="00774E62"/>
    <w:rsid w:val="00774E65"/>
    <w:rsid w:val="00774EC3"/>
    <w:rsid w:val="00774EEF"/>
    <w:rsid w:val="00775472"/>
    <w:rsid w:val="007756FE"/>
    <w:rsid w:val="0077570A"/>
    <w:rsid w:val="00775749"/>
    <w:rsid w:val="00775840"/>
    <w:rsid w:val="00775A14"/>
    <w:rsid w:val="00775AA8"/>
    <w:rsid w:val="00775DCA"/>
    <w:rsid w:val="00775E04"/>
    <w:rsid w:val="00775E9D"/>
    <w:rsid w:val="00775ED5"/>
    <w:rsid w:val="007762B8"/>
    <w:rsid w:val="007763A6"/>
    <w:rsid w:val="007763CC"/>
    <w:rsid w:val="007764F8"/>
    <w:rsid w:val="0077650D"/>
    <w:rsid w:val="0077662A"/>
    <w:rsid w:val="007766C5"/>
    <w:rsid w:val="00776B9A"/>
    <w:rsid w:val="00776BDE"/>
    <w:rsid w:val="00776E53"/>
    <w:rsid w:val="00776F05"/>
    <w:rsid w:val="00776F3E"/>
    <w:rsid w:val="00777397"/>
    <w:rsid w:val="007774B1"/>
    <w:rsid w:val="00777B94"/>
    <w:rsid w:val="00777EE5"/>
    <w:rsid w:val="00777FF7"/>
    <w:rsid w:val="00780043"/>
    <w:rsid w:val="0078020E"/>
    <w:rsid w:val="00780290"/>
    <w:rsid w:val="0078033A"/>
    <w:rsid w:val="00780529"/>
    <w:rsid w:val="00780702"/>
    <w:rsid w:val="00780803"/>
    <w:rsid w:val="00780AF8"/>
    <w:rsid w:val="00780BA4"/>
    <w:rsid w:val="00780BC8"/>
    <w:rsid w:val="00780C6A"/>
    <w:rsid w:val="00780CBA"/>
    <w:rsid w:val="00780FBF"/>
    <w:rsid w:val="007813A7"/>
    <w:rsid w:val="00781456"/>
    <w:rsid w:val="00781678"/>
    <w:rsid w:val="00781765"/>
    <w:rsid w:val="00781790"/>
    <w:rsid w:val="00781966"/>
    <w:rsid w:val="00781AF0"/>
    <w:rsid w:val="00781B00"/>
    <w:rsid w:val="00781B4C"/>
    <w:rsid w:val="00781D50"/>
    <w:rsid w:val="00781E89"/>
    <w:rsid w:val="00781EA7"/>
    <w:rsid w:val="00782076"/>
    <w:rsid w:val="00782156"/>
    <w:rsid w:val="0078218F"/>
    <w:rsid w:val="00782206"/>
    <w:rsid w:val="007824CC"/>
    <w:rsid w:val="0078267D"/>
    <w:rsid w:val="007827D4"/>
    <w:rsid w:val="007829A8"/>
    <w:rsid w:val="007829CF"/>
    <w:rsid w:val="00782A8B"/>
    <w:rsid w:val="00782A9E"/>
    <w:rsid w:val="00782B08"/>
    <w:rsid w:val="00782C0A"/>
    <w:rsid w:val="00782D82"/>
    <w:rsid w:val="00782E3E"/>
    <w:rsid w:val="00783024"/>
    <w:rsid w:val="007831D2"/>
    <w:rsid w:val="007833F3"/>
    <w:rsid w:val="0078340B"/>
    <w:rsid w:val="00783544"/>
    <w:rsid w:val="00783585"/>
    <w:rsid w:val="0078367E"/>
    <w:rsid w:val="00783687"/>
    <w:rsid w:val="00783BA7"/>
    <w:rsid w:val="00783BF1"/>
    <w:rsid w:val="00783C9A"/>
    <w:rsid w:val="00783E10"/>
    <w:rsid w:val="00783ED4"/>
    <w:rsid w:val="007842F0"/>
    <w:rsid w:val="007843F5"/>
    <w:rsid w:val="00784426"/>
    <w:rsid w:val="007844B2"/>
    <w:rsid w:val="007844FE"/>
    <w:rsid w:val="0078479D"/>
    <w:rsid w:val="0078482F"/>
    <w:rsid w:val="00784B12"/>
    <w:rsid w:val="00784C26"/>
    <w:rsid w:val="00784CDE"/>
    <w:rsid w:val="00784FD5"/>
    <w:rsid w:val="00785439"/>
    <w:rsid w:val="00785481"/>
    <w:rsid w:val="0078548C"/>
    <w:rsid w:val="00785A5D"/>
    <w:rsid w:val="00785DE6"/>
    <w:rsid w:val="00785EBD"/>
    <w:rsid w:val="00785F49"/>
    <w:rsid w:val="00786025"/>
    <w:rsid w:val="00786080"/>
    <w:rsid w:val="00786139"/>
    <w:rsid w:val="00786404"/>
    <w:rsid w:val="00786469"/>
    <w:rsid w:val="0078651E"/>
    <w:rsid w:val="0078656E"/>
    <w:rsid w:val="00786687"/>
    <w:rsid w:val="007866EC"/>
    <w:rsid w:val="007868B7"/>
    <w:rsid w:val="00786A41"/>
    <w:rsid w:val="00786A67"/>
    <w:rsid w:val="00786A85"/>
    <w:rsid w:val="00786B25"/>
    <w:rsid w:val="00786D92"/>
    <w:rsid w:val="00786DCC"/>
    <w:rsid w:val="007873A8"/>
    <w:rsid w:val="0078762F"/>
    <w:rsid w:val="00787921"/>
    <w:rsid w:val="00787B40"/>
    <w:rsid w:val="00787BE8"/>
    <w:rsid w:val="00787C0E"/>
    <w:rsid w:val="00787C9E"/>
    <w:rsid w:val="00787F3B"/>
    <w:rsid w:val="007901D2"/>
    <w:rsid w:val="007902AB"/>
    <w:rsid w:val="007906BC"/>
    <w:rsid w:val="00790E85"/>
    <w:rsid w:val="00790EE7"/>
    <w:rsid w:val="00790EFA"/>
    <w:rsid w:val="00790FFC"/>
    <w:rsid w:val="007910F3"/>
    <w:rsid w:val="007916F3"/>
    <w:rsid w:val="0079177A"/>
    <w:rsid w:val="007918A0"/>
    <w:rsid w:val="00791950"/>
    <w:rsid w:val="00791C94"/>
    <w:rsid w:val="00791FA3"/>
    <w:rsid w:val="00791FAE"/>
    <w:rsid w:val="00792087"/>
    <w:rsid w:val="00792BDD"/>
    <w:rsid w:val="00792C80"/>
    <w:rsid w:val="00792CD6"/>
    <w:rsid w:val="00792CDF"/>
    <w:rsid w:val="00792DDA"/>
    <w:rsid w:val="00792E14"/>
    <w:rsid w:val="00792FD3"/>
    <w:rsid w:val="00793039"/>
    <w:rsid w:val="007932E3"/>
    <w:rsid w:val="00793482"/>
    <w:rsid w:val="0079350D"/>
    <w:rsid w:val="007937D1"/>
    <w:rsid w:val="00793A62"/>
    <w:rsid w:val="00793AF4"/>
    <w:rsid w:val="00793C2D"/>
    <w:rsid w:val="00793DBB"/>
    <w:rsid w:val="00793DC6"/>
    <w:rsid w:val="00793E76"/>
    <w:rsid w:val="00793E7C"/>
    <w:rsid w:val="00794064"/>
    <w:rsid w:val="0079411C"/>
    <w:rsid w:val="00794222"/>
    <w:rsid w:val="007943F5"/>
    <w:rsid w:val="007944D6"/>
    <w:rsid w:val="007945AC"/>
    <w:rsid w:val="007946DF"/>
    <w:rsid w:val="0079491E"/>
    <w:rsid w:val="00794947"/>
    <w:rsid w:val="00794AF5"/>
    <w:rsid w:val="00794C0E"/>
    <w:rsid w:val="00794D61"/>
    <w:rsid w:val="00794E0E"/>
    <w:rsid w:val="00795350"/>
    <w:rsid w:val="007956F2"/>
    <w:rsid w:val="00795A45"/>
    <w:rsid w:val="00795AAC"/>
    <w:rsid w:val="00795C7A"/>
    <w:rsid w:val="00795C97"/>
    <w:rsid w:val="00795CC8"/>
    <w:rsid w:val="00795EED"/>
    <w:rsid w:val="00795F1E"/>
    <w:rsid w:val="00795FAF"/>
    <w:rsid w:val="0079600B"/>
    <w:rsid w:val="0079603D"/>
    <w:rsid w:val="007961CA"/>
    <w:rsid w:val="007962F8"/>
    <w:rsid w:val="0079648F"/>
    <w:rsid w:val="007966E7"/>
    <w:rsid w:val="00796758"/>
    <w:rsid w:val="0079682E"/>
    <w:rsid w:val="00796A89"/>
    <w:rsid w:val="00796BF8"/>
    <w:rsid w:val="00796CE4"/>
    <w:rsid w:val="00796D46"/>
    <w:rsid w:val="0079704A"/>
    <w:rsid w:val="0079705A"/>
    <w:rsid w:val="007970C4"/>
    <w:rsid w:val="00797293"/>
    <w:rsid w:val="00797310"/>
    <w:rsid w:val="00797336"/>
    <w:rsid w:val="0079742D"/>
    <w:rsid w:val="007974AC"/>
    <w:rsid w:val="007975D7"/>
    <w:rsid w:val="00797863"/>
    <w:rsid w:val="0079794C"/>
    <w:rsid w:val="00797E4D"/>
    <w:rsid w:val="00797EFC"/>
    <w:rsid w:val="007A006E"/>
    <w:rsid w:val="007A0189"/>
    <w:rsid w:val="007A0401"/>
    <w:rsid w:val="007A060F"/>
    <w:rsid w:val="007A08DE"/>
    <w:rsid w:val="007A0A44"/>
    <w:rsid w:val="007A0B5D"/>
    <w:rsid w:val="007A0E69"/>
    <w:rsid w:val="007A10AD"/>
    <w:rsid w:val="007A129F"/>
    <w:rsid w:val="007A1390"/>
    <w:rsid w:val="007A1393"/>
    <w:rsid w:val="007A1437"/>
    <w:rsid w:val="007A1588"/>
    <w:rsid w:val="007A1AF5"/>
    <w:rsid w:val="007A1B88"/>
    <w:rsid w:val="007A1E66"/>
    <w:rsid w:val="007A1EE9"/>
    <w:rsid w:val="007A20D4"/>
    <w:rsid w:val="007A21CE"/>
    <w:rsid w:val="007A22D4"/>
    <w:rsid w:val="007A25BF"/>
    <w:rsid w:val="007A2619"/>
    <w:rsid w:val="007A2B5B"/>
    <w:rsid w:val="007A2CBF"/>
    <w:rsid w:val="007A2F2E"/>
    <w:rsid w:val="007A3126"/>
    <w:rsid w:val="007A3862"/>
    <w:rsid w:val="007A38D2"/>
    <w:rsid w:val="007A3992"/>
    <w:rsid w:val="007A3A17"/>
    <w:rsid w:val="007A3B57"/>
    <w:rsid w:val="007A3D7D"/>
    <w:rsid w:val="007A3D95"/>
    <w:rsid w:val="007A3E05"/>
    <w:rsid w:val="007A3E54"/>
    <w:rsid w:val="007A3E77"/>
    <w:rsid w:val="007A3EFD"/>
    <w:rsid w:val="007A40A2"/>
    <w:rsid w:val="007A4133"/>
    <w:rsid w:val="007A41CE"/>
    <w:rsid w:val="007A42E3"/>
    <w:rsid w:val="007A42FC"/>
    <w:rsid w:val="007A4338"/>
    <w:rsid w:val="007A43AE"/>
    <w:rsid w:val="007A46FE"/>
    <w:rsid w:val="007A4A12"/>
    <w:rsid w:val="007A4A2A"/>
    <w:rsid w:val="007A4AC7"/>
    <w:rsid w:val="007A4E1C"/>
    <w:rsid w:val="007A4F06"/>
    <w:rsid w:val="007A50AA"/>
    <w:rsid w:val="007A5200"/>
    <w:rsid w:val="007A5749"/>
    <w:rsid w:val="007A582F"/>
    <w:rsid w:val="007A5858"/>
    <w:rsid w:val="007A5877"/>
    <w:rsid w:val="007A5B7A"/>
    <w:rsid w:val="007A5CD1"/>
    <w:rsid w:val="007A5EED"/>
    <w:rsid w:val="007A5FA2"/>
    <w:rsid w:val="007A5FEA"/>
    <w:rsid w:val="007A5FEE"/>
    <w:rsid w:val="007A5FF1"/>
    <w:rsid w:val="007A6058"/>
    <w:rsid w:val="007A6288"/>
    <w:rsid w:val="007A62DD"/>
    <w:rsid w:val="007A6C92"/>
    <w:rsid w:val="007A6DB3"/>
    <w:rsid w:val="007A6E26"/>
    <w:rsid w:val="007A6EA0"/>
    <w:rsid w:val="007A6FED"/>
    <w:rsid w:val="007A7369"/>
    <w:rsid w:val="007A73EE"/>
    <w:rsid w:val="007A74F4"/>
    <w:rsid w:val="007A758A"/>
    <w:rsid w:val="007A75D8"/>
    <w:rsid w:val="007A75DE"/>
    <w:rsid w:val="007A766B"/>
    <w:rsid w:val="007A76BB"/>
    <w:rsid w:val="007A77F2"/>
    <w:rsid w:val="007A7979"/>
    <w:rsid w:val="007A7B92"/>
    <w:rsid w:val="007A7CFE"/>
    <w:rsid w:val="007A7FFC"/>
    <w:rsid w:val="007B011C"/>
    <w:rsid w:val="007B015B"/>
    <w:rsid w:val="007B021C"/>
    <w:rsid w:val="007B04FF"/>
    <w:rsid w:val="007B06FC"/>
    <w:rsid w:val="007B0948"/>
    <w:rsid w:val="007B0C3B"/>
    <w:rsid w:val="007B1141"/>
    <w:rsid w:val="007B11E9"/>
    <w:rsid w:val="007B13D0"/>
    <w:rsid w:val="007B15B5"/>
    <w:rsid w:val="007B163D"/>
    <w:rsid w:val="007B1911"/>
    <w:rsid w:val="007B197A"/>
    <w:rsid w:val="007B19B2"/>
    <w:rsid w:val="007B1C15"/>
    <w:rsid w:val="007B20F0"/>
    <w:rsid w:val="007B20F5"/>
    <w:rsid w:val="007B2115"/>
    <w:rsid w:val="007B2726"/>
    <w:rsid w:val="007B2868"/>
    <w:rsid w:val="007B28FA"/>
    <w:rsid w:val="007B2A81"/>
    <w:rsid w:val="007B2AED"/>
    <w:rsid w:val="007B2B55"/>
    <w:rsid w:val="007B2E09"/>
    <w:rsid w:val="007B3246"/>
    <w:rsid w:val="007B32D3"/>
    <w:rsid w:val="007B3437"/>
    <w:rsid w:val="007B35A9"/>
    <w:rsid w:val="007B396F"/>
    <w:rsid w:val="007B3A53"/>
    <w:rsid w:val="007B4057"/>
    <w:rsid w:val="007B4087"/>
    <w:rsid w:val="007B40AB"/>
    <w:rsid w:val="007B4161"/>
    <w:rsid w:val="007B4178"/>
    <w:rsid w:val="007B41AF"/>
    <w:rsid w:val="007B4306"/>
    <w:rsid w:val="007B4426"/>
    <w:rsid w:val="007B44A6"/>
    <w:rsid w:val="007B44AB"/>
    <w:rsid w:val="007B4619"/>
    <w:rsid w:val="007B4652"/>
    <w:rsid w:val="007B4801"/>
    <w:rsid w:val="007B4835"/>
    <w:rsid w:val="007B484D"/>
    <w:rsid w:val="007B4A04"/>
    <w:rsid w:val="007B4D3B"/>
    <w:rsid w:val="007B4E27"/>
    <w:rsid w:val="007B50C6"/>
    <w:rsid w:val="007B556E"/>
    <w:rsid w:val="007B56BB"/>
    <w:rsid w:val="007B5810"/>
    <w:rsid w:val="007B58A5"/>
    <w:rsid w:val="007B5E5D"/>
    <w:rsid w:val="007B5FB3"/>
    <w:rsid w:val="007B6290"/>
    <w:rsid w:val="007B6568"/>
    <w:rsid w:val="007B65B0"/>
    <w:rsid w:val="007B66F3"/>
    <w:rsid w:val="007B6883"/>
    <w:rsid w:val="007B68EA"/>
    <w:rsid w:val="007B6A70"/>
    <w:rsid w:val="007B6ACE"/>
    <w:rsid w:val="007B6D63"/>
    <w:rsid w:val="007B6DF5"/>
    <w:rsid w:val="007B6F4A"/>
    <w:rsid w:val="007B7601"/>
    <w:rsid w:val="007B76C8"/>
    <w:rsid w:val="007B77A3"/>
    <w:rsid w:val="007B7853"/>
    <w:rsid w:val="007B7D30"/>
    <w:rsid w:val="007B7DC6"/>
    <w:rsid w:val="007C013C"/>
    <w:rsid w:val="007C047F"/>
    <w:rsid w:val="007C075E"/>
    <w:rsid w:val="007C08C7"/>
    <w:rsid w:val="007C08EB"/>
    <w:rsid w:val="007C0B24"/>
    <w:rsid w:val="007C0BE5"/>
    <w:rsid w:val="007C0CFC"/>
    <w:rsid w:val="007C0F4B"/>
    <w:rsid w:val="007C0F4F"/>
    <w:rsid w:val="007C0FF1"/>
    <w:rsid w:val="007C116B"/>
    <w:rsid w:val="007C11DF"/>
    <w:rsid w:val="007C133B"/>
    <w:rsid w:val="007C1499"/>
    <w:rsid w:val="007C187D"/>
    <w:rsid w:val="007C1C61"/>
    <w:rsid w:val="007C1FD5"/>
    <w:rsid w:val="007C201F"/>
    <w:rsid w:val="007C220C"/>
    <w:rsid w:val="007C226B"/>
    <w:rsid w:val="007C2337"/>
    <w:rsid w:val="007C257A"/>
    <w:rsid w:val="007C25A9"/>
    <w:rsid w:val="007C2DC6"/>
    <w:rsid w:val="007C30E6"/>
    <w:rsid w:val="007C34E7"/>
    <w:rsid w:val="007C3511"/>
    <w:rsid w:val="007C3573"/>
    <w:rsid w:val="007C3B77"/>
    <w:rsid w:val="007C3F08"/>
    <w:rsid w:val="007C4116"/>
    <w:rsid w:val="007C4251"/>
    <w:rsid w:val="007C4414"/>
    <w:rsid w:val="007C46B3"/>
    <w:rsid w:val="007C479D"/>
    <w:rsid w:val="007C4875"/>
    <w:rsid w:val="007C4A4D"/>
    <w:rsid w:val="007C4AE6"/>
    <w:rsid w:val="007C4D6E"/>
    <w:rsid w:val="007C5185"/>
    <w:rsid w:val="007C533F"/>
    <w:rsid w:val="007C57A8"/>
    <w:rsid w:val="007C5850"/>
    <w:rsid w:val="007C5A16"/>
    <w:rsid w:val="007C5AD6"/>
    <w:rsid w:val="007C5AF0"/>
    <w:rsid w:val="007C5C47"/>
    <w:rsid w:val="007C5D3A"/>
    <w:rsid w:val="007C5D8E"/>
    <w:rsid w:val="007C5F05"/>
    <w:rsid w:val="007C6050"/>
    <w:rsid w:val="007C6243"/>
    <w:rsid w:val="007C63A2"/>
    <w:rsid w:val="007C6579"/>
    <w:rsid w:val="007C66C7"/>
    <w:rsid w:val="007C6CE8"/>
    <w:rsid w:val="007C6E69"/>
    <w:rsid w:val="007C70CF"/>
    <w:rsid w:val="007C7367"/>
    <w:rsid w:val="007C7864"/>
    <w:rsid w:val="007C7962"/>
    <w:rsid w:val="007C7AD9"/>
    <w:rsid w:val="007C7ADD"/>
    <w:rsid w:val="007C7AF4"/>
    <w:rsid w:val="007C7BE9"/>
    <w:rsid w:val="007C7C1C"/>
    <w:rsid w:val="007C7C96"/>
    <w:rsid w:val="007C7C9E"/>
    <w:rsid w:val="007C7EAC"/>
    <w:rsid w:val="007C7F98"/>
    <w:rsid w:val="007D0697"/>
    <w:rsid w:val="007D0C64"/>
    <w:rsid w:val="007D0DED"/>
    <w:rsid w:val="007D0F92"/>
    <w:rsid w:val="007D131A"/>
    <w:rsid w:val="007D181B"/>
    <w:rsid w:val="007D1A01"/>
    <w:rsid w:val="007D1A74"/>
    <w:rsid w:val="007D1A8A"/>
    <w:rsid w:val="007D1BCA"/>
    <w:rsid w:val="007D215C"/>
    <w:rsid w:val="007D2167"/>
    <w:rsid w:val="007D21F2"/>
    <w:rsid w:val="007D2242"/>
    <w:rsid w:val="007D22B6"/>
    <w:rsid w:val="007D2325"/>
    <w:rsid w:val="007D244D"/>
    <w:rsid w:val="007D250D"/>
    <w:rsid w:val="007D25E8"/>
    <w:rsid w:val="007D2765"/>
    <w:rsid w:val="007D27EF"/>
    <w:rsid w:val="007D28A4"/>
    <w:rsid w:val="007D28BA"/>
    <w:rsid w:val="007D2BCB"/>
    <w:rsid w:val="007D2C06"/>
    <w:rsid w:val="007D2F46"/>
    <w:rsid w:val="007D2FC7"/>
    <w:rsid w:val="007D2FF1"/>
    <w:rsid w:val="007D3077"/>
    <w:rsid w:val="007D3745"/>
    <w:rsid w:val="007D37E2"/>
    <w:rsid w:val="007D394C"/>
    <w:rsid w:val="007D3B64"/>
    <w:rsid w:val="007D3C85"/>
    <w:rsid w:val="007D404C"/>
    <w:rsid w:val="007D408F"/>
    <w:rsid w:val="007D4109"/>
    <w:rsid w:val="007D44FD"/>
    <w:rsid w:val="007D4520"/>
    <w:rsid w:val="007D4592"/>
    <w:rsid w:val="007D492F"/>
    <w:rsid w:val="007D4A86"/>
    <w:rsid w:val="007D4DFC"/>
    <w:rsid w:val="007D4E7B"/>
    <w:rsid w:val="007D4FE0"/>
    <w:rsid w:val="007D4FE6"/>
    <w:rsid w:val="007D551E"/>
    <w:rsid w:val="007D5842"/>
    <w:rsid w:val="007D5AB3"/>
    <w:rsid w:val="007D5B05"/>
    <w:rsid w:val="007D5C69"/>
    <w:rsid w:val="007D5D02"/>
    <w:rsid w:val="007D608A"/>
    <w:rsid w:val="007D613A"/>
    <w:rsid w:val="007D61B1"/>
    <w:rsid w:val="007D620F"/>
    <w:rsid w:val="007D623F"/>
    <w:rsid w:val="007D64B6"/>
    <w:rsid w:val="007D64DB"/>
    <w:rsid w:val="007D653C"/>
    <w:rsid w:val="007D673F"/>
    <w:rsid w:val="007D69A8"/>
    <w:rsid w:val="007D6C7C"/>
    <w:rsid w:val="007D6D71"/>
    <w:rsid w:val="007D70E4"/>
    <w:rsid w:val="007D7125"/>
    <w:rsid w:val="007D7132"/>
    <w:rsid w:val="007D7238"/>
    <w:rsid w:val="007D729E"/>
    <w:rsid w:val="007D74A2"/>
    <w:rsid w:val="007D7538"/>
    <w:rsid w:val="007D76CE"/>
    <w:rsid w:val="007D77CC"/>
    <w:rsid w:val="007D785C"/>
    <w:rsid w:val="007D78F2"/>
    <w:rsid w:val="007D7AC0"/>
    <w:rsid w:val="007D7B50"/>
    <w:rsid w:val="007D7E41"/>
    <w:rsid w:val="007D7E67"/>
    <w:rsid w:val="007D7E79"/>
    <w:rsid w:val="007D7F5E"/>
    <w:rsid w:val="007E03B1"/>
    <w:rsid w:val="007E04D5"/>
    <w:rsid w:val="007E0809"/>
    <w:rsid w:val="007E080A"/>
    <w:rsid w:val="007E083A"/>
    <w:rsid w:val="007E0A9D"/>
    <w:rsid w:val="007E0AFE"/>
    <w:rsid w:val="007E0CC1"/>
    <w:rsid w:val="007E0EF1"/>
    <w:rsid w:val="007E103E"/>
    <w:rsid w:val="007E105D"/>
    <w:rsid w:val="007E1162"/>
    <w:rsid w:val="007E1193"/>
    <w:rsid w:val="007E11F9"/>
    <w:rsid w:val="007E142F"/>
    <w:rsid w:val="007E168C"/>
    <w:rsid w:val="007E1881"/>
    <w:rsid w:val="007E1B0D"/>
    <w:rsid w:val="007E203A"/>
    <w:rsid w:val="007E2152"/>
    <w:rsid w:val="007E2154"/>
    <w:rsid w:val="007E221F"/>
    <w:rsid w:val="007E225F"/>
    <w:rsid w:val="007E22E0"/>
    <w:rsid w:val="007E231D"/>
    <w:rsid w:val="007E25AA"/>
    <w:rsid w:val="007E25AF"/>
    <w:rsid w:val="007E2719"/>
    <w:rsid w:val="007E29D0"/>
    <w:rsid w:val="007E2B78"/>
    <w:rsid w:val="007E2C63"/>
    <w:rsid w:val="007E2D2A"/>
    <w:rsid w:val="007E2F5F"/>
    <w:rsid w:val="007E3168"/>
    <w:rsid w:val="007E31C0"/>
    <w:rsid w:val="007E3271"/>
    <w:rsid w:val="007E355B"/>
    <w:rsid w:val="007E357B"/>
    <w:rsid w:val="007E36D9"/>
    <w:rsid w:val="007E37D7"/>
    <w:rsid w:val="007E38BD"/>
    <w:rsid w:val="007E3CE1"/>
    <w:rsid w:val="007E3D05"/>
    <w:rsid w:val="007E3D70"/>
    <w:rsid w:val="007E3F50"/>
    <w:rsid w:val="007E4065"/>
    <w:rsid w:val="007E421F"/>
    <w:rsid w:val="007E43D2"/>
    <w:rsid w:val="007E4468"/>
    <w:rsid w:val="007E4517"/>
    <w:rsid w:val="007E4617"/>
    <w:rsid w:val="007E4715"/>
    <w:rsid w:val="007E486D"/>
    <w:rsid w:val="007E4983"/>
    <w:rsid w:val="007E49BE"/>
    <w:rsid w:val="007E4A3C"/>
    <w:rsid w:val="007E4AF5"/>
    <w:rsid w:val="007E4B15"/>
    <w:rsid w:val="007E4BBF"/>
    <w:rsid w:val="007E4C21"/>
    <w:rsid w:val="007E4C86"/>
    <w:rsid w:val="007E4D11"/>
    <w:rsid w:val="007E4F09"/>
    <w:rsid w:val="007E4F52"/>
    <w:rsid w:val="007E4FA7"/>
    <w:rsid w:val="007E567F"/>
    <w:rsid w:val="007E56F1"/>
    <w:rsid w:val="007E574B"/>
    <w:rsid w:val="007E5832"/>
    <w:rsid w:val="007E5BB7"/>
    <w:rsid w:val="007E5DFE"/>
    <w:rsid w:val="007E6115"/>
    <w:rsid w:val="007E6116"/>
    <w:rsid w:val="007E6211"/>
    <w:rsid w:val="007E6302"/>
    <w:rsid w:val="007E6504"/>
    <w:rsid w:val="007E651E"/>
    <w:rsid w:val="007E6612"/>
    <w:rsid w:val="007E6624"/>
    <w:rsid w:val="007E6770"/>
    <w:rsid w:val="007E6797"/>
    <w:rsid w:val="007E6A60"/>
    <w:rsid w:val="007E6CA9"/>
    <w:rsid w:val="007E6E4E"/>
    <w:rsid w:val="007E726F"/>
    <w:rsid w:val="007E7381"/>
    <w:rsid w:val="007E73C6"/>
    <w:rsid w:val="007E7881"/>
    <w:rsid w:val="007E7A6D"/>
    <w:rsid w:val="007E7D5D"/>
    <w:rsid w:val="007E7D60"/>
    <w:rsid w:val="007E7EAE"/>
    <w:rsid w:val="007F017F"/>
    <w:rsid w:val="007F027E"/>
    <w:rsid w:val="007F06AA"/>
    <w:rsid w:val="007F0806"/>
    <w:rsid w:val="007F0934"/>
    <w:rsid w:val="007F0B2C"/>
    <w:rsid w:val="007F0C56"/>
    <w:rsid w:val="007F0EA4"/>
    <w:rsid w:val="007F0F1D"/>
    <w:rsid w:val="007F0F6F"/>
    <w:rsid w:val="007F0FE6"/>
    <w:rsid w:val="007F112A"/>
    <w:rsid w:val="007F147C"/>
    <w:rsid w:val="007F14F5"/>
    <w:rsid w:val="007F18B2"/>
    <w:rsid w:val="007F18CD"/>
    <w:rsid w:val="007F1951"/>
    <w:rsid w:val="007F1B9F"/>
    <w:rsid w:val="007F20A0"/>
    <w:rsid w:val="007F2152"/>
    <w:rsid w:val="007F2218"/>
    <w:rsid w:val="007F23A4"/>
    <w:rsid w:val="007F2536"/>
    <w:rsid w:val="007F25F9"/>
    <w:rsid w:val="007F2657"/>
    <w:rsid w:val="007F282F"/>
    <w:rsid w:val="007F2875"/>
    <w:rsid w:val="007F2D6C"/>
    <w:rsid w:val="007F2D8A"/>
    <w:rsid w:val="007F2F21"/>
    <w:rsid w:val="007F2FF6"/>
    <w:rsid w:val="007F30A4"/>
    <w:rsid w:val="007F34C2"/>
    <w:rsid w:val="007F34E4"/>
    <w:rsid w:val="007F3558"/>
    <w:rsid w:val="007F3759"/>
    <w:rsid w:val="007F387F"/>
    <w:rsid w:val="007F3AB3"/>
    <w:rsid w:val="007F3B0F"/>
    <w:rsid w:val="007F3D4A"/>
    <w:rsid w:val="007F42F3"/>
    <w:rsid w:val="007F46F1"/>
    <w:rsid w:val="007F4C4B"/>
    <w:rsid w:val="007F4E05"/>
    <w:rsid w:val="007F4FDD"/>
    <w:rsid w:val="007F5087"/>
    <w:rsid w:val="007F52FC"/>
    <w:rsid w:val="007F5363"/>
    <w:rsid w:val="007F537C"/>
    <w:rsid w:val="007F5385"/>
    <w:rsid w:val="007F56B6"/>
    <w:rsid w:val="007F56F2"/>
    <w:rsid w:val="007F587B"/>
    <w:rsid w:val="007F58EB"/>
    <w:rsid w:val="007F5AA5"/>
    <w:rsid w:val="007F5CB3"/>
    <w:rsid w:val="007F5DC6"/>
    <w:rsid w:val="007F6028"/>
    <w:rsid w:val="007F64A9"/>
    <w:rsid w:val="007F6561"/>
    <w:rsid w:val="007F65C1"/>
    <w:rsid w:val="007F65FF"/>
    <w:rsid w:val="007F6956"/>
    <w:rsid w:val="007F6B08"/>
    <w:rsid w:val="007F6C86"/>
    <w:rsid w:val="007F6D9E"/>
    <w:rsid w:val="007F6E07"/>
    <w:rsid w:val="007F7166"/>
    <w:rsid w:val="007F739F"/>
    <w:rsid w:val="007F73FF"/>
    <w:rsid w:val="007F780C"/>
    <w:rsid w:val="007F7812"/>
    <w:rsid w:val="007F7827"/>
    <w:rsid w:val="007F7929"/>
    <w:rsid w:val="007F794D"/>
    <w:rsid w:val="007F79B9"/>
    <w:rsid w:val="007F7A1A"/>
    <w:rsid w:val="007F7A3A"/>
    <w:rsid w:val="007F7AC6"/>
    <w:rsid w:val="007F7C05"/>
    <w:rsid w:val="007F7D3A"/>
    <w:rsid w:val="007F7F0E"/>
    <w:rsid w:val="007F7F41"/>
    <w:rsid w:val="007F7FCA"/>
    <w:rsid w:val="0080009A"/>
    <w:rsid w:val="00800244"/>
    <w:rsid w:val="00800577"/>
    <w:rsid w:val="008005A7"/>
    <w:rsid w:val="00800A40"/>
    <w:rsid w:val="00800B8A"/>
    <w:rsid w:val="00800C66"/>
    <w:rsid w:val="00801329"/>
    <w:rsid w:val="008013EE"/>
    <w:rsid w:val="00801434"/>
    <w:rsid w:val="008015B0"/>
    <w:rsid w:val="00801728"/>
    <w:rsid w:val="00801915"/>
    <w:rsid w:val="008019BF"/>
    <w:rsid w:val="00801B52"/>
    <w:rsid w:val="00801C68"/>
    <w:rsid w:val="00801C70"/>
    <w:rsid w:val="00801D70"/>
    <w:rsid w:val="00802053"/>
    <w:rsid w:val="0080205F"/>
    <w:rsid w:val="00802138"/>
    <w:rsid w:val="008021CD"/>
    <w:rsid w:val="008021E3"/>
    <w:rsid w:val="00802446"/>
    <w:rsid w:val="008025D4"/>
    <w:rsid w:val="008027F1"/>
    <w:rsid w:val="008029AD"/>
    <w:rsid w:val="008029C0"/>
    <w:rsid w:val="00802A32"/>
    <w:rsid w:val="00802B4C"/>
    <w:rsid w:val="00802D33"/>
    <w:rsid w:val="00802D8C"/>
    <w:rsid w:val="00802FA3"/>
    <w:rsid w:val="00803267"/>
    <w:rsid w:val="008032EB"/>
    <w:rsid w:val="00803617"/>
    <w:rsid w:val="00803632"/>
    <w:rsid w:val="008036E1"/>
    <w:rsid w:val="008036F3"/>
    <w:rsid w:val="00803834"/>
    <w:rsid w:val="00803B7D"/>
    <w:rsid w:val="00803C90"/>
    <w:rsid w:val="00803CB8"/>
    <w:rsid w:val="00803DBC"/>
    <w:rsid w:val="008041DC"/>
    <w:rsid w:val="008043FC"/>
    <w:rsid w:val="0080440E"/>
    <w:rsid w:val="00804446"/>
    <w:rsid w:val="0080446D"/>
    <w:rsid w:val="008049B4"/>
    <w:rsid w:val="00804AAB"/>
    <w:rsid w:val="00804AC8"/>
    <w:rsid w:val="00804EF5"/>
    <w:rsid w:val="00804F1C"/>
    <w:rsid w:val="0080501D"/>
    <w:rsid w:val="008050FD"/>
    <w:rsid w:val="008055D3"/>
    <w:rsid w:val="008056DA"/>
    <w:rsid w:val="00805711"/>
    <w:rsid w:val="0080574D"/>
    <w:rsid w:val="00805755"/>
    <w:rsid w:val="008058E6"/>
    <w:rsid w:val="008058F1"/>
    <w:rsid w:val="0080598D"/>
    <w:rsid w:val="00805B1D"/>
    <w:rsid w:val="00805B5D"/>
    <w:rsid w:val="00805C45"/>
    <w:rsid w:val="00805DD7"/>
    <w:rsid w:val="00806013"/>
    <w:rsid w:val="00806079"/>
    <w:rsid w:val="008060AF"/>
    <w:rsid w:val="008061B8"/>
    <w:rsid w:val="0080625A"/>
    <w:rsid w:val="008062E8"/>
    <w:rsid w:val="008063A4"/>
    <w:rsid w:val="008063DC"/>
    <w:rsid w:val="0080663A"/>
    <w:rsid w:val="00806889"/>
    <w:rsid w:val="008068D2"/>
    <w:rsid w:val="0080692A"/>
    <w:rsid w:val="00806A36"/>
    <w:rsid w:val="00806ABF"/>
    <w:rsid w:val="00806AC2"/>
    <w:rsid w:val="00806CA6"/>
    <w:rsid w:val="00806FC5"/>
    <w:rsid w:val="00807070"/>
    <w:rsid w:val="00807102"/>
    <w:rsid w:val="00807576"/>
    <w:rsid w:val="0080757A"/>
    <w:rsid w:val="00807986"/>
    <w:rsid w:val="00807ED3"/>
    <w:rsid w:val="00807F39"/>
    <w:rsid w:val="00810645"/>
    <w:rsid w:val="008109BC"/>
    <w:rsid w:val="00810E23"/>
    <w:rsid w:val="00811022"/>
    <w:rsid w:val="00811050"/>
    <w:rsid w:val="008110B5"/>
    <w:rsid w:val="00811110"/>
    <w:rsid w:val="008111B6"/>
    <w:rsid w:val="00811281"/>
    <w:rsid w:val="008115F0"/>
    <w:rsid w:val="00811C10"/>
    <w:rsid w:val="00811DAB"/>
    <w:rsid w:val="00811DD9"/>
    <w:rsid w:val="00811E52"/>
    <w:rsid w:val="00811FB6"/>
    <w:rsid w:val="00811FD3"/>
    <w:rsid w:val="0081200A"/>
    <w:rsid w:val="008120A2"/>
    <w:rsid w:val="00812177"/>
    <w:rsid w:val="008124AD"/>
    <w:rsid w:val="00812681"/>
    <w:rsid w:val="0081269D"/>
    <w:rsid w:val="008126D7"/>
    <w:rsid w:val="008126E8"/>
    <w:rsid w:val="00812757"/>
    <w:rsid w:val="00812777"/>
    <w:rsid w:val="00812982"/>
    <w:rsid w:val="00812BC9"/>
    <w:rsid w:val="00812BDC"/>
    <w:rsid w:val="00812FAC"/>
    <w:rsid w:val="00813233"/>
    <w:rsid w:val="008132A8"/>
    <w:rsid w:val="00813694"/>
    <w:rsid w:val="00813CB7"/>
    <w:rsid w:val="00813DB4"/>
    <w:rsid w:val="00813F5A"/>
    <w:rsid w:val="008140BF"/>
    <w:rsid w:val="008140F0"/>
    <w:rsid w:val="00814174"/>
    <w:rsid w:val="00814753"/>
    <w:rsid w:val="0081486C"/>
    <w:rsid w:val="008148A4"/>
    <w:rsid w:val="00814AEE"/>
    <w:rsid w:val="00814CCA"/>
    <w:rsid w:val="00814EE7"/>
    <w:rsid w:val="00814FF8"/>
    <w:rsid w:val="0081507D"/>
    <w:rsid w:val="008152C1"/>
    <w:rsid w:val="00815448"/>
    <w:rsid w:val="00815481"/>
    <w:rsid w:val="00815678"/>
    <w:rsid w:val="008157E5"/>
    <w:rsid w:val="008157E9"/>
    <w:rsid w:val="00815908"/>
    <w:rsid w:val="00815B37"/>
    <w:rsid w:val="00815EDD"/>
    <w:rsid w:val="008162D2"/>
    <w:rsid w:val="0081638F"/>
    <w:rsid w:val="00816648"/>
    <w:rsid w:val="008167FC"/>
    <w:rsid w:val="0081683A"/>
    <w:rsid w:val="00816932"/>
    <w:rsid w:val="008169C9"/>
    <w:rsid w:val="008169E8"/>
    <w:rsid w:val="00816A92"/>
    <w:rsid w:val="00816E1A"/>
    <w:rsid w:val="00817183"/>
    <w:rsid w:val="008171B3"/>
    <w:rsid w:val="008171B5"/>
    <w:rsid w:val="008172DF"/>
    <w:rsid w:val="008172EA"/>
    <w:rsid w:val="00817650"/>
    <w:rsid w:val="008176CF"/>
    <w:rsid w:val="00817A9F"/>
    <w:rsid w:val="00817AFD"/>
    <w:rsid w:val="00817C4D"/>
    <w:rsid w:val="00817E0A"/>
    <w:rsid w:val="00817E80"/>
    <w:rsid w:val="008200F5"/>
    <w:rsid w:val="00820348"/>
    <w:rsid w:val="0082034F"/>
    <w:rsid w:val="00820539"/>
    <w:rsid w:val="00820563"/>
    <w:rsid w:val="00820792"/>
    <w:rsid w:val="00820838"/>
    <w:rsid w:val="00820B59"/>
    <w:rsid w:val="00820BC2"/>
    <w:rsid w:val="00820C02"/>
    <w:rsid w:val="00820D4D"/>
    <w:rsid w:val="00820D5D"/>
    <w:rsid w:val="00820E8F"/>
    <w:rsid w:val="00820EB2"/>
    <w:rsid w:val="008212D6"/>
    <w:rsid w:val="008213B8"/>
    <w:rsid w:val="00821504"/>
    <w:rsid w:val="00821701"/>
    <w:rsid w:val="00821709"/>
    <w:rsid w:val="0082171B"/>
    <w:rsid w:val="008218A3"/>
    <w:rsid w:val="00821A97"/>
    <w:rsid w:val="00821D4F"/>
    <w:rsid w:val="00821DBA"/>
    <w:rsid w:val="00821FC2"/>
    <w:rsid w:val="00822030"/>
    <w:rsid w:val="00822105"/>
    <w:rsid w:val="008222CE"/>
    <w:rsid w:val="008223FD"/>
    <w:rsid w:val="008224F4"/>
    <w:rsid w:val="008226C5"/>
    <w:rsid w:val="00822BDE"/>
    <w:rsid w:val="00822D49"/>
    <w:rsid w:val="00822DA1"/>
    <w:rsid w:val="00822E04"/>
    <w:rsid w:val="00822EA0"/>
    <w:rsid w:val="00823284"/>
    <w:rsid w:val="00823288"/>
    <w:rsid w:val="008232A8"/>
    <w:rsid w:val="008232EA"/>
    <w:rsid w:val="008234A3"/>
    <w:rsid w:val="00823594"/>
    <w:rsid w:val="008235A2"/>
    <w:rsid w:val="008235EB"/>
    <w:rsid w:val="008239A8"/>
    <w:rsid w:val="008239CA"/>
    <w:rsid w:val="00823B46"/>
    <w:rsid w:val="00824005"/>
    <w:rsid w:val="00824015"/>
    <w:rsid w:val="00824024"/>
    <w:rsid w:val="008241C3"/>
    <w:rsid w:val="0082495D"/>
    <w:rsid w:val="00824F60"/>
    <w:rsid w:val="00825027"/>
    <w:rsid w:val="00825385"/>
    <w:rsid w:val="00825412"/>
    <w:rsid w:val="0082559D"/>
    <w:rsid w:val="00825702"/>
    <w:rsid w:val="00825C42"/>
    <w:rsid w:val="00825C79"/>
    <w:rsid w:val="00825FD9"/>
    <w:rsid w:val="008261EC"/>
    <w:rsid w:val="008263EB"/>
    <w:rsid w:val="008264F8"/>
    <w:rsid w:val="0082658D"/>
    <w:rsid w:val="00826789"/>
    <w:rsid w:val="008267DB"/>
    <w:rsid w:val="008268A3"/>
    <w:rsid w:val="00826B42"/>
    <w:rsid w:val="00826E9A"/>
    <w:rsid w:val="00827064"/>
    <w:rsid w:val="00827103"/>
    <w:rsid w:val="008274CD"/>
    <w:rsid w:val="00827795"/>
    <w:rsid w:val="00827878"/>
    <w:rsid w:val="008279B4"/>
    <w:rsid w:val="00827A12"/>
    <w:rsid w:val="00827B8C"/>
    <w:rsid w:val="00827D68"/>
    <w:rsid w:val="00827DAE"/>
    <w:rsid w:val="00827E55"/>
    <w:rsid w:val="00827F50"/>
    <w:rsid w:val="00830397"/>
    <w:rsid w:val="00830617"/>
    <w:rsid w:val="0083094E"/>
    <w:rsid w:val="00830ABE"/>
    <w:rsid w:val="00830B94"/>
    <w:rsid w:val="00830BB5"/>
    <w:rsid w:val="00830C2A"/>
    <w:rsid w:val="00830C38"/>
    <w:rsid w:val="00830C84"/>
    <w:rsid w:val="00830D5D"/>
    <w:rsid w:val="00831069"/>
    <w:rsid w:val="0083110A"/>
    <w:rsid w:val="00831121"/>
    <w:rsid w:val="00831149"/>
    <w:rsid w:val="008312B8"/>
    <w:rsid w:val="00831316"/>
    <w:rsid w:val="008315D8"/>
    <w:rsid w:val="008317FE"/>
    <w:rsid w:val="00831A99"/>
    <w:rsid w:val="00831AC3"/>
    <w:rsid w:val="00831B40"/>
    <w:rsid w:val="00831BD3"/>
    <w:rsid w:val="00831D23"/>
    <w:rsid w:val="00831F4E"/>
    <w:rsid w:val="00832492"/>
    <w:rsid w:val="0083263D"/>
    <w:rsid w:val="008328EC"/>
    <w:rsid w:val="00832A61"/>
    <w:rsid w:val="00832B3D"/>
    <w:rsid w:val="00832B4B"/>
    <w:rsid w:val="00832D9D"/>
    <w:rsid w:val="00832E13"/>
    <w:rsid w:val="00832F3D"/>
    <w:rsid w:val="00832F61"/>
    <w:rsid w:val="00832FE1"/>
    <w:rsid w:val="0083314D"/>
    <w:rsid w:val="0083316A"/>
    <w:rsid w:val="008331F9"/>
    <w:rsid w:val="0083344E"/>
    <w:rsid w:val="008335F2"/>
    <w:rsid w:val="00833654"/>
    <w:rsid w:val="0083366B"/>
    <w:rsid w:val="00833760"/>
    <w:rsid w:val="00833BE7"/>
    <w:rsid w:val="00833C63"/>
    <w:rsid w:val="00833E12"/>
    <w:rsid w:val="00833E20"/>
    <w:rsid w:val="00833ECC"/>
    <w:rsid w:val="0083413F"/>
    <w:rsid w:val="0083434E"/>
    <w:rsid w:val="008343F2"/>
    <w:rsid w:val="00834588"/>
    <w:rsid w:val="008346CC"/>
    <w:rsid w:val="00834AD6"/>
    <w:rsid w:val="00834B7C"/>
    <w:rsid w:val="0083501F"/>
    <w:rsid w:val="0083509E"/>
    <w:rsid w:val="008351C3"/>
    <w:rsid w:val="00835278"/>
    <w:rsid w:val="008354F0"/>
    <w:rsid w:val="00835520"/>
    <w:rsid w:val="00835641"/>
    <w:rsid w:val="008356B8"/>
    <w:rsid w:val="00835821"/>
    <w:rsid w:val="0083582C"/>
    <w:rsid w:val="00835851"/>
    <w:rsid w:val="00835979"/>
    <w:rsid w:val="00835BA9"/>
    <w:rsid w:val="00835C2C"/>
    <w:rsid w:val="00835C53"/>
    <w:rsid w:val="00835C83"/>
    <w:rsid w:val="00835D08"/>
    <w:rsid w:val="00835D78"/>
    <w:rsid w:val="00835FDD"/>
    <w:rsid w:val="008360BD"/>
    <w:rsid w:val="008363DC"/>
    <w:rsid w:val="00836435"/>
    <w:rsid w:val="00836705"/>
    <w:rsid w:val="00836C0D"/>
    <w:rsid w:val="00836DF5"/>
    <w:rsid w:val="00836E54"/>
    <w:rsid w:val="00836F8F"/>
    <w:rsid w:val="0083704B"/>
    <w:rsid w:val="0083704F"/>
    <w:rsid w:val="00837072"/>
    <w:rsid w:val="00837196"/>
    <w:rsid w:val="008376AD"/>
    <w:rsid w:val="008377F9"/>
    <w:rsid w:val="008378C4"/>
    <w:rsid w:val="00837B58"/>
    <w:rsid w:val="00837C07"/>
    <w:rsid w:val="00837CFA"/>
    <w:rsid w:val="00837E2A"/>
    <w:rsid w:val="00840101"/>
    <w:rsid w:val="008402F4"/>
    <w:rsid w:val="00840398"/>
    <w:rsid w:val="00840468"/>
    <w:rsid w:val="008404CA"/>
    <w:rsid w:val="008404D4"/>
    <w:rsid w:val="00840657"/>
    <w:rsid w:val="00840699"/>
    <w:rsid w:val="00840C65"/>
    <w:rsid w:val="00840E1B"/>
    <w:rsid w:val="008411E2"/>
    <w:rsid w:val="008414EC"/>
    <w:rsid w:val="0084159E"/>
    <w:rsid w:val="00841627"/>
    <w:rsid w:val="008417BF"/>
    <w:rsid w:val="008419ED"/>
    <w:rsid w:val="00841B31"/>
    <w:rsid w:val="00841C4F"/>
    <w:rsid w:val="00841F3C"/>
    <w:rsid w:val="00842089"/>
    <w:rsid w:val="00842093"/>
    <w:rsid w:val="008421AE"/>
    <w:rsid w:val="008423C0"/>
    <w:rsid w:val="00842724"/>
    <w:rsid w:val="0084276C"/>
    <w:rsid w:val="0084293B"/>
    <w:rsid w:val="0084303C"/>
    <w:rsid w:val="0084327D"/>
    <w:rsid w:val="00843481"/>
    <w:rsid w:val="008435A6"/>
    <w:rsid w:val="0084367D"/>
    <w:rsid w:val="00843791"/>
    <w:rsid w:val="008438E7"/>
    <w:rsid w:val="00843A68"/>
    <w:rsid w:val="00843C97"/>
    <w:rsid w:val="00843E6F"/>
    <w:rsid w:val="0084422A"/>
    <w:rsid w:val="00844365"/>
    <w:rsid w:val="008443AE"/>
    <w:rsid w:val="00844597"/>
    <w:rsid w:val="00844609"/>
    <w:rsid w:val="00844627"/>
    <w:rsid w:val="00844CD4"/>
    <w:rsid w:val="00845027"/>
    <w:rsid w:val="00845076"/>
    <w:rsid w:val="00845169"/>
    <w:rsid w:val="008451AF"/>
    <w:rsid w:val="008451F8"/>
    <w:rsid w:val="0084531D"/>
    <w:rsid w:val="00845570"/>
    <w:rsid w:val="00845A26"/>
    <w:rsid w:val="00845A3D"/>
    <w:rsid w:val="00845BEC"/>
    <w:rsid w:val="00845C6A"/>
    <w:rsid w:val="00845CDF"/>
    <w:rsid w:val="0084644E"/>
    <w:rsid w:val="00846536"/>
    <w:rsid w:val="008466DB"/>
    <w:rsid w:val="0084674E"/>
    <w:rsid w:val="008467DA"/>
    <w:rsid w:val="00846864"/>
    <w:rsid w:val="00846948"/>
    <w:rsid w:val="00846CEF"/>
    <w:rsid w:val="00846DE9"/>
    <w:rsid w:val="00846E4D"/>
    <w:rsid w:val="0084740F"/>
    <w:rsid w:val="008476B0"/>
    <w:rsid w:val="00847780"/>
    <w:rsid w:val="00847783"/>
    <w:rsid w:val="008477F2"/>
    <w:rsid w:val="008478CE"/>
    <w:rsid w:val="00847974"/>
    <w:rsid w:val="00847AEF"/>
    <w:rsid w:val="00847B28"/>
    <w:rsid w:val="00847B66"/>
    <w:rsid w:val="00847C75"/>
    <w:rsid w:val="00847E4E"/>
    <w:rsid w:val="00847E60"/>
    <w:rsid w:val="00847EB9"/>
    <w:rsid w:val="00847EBC"/>
    <w:rsid w:val="00847ED8"/>
    <w:rsid w:val="00847F29"/>
    <w:rsid w:val="00847F2F"/>
    <w:rsid w:val="0085012D"/>
    <w:rsid w:val="00850160"/>
    <w:rsid w:val="00850231"/>
    <w:rsid w:val="00850986"/>
    <w:rsid w:val="008509DE"/>
    <w:rsid w:val="00850A52"/>
    <w:rsid w:val="00850A76"/>
    <w:rsid w:val="00850C87"/>
    <w:rsid w:val="008511C1"/>
    <w:rsid w:val="008511EB"/>
    <w:rsid w:val="0085125C"/>
    <w:rsid w:val="008514D5"/>
    <w:rsid w:val="00851655"/>
    <w:rsid w:val="00851799"/>
    <w:rsid w:val="0085183D"/>
    <w:rsid w:val="00851AC0"/>
    <w:rsid w:val="00851B11"/>
    <w:rsid w:val="00851CE9"/>
    <w:rsid w:val="00851EFA"/>
    <w:rsid w:val="00851F85"/>
    <w:rsid w:val="00851FDF"/>
    <w:rsid w:val="0085205B"/>
    <w:rsid w:val="008520F6"/>
    <w:rsid w:val="00852405"/>
    <w:rsid w:val="008528D2"/>
    <w:rsid w:val="00852E20"/>
    <w:rsid w:val="00852FFB"/>
    <w:rsid w:val="008530C7"/>
    <w:rsid w:val="00853146"/>
    <w:rsid w:val="00853156"/>
    <w:rsid w:val="00853238"/>
    <w:rsid w:val="00853263"/>
    <w:rsid w:val="0085339B"/>
    <w:rsid w:val="00853544"/>
    <w:rsid w:val="0085355D"/>
    <w:rsid w:val="008537C6"/>
    <w:rsid w:val="00853B21"/>
    <w:rsid w:val="00853C26"/>
    <w:rsid w:val="0085402A"/>
    <w:rsid w:val="008541DA"/>
    <w:rsid w:val="0085420E"/>
    <w:rsid w:val="00854393"/>
    <w:rsid w:val="008547D1"/>
    <w:rsid w:val="008547D2"/>
    <w:rsid w:val="00854B04"/>
    <w:rsid w:val="00854B89"/>
    <w:rsid w:val="00854E1A"/>
    <w:rsid w:val="00854EC1"/>
    <w:rsid w:val="008550DF"/>
    <w:rsid w:val="00855301"/>
    <w:rsid w:val="008555B8"/>
    <w:rsid w:val="00855764"/>
    <w:rsid w:val="0085577F"/>
    <w:rsid w:val="0085583E"/>
    <w:rsid w:val="0085587A"/>
    <w:rsid w:val="008559AB"/>
    <w:rsid w:val="00855AE4"/>
    <w:rsid w:val="00855B0A"/>
    <w:rsid w:val="00855C12"/>
    <w:rsid w:val="00855CAB"/>
    <w:rsid w:val="00855D24"/>
    <w:rsid w:val="00855E04"/>
    <w:rsid w:val="008560D6"/>
    <w:rsid w:val="00856159"/>
    <w:rsid w:val="008561D9"/>
    <w:rsid w:val="0085623A"/>
    <w:rsid w:val="00856610"/>
    <w:rsid w:val="00856664"/>
    <w:rsid w:val="00856905"/>
    <w:rsid w:val="00856A51"/>
    <w:rsid w:val="00856A9B"/>
    <w:rsid w:val="00856AA5"/>
    <w:rsid w:val="00856AC8"/>
    <w:rsid w:val="00856C11"/>
    <w:rsid w:val="00856D1C"/>
    <w:rsid w:val="00856D3E"/>
    <w:rsid w:val="00856DE4"/>
    <w:rsid w:val="00856EF3"/>
    <w:rsid w:val="00856F2C"/>
    <w:rsid w:val="00856FDD"/>
    <w:rsid w:val="00857005"/>
    <w:rsid w:val="00857043"/>
    <w:rsid w:val="00857240"/>
    <w:rsid w:val="008572BA"/>
    <w:rsid w:val="008572D1"/>
    <w:rsid w:val="008573B4"/>
    <w:rsid w:val="0085765B"/>
    <w:rsid w:val="00857766"/>
    <w:rsid w:val="0085776F"/>
    <w:rsid w:val="008579A2"/>
    <w:rsid w:val="00857A00"/>
    <w:rsid w:val="00857A60"/>
    <w:rsid w:val="00857CBF"/>
    <w:rsid w:val="00857CDC"/>
    <w:rsid w:val="00857EC8"/>
    <w:rsid w:val="00857FE1"/>
    <w:rsid w:val="00857FFA"/>
    <w:rsid w:val="0086050F"/>
    <w:rsid w:val="00860547"/>
    <w:rsid w:val="00860670"/>
    <w:rsid w:val="0086081A"/>
    <w:rsid w:val="00860978"/>
    <w:rsid w:val="00860A6A"/>
    <w:rsid w:val="00860A72"/>
    <w:rsid w:val="00860B08"/>
    <w:rsid w:val="00860B16"/>
    <w:rsid w:val="00860B42"/>
    <w:rsid w:val="00860E6F"/>
    <w:rsid w:val="0086108C"/>
    <w:rsid w:val="00861096"/>
    <w:rsid w:val="008610C6"/>
    <w:rsid w:val="008610ED"/>
    <w:rsid w:val="0086118C"/>
    <w:rsid w:val="008611D2"/>
    <w:rsid w:val="00861279"/>
    <w:rsid w:val="008615F6"/>
    <w:rsid w:val="008615F8"/>
    <w:rsid w:val="0086166E"/>
    <w:rsid w:val="0086176E"/>
    <w:rsid w:val="00861794"/>
    <w:rsid w:val="00861A5E"/>
    <w:rsid w:val="00861A8B"/>
    <w:rsid w:val="00861CA5"/>
    <w:rsid w:val="00861E8F"/>
    <w:rsid w:val="00861EF2"/>
    <w:rsid w:val="00862022"/>
    <w:rsid w:val="0086207C"/>
    <w:rsid w:val="008620EC"/>
    <w:rsid w:val="00862174"/>
    <w:rsid w:val="008622EC"/>
    <w:rsid w:val="0086253C"/>
    <w:rsid w:val="008627E8"/>
    <w:rsid w:val="00862A6F"/>
    <w:rsid w:val="00862A78"/>
    <w:rsid w:val="00862A9F"/>
    <w:rsid w:val="00862B64"/>
    <w:rsid w:val="00862C45"/>
    <w:rsid w:val="00862C93"/>
    <w:rsid w:val="00862CEA"/>
    <w:rsid w:val="00862E75"/>
    <w:rsid w:val="00862F18"/>
    <w:rsid w:val="0086309D"/>
    <w:rsid w:val="008630B0"/>
    <w:rsid w:val="00863745"/>
    <w:rsid w:val="00863760"/>
    <w:rsid w:val="00863840"/>
    <w:rsid w:val="00863A4A"/>
    <w:rsid w:val="00863AEA"/>
    <w:rsid w:val="00863B27"/>
    <w:rsid w:val="00863CF3"/>
    <w:rsid w:val="00864289"/>
    <w:rsid w:val="00864493"/>
    <w:rsid w:val="00864767"/>
    <w:rsid w:val="0086489D"/>
    <w:rsid w:val="00864B32"/>
    <w:rsid w:val="00864B39"/>
    <w:rsid w:val="00864EA9"/>
    <w:rsid w:val="00865105"/>
    <w:rsid w:val="008651EC"/>
    <w:rsid w:val="00865459"/>
    <w:rsid w:val="0086546C"/>
    <w:rsid w:val="00865537"/>
    <w:rsid w:val="008655EB"/>
    <w:rsid w:val="008658CA"/>
    <w:rsid w:val="008659DE"/>
    <w:rsid w:val="00865A65"/>
    <w:rsid w:val="00865BF3"/>
    <w:rsid w:val="00865EB6"/>
    <w:rsid w:val="00865F55"/>
    <w:rsid w:val="00865FAF"/>
    <w:rsid w:val="0086602A"/>
    <w:rsid w:val="008660AD"/>
    <w:rsid w:val="008662B5"/>
    <w:rsid w:val="00866487"/>
    <w:rsid w:val="00866850"/>
    <w:rsid w:val="00866BA9"/>
    <w:rsid w:val="00866D00"/>
    <w:rsid w:val="00866F5C"/>
    <w:rsid w:val="008672E1"/>
    <w:rsid w:val="0086746E"/>
    <w:rsid w:val="008674F1"/>
    <w:rsid w:val="0086760E"/>
    <w:rsid w:val="0086770B"/>
    <w:rsid w:val="0086782C"/>
    <w:rsid w:val="00867B58"/>
    <w:rsid w:val="00867C5C"/>
    <w:rsid w:val="00870141"/>
    <w:rsid w:val="0087014F"/>
    <w:rsid w:val="008701D6"/>
    <w:rsid w:val="00870524"/>
    <w:rsid w:val="00870598"/>
    <w:rsid w:val="00870BCF"/>
    <w:rsid w:val="00870DE1"/>
    <w:rsid w:val="00870E12"/>
    <w:rsid w:val="00871291"/>
    <w:rsid w:val="0087138E"/>
    <w:rsid w:val="008713E7"/>
    <w:rsid w:val="0087145B"/>
    <w:rsid w:val="008716A1"/>
    <w:rsid w:val="008716F3"/>
    <w:rsid w:val="00871857"/>
    <w:rsid w:val="00871A7F"/>
    <w:rsid w:val="00871F5A"/>
    <w:rsid w:val="00871F93"/>
    <w:rsid w:val="0087202E"/>
    <w:rsid w:val="008720D3"/>
    <w:rsid w:val="008720E8"/>
    <w:rsid w:val="0087223F"/>
    <w:rsid w:val="00872893"/>
    <w:rsid w:val="00872A49"/>
    <w:rsid w:val="00872A4F"/>
    <w:rsid w:val="00872A71"/>
    <w:rsid w:val="00872A8A"/>
    <w:rsid w:val="00872C4D"/>
    <w:rsid w:val="00872C69"/>
    <w:rsid w:val="00872E7D"/>
    <w:rsid w:val="00872FFB"/>
    <w:rsid w:val="0087311B"/>
    <w:rsid w:val="008731D4"/>
    <w:rsid w:val="008732EF"/>
    <w:rsid w:val="008733BF"/>
    <w:rsid w:val="00873730"/>
    <w:rsid w:val="008738F5"/>
    <w:rsid w:val="00873BBC"/>
    <w:rsid w:val="00873C36"/>
    <w:rsid w:val="00873D84"/>
    <w:rsid w:val="00873D8E"/>
    <w:rsid w:val="00873EAE"/>
    <w:rsid w:val="008741DE"/>
    <w:rsid w:val="008742E3"/>
    <w:rsid w:val="008744E8"/>
    <w:rsid w:val="0087452B"/>
    <w:rsid w:val="00874694"/>
    <w:rsid w:val="00874770"/>
    <w:rsid w:val="0087490D"/>
    <w:rsid w:val="00874A02"/>
    <w:rsid w:val="00874B6C"/>
    <w:rsid w:val="00874E7F"/>
    <w:rsid w:val="00875151"/>
    <w:rsid w:val="0087526F"/>
    <w:rsid w:val="00875291"/>
    <w:rsid w:val="008753C2"/>
    <w:rsid w:val="0087548C"/>
    <w:rsid w:val="0087560F"/>
    <w:rsid w:val="0087597F"/>
    <w:rsid w:val="008759D7"/>
    <w:rsid w:val="00875A33"/>
    <w:rsid w:val="00875B0F"/>
    <w:rsid w:val="00875E08"/>
    <w:rsid w:val="00875ED9"/>
    <w:rsid w:val="00876012"/>
    <w:rsid w:val="00876075"/>
    <w:rsid w:val="00876151"/>
    <w:rsid w:val="00876363"/>
    <w:rsid w:val="008763EF"/>
    <w:rsid w:val="00876707"/>
    <w:rsid w:val="00876744"/>
    <w:rsid w:val="00876A5F"/>
    <w:rsid w:val="00876AB3"/>
    <w:rsid w:val="00876BFD"/>
    <w:rsid w:val="00876C1F"/>
    <w:rsid w:val="00876FF9"/>
    <w:rsid w:val="00877056"/>
    <w:rsid w:val="00877162"/>
    <w:rsid w:val="008775F2"/>
    <w:rsid w:val="0087760A"/>
    <w:rsid w:val="008777B1"/>
    <w:rsid w:val="00877953"/>
    <w:rsid w:val="008779FB"/>
    <w:rsid w:val="00877A27"/>
    <w:rsid w:val="00877E16"/>
    <w:rsid w:val="00880165"/>
    <w:rsid w:val="00880214"/>
    <w:rsid w:val="00880250"/>
    <w:rsid w:val="00880982"/>
    <w:rsid w:val="00880A79"/>
    <w:rsid w:val="00880AB5"/>
    <w:rsid w:val="00880B1F"/>
    <w:rsid w:val="00880B46"/>
    <w:rsid w:val="00880BD0"/>
    <w:rsid w:val="00880EEB"/>
    <w:rsid w:val="0088105F"/>
    <w:rsid w:val="008810C8"/>
    <w:rsid w:val="008811E9"/>
    <w:rsid w:val="00881220"/>
    <w:rsid w:val="008812DC"/>
    <w:rsid w:val="0088152C"/>
    <w:rsid w:val="008816B9"/>
    <w:rsid w:val="00881730"/>
    <w:rsid w:val="008818C9"/>
    <w:rsid w:val="0088190D"/>
    <w:rsid w:val="00881A6C"/>
    <w:rsid w:val="00881DFA"/>
    <w:rsid w:val="00881F1B"/>
    <w:rsid w:val="00881F26"/>
    <w:rsid w:val="0088213E"/>
    <w:rsid w:val="008821CE"/>
    <w:rsid w:val="008821DE"/>
    <w:rsid w:val="0088241D"/>
    <w:rsid w:val="008827B2"/>
    <w:rsid w:val="008828F5"/>
    <w:rsid w:val="00882955"/>
    <w:rsid w:val="0088297D"/>
    <w:rsid w:val="00882BD1"/>
    <w:rsid w:val="00882D18"/>
    <w:rsid w:val="00882F62"/>
    <w:rsid w:val="0088342F"/>
    <w:rsid w:val="0088359B"/>
    <w:rsid w:val="00883630"/>
    <w:rsid w:val="008836ED"/>
    <w:rsid w:val="008839FB"/>
    <w:rsid w:val="00883C08"/>
    <w:rsid w:val="00883C76"/>
    <w:rsid w:val="0088414F"/>
    <w:rsid w:val="0088437D"/>
    <w:rsid w:val="0088462F"/>
    <w:rsid w:val="008848A9"/>
    <w:rsid w:val="00884957"/>
    <w:rsid w:val="00884AA1"/>
    <w:rsid w:val="00884C5F"/>
    <w:rsid w:val="00884CAA"/>
    <w:rsid w:val="00884CFD"/>
    <w:rsid w:val="00884DB8"/>
    <w:rsid w:val="00884DEE"/>
    <w:rsid w:val="00884ECE"/>
    <w:rsid w:val="00884F90"/>
    <w:rsid w:val="00885057"/>
    <w:rsid w:val="008852C7"/>
    <w:rsid w:val="0088553C"/>
    <w:rsid w:val="0088559A"/>
    <w:rsid w:val="008855E5"/>
    <w:rsid w:val="00885649"/>
    <w:rsid w:val="00885656"/>
    <w:rsid w:val="00885710"/>
    <w:rsid w:val="00885757"/>
    <w:rsid w:val="00885847"/>
    <w:rsid w:val="008858D0"/>
    <w:rsid w:val="00885A46"/>
    <w:rsid w:val="00885B88"/>
    <w:rsid w:val="00885C53"/>
    <w:rsid w:val="00885E1E"/>
    <w:rsid w:val="00885FDD"/>
    <w:rsid w:val="008860A4"/>
    <w:rsid w:val="008862CA"/>
    <w:rsid w:val="00886313"/>
    <w:rsid w:val="008863B8"/>
    <w:rsid w:val="00886A81"/>
    <w:rsid w:val="00886D13"/>
    <w:rsid w:val="00886E95"/>
    <w:rsid w:val="00886F39"/>
    <w:rsid w:val="00886F6F"/>
    <w:rsid w:val="00886F9C"/>
    <w:rsid w:val="00886FDF"/>
    <w:rsid w:val="00887075"/>
    <w:rsid w:val="0088738E"/>
    <w:rsid w:val="00887583"/>
    <w:rsid w:val="00887666"/>
    <w:rsid w:val="00887703"/>
    <w:rsid w:val="0088774B"/>
    <w:rsid w:val="008878E7"/>
    <w:rsid w:val="00887C26"/>
    <w:rsid w:val="00887C34"/>
    <w:rsid w:val="00887D90"/>
    <w:rsid w:val="00887F82"/>
    <w:rsid w:val="008902AF"/>
    <w:rsid w:val="00890359"/>
    <w:rsid w:val="00890409"/>
    <w:rsid w:val="0089086C"/>
    <w:rsid w:val="00890C15"/>
    <w:rsid w:val="00890C31"/>
    <w:rsid w:val="00890C6F"/>
    <w:rsid w:val="00890E1E"/>
    <w:rsid w:val="00890F53"/>
    <w:rsid w:val="00890FB6"/>
    <w:rsid w:val="00890FC6"/>
    <w:rsid w:val="008910DF"/>
    <w:rsid w:val="008912F7"/>
    <w:rsid w:val="0089132F"/>
    <w:rsid w:val="00891475"/>
    <w:rsid w:val="008918FE"/>
    <w:rsid w:val="008919E4"/>
    <w:rsid w:val="00891AAE"/>
    <w:rsid w:val="00891DB7"/>
    <w:rsid w:val="00891E12"/>
    <w:rsid w:val="00891ECF"/>
    <w:rsid w:val="00891FB0"/>
    <w:rsid w:val="00892023"/>
    <w:rsid w:val="00892243"/>
    <w:rsid w:val="008922F1"/>
    <w:rsid w:val="008922F8"/>
    <w:rsid w:val="0089230E"/>
    <w:rsid w:val="0089248C"/>
    <w:rsid w:val="00892532"/>
    <w:rsid w:val="00892693"/>
    <w:rsid w:val="00892763"/>
    <w:rsid w:val="00892771"/>
    <w:rsid w:val="0089290E"/>
    <w:rsid w:val="00892B88"/>
    <w:rsid w:val="00892BD0"/>
    <w:rsid w:val="008931A9"/>
    <w:rsid w:val="00893229"/>
    <w:rsid w:val="00893570"/>
    <w:rsid w:val="00893A14"/>
    <w:rsid w:val="00893A68"/>
    <w:rsid w:val="00893B2A"/>
    <w:rsid w:val="00893BCA"/>
    <w:rsid w:val="00893BF5"/>
    <w:rsid w:val="00893C15"/>
    <w:rsid w:val="00893C94"/>
    <w:rsid w:val="00893D8C"/>
    <w:rsid w:val="00893DD7"/>
    <w:rsid w:val="00893EDA"/>
    <w:rsid w:val="00894162"/>
    <w:rsid w:val="0089452D"/>
    <w:rsid w:val="008945C7"/>
    <w:rsid w:val="008945D2"/>
    <w:rsid w:val="00894908"/>
    <w:rsid w:val="0089491E"/>
    <w:rsid w:val="00894B2E"/>
    <w:rsid w:val="00894B82"/>
    <w:rsid w:val="00894D8D"/>
    <w:rsid w:val="00894EDD"/>
    <w:rsid w:val="00894F5B"/>
    <w:rsid w:val="00894F9D"/>
    <w:rsid w:val="00894FBA"/>
    <w:rsid w:val="00894FC6"/>
    <w:rsid w:val="00895314"/>
    <w:rsid w:val="0089533D"/>
    <w:rsid w:val="0089566E"/>
    <w:rsid w:val="0089569A"/>
    <w:rsid w:val="00895851"/>
    <w:rsid w:val="00895A94"/>
    <w:rsid w:val="00895AEA"/>
    <w:rsid w:val="00895B00"/>
    <w:rsid w:val="00895C23"/>
    <w:rsid w:val="00895C4A"/>
    <w:rsid w:val="00896036"/>
    <w:rsid w:val="0089606F"/>
    <w:rsid w:val="0089615B"/>
    <w:rsid w:val="008961D5"/>
    <w:rsid w:val="008962D1"/>
    <w:rsid w:val="00896696"/>
    <w:rsid w:val="0089691F"/>
    <w:rsid w:val="00896953"/>
    <w:rsid w:val="00896D8C"/>
    <w:rsid w:val="00896E36"/>
    <w:rsid w:val="00896F72"/>
    <w:rsid w:val="008970F6"/>
    <w:rsid w:val="00897223"/>
    <w:rsid w:val="00897262"/>
    <w:rsid w:val="008973BD"/>
    <w:rsid w:val="008973DD"/>
    <w:rsid w:val="0089774E"/>
    <w:rsid w:val="0089777F"/>
    <w:rsid w:val="0089789D"/>
    <w:rsid w:val="008979EE"/>
    <w:rsid w:val="00897B4B"/>
    <w:rsid w:val="00897B69"/>
    <w:rsid w:val="00897CA6"/>
    <w:rsid w:val="00897CB2"/>
    <w:rsid w:val="00897E3F"/>
    <w:rsid w:val="00897E70"/>
    <w:rsid w:val="008A01A5"/>
    <w:rsid w:val="008A01AC"/>
    <w:rsid w:val="008A0329"/>
    <w:rsid w:val="008A038B"/>
    <w:rsid w:val="008A0711"/>
    <w:rsid w:val="008A0815"/>
    <w:rsid w:val="008A0863"/>
    <w:rsid w:val="008A0EC7"/>
    <w:rsid w:val="008A0F42"/>
    <w:rsid w:val="008A107E"/>
    <w:rsid w:val="008A1154"/>
    <w:rsid w:val="008A1194"/>
    <w:rsid w:val="008A12A5"/>
    <w:rsid w:val="008A12E6"/>
    <w:rsid w:val="008A1960"/>
    <w:rsid w:val="008A1A99"/>
    <w:rsid w:val="008A1D8B"/>
    <w:rsid w:val="008A1DE2"/>
    <w:rsid w:val="008A1DE8"/>
    <w:rsid w:val="008A1EFB"/>
    <w:rsid w:val="008A1FB0"/>
    <w:rsid w:val="008A2186"/>
    <w:rsid w:val="008A23B7"/>
    <w:rsid w:val="008A2639"/>
    <w:rsid w:val="008A2642"/>
    <w:rsid w:val="008A2884"/>
    <w:rsid w:val="008A2AEA"/>
    <w:rsid w:val="008A2B48"/>
    <w:rsid w:val="008A2B80"/>
    <w:rsid w:val="008A2C23"/>
    <w:rsid w:val="008A2F71"/>
    <w:rsid w:val="008A3081"/>
    <w:rsid w:val="008A31A8"/>
    <w:rsid w:val="008A33A1"/>
    <w:rsid w:val="008A34D1"/>
    <w:rsid w:val="008A3612"/>
    <w:rsid w:val="008A37A6"/>
    <w:rsid w:val="008A391A"/>
    <w:rsid w:val="008A3B05"/>
    <w:rsid w:val="008A3B0B"/>
    <w:rsid w:val="008A3B20"/>
    <w:rsid w:val="008A3D96"/>
    <w:rsid w:val="008A42A6"/>
    <w:rsid w:val="008A44BF"/>
    <w:rsid w:val="008A4737"/>
    <w:rsid w:val="008A4798"/>
    <w:rsid w:val="008A480D"/>
    <w:rsid w:val="008A484D"/>
    <w:rsid w:val="008A4914"/>
    <w:rsid w:val="008A4A24"/>
    <w:rsid w:val="008A4A6D"/>
    <w:rsid w:val="008A4BA0"/>
    <w:rsid w:val="008A4C14"/>
    <w:rsid w:val="008A4D82"/>
    <w:rsid w:val="008A4DDB"/>
    <w:rsid w:val="008A4F15"/>
    <w:rsid w:val="008A4FC9"/>
    <w:rsid w:val="008A5049"/>
    <w:rsid w:val="008A5299"/>
    <w:rsid w:val="008A54CE"/>
    <w:rsid w:val="008A5536"/>
    <w:rsid w:val="008A553F"/>
    <w:rsid w:val="008A562B"/>
    <w:rsid w:val="008A5631"/>
    <w:rsid w:val="008A56FB"/>
    <w:rsid w:val="008A57F1"/>
    <w:rsid w:val="008A5EA4"/>
    <w:rsid w:val="008A5F41"/>
    <w:rsid w:val="008A6042"/>
    <w:rsid w:val="008A6044"/>
    <w:rsid w:val="008A64BC"/>
    <w:rsid w:val="008A67F0"/>
    <w:rsid w:val="008A6824"/>
    <w:rsid w:val="008A68D8"/>
    <w:rsid w:val="008A6E6F"/>
    <w:rsid w:val="008A6FC8"/>
    <w:rsid w:val="008A70B4"/>
    <w:rsid w:val="008A70D3"/>
    <w:rsid w:val="008A7366"/>
    <w:rsid w:val="008A7454"/>
    <w:rsid w:val="008A746F"/>
    <w:rsid w:val="008A751E"/>
    <w:rsid w:val="008A75DE"/>
    <w:rsid w:val="008A7890"/>
    <w:rsid w:val="008A7C9E"/>
    <w:rsid w:val="008B001D"/>
    <w:rsid w:val="008B05E7"/>
    <w:rsid w:val="008B0BD5"/>
    <w:rsid w:val="008B110E"/>
    <w:rsid w:val="008B15E1"/>
    <w:rsid w:val="008B168D"/>
    <w:rsid w:val="008B179C"/>
    <w:rsid w:val="008B1B0B"/>
    <w:rsid w:val="008B1B4A"/>
    <w:rsid w:val="008B1B96"/>
    <w:rsid w:val="008B1C5D"/>
    <w:rsid w:val="008B1D8D"/>
    <w:rsid w:val="008B1F49"/>
    <w:rsid w:val="008B1F8A"/>
    <w:rsid w:val="008B2297"/>
    <w:rsid w:val="008B2472"/>
    <w:rsid w:val="008B24A9"/>
    <w:rsid w:val="008B261E"/>
    <w:rsid w:val="008B26B7"/>
    <w:rsid w:val="008B2AFF"/>
    <w:rsid w:val="008B2C59"/>
    <w:rsid w:val="008B2DB7"/>
    <w:rsid w:val="008B2DE9"/>
    <w:rsid w:val="008B2F24"/>
    <w:rsid w:val="008B30BA"/>
    <w:rsid w:val="008B31CD"/>
    <w:rsid w:val="008B324A"/>
    <w:rsid w:val="008B32B5"/>
    <w:rsid w:val="008B33D1"/>
    <w:rsid w:val="008B3493"/>
    <w:rsid w:val="008B369D"/>
    <w:rsid w:val="008B37D8"/>
    <w:rsid w:val="008B38BB"/>
    <w:rsid w:val="008B3BD7"/>
    <w:rsid w:val="008B3D67"/>
    <w:rsid w:val="008B3DE4"/>
    <w:rsid w:val="008B4137"/>
    <w:rsid w:val="008B416C"/>
    <w:rsid w:val="008B431B"/>
    <w:rsid w:val="008B4505"/>
    <w:rsid w:val="008B47F2"/>
    <w:rsid w:val="008B4BE5"/>
    <w:rsid w:val="008B4BF7"/>
    <w:rsid w:val="008B4C10"/>
    <w:rsid w:val="008B4CD8"/>
    <w:rsid w:val="008B4F82"/>
    <w:rsid w:val="008B51BA"/>
    <w:rsid w:val="008B521B"/>
    <w:rsid w:val="008B5236"/>
    <w:rsid w:val="008B534D"/>
    <w:rsid w:val="008B5644"/>
    <w:rsid w:val="008B56A0"/>
    <w:rsid w:val="008B5BBA"/>
    <w:rsid w:val="008B5D41"/>
    <w:rsid w:val="008B5DCC"/>
    <w:rsid w:val="008B5EB9"/>
    <w:rsid w:val="008B5EDD"/>
    <w:rsid w:val="008B5FAC"/>
    <w:rsid w:val="008B6284"/>
    <w:rsid w:val="008B6306"/>
    <w:rsid w:val="008B6788"/>
    <w:rsid w:val="008B6793"/>
    <w:rsid w:val="008B6CA1"/>
    <w:rsid w:val="008B6FE8"/>
    <w:rsid w:val="008B7043"/>
    <w:rsid w:val="008B71D1"/>
    <w:rsid w:val="008B7298"/>
    <w:rsid w:val="008B7446"/>
    <w:rsid w:val="008B750D"/>
    <w:rsid w:val="008B752F"/>
    <w:rsid w:val="008B75DD"/>
    <w:rsid w:val="008B7A11"/>
    <w:rsid w:val="008B7B43"/>
    <w:rsid w:val="008B7C08"/>
    <w:rsid w:val="008B7D36"/>
    <w:rsid w:val="008B7E0E"/>
    <w:rsid w:val="008C0004"/>
    <w:rsid w:val="008C021E"/>
    <w:rsid w:val="008C05EC"/>
    <w:rsid w:val="008C06D0"/>
    <w:rsid w:val="008C0911"/>
    <w:rsid w:val="008C0921"/>
    <w:rsid w:val="008C0986"/>
    <w:rsid w:val="008C0B85"/>
    <w:rsid w:val="008C0BD7"/>
    <w:rsid w:val="008C1090"/>
    <w:rsid w:val="008C1481"/>
    <w:rsid w:val="008C17AA"/>
    <w:rsid w:val="008C17BD"/>
    <w:rsid w:val="008C1808"/>
    <w:rsid w:val="008C1849"/>
    <w:rsid w:val="008C191C"/>
    <w:rsid w:val="008C1A21"/>
    <w:rsid w:val="008C1AAB"/>
    <w:rsid w:val="008C1C0E"/>
    <w:rsid w:val="008C1C9D"/>
    <w:rsid w:val="008C1CC6"/>
    <w:rsid w:val="008C1D36"/>
    <w:rsid w:val="008C2083"/>
    <w:rsid w:val="008C20E5"/>
    <w:rsid w:val="008C22A8"/>
    <w:rsid w:val="008C22EC"/>
    <w:rsid w:val="008C26FA"/>
    <w:rsid w:val="008C2851"/>
    <w:rsid w:val="008C294C"/>
    <w:rsid w:val="008C2CDC"/>
    <w:rsid w:val="008C2D0A"/>
    <w:rsid w:val="008C2D5A"/>
    <w:rsid w:val="008C31D5"/>
    <w:rsid w:val="008C3220"/>
    <w:rsid w:val="008C3332"/>
    <w:rsid w:val="008C338D"/>
    <w:rsid w:val="008C33F8"/>
    <w:rsid w:val="008C3488"/>
    <w:rsid w:val="008C3520"/>
    <w:rsid w:val="008C360B"/>
    <w:rsid w:val="008C3C7C"/>
    <w:rsid w:val="008C3EA1"/>
    <w:rsid w:val="008C3F2E"/>
    <w:rsid w:val="008C4088"/>
    <w:rsid w:val="008C40F9"/>
    <w:rsid w:val="008C482B"/>
    <w:rsid w:val="008C48A1"/>
    <w:rsid w:val="008C4962"/>
    <w:rsid w:val="008C4D1C"/>
    <w:rsid w:val="008C4DC7"/>
    <w:rsid w:val="008C4DDF"/>
    <w:rsid w:val="008C4E5C"/>
    <w:rsid w:val="008C50B1"/>
    <w:rsid w:val="008C52B4"/>
    <w:rsid w:val="008C536D"/>
    <w:rsid w:val="008C557B"/>
    <w:rsid w:val="008C564F"/>
    <w:rsid w:val="008C5761"/>
    <w:rsid w:val="008C594A"/>
    <w:rsid w:val="008C5A00"/>
    <w:rsid w:val="008C5C26"/>
    <w:rsid w:val="008C5C32"/>
    <w:rsid w:val="008C6104"/>
    <w:rsid w:val="008C6212"/>
    <w:rsid w:val="008C63B1"/>
    <w:rsid w:val="008C64FB"/>
    <w:rsid w:val="008C6577"/>
    <w:rsid w:val="008C690E"/>
    <w:rsid w:val="008C694B"/>
    <w:rsid w:val="008C6990"/>
    <w:rsid w:val="008C6C06"/>
    <w:rsid w:val="008C7137"/>
    <w:rsid w:val="008C7163"/>
    <w:rsid w:val="008C71A8"/>
    <w:rsid w:val="008C728A"/>
    <w:rsid w:val="008C72A3"/>
    <w:rsid w:val="008C736F"/>
    <w:rsid w:val="008C73C2"/>
    <w:rsid w:val="008C776E"/>
    <w:rsid w:val="008C7850"/>
    <w:rsid w:val="008C79E9"/>
    <w:rsid w:val="008C7A18"/>
    <w:rsid w:val="008C7B0D"/>
    <w:rsid w:val="008C7B7B"/>
    <w:rsid w:val="008C7BF6"/>
    <w:rsid w:val="008C7D10"/>
    <w:rsid w:val="008C7D60"/>
    <w:rsid w:val="008C7DD0"/>
    <w:rsid w:val="008D00C9"/>
    <w:rsid w:val="008D015C"/>
    <w:rsid w:val="008D02B6"/>
    <w:rsid w:val="008D0308"/>
    <w:rsid w:val="008D03F9"/>
    <w:rsid w:val="008D057D"/>
    <w:rsid w:val="008D07EE"/>
    <w:rsid w:val="008D09E7"/>
    <w:rsid w:val="008D0AB4"/>
    <w:rsid w:val="008D0ACC"/>
    <w:rsid w:val="008D0AE2"/>
    <w:rsid w:val="008D0D33"/>
    <w:rsid w:val="008D0EAF"/>
    <w:rsid w:val="008D0F63"/>
    <w:rsid w:val="008D10AB"/>
    <w:rsid w:val="008D118A"/>
    <w:rsid w:val="008D14DE"/>
    <w:rsid w:val="008D17B2"/>
    <w:rsid w:val="008D19A0"/>
    <w:rsid w:val="008D1C89"/>
    <w:rsid w:val="008D1D07"/>
    <w:rsid w:val="008D1EC8"/>
    <w:rsid w:val="008D1F0F"/>
    <w:rsid w:val="008D2311"/>
    <w:rsid w:val="008D2356"/>
    <w:rsid w:val="008D2424"/>
    <w:rsid w:val="008D24B0"/>
    <w:rsid w:val="008D25DF"/>
    <w:rsid w:val="008D275A"/>
    <w:rsid w:val="008D2C0F"/>
    <w:rsid w:val="008D2C30"/>
    <w:rsid w:val="008D2C8E"/>
    <w:rsid w:val="008D3174"/>
    <w:rsid w:val="008D3212"/>
    <w:rsid w:val="008D3269"/>
    <w:rsid w:val="008D3275"/>
    <w:rsid w:val="008D32F1"/>
    <w:rsid w:val="008D33E7"/>
    <w:rsid w:val="008D37C9"/>
    <w:rsid w:val="008D38B9"/>
    <w:rsid w:val="008D38E2"/>
    <w:rsid w:val="008D39D5"/>
    <w:rsid w:val="008D3B60"/>
    <w:rsid w:val="008D3CAE"/>
    <w:rsid w:val="008D3D82"/>
    <w:rsid w:val="008D3D9B"/>
    <w:rsid w:val="008D3F34"/>
    <w:rsid w:val="008D409C"/>
    <w:rsid w:val="008D41FC"/>
    <w:rsid w:val="008D425A"/>
    <w:rsid w:val="008D4426"/>
    <w:rsid w:val="008D4448"/>
    <w:rsid w:val="008D450C"/>
    <w:rsid w:val="008D45C7"/>
    <w:rsid w:val="008D47FA"/>
    <w:rsid w:val="008D4A86"/>
    <w:rsid w:val="008D4B78"/>
    <w:rsid w:val="008D4CD0"/>
    <w:rsid w:val="008D4DD2"/>
    <w:rsid w:val="008D4F99"/>
    <w:rsid w:val="008D573B"/>
    <w:rsid w:val="008D59F0"/>
    <w:rsid w:val="008D5AF6"/>
    <w:rsid w:val="008D5DA9"/>
    <w:rsid w:val="008D5F7B"/>
    <w:rsid w:val="008D6023"/>
    <w:rsid w:val="008D6078"/>
    <w:rsid w:val="008D61EB"/>
    <w:rsid w:val="008D6718"/>
    <w:rsid w:val="008D6742"/>
    <w:rsid w:val="008D6A59"/>
    <w:rsid w:val="008D6D30"/>
    <w:rsid w:val="008D6F05"/>
    <w:rsid w:val="008D6F19"/>
    <w:rsid w:val="008D7115"/>
    <w:rsid w:val="008D772A"/>
    <w:rsid w:val="008D780A"/>
    <w:rsid w:val="008D7825"/>
    <w:rsid w:val="008D7879"/>
    <w:rsid w:val="008D78F7"/>
    <w:rsid w:val="008D7924"/>
    <w:rsid w:val="008D7979"/>
    <w:rsid w:val="008D79CD"/>
    <w:rsid w:val="008D7AA8"/>
    <w:rsid w:val="008D7EAD"/>
    <w:rsid w:val="008D7FEC"/>
    <w:rsid w:val="008E0131"/>
    <w:rsid w:val="008E01D6"/>
    <w:rsid w:val="008E0230"/>
    <w:rsid w:val="008E0343"/>
    <w:rsid w:val="008E03AF"/>
    <w:rsid w:val="008E0843"/>
    <w:rsid w:val="008E0848"/>
    <w:rsid w:val="008E0915"/>
    <w:rsid w:val="008E0A73"/>
    <w:rsid w:val="008E0BC4"/>
    <w:rsid w:val="008E0BF2"/>
    <w:rsid w:val="008E0CAF"/>
    <w:rsid w:val="008E0CCB"/>
    <w:rsid w:val="008E0CDB"/>
    <w:rsid w:val="008E0FD2"/>
    <w:rsid w:val="008E1213"/>
    <w:rsid w:val="008E1237"/>
    <w:rsid w:val="008E151E"/>
    <w:rsid w:val="008E1981"/>
    <w:rsid w:val="008E19B4"/>
    <w:rsid w:val="008E1A8E"/>
    <w:rsid w:val="008E1ABF"/>
    <w:rsid w:val="008E1CD4"/>
    <w:rsid w:val="008E1DA0"/>
    <w:rsid w:val="008E222D"/>
    <w:rsid w:val="008E27FD"/>
    <w:rsid w:val="008E2812"/>
    <w:rsid w:val="008E2940"/>
    <w:rsid w:val="008E2B3C"/>
    <w:rsid w:val="008E2C76"/>
    <w:rsid w:val="008E2F40"/>
    <w:rsid w:val="008E2FEC"/>
    <w:rsid w:val="008E3075"/>
    <w:rsid w:val="008E34A5"/>
    <w:rsid w:val="008E365B"/>
    <w:rsid w:val="008E368D"/>
    <w:rsid w:val="008E37B5"/>
    <w:rsid w:val="008E38CF"/>
    <w:rsid w:val="008E3A11"/>
    <w:rsid w:val="008E3BD6"/>
    <w:rsid w:val="008E3C58"/>
    <w:rsid w:val="008E42BD"/>
    <w:rsid w:val="008E4348"/>
    <w:rsid w:val="008E4379"/>
    <w:rsid w:val="008E4559"/>
    <w:rsid w:val="008E4710"/>
    <w:rsid w:val="008E47C4"/>
    <w:rsid w:val="008E47F4"/>
    <w:rsid w:val="008E48B8"/>
    <w:rsid w:val="008E4A56"/>
    <w:rsid w:val="008E4B4E"/>
    <w:rsid w:val="008E50A4"/>
    <w:rsid w:val="008E51B7"/>
    <w:rsid w:val="008E51E5"/>
    <w:rsid w:val="008E537D"/>
    <w:rsid w:val="008E54DB"/>
    <w:rsid w:val="008E55E7"/>
    <w:rsid w:val="008E5807"/>
    <w:rsid w:val="008E58ED"/>
    <w:rsid w:val="008E5C1D"/>
    <w:rsid w:val="008E5C95"/>
    <w:rsid w:val="008E5CD5"/>
    <w:rsid w:val="008E5ED7"/>
    <w:rsid w:val="008E5FC5"/>
    <w:rsid w:val="008E6129"/>
    <w:rsid w:val="008E63A2"/>
    <w:rsid w:val="008E63AD"/>
    <w:rsid w:val="008E64A7"/>
    <w:rsid w:val="008E64B0"/>
    <w:rsid w:val="008E6532"/>
    <w:rsid w:val="008E65ED"/>
    <w:rsid w:val="008E675E"/>
    <w:rsid w:val="008E6824"/>
    <w:rsid w:val="008E6955"/>
    <w:rsid w:val="008E6B10"/>
    <w:rsid w:val="008E6E05"/>
    <w:rsid w:val="008E715A"/>
    <w:rsid w:val="008E7240"/>
    <w:rsid w:val="008E7245"/>
    <w:rsid w:val="008E7255"/>
    <w:rsid w:val="008E72FD"/>
    <w:rsid w:val="008E7450"/>
    <w:rsid w:val="008E78D4"/>
    <w:rsid w:val="008E7BF6"/>
    <w:rsid w:val="008E7E2F"/>
    <w:rsid w:val="008F017C"/>
    <w:rsid w:val="008F01DD"/>
    <w:rsid w:val="008F082E"/>
    <w:rsid w:val="008F0833"/>
    <w:rsid w:val="008F08A0"/>
    <w:rsid w:val="008F0B9F"/>
    <w:rsid w:val="008F0C4C"/>
    <w:rsid w:val="008F0CC8"/>
    <w:rsid w:val="008F0E07"/>
    <w:rsid w:val="008F12E4"/>
    <w:rsid w:val="008F1734"/>
    <w:rsid w:val="008F17A8"/>
    <w:rsid w:val="008F1892"/>
    <w:rsid w:val="008F18C1"/>
    <w:rsid w:val="008F1B5A"/>
    <w:rsid w:val="008F1B80"/>
    <w:rsid w:val="008F1BBE"/>
    <w:rsid w:val="008F1D41"/>
    <w:rsid w:val="008F1ED3"/>
    <w:rsid w:val="008F1FA2"/>
    <w:rsid w:val="008F21E8"/>
    <w:rsid w:val="008F223A"/>
    <w:rsid w:val="008F2341"/>
    <w:rsid w:val="008F2456"/>
    <w:rsid w:val="008F2589"/>
    <w:rsid w:val="008F259C"/>
    <w:rsid w:val="008F269D"/>
    <w:rsid w:val="008F2700"/>
    <w:rsid w:val="008F27D8"/>
    <w:rsid w:val="008F2995"/>
    <w:rsid w:val="008F2B98"/>
    <w:rsid w:val="008F2BA0"/>
    <w:rsid w:val="008F2D20"/>
    <w:rsid w:val="008F2E0F"/>
    <w:rsid w:val="008F3147"/>
    <w:rsid w:val="008F32AD"/>
    <w:rsid w:val="008F3413"/>
    <w:rsid w:val="008F348C"/>
    <w:rsid w:val="008F34D5"/>
    <w:rsid w:val="008F3564"/>
    <w:rsid w:val="008F356C"/>
    <w:rsid w:val="008F35DB"/>
    <w:rsid w:val="008F3C08"/>
    <w:rsid w:val="008F3CB8"/>
    <w:rsid w:val="008F3D16"/>
    <w:rsid w:val="008F3DD4"/>
    <w:rsid w:val="008F3ED9"/>
    <w:rsid w:val="008F4186"/>
    <w:rsid w:val="008F4494"/>
    <w:rsid w:val="008F4671"/>
    <w:rsid w:val="008F48EE"/>
    <w:rsid w:val="008F4A15"/>
    <w:rsid w:val="008F4A4C"/>
    <w:rsid w:val="008F4AA0"/>
    <w:rsid w:val="008F4B73"/>
    <w:rsid w:val="008F4D6E"/>
    <w:rsid w:val="008F50CC"/>
    <w:rsid w:val="008F52C0"/>
    <w:rsid w:val="008F55DB"/>
    <w:rsid w:val="008F580E"/>
    <w:rsid w:val="008F5863"/>
    <w:rsid w:val="008F5926"/>
    <w:rsid w:val="008F5C31"/>
    <w:rsid w:val="008F5D3F"/>
    <w:rsid w:val="008F6082"/>
    <w:rsid w:val="008F6310"/>
    <w:rsid w:val="008F6355"/>
    <w:rsid w:val="008F647E"/>
    <w:rsid w:val="008F6554"/>
    <w:rsid w:val="008F65CE"/>
    <w:rsid w:val="008F6650"/>
    <w:rsid w:val="008F67EE"/>
    <w:rsid w:val="008F682F"/>
    <w:rsid w:val="008F6D0E"/>
    <w:rsid w:val="008F6EA6"/>
    <w:rsid w:val="008F703D"/>
    <w:rsid w:val="008F70B5"/>
    <w:rsid w:val="008F735B"/>
    <w:rsid w:val="008F7BDF"/>
    <w:rsid w:val="008F7D1D"/>
    <w:rsid w:val="008F7D3E"/>
    <w:rsid w:val="008F7DA8"/>
    <w:rsid w:val="008F7E73"/>
    <w:rsid w:val="0090007B"/>
    <w:rsid w:val="009001A0"/>
    <w:rsid w:val="00900323"/>
    <w:rsid w:val="0090079B"/>
    <w:rsid w:val="0090083E"/>
    <w:rsid w:val="00900B39"/>
    <w:rsid w:val="00900C0F"/>
    <w:rsid w:val="00900C59"/>
    <w:rsid w:val="00900E29"/>
    <w:rsid w:val="00900E2E"/>
    <w:rsid w:val="0090106B"/>
    <w:rsid w:val="009010F9"/>
    <w:rsid w:val="0090120F"/>
    <w:rsid w:val="009014AC"/>
    <w:rsid w:val="00901581"/>
    <w:rsid w:val="00901A4D"/>
    <w:rsid w:val="00901AAA"/>
    <w:rsid w:val="00901ABD"/>
    <w:rsid w:val="00901B13"/>
    <w:rsid w:val="00901B6E"/>
    <w:rsid w:val="00901C6C"/>
    <w:rsid w:val="00901D95"/>
    <w:rsid w:val="00902066"/>
    <w:rsid w:val="00902138"/>
    <w:rsid w:val="00902251"/>
    <w:rsid w:val="0090227D"/>
    <w:rsid w:val="00902371"/>
    <w:rsid w:val="00902387"/>
    <w:rsid w:val="00902509"/>
    <w:rsid w:val="00902757"/>
    <w:rsid w:val="0090282A"/>
    <w:rsid w:val="00902B5E"/>
    <w:rsid w:val="00902D38"/>
    <w:rsid w:val="00902F22"/>
    <w:rsid w:val="00903026"/>
    <w:rsid w:val="00903034"/>
    <w:rsid w:val="0090374C"/>
    <w:rsid w:val="0090383F"/>
    <w:rsid w:val="009038FC"/>
    <w:rsid w:val="00903BF6"/>
    <w:rsid w:val="00903D32"/>
    <w:rsid w:val="00903D5F"/>
    <w:rsid w:val="00903E4B"/>
    <w:rsid w:val="00903FC5"/>
    <w:rsid w:val="00904160"/>
    <w:rsid w:val="009041A9"/>
    <w:rsid w:val="009041E4"/>
    <w:rsid w:val="00904519"/>
    <w:rsid w:val="0090497C"/>
    <w:rsid w:val="00904C89"/>
    <w:rsid w:val="00904CEE"/>
    <w:rsid w:val="00904DE4"/>
    <w:rsid w:val="00904F5E"/>
    <w:rsid w:val="00904F77"/>
    <w:rsid w:val="009050B5"/>
    <w:rsid w:val="009052A3"/>
    <w:rsid w:val="0090539A"/>
    <w:rsid w:val="0090543B"/>
    <w:rsid w:val="00905458"/>
    <w:rsid w:val="009055B6"/>
    <w:rsid w:val="00905CDE"/>
    <w:rsid w:val="00905F41"/>
    <w:rsid w:val="00905F5D"/>
    <w:rsid w:val="00906070"/>
    <w:rsid w:val="009064B0"/>
    <w:rsid w:val="00906522"/>
    <w:rsid w:val="009065BA"/>
    <w:rsid w:val="00906783"/>
    <w:rsid w:val="00907046"/>
    <w:rsid w:val="009070C3"/>
    <w:rsid w:val="0090736F"/>
    <w:rsid w:val="00907539"/>
    <w:rsid w:val="009079F1"/>
    <w:rsid w:val="00907CD2"/>
    <w:rsid w:val="00907D22"/>
    <w:rsid w:val="00907DEF"/>
    <w:rsid w:val="00907F0D"/>
    <w:rsid w:val="0091009B"/>
    <w:rsid w:val="009100C8"/>
    <w:rsid w:val="00910411"/>
    <w:rsid w:val="00910666"/>
    <w:rsid w:val="009106D5"/>
    <w:rsid w:val="009106EF"/>
    <w:rsid w:val="009109AF"/>
    <w:rsid w:val="009109B7"/>
    <w:rsid w:val="00910CC3"/>
    <w:rsid w:val="00910D82"/>
    <w:rsid w:val="00910E27"/>
    <w:rsid w:val="009110DB"/>
    <w:rsid w:val="009111A9"/>
    <w:rsid w:val="00911802"/>
    <w:rsid w:val="009118AE"/>
    <w:rsid w:val="0091196A"/>
    <w:rsid w:val="00911B22"/>
    <w:rsid w:val="00911BB0"/>
    <w:rsid w:val="00911F7D"/>
    <w:rsid w:val="00912099"/>
    <w:rsid w:val="009120DE"/>
    <w:rsid w:val="0091213F"/>
    <w:rsid w:val="00912149"/>
    <w:rsid w:val="0091235F"/>
    <w:rsid w:val="009123BF"/>
    <w:rsid w:val="009123E5"/>
    <w:rsid w:val="009124B9"/>
    <w:rsid w:val="009126FB"/>
    <w:rsid w:val="0091270D"/>
    <w:rsid w:val="00912812"/>
    <w:rsid w:val="009128A6"/>
    <w:rsid w:val="00912AD4"/>
    <w:rsid w:val="00912ADE"/>
    <w:rsid w:val="00912AF7"/>
    <w:rsid w:val="00912B71"/>
    <w:rsid w:val="00912BD9"/>
    <w:rsid w:val="00912FA9"/>
    <w:rsid w:val="00912FE3"/>
    <w:rsid w:val="00913050"/>
    <w:rsid w:val="0091310C"/>
    <w:rsid w:val="0091327A"/>
    <w:rsid w:val="009135E5"/>
    <w:rsid w:val="00913623"/>
    <w:rsid w:val="009136EF"/>
    <w:rsid w:val="00913734"/>
    <w:rsid w:val="0091396B"/>
    <w:rsid w:val="00913CAC"/>
    <w:rsid w:val="00914145"/>
    <w:rsid w:val="009141EC"/>
    <w:rsid w:val="00914367"/>
    <w:rsid w:val="0091446B"/>
    <w:rsid w:val="009145D5"/>
    <w:rsid w:val="00914702"/>
    <w:rsid w:val="00914829"/>
    <w:rsid w:val="00914A0A"/>
    <w:rsid w:val="00914A73"/>
    <w:rsid w:val="00914B81"/>
    <w:rsid w:val="00914D6B"/>
    <w:rsid w:val="00914DF9"/>
    <w:rsid w:val="00914F02"/>
    <w:rsid w:val="009150BC"/>
    <w:rsid w:val="00915178"/>
    <w:rsid w:val="009152F8"/>
    <w:rsid w:val="009153D2"/>
    <w:rsid w:val="00915446"/>
    <w:rsid w:val="00915565"/>
    <w:rsid w:val="009156A2"/>
    <w:rsid w:val="0091570A"/>
    <w:rsid w:val="00915757"/>
    <w:rsid w:val="00915778"/>
    <w:rsid w:val="00915853"/>
    <w:rsid w:val="0091586E"/>
    <w:rsid w:val="0091592D"/>
    <w:rsid w:val="00915A17"/>
    <w:rsid w:val="00915AE6"/>
    <w:rsid w:val="00915B11"/>
    <w:rsid w:val="00915B98"/>
    <w:rsid w:val="00915C1A"/>
    <w:rsid w:val="00915C35"/>
    <w:rsid w:val="00915E7D"/>
    <w:rsid w:val="0091615F"/>
    <w:rsid w:val="009161A9"/>
    <w:rsid w:val="00916291"/>
    <w:rsid w:val="009166C7"/>
    <w:rsid w:val="00916C53"/>
    <w:rsid w:val="00916D31"/>
    <w:rsid w:val="00916D6F"/>
    <w:rsid w:val="00916F24"/>
    <w:rsid w:val="00916F81"/>
    <w:rsid w:val="00917038"/>
    <w:rsid w:val="009170E4"/>
    <w:rsid w:val="00917366"/>
    <w:rsid w:val="009173E0"/>
    <w:rsid w:val="009174AA"/>
    <w:rsid w:val="00917634"/>
    <w:rsid w:val="00917670"/>
    <w:rsid w:val="00917760"/>
    <w:rsid w:val="00917ADD"/>
    <w:rsid w:val="00917D58"/>
    <w:rsid w:val="00917D94"/>
    <w:rsid w:val="00917E85"/>
    <w:rsid w:val="00917F14"/>
    <w:rsid w:val="009201DB"/>
    <w:rsid w:val="00920236"/>
    <w:rsid w:val="0092073E"/>
    <w:rsid w:val="009209A8"/>
    <w:rsid w:val="00920B06"/>
    <w:rsid w:val="00920B66"/>
    <w:rsid w:val="0092100E"/>
    <w:rsid w:val="009215CD"/>
    <w:rsid w:val="009217C5"/>
    <w:rsid w:val="009217D1"/>
    <w:rsid w:val="0092180C"/>
    <w:rsid w:val="00921C81"/>
    <w:rsid w:val="00921D3C"/>
    <w:rsid w:val="00921D50"/>
    <w:rsid w:val="00921DD3"/>
    <w:rsid w:val="00921E75"/>
    <w:rsid w:val="00921FF2"/>
    <w:rsid w:val="0092206F"/>
    <w:rsid w:val="0092212A"/>
    <w:rsid w:val="009222C9"/>
    <w:rsid w:val="00922384"/>
    <w:rsid w:val="00922443"/>
    <w:rsid w:val="00922554"/>
    <w:rsid w:val="00922651"/>
    <w:rsid w:val="009226DE"/>
    <w:rsid w:val="00922766"/>
    <w:rsid w:val="0092290B"/>
    <w:rsid w:val="00922966"/>
    <w:rsid w:val="00922987"/>
    <w:rsid w:val="009229AC"/>
    <w:rsid w:val="00922C88"/>
    <w:rsid w:val="00922CC0"/>
    <w:rsid w:val="00922CDF"/>
    <w:rsid w:val="00922D3B"/>
    <w:rsid w:val="00923078"/>
    <w:rsid w:val="009233E1"/>
    <w:rsid w:val="00923489"/>
    <w:rsid w:val="00923530"/>
    <w:rsid w:val="00923635"/>
    <w:rsid w:val="009238F0"/>
    <w:rsid w:val="00923AB0"/>
    <w:rsid w:val="00923ACC"/>
    <w:rsid w:val="00923C7E"/>
    <w:rsid w:val="00923CFB"/>
    <w:rsid w:val="00923E2A"/>
    <w:rsid w:val="00924021"/>
    <w:rsid w:val="009240DE"/>
    <w:rsid w:val="00924108"/>
    <w:rsid w:val="009241C7"/>
    <w:rsid w:val="009242D2"/>
    <w:rsid w:val="0092430A"/>
    <w:rsid w:val="00924385"/>
    <w:rsid w:val="0092455A"/>
    <w:rsid w:val="009247E9"/>
    <w:rsid w:val="00924851"/>
    <w:rsid w:val="009248B3"/>
    <w:rsid w:val="00924B42"/>
    <w:rsid w:val="00924CC1"/>
    <w:rsid w:val="00924D97"/>
    <w:rsid w:val="00924FC6"/>
    <w:rsid w:val="0092522D"/>
    <w:rsid w:val="00925251"/>
    <w:rsid w:val="00925262"/>
    <w:rsid w:val="0092535E"/>
    <w:rsid w:val="009253AC"/>
    <w:rsid w:val="009255AF"/>
    <w:rsid w:val="009257A9"/>
    <w:rsid w:val="00925905"/>
    <w:rsid w:val="00925B9D"/>
    <w:rsid w:val="00925BD8"/>
    <w:rsid w:val="00925C39"/>
    <w:rsid w:val="00925C8B"/>
    <w:rsid w:val="00925D68"/>
    <w:rsid w:val="00925DDD"/>
    <w:rsid w:val="00925F7A"/>
    <w:rsid w:val="0092601D"/>
    <w:rsid w:val="009261CA"/>
    <w:rsid w:val="00926309"/>
    <w:rsid w:val="009263E3"/>
    <w:rsid w:val="0092686E"/>
    <w:rsid w:val="00926ACF"/>
    <w:rsid w:val="00926C10"/>
    <w:rsid w:val="00926E01"/>
    <w:rsid w:val="0092700E"/>
    <w:rsid w:val="00927195"/>
    <w:rsid w:val="009271F0"/>
    <w:rsid w:val="009273AA"/>
    <w:rsid w:val="0092753A"/>
    <w:rsid w:val="009275BE"/>
    <w:rsid w:val="00927809"/>
    <w:rsid w:val="00927C74"/>
    <w:rsid w:val="00927DC7"/>
    <w:rsid w:val="00927E06"/>
    <w:rsid w:val="00927E67"/>
    <w:rsid w:val="00930087"/>
    <w:rsid w:val="009302D0"/>
    <w:rsid w:val="00930489"/>
    <w:rsid w:val="009304A6"/>
    <w:rsid w:val="009304CC"/>
    <w:rsid w:val="00930749"/>
    <w:rsid w:val="00930852"/>
    <w:rsid w:val="00930AAB"/>
    <w:rsid w:val="00930C69"/>
    <w:rsid w:val="00930DF2"/>
    <w:rsid w:val="009311FE"/>
    <w:rsid w:val="009315B6"/>
    <w:rsid w:val="0093167A"/>
    <w:rsid w:val="0093179D"/>
    <w:rsid w:val="009317C9"/>
    <w:rsid w:val="00931C2B"/>
    <w:rsid w:val="00931C8B"/>
    <w:rsid w:val="00931EF1"/>
    <w:rsid w:val="00932171"/>
    <w:rsid w:val="0093244F"/>
    <w:rsid w:val="00932523"/>
    <w:rsid w:val="00932570"/>
    <w:rsid w:val="00932828"/>
    <w:rsid w:val="009328E6"/>
    <w:rsid w:val="00932A7D"/>
    <w:rsid w:val="00932BE8"/>
    <w:rsid w:val="009332CB"/>
    <w:rsid w:val="009332F0"/>
    <w:rsid w:val="009332F4"/>
    <w:rsid w:val="0093342A"/>
    <w:rsid w:val="009335D9"/>
    <w:rsid w:val="0093363C"/>
    <w:rsid w:val="0093366A"/>
    <w:rsid w:val="009336C8"/>
    <w:rsid w:val="00933871"/>
    <w:rsid w:val="00933932"/>
    <w:rsid w:val="00933E87"/>
    <w:rsid w:val="009341CE"/>
    <w:rsid w:val="009343CB"/>
    <w:rsid w:val="009346A5"/>
    <w:rsid w:val="00934945"/>
    <w:rsid w:val="00935161"/>
    <w:rsid w:val="00935297"/>
    <w:rsid w:val="009353BD"/>
    <w:rsid w:val="0093562C"/>
    <w:rsid w:val="0093576D"/>
    <w:rsid w:val="00935877"/>
    <w:rsid w:val="0093592E"/>
    <w:rsid w:val="009359C1"/>
    <w:rsid w:val="009359D8"/>
    <w:rsid w:val="00935A1B"/>
    <w:rsid w:val="00935ABB"/>
    <w:rsid w:val="00935B23"/>
    <w:rsid w:val="00935B76"/>
    <w:rsid w:val="00935C8B"/>
    <w:rsid w:val="00935E48"/>
    <w:rsid w:val="00935E73"/>
    <w:rsid w:val="00935EBC"/>
    <w:rsid w:val="00936111"/>
    <w:rsid w:val="00936807"/>
    <w:rsid w:val="009368EA"/>
    <w:rsid w:val="00936931"/>
    <w:rsid w:val="009369F2"/>
    <w:rsid w:val="00936AEC"/>
    <w:rsid w:val="00936BF2"/>
    <w:rsid w:val="00936EA9"/>
    <w:rsid w:val="00936F91"/>
    <w:rsid w:val="009372E9"/>
    <w:rsid w:val="00937369"/>
    <w:rsid w:val="009374AB"/>
    <w:rsid w:val="0093798C"/>
    <w:rsid w:val="00937BEC"/>
    <w:rsid w:val="00937DBC"/>
    <w:rsid w:val="00937E69"/>
    <w:rsid w:val="00940019"/>
    <w:rsid w:val="009400C9"/>
    <w:rsid w:val="00940170"/>
    <w:rsid w:val="00940192"/>
    <w:rsid w:val="009401BE"/>
    <w:rsid w:val="0094023A"/>
    <w:rsid w:val="00940363"/>
    <w:rsid w:val="00940472"/>
    <w:rsid w:val="009404F0"/>
    <w:rsid w:val="0094059A"/>
    <w:rsid w:val="00940A94"/>
    <w:rsid w:val="00940C01"/>
    <w:rsid w:val="00940D9A"/>
    <w:rsid w:val="009411C3"/>
    <w:rsid w:val="00941468"/>
    <w:rsid w:val="009414A7"/>
    <w:rsid w:val="009415B3"/>
    <w:rsid w:val="00941B3B"/>
    <w:rsid w:val="00941C2D"/>
    <w:rsid w:val="00941D45"/>
    <w:rsid w:val="00941DD3"/>
    <w:rsid w:val="00941F77"/>
    <w:rsid w:val="00942170"/>
    <w:rsid w:val="00942641"/>
    <w:rsid w:val="009426E9"/>
    <w:rsid w:val="00942844"/>
    <w:rsid w:val="0094289A"/>
    <w:rsid w:val="00942977"/>
    <w:rsid w:val="00942BEC"/>
    <w:rsid w:val="00942D2D"/>
    <w:rsid w:val="00942DFE"/>
    <w:rsid w:val="00942E0C"/>
    <w:rsid w:val="00942E98"/>
    <w:rsid w:val="00942F94"/>
    <w:rsid w:val="00942FEF"/>
    <w:rsid w:val="00943147"/>
    <w:rsid w:val="00943497"/>
    <w:rsid w:val="009435A9"/>
    <w:rsid w:val="00943688"/>
    <w:rsid w:val="0094373C"/>
    <w:rsid w:val="0094384B"/>
    <w:rsid w:val="00943964"/>
    <w:rsid w:val="009439A0"/>
    <w:rsid w:val="00943B32"/>
    <w:rsid w:val="00944379"/>
    <w:rsid w:val="0094442F"/>
    <w:rsid w:val="00944697"/>
    <w:rsid w:val="009449A7"/>
    <w:rsid w:val="00944BA1"/>
    <w:rsid w:val="00944BDA"/>
    <w:rsid w:val="00944CB8"/>
    <w:rsid w:val="00944ED7"/>
    <w:rsid w:val="0094507F"/>
    <w:rsid w:val="009453BF"/>
    <w:rsid w:val="00945468"/>
    <w:rsid w:val="009455EA"/>
    <w:rsid w:val="0094575E"/>
    <w:rsid w:val="009458A6"/>
    <w:rsid w:val="009458D8"/>
    <w:rsid w:val="0094599E"/>
    <w:rsid w:val="00945A3F"/>
    <w:rsid w:val="00945C0B"/>
    <w:rsid w:val="00945CDE"/>
    <w:rsid w:val="00945D51"/>
    <w:rsid w:val="009460D0"/>
    <w:rsid w:val="009460DA"/>
    <w:rsid w:val="0094620A"/>
    <w:rsid w:val="00946233"/>
    <w:rsid w:val="009462C9"/>
    <w:rsid w:val="00946764"/>
    <w:rsid w:val="009469E3"/>
    <w:rsid w:val="00946A85"/>
    <w:rsid w:val="00946DC6"/>
    <w:rsid w:val="00946DDA"/>
    <w:rsid w:val="00946F33"/>
    <w:rsid w:val="0094760E"/>
    <w:rsid w:val="009476D4"/>
    <w:rsid w:val="009476E1"/>
    <w:rsid w:val="009477B5"/>
    <w:rsid w:val="00947959"/>
    <w:rsid w:val="00947ABB"/>
    <w:rsid w:val="00947B1E"/>
    <w:rsid w:val="00950109"/>
    <w:rsid w:val="00950154"/>
    <w:rsid w:val="0095078F"/>
    <w:rsid w:val="00950906"/>
    <w:rsid w:val="00950C50"/>
    <w:rsid w:val="00950CF0"/>
    <w:rsid w:val="00950D54"/>
    <w:rsid w:val="00950D62"/>
    <w:rsid w:val="00950EBD"/>
    <w:rsid w:val="00951006"/>
    <w:rsid w:val="0095103B"/>
    <w:rsid w:val="009510A8"/>
    <w:rsid w:val="00951129"/>
    <w:rsid w:val="00951176"/>
    <w:rsid w:val="0095165B"/>
    <w:rsid w:val="009517E7"/>
    <w:rsid w:val="00951886"/>
    <w:rsid w:val="00951AC2"/>
    <w:rsid w:val="00951B94"/>
    <w:rsid w:val="00951CD9"/>
    <w:rsid w:val="00951CDA"/>
    <w:rsid w:val="0095216A"/>
    <w:rsid w:val="009521A7"/>
    <w:rsid w:val="00952215"/>
    <w:rsid w:val="009523F0"/>
    <w:rsid w:val="009525A2"/>
    <w:rsid w:val="009526C8"/>
    <w:rsid w:val="00952808"/>
    <w:rsid w:val="00952A20"/>
    <w:rsid w:val="00952AA1"/>
    <w:rsid w:val="00952D6D"/>
    <w:rsid w:val="00952F38"/>
    <w:rsid w:val="009530D1"/>
    <w:rsid w:val="00953112"/>
    <w:rsid w:val="009531BF"/>
    <w:rsid w:val="00953224"/>
    <w:rsid w:val="009535FF"/>
    <w:rsid w:val="009537C5"/>
    <w:rsid w:val="0095385B"/>
    <w:rsid w:val="0095389F"/>
    <w:rsid w:val="009539A3"/>
    <w:rsid w:val="00953A8C"/>
    <w:rsid w:val="00953C44"/>
    <w:rsid w:val="00953F89"/>
    <w:rsid w:val="00954054"/>
    <w:rsid w:val="0095405B"/>
    <w:rsid w:val="009544AE"/>
    <w:rsid w:val="00954796"/>
    <w:rsid w:val="00954A42"/>
    <w:rsid w:val="00954B69"/>
    <w:rsid w:val="00954CCA"/>
    <w:rsid w:val="00955015"/>
    <w:rsid w:val="009552F4"/>
    <w:rsid w:val="009553C1"/>
    <w:rsid w:val="009555B4"/>
    <w:rsid w:val="00955622"/>
    <w:rsid w:val="009557A0"/>
    <w:rsid w:val="009557B5"/>
    <w:rsid w:val="00955828"/>
    <w:rsid w:val="009558D6"/>
    <w:rsid w:val="0095591B"/>
    <w:rsid w:val="00955C0A"/>
    <w:rsid w:val="00955CE2"/>
    <w:rsid w:val="00955F9A"/>
    <w:rsid w:val="009561E9"/>
    <w:rsid w:val="009561FA"/>
    <w:rsid w:val="0095628A"/>
    <w:rsid w:val="009563CC"/>
    <w:rsid w:val="0095642E"/>
    <w:rsid w:val="009564FE"/>
    <w:rsid w:val="0095655A"/>
    <w:rsid w:val="00956595"/>
    <w:rsid w:val="009565F2"/>
    <w:rsid w:val="009567C1"/>
    <w:rsid w:val="009569A1"/>
    <w:rsid w:val="00956A64"/>
    <w:rsid w:val="00956C90"/>
    <w:rsid w:val="00956E42"/>
    <w:rsid w:val="00956EE0"/>
    <w:rsid w:val="009570A5"/>
    <w:rsid w:val="009570E1"/>
    <w:rsid w:val="009571CD"/>
    <w:rsid w:val="00957252"/>
    <w:rsid w:val="009572B1"/>
    <w:rsid w:val="009573CD"/>
    <w:rsid w:val="00957611"/>
    <w:rsid w:val="00957631"/>
    <w:rsid w:val="009577C3"/>
    <w:rsid w:val="0095789B"/>
    <w:rsid w:val="00957A41"/>
    <w:rsid w:val="00957AD7"/>
    <w:rsid w:val="00957B36"/>
    <w:rsid w:val="009606A9"/>
    <w:rsid w:val="009607E9"/>
    <w:rsid w:val="00960A1A"/>
    <w:rsid w:val="00960C86"/>
    <w:rsid w:val="00960DAA"/>
    <w:rsid w:val="009610ED"/>
    <w:rsid w:val="009610F9"/>
    <w:rsid w:val="0096127D"/>
    <w:rsid w:val="0096146E"/>
    <w:rsid w:val="009614AF"/>
    <w:rsid w:val="0096154E"/>
    <w:rsid w:val="00961681"/>
    <w:rsid w:val="009618E1"/>
    <w:rsid w:val="0096198A"/>
    <w:rsid w:val="00961C94"/>
    <w:rsid w:val="00961D12"/>
    <w:rsid w:val="00961D4F"/>
    <w:rsid w:val="00962371"/>
    <w:rsid w:val="0096258C"/>
    <w:rsid w:val="009625B1"/>
    <w:rsid w:val="00962786"/>
    <w:rsid w:val="009628C6"/>
    <w:rsid w:val="009629BE"/>
    <w:rsid w:val="00962A4F"/>
    <w:rsid w:val="00962BB4"/>
    <w:rsid w:val="00962D0C"/>
    <w:rsid w:val="00962DE2"/>
    <w:rsid w:val="009631AE"/>
    <w:rsid w:val="0096320E"/>
    <w:rsid w:val="00963298"/>
    <w:rsid w:val="009632C1"/>
    <w:rsid w:val="00963516"/>
    <w:rsid w:val="00963BE9"/>
    <w:rsid w:val="00963BFE"/>
    <w:rsid w:val="00963C78"/>
    <w:rsid w:val="00963D02"/>
    <w:rsid w:val="00963D5B"/>
    <w:rsid w:val="00963D82"/>
    <w:rsid w:val="00963F90"/>
    <w:rsid w:val="00964118"/>
    <w:rsid w:val="0096417C"/>
    <w:rsid w:val="0096451C"/>
    <w:rsid w:val="00964807"/>
    <w:rsid w:val="00964C98"/>
    <w:rsid w:val="00965380"/>
    <w:rsid w:val="009653B7"/>
    <w:rsid w:val="009658E4"/>
    <w:rsid w:val="00965A91"/>
    <w:rsid w:val="00965DB9"/>
    <w:rsid w:val="0096648D"/>
    <w:rsid w:val="009665B7"/>
    <w:rsid w:val="009667E7"/>
    <w:rsid w:val="009668B1"/>
    <w:rsid w:val="00966972"/>
    <w:rsid w:val="00966B87"/>
    <w:rsid w:val="00966B9E"/>
    <w:rsid w:val="00966D68"/>
    <w:rsid w:val="00966F5A"/>
    <w:rsid w:val="00967068"/>
    <w:rsid w:val="009671C9"/>
    <w:rsid w:val="00967342"/>
    <w:rsid w:val="009673FC"/>
    <w:rsid w:val="009674F6"/>
    <w:rsid w:val="00967614"/>
    <w:rsid w:val="00967702"/>
    <w:rsid w:val="00967776"/>
    <w:rsid w:val="00967A29"/>
    <w:rsid w:val="00967B46"/>
    <w:rsid w:val="00967B66"/>
    <w:rsid w:val="00967DF9"/>
    <w:rsid w:val="00967E7C"/>
    <w:rsid w:val="00967EEE"/>
    <w:rsid w:val="00967F2F"/>
    <w:rsid w:val="00967FEE"/>
    <w:rsid w:val="0097007B"/>
    <w:rsid w:val="009700D8"/>
    <w:rsid w:val="00970172"/>
    <w:rsid w:val="0097025D"/>
    <w:rsid w:val="0097038C"/>
    <w:rsid w:val="009703DC"/>
    <w:rsid w:val="009706A7"/>
    <w:rsid w:val="009708D8"/>
    <w:rsid w:val="00970904"/>
    <w:rsid w:val="00970B7F"/>
    <w:rsid w:val="00970BAC"/>
    <w:rsid w:val="00971060"/>
    <w:rsid w:val="0097106B"/>
    <w:rsid w:val="00971253"/>
    <w:rsid w:val="00971436"/>
    <w:rsid w:val="0097145F"/>
    <w:rsid w:val="009714DE"/>
    <w:rsid w:val="00971692"/>
    <w:rsid w:val="0097181F"/>
    <w:rsid w:val="009719B4"/>
    <w:rsid w:val="00971CB7"/>
    <w:rsid w:val="009721A8"/>
    <w:rsid w:val="009722CF"/>
    <w:rsid w:val="0097260A"/>
    <w:rsid w:val="009727A8"/>
    <w:rsid w:val="00972A2F"/>
    <w:rsid w:val="00972BF4"/>
    <w:rsid w:val="00972CAB"/>
    <w:rsid w:val="00972DD8"/>
    <w:rsid w:val="00972E12"/>
    <w:rsid w:val="009730A2"/>
    <w:rsid w:val="009730EE"/>
    <w:rsid w:val="0097328D"/>
    <w:rsid w:val="00973442"/>
    <w:rsid w:val="009735F3"/>
    <w:rsid w:val="00973627"/>
    <w:rsid w:val="009737F9"/>
    <w:rsid w:val="00973981"/>
    <w:rsid w:val="00973B63"/>
    <w:rsid w:val="00973F84"/>
    <w:rsid w:val="00974082"/>
    <w:rsid w:val="00974157"/>
    <w:rsid w:val="0097419D"/>
    <w:rsid w:val="0097425B"/>
    <w:rsid w:val="009744F7"/>
    <w:rsid w:val="00974A53"/>
    <w:rsid w:val="00974A96"/>
    <w:rsid w:val="00974C93"/>
    <w:rsid w:val="009750DA"/>
    <w:rsid w:val="0097523A"/>
    <w:rsid w:val="0097524F"/>
    <w:rsid w:val="009753A6"/>
    <w:rsid w:val="00975933"/>
    <w:rsid w:val="00975B0F"/>
    <w:rsid w:val="00975BCA"/>
    <w:rsid w:val="00975E5E"/>
    <w:rsid w:val="0097657A"/>
    <w:rsid w:val="00976869"/>
    <w:rsid w:val="00976C61"/>
    <w:rsid w:val="00976F5A"/>
    <w:rsid w:val="009770F1"/>
    <w:rsid w:val="00977169"/>
    <w:rsid w:val="00977227"/>
    <w:rsid w:val="0097750B"/>
    <w:rsid w:val="00977838"/>
    <w:rsid w:val="00977AE1"/>
    <w:rsid w:val="00977B0B"/>
    <w:rsid w:val="00977C80"/>
    <w:rsid w:val="00977C85"/>
    <w:rsid w:val="00977CBE"/>
    <w:rsid w:val="00977F7C"/>
    <w:rsid w:val="00980187"/>
    <w:rsid w:val="00980237"/>
    <w:rsid w:val="009803FB"/>
    <w:rsid w:val="009804DF"/>
    <w:rsid w:val="0098052E"/>
    <w:rsid w:val="00980774"/>
    <w:rsid w:val="009807AB"/>
    <w:rsid w:val="00980836"/>
    <w:rsid w:val="00980995"/>
    <w:rsid w:val="00980DB9"/>
    <w:rsid w:val="00980E5D"/>
    <w:rsid w:val="009811FA"/>
    <w:rsid w:val="00981232"/>
    <w:rsid w:val="009813D8"/>
    <w:rsid w:val="00981487"/>
    <w:rsid w:val="00981549"/>
    <w:rsid w:val="0098156B"/>
    <w:rsid w:val="00981772"/>
    <w:rsid w:val="00981CD8"/>
    <w:rsid w:val="00981DAC"/>
    <w:rsid w:val="00981DF8"/>
    <w:rsid w:val="00981EEB"/>
    <w:rsid w:val="00982334"/>
    <w:rsid w:val="00982405"/>
    <w:rsid w:val="00982458"/>
    <w:rsid w:val="0098266F"/>
    <w:rsid w:val="009826AA"/>
    <w:rsid w:val="009827A3"/>
    <w:rsid w:val="009827DD"/>
    <w:rsid w:val="00982D25"/>
    <w:rsid w:val="00982D81"/>
    <w:rsid w:val="00982DC0"/>
    <w:rsid w:val="00982E06"/>
    <w:rsid w:val="00982F4A"/>
    <w:rsid w:val="00982FEF"/>
    <w:rsid w:val="00983162"/>
    <w:rsid w:val="00983475"/>
    <w:rsid w:val="009835B2"/>
    <w:rsid w:val="00983979"/>
    <w:rsid w:val="00983E8C"/>
    <w:rsid w:val="00983F0B"/>
    <w:rsid w:val="0098422C"/>
    <w:rsid w:val="0098431C"/>
    <w:rsid w:val="00984464"/>
    <w:rsid w:val="00984702"/>
    <w:rsid w:val="0098470A"/>
    <w:rsid w:val="0098479B"/>
    <w:rsid w:val="0098484E"/>
    <w:rsid w:val="009848AC"/>
    <w:rsid w:val="009848DD"/>
    <w:rsid w:val="00984996"/>
    <w:rsid w:val="00984A3D"/>
    <w:rsid w:val="00984A42"/>
    <w:rsid w:val="00985186"/>
    <w:rsid w:val="0098520B"/>
    <w:rsid w:val="00985307"/>
    <w:rsid w:val="00985390"/>
    <w:rsid w:val="00985990"/>
    <w:rsid w:val="00985F4A"/>
    <w:rsid w:val="00985FCF"/>
    <w:rsid w:val="00986005"/>
    <w:rsid w:val="0098611F"/>
    <w:rsid w:val="00986254"/>
    <w:rsid w:val="00986492"/>
    <w:rsid w:val="00986767"/>
    <w:rsid w:val="009867A8"/>
    <w:rsid w:val="00986D18"/>
    <w:rsid w:val="00986F20"/>
    <w:rsid w:val="00986F91"/>
    <w:rsid w:val="00987146"/>
    <w:rsid w:val="009871A9"/>
    <w:rsid w:val="009875C5"/>
    <w:rsid w:val="00987A3C"/>
    <w:rsid w:val="00987AB5"/>
    <w:rsid w:val="00987B0C"/>
    <w:rsid w:val="00987BDA"/>
    <w:rsid w:val="00987C81"/>
    <w:rsid w:val="00987CA4"/>
    <w:rsid w:val="00987E03"/>
    <w:rsid w:val="00987E0A"/>
    <w:rsid w:val="00987EFD"/>
    <w:rsid w:val="00987FC2"/>
    <w:rsid w:val="009908F7"/>
    <w:rsid w:val="00990950"/>
    <w:rsid w:val="00990BE8"/>
    <w:rsid w:val="00990C37"/>
    <w:rsid w:val="00990C73"/>
    <w:rsid w:val="00990CEF"/>
    <w:rsid w:val="00990E31"/>
    <w:rsid w:val="0099103F"/>
    <w:rsid w:val="0099113C"/>
    <w:rsid w:val="009911BC"/>
    <w:rsid w:val="009913E3"/>
    <w:rsid w:val="0099155F"/>
    <w:rsid w:val="009915D8"/>
    <w:rsid w:val="009916FD"/>
    <w:rsid w:val="00991802"/>
    <w:rsid w:val="00991809"/>
    <w:rsid w:val="00991A54"/>
    <w:rsid w:val="00991ADB"/>
    <w:rsid w:val="00991BBC"/>
    <w:rsid w:val="00991C75"/>
    <w:rsid w:val="00991C7E"/>
    <w:rsid w:val="00991E64"/>
    <w:rsid w:val="009920CE"/>
    <w:rsid w:val="0099216B"/>
    <w:rsid w:val="009924C3"/>
    <w:rsid w:val="00992519"/>
    <w:rsid w:val="00992879"/>
    <w:rsid w:val="0099299D"/>
    <w:rsid w:val="00992B2E"/>
    <w:rsid w:val="00992B54"/>
    <w:rsid w:val="00992B7A"/>
    <w:rsid w:val="00992CE9"/>
    <w:rsid w:val="00992E88"/>
    <w:rsid w:val="00993319"/>
    <w:rsid w:val="0099356A"/>
    <w:rsid w:val="0099357F"/>
    <w:rsid w:val="00993630"/>
    <w:rsid w:val="0099377F"/>
    <w:rsid w:val="00993ABA"/>
    <w:rsid w:val="00993CBF"/>
    <w:rsid w:val="00993EAE"/>
    <w:rsid w:val="00994254"/>
    <w:rsid w:val="00994568"/>
    <w:rsid w:val="0099456E"/>
    <w:rsid w:val="009947AA"/>
    <w:rsid w:val="00994A22"/>
    <w:rsid w:val="00994B65"/>
    <w:rsid w:val="00994C49"/>
    <w:rsid w:val="00994C5A"/>
    <w:rsid w:val="00994DEB"/>
    <w:rsid w:val="00995087"/>
    <w:rsid w:val="009950A8"/>
    <w:rsid w:val="009951BF"/>
    <w:rsid w:val="009953C2"/>
    <w:rsid w:val="00995696"/>
    <w:rsid w:val="009956C8"/>
    <w:rsid w:val="0099576C"/>
    <w:rsid w:val="00995833"/>
    <w:rsid w:val="0099592A"/>
    <w:rsid w:val="00995AF7"/>
    <w:rsid w:val="00995DFD"/>
    <w:rsid w:val="00995F91"/>
    <w:rsid w:val="00996833"/>
    <w:rsid w:val="00996909"/>
    <w:rsid w:val="0099690A"/>
    <w:rsid w:val="009969B0"/>
    <w:rsid w:val="009969FC"/>
    <w:rsid w:val="00996AF8"/>
    <w:rsid w:val="00996C3D"/>
    <w:rsid w:val="00996CB9"/>
    <w:rsid w:val="0099715C"/>
    <w:rsid w:val="0099750D"/>
    <w:rsid w:val="00997606"/>
    <w:rsid w:val="0099768C"/>
    <w:rsid w:val="009978A0"/>
    <w:rsid w:val="009979AC"/>
    <w:rsid w:val="00997A68"/>
    <w:rsid w:val="009A009C"/>
    <w:rsid w:val="009A01DE"/>
    <w:rsid w:val="009A0238"/>
    <w:rsid w:val="009A06CB"/>
    <w:rsid w:val="009A075F"/>
    <w:rsid w:val="009A0A84"/>
    <w:rsid w:val="009A0B2A"/>
    <w:rsid w:val="009A0BED"/>
    <w:rsid w:val="009A0CA5"/>
    <w:rsid w:val="009A0E18"/>
    <w:rsid w:val="009A0EE4"/>
    <w:rsid w:val="009A0F21"/>
    <w:rsid w:val="009A132A"/>
    <w:rsid w:val="009A13B4"/>
    <w:rsid w:val="009A1522"/>
    <w:rsid w:val="009A1577"/>
    <w:rsid w:val="009A15ED"/>
    <w:rsid w:val="009A167A"/>
    <w:rsid w:val="009A1A6B"/>
    <w:rsid w:val="009A1BEB"/>
    <w:rsid w:val="009A1C6E"/>
    <w:rsid w:val="009A1EA4"/>
    <w:rsid w:val="009A1F95"/>
    <w:rsid w:val="009A25F1"/>
    <w:rsid w:val="009A2B59"/>
    <w:rsid w:val="009A2BD5"/>
    <w:rsid w:val="009A2CF7"/>
    <w:rsid w:val="009A339C"/>
    <w:rsid w:val="009A344F"/>
    <w:rsid w:val="009A3581"/>
    <w:rsid w:val="009A360C"/>
    <w:rsid w:val="009A371B"/>
    <w:rsid w:val="009A388C"/>
    <w:rsid w:val="009A3F8A"/>
    <w:rsid w:val="009A3FE1"/>
    <w:rsid w:val="009A405C"/>
    <w:rsid w:val="009A424C"/>
    <w:rsid w:val="009A440E"/>
    <w:rsid w:val="009A446B"/>
    <w:rsid w:val="009A474B"/>
    <w:rsid w:val="009A4816"/>
    <w:rsid w:val="009A4857"/>
    <w:rsid w:val="009A493D"/>
    <w:rsid w:val="009A4C40"/>
    <w:rsid w:val="009A4CBE"/>
    <w:rsid w:val="009A4D8F"/>
    <w:rsid w:val="009A516E"/>
    <w:rsid w:val="009A51AC"/>
    <w:rsid w:val="009A5297"/>
    <w:rsid w:val="009A53F6"/>
    <w:rsid w:val="009A590F"/>
    <w:rsid w:val="009A5B5D"/>
    <w:rsid w:val="009A5C4A"/>
    <w:rsid w:val="009A5DE5"/>
    <w:rsid w:val="009A5E07"/>
    <w:rsid w:val="009A60D5"/>
    <w:rsid w:val="009A62FF"/>
    <w:rsid w:val="009A6358"/>
    <w:rsid w:val="009A64FF"/>
    <w:rsid w:val="009A65A5"/>
    <w:rsid w:val="009A670E"/>
    <w:rsid w:val="009A6720"/>
    <w:rsid w:val="009A6BA7"/>
    <w:rsid w:val="009A6BED"/>
    <w:rsid w:val="009A6D01"/>
    <w:rsid w:val="009A6D07"/>
    <w:rsid w:val="009A6DCC"/>
    <w:rsid w:val="009A6E67"/>
    <w:rsid w:val="009A6EDC"/>
    <w:rsid w:val="009A7237"/>
    <w:rsid w:val="009A726B"/>
    <w:rsid w:val="009A72D6"/>
    <w:rsid w:val="009A76BB"/>
    <w:rsid w:val="009A7CC7"/>
    <w:rsid w:val="009A7DB2"/>
    <w:rsid w:val="009B0015"/>
    <w:rsid w:val="009B0062"/>
    <w:rsid w:val="009B01AE"/>
    <w:rsid w:val="009B025C"/>
    <w:rsid w:val="009B057D"/>
    <w:rsid w:val="009B05FB"/>
    <w:rsid w:val="009B0626"/>
    <w:rsid w:val="009B07B8"/>
    <w:rsid w:val="009B0836"/>
    <w:rsid w:val="009B08C8"/>
    <w:rsid w:val="009B09AF"/>
    <w:rsid w:val="009B09DF"/>
    <w:rsid w:val="009B0B0F"/>
    <w:rsid w:val="009B0D26"/>
    <w:rsid w:val="009B0DFD"/>
    <w:rsid w:val="009B0EAB"/>
    <w:rsid w:val="009B0F9C"/>
    <w:rsid w:val="009B12EC"/>
    <w:rsid w:val="009B1316"/>
    <w:rsid w:val="009B18A7"/>
    <w:rsid w:val="009B1A07"/>
    <w:rsid w:val="009B1B64"/>
    <w:rsid w:val="009B1C01"/>
    <w:rsid w:val="009B1D8A"/>
    <w:rsid w:val="009B1E4C"/>
    <w:rsid w:val="009B207A"/>
    <w:rsid w:val="009B2284"/>
    <w:rsid w:val="009B22A1"/>
    <w:rsid w:val="009B2309"/>
    <w:rsid w:val="009B241E"/>
    <w:rsid w:val="009B26A9"/>
    <w:rsid w:val="009B2752"/>
    <w:rsid w:val="009B2835"/>
    <w:rsid w:val="009B283F"/>
    <w:rsid w:val="009B2940"/>
    <w:rsid w:val="009B2FC8"/>
    <w:rsid w:val="009B3669"/>
    <w:rsid w:val="009B39AA"/>
    <w:rsid w:val="009B3BDA"/>
    <w:rsid w:val="009B414C"/>
    <w:rsid w:val="009B42AA"/>
    <w:rsid w:val="009B42B9"/>
    <w:rsid w:val="009B439D"/>
    <w:rsid w:val="009B4605"/>
    <w:rsid w:val="009B47B1"/>
    <w:rsid w:val="009B47CC"/>
    <w:rsid w:val="009B4865"/>
    <w:rsid w:val="009B4C3E"/>
    <w:rsid w:val="009B4CB5"/>
    <w:rsid w:val="009B4D36"/>
    <w:rsid w:val="009B4D99"/>
    <w:rsid w:val="009B4F4F"/>
    <w:rsid w:val="009B5058"/>
    <w:rsid w:val="009B508D"/>
    <w:rsid w:val="009B52AC"/>
    <w:rsid w:val="009B5342"/>
    <w:rsid w:val="009B5672"/>
    <w:rsid w:val="009B576A"/>
    <w:rsid w:val="009B5981"/>
    <w:rsid w:val="009B5D91"/>
    <w:rsid w:val="009B5E5B"/>
    <w:rsid w:val="009B5EAC"/>
    <w:rsid w:val="009B5F32"/>
    <w:rsid w:val="009B64C1"/>
    <w:rsid w:val="009B65A8"/>
    <w:rsid w:val="009B65A9"/>
    <w:rsid w:val="009B66D9"/>
    <w:rsid w:val="009B6B4D"/>
    <w:rsid w:val="009B6EE6"/>
    <w:rsid w:val="009B70F9"/>
    <w:rsid w:val="009B710A"/>
    <w:rsid w:val="009B71E2"/>
    <w:rsid w:val="009B71E3"/>
    <w:rsid w:val="009B7398"/>
    <w:rsid w:val="009B7570"/>
    <w:rsid w:val="009B7644"/>
    <w:rsid w:val="009B78F2"/>
    <w:rsid w:val="009B7A59"/>
    <w:rsid w:val="009B7C7F"/>
    <w:rsid w:val="009B7D1D"/>
    <w:rsid w:val="009B7D91"/>
    <w:rsid w:val="009B7E0B"/>
    <w:rsid w:val="009B7F28"/>
    <w:rsid w:val="009C03D5"/>
    <w:rsid w:val="009C0693"/>
    <w:rsid w:val="009C090B"/>
    <w:rsid w:val="009C0E5B"/>
    <w:rsid w:val="009C0FD7"/>
    <w:rsid w:val="009C10B9"/>
    <w:rsid w:val="009C13FB"/>
    <w:rsid w:val="009C1623"/>
    <w:rsid w:val="009C163C"/>
    <w:rsid w:val="009C16D3"/>
    <w:rsid w:val="009C1952"/>
    <w:rsid w:val="009C1A23"/>
    <w:rsid w:val="009C1A5A"/>
    <w:rsid w:val="009C1B54"/>
    <w:rsid w:val="009C1BC8"/>
    <w:rsid w:val="009C1EC0"/>
    <w:rsid w:val="009C1F03"/>
    <w:rsid w:val="009C2015"/>
    <w:rsid w:val="009C201C"/>
    <w:rsid w:val="009C20E5"/>
    <w:rsid w:val="009C2418"/>
    <w:rsid w:val="009C24FC"/>
    <w:rsid w:val="009C2733"/>
    <w:rsid w:val="009C298F"/>
    <w:rsid w:val="009C29D4"/>
    <w:rsid w:val="009C2E19"/>
    <w:rsid w:val="009C2EF0"/>
    <w:rsid w:val="009C30D8"/>
    <w:rsid w:val="009C31A1"/>
    <w:rsid w:val="009C36C3"/>
    <w:rsid w:val="009C380D"/>
    <w:rsid w:val="009C38D4"/>
    <w:rsid w:val="009C39EC"/>
    <w:rsid w:val="009C3C3B"/>
    <w:rsid w:val="009C3D94"/>
    <w:rsid w:val="009C4455"/>
    <w:rsid w:val="009C4636"/>
    <w:rsid w:val="009C472F"/>
    <w:rsid w:val="009C53C9"/>
    <w:rsid w:val="009C56DD"/>
    <w:rsid w:val="009C5723"/>
    <w:rsid w:val="009C575A"/>
    <w:rsid w:val="009C5B3C"/>
    <w:rsid w:val="009C5C15"/>
    <w:rsid w:val="009C5C33"/>
    <w:rsid w:val="009C5C96"/>
    <w:rsid w:val="009C5D13"/>
    <w:rsid w:val="009C60E6"/>
    <w:rsid w:val="009C6328"/>
    <w:rsid w:val="009C63B6"/>
    <w:rsid w:val="009C64ED"/>
    <w:rsid w:val="009C652F"/>
    <w:rsid w:val="009C6536"/>
    <w:rsid w:val="009C65B9"/>
    <w:rsid w:val="009C65D0"/>
    <w:rsid w:val="009C6680"/>
    <w:rsid w:val="009C6773"/>
    <w:rsid w:val="009C68B8"/>
    <w:rsid w:val="009C690D"/>
    <w:rsid w:val="009C6ED2"/>
    <w:rsid w:val="009C71A4"/>
    <w:rsid w:val="009C724C"/>
    <w:rsid w:val="009C727E"/>
    <w:rsid w:val="009C7308"/>
    <w:rsid w:val="009C7478"/>
    <w:rsid w:val="009C74B8"/>
    <w:rsid w:val="009C74E7"/>
    <w:rsid w:val="009C766C"/>
    <w:rsid w:val="009C775D"/>
    <w:rsid w:val="009C7823"/>
    <w:rsid w:val="009C78A5"/>
    <w:rsid w:val="009C7A86"/>
    <w:rsid w:val="009C7E7E"/>
    <w:rsid w:val="009C7EFD"/>
    <w:rsid w:val="009D0048"/>
    <w:rsid w:val="009D00D7"/>
    <w:rsid w:val="009D0332"/>
    <w:rsid w:val="009D03F2"/>
    <w:rsid w:val="009D052C"/>
    <w:rsid w:val="009D084C"/>
    <w:rsid w:val="009D092E"/>
    <w:rsid w:val="009D0B17"/>
    <w:rsid w:val="009D0C08"/>
    <w:rsid w:val="009D0C4C"/>
    <w:rsid w:val="009D0E28"/>
    <w:rsid w:val="009D1048"/>
    <w:rsid w:val="009D126A"/>
    <w:rsid w:val="009D14A6"/>
    <w:rsid w:val="009D15BE"/>
    <w:rsid w:val="009D1B8B"/>
    <w:rsid w:val="009D1BAC"/>
    <w:rsid w:val="009D1CC3"/>
    <w:rsid w:val="009D1D1C"/>
    <w:rsid w:val="009D1FA4"/>
    <w:rsid w:val="009D204B"/>
    <w:rsid w:val="009D219F"/>
    <w:rsid w:val="009D2363"/>
    <w:rsid w:val="009D23EB"/>
    <w:rsid w:val="009D2567"/>
    <w:rsid w:val="009D257A"/>
    <w:rsid w:val="009D2606"/>
    <w:rsid w:val="009D262E"/>
    <w:rsid w:val="009D28A4"/>
    <w:rsid w:val="009D2991"/>
    <w:rsid w:val="009D2A2B"/>
    <w:rsid w:val="009D2A4A"/>
    <w:rsid w:val="009D2AF8"/>
    <w:rsid w:val="009D2BC1"/>
    <w:rsid w:val="009D2D43"/>
    <w:rsid w:val="009D2DDF"/>
    <w:rsid w:val="009D2ECC"/>
    <w:rsid w:val="009D2F11"/>
    <w:rsid w:val="009D3506"/>
    <w:rsid w:val="009D36DA"/>
    <w:rsid w:val="009D39CB"/>
    <w:rsid w:val="009D3A09"/>
    <w:rsid w:val="009D3DAA"/>
    <w:rsid w:val="009D3E77"/>
    <w:rsid w:val="009D40A1"/>
    <w:rsid w:val="009D4259"/>
    <w:rsid w:val="009D4276"/>
    <w:rsid w:val="009D435D"/>
    <w:rsid w:val="009D4408"/>
    <w:rsid w:val="009D442F"/>
    <w:rsid w:val="009D44B6"/>
    <w:rsid w:val="009D47AA"/>
    <w:rsid w:val="009D48E9"/>
    <w:rsid w:val="009D4A14"/>
    <w:rsid w:val="009D4A35"/>
    <w:rsid w:val="009D4A43"/>
    <w:rsid w:val="009D4BAE"/>
    <w:rsid w:val="009D4E47"/>
    <w:rsid w:val="009D5079"/>
    <w:rsid w:val="009D518D"/>
    <w:rsid w:val="009D5351"/>
    <w:rsid w:val="009D567F"/>
    <w:rsid w:val="009D5B57"/>
    <w:rsid w:val="009D5DDE"/>
    <w:rsid w:val="009D5EDB"/>
    <w:rsid w:val="009D5F67"/>
    <w:rsid w:val="009D6025"/>
    <w:rsid w:val="009D626B"/>
    <w:rsid w:val="009D62EB"/>
    <w:rsid w:val="009D652C"/>
    <w:rsid w:val="009D669F"/>
    <w:rsid w:val="009D66A4"/>
    <w:rsid w:val="009D67E2"/>
    <w:rsid w:val="009D69FA"/>
    <w:rsid w:val="009D6A1B"/>
    <w:rsid w:val="009D6C2D"/>
    <w:rsid w:val="009D700F"/>
    <w:rsid w:val="009D719D"/>
    <w:rsid w:val="009D757C"/>
    <w:rsid w:val="009D7770"/>
    <w:rsid w:val="009D7781"/>
    <w:rsid w:val="009D7837"/>
    <w:rsid w:val="009D78E5"/>
    <w:rsid w:val="009D7AEC"/>
    <w:rsid w:val="009D7C60"/>
    <w:rsid w:val="009D7C80"/>
    <w:rsid w:val="009E0254"/>
    <w:rsid w:val="009E02BD"/>
    <w:rsid w:val="009E0429"/>
    <w:rsid w:val="009E04BA"/>
    <w:rsid w:val="009E0554"/>
    <w:rsid w:val="009E079C"/>
    <w:rsid w:val="009E08A9"/>
    <w:rsid w:val="009E0B18"/>
    <w:rsid w:val="009E0BBF"/>
    <w:rsid w:val="009E0FE4"/>
    <w:rsid w:val="009E10C1"/>
    <w:rsid w:val="009E1155"/>
    <w:rsid w:val="009E1187"/>
    <w:rsid w:val="009E14CC"/>
    <w:rsid w:val="009E1604"/>
    <w:rsid w:val="009E179B"/>
    <w:rsid w:val="009E198D"/>
    <w:rsid w:val="009E1CAC"/>
    <w:rsid w:val="009E1F49"/>
    <w:rsid w:val="009E1F6C"/>
    <w:rsid w:val="009E2081"/>
    <w:rsid w:val="009E21CB"/>
    <w:rsid w:val="009E22E4"/>
    <w:rsid w:val="009E24FC"/>
    <w:rsid w:val="009E25E7"/>
    <w:rsid w:val="009E2617"/>
    <w:rsid w:val="009E2650"/>
    <w:rsid w:val="009E28B8"/>
    <w:rsid w:val="009E2A3B"/>
    <w:rsid w:val="009E2B3D"/>
    <w:rsid w:val="009E2CAB"/>
    <w:rsid w:val="009E2EA0"/>
    <w:rsid w:val="009E2ECF"/>
    <w:rsid w:val="009E2EFB"/>
    <w:rsid w:val="009E302B"/>
    <w:rsid w:val="009E3669"/>
    <w:rsid w:val="009E370F"/>
    <w:rsid w:val="009E37A5"/>
    <w:rsid w:val="009E3801"/>
    <w:rsid w:val="009E38F8"/>
    <w:rsid w:val="009E3A37"/>
    <w:rsid w:val="009E3D18"/>
    <w:rsid w:val="009E3E0F"/>
    <w:rsid w:val="009E3E49"/>
    <w:rsid w:val="009E4034"/>
    <w:rsid w:val="009E4261"/>
    <w:rsid w:val="009E42AA"/>
    <w:rsid w:val="009E430C"/>
    <w:rsid w:val="009E43FF"/>
    <w:rsid w:val="009E4547"/>
    <w:rsid w:val="009E4550"/>
    <w:rsid w:val="009E470D"/>
    <w:rsid w:val="009E4A2F"/>
    <w:rsid w:val="009E4B17"/>
    <w:rsid w:val="009E4D59"/>
    <w:rsid w:val="009E4F79"/>
    <w:rsid w:val="009E4FC7"/>
    <w:rsid w:val="009E51A2"/>
    <w:rsid w:val="009E52A4"/>
    <w:rsid w:val="009E587E"/>
    <w:rsid w:val="009E5987"/>
    <w:rsid w:val="009E599B"/>
    <w:rsid w:val="009E59A8"/>
    <w:rsid w:val="009E5AA9"/>
    <w:rsid w:val="009E5B07"/>
    <w:rsid w:val="009E5B36"/>
    <w:rsid w:val="009E5CDB"/>
    <w:rsid w:val="009E5F3E"/>
    <w:rsid w:val="009E6052"/>
    <w:rsid w:val="009E6245"/>
    <w:rsid w:val="009E63A9"/>
    <w:rsid w:val="009E64ED"/>
    <w:rsid w:val="009E672D"/>
    <w:rsid w:val="009E6972"/>
    <w:rsid w:val="009E6E98"/>
    <w:rsid w:val="009E6E9B"/>
    <w:rsid w:val="009E6EED"/>
    <w:rsid w:val="009E7028"/>
    <w:rsid w:val="009E71A9"/>
    <w:rsid w:val="009E739A"/>
    <w:rsid w:val="009E7461"/>
    <w:rsid w:val="009E768A"/>
    <w:rsid w:val="009E77A6"/>
    <w:rsid w:val="009E77D2"/>
    <w:rsid w:val="009E7AD6"/>
    <w:rsid w:val="009E7B4B"/>
    <w:rsid w:val="009E7F84"/>
    <w:rsid w:val="009F00E7"/>
    <w:rsid w:val="009F0411"/>
    <w:rsid w:val="009F0466"/>
    <w:rsid w:val="009F04DF"/>
    <w:rsid w:val="009F0593"/>
    <w:rsid w:val="009F07C5"/>
    <w:rsid w:val="009F07CC"/>
    <w:rsid w:val="009F086B"/>
    <w:rsid w:val="009F0A08"/>
    <w:rsid w:val="009F0A31"/>
    <w:rsid w:val="009F0A4A"/>
    <w:rsid w:val="009F0BA0"/>
    <w:rsid w:val="009F0BB8"/>
    <w:rsid w:val="009F0C10"/>
    <w:rsid w:val="009F0DF9"/>
    <w:rsid w:val="009F0E1B"/>
    <w:rsid w:val="009F0E3D"/>
    <w:rsid w:val="009F0F96"/>
    <w:rsid w:val="009F0F9C"/>
    <w:rsid w:val="009F101F"/>
    <w:rsid w:val="009F149C"/>
    <w:rsid w:val="009F1551"/>
    <w:rsid w:val="009F1553"/>
    <w:rsid w:val="009F1574"/>
    <w:rsid w:val="009F1795"/>
    <w:rsid w:val="009F1821"/>
    <w:rsid w:val="009F182E"/>
    <w:rsid w:val="009F1B62"/>
    <w:rsid w:val="009F1E4F"/>
    <w:rsid w:val="009F1FF5"/>
    <w:rsid w:val="009F2152"/>
    <w:rsid w:val="009F2191"/>
    <w:rsid w:val="009F232C"/>
    <w:rsid w:val="009F2394"/>
    <w:rsid w:val="009F266B"/>
    <w:rsid w:val="009F2A55"/>
    <w:rsid w:val="009F2ACD"/>
    <w:rsid w:val="009F2D71"/>
    <w:rsid w:val="009F2E4E"/>
    <w:rsid w:val="009F2F16"/>
    <w:rsid w:val="009F2F79"/>
    <w:rsid w:val="009F2FD6"/>
    <w:rsid w:val="009F323E"/>
    <w:rsid w:val="009F3257"/>
    <w:rsid w:val="009F350B"/>
    <w:rsid w:val="009F3697"/>
    <w:rsid w:val="009F375E"/>
    <w:rsid w:val="009F3808"/>
    <w:rsid w:val="009F390B"/>
    <w:rsid w:val="009F3A65"/>
    <w:rsid w:val="009F3CE6"/>
    <w:rsid w:val="009F3E3D"/>
    <w:rsid w:val="009F4112"/>
    <w:rsid w:val="009F42E1"/>
    <w:rsid w:val="009F4487"/>
    <w:rsid w:val="009F4AC2"/>
    <w:rsid w:val="009F4BBC"/>
    <w:rsid w:val="009F4C26"/>
    <w:rsid w:val="009F4CFE"/>
    <w:rsid w:val="009F4E37"/>
    <w:rsid w:val="009F4E65"/>
    <w:rsid w:val="009F4FDF"/>
    <w:rsid w:val="009F5041"/>
    <w:rsid w:val="009F5459"/>
    <w:rsid w:val="009F54FD"/>
    <w:rsid w:val="009F564F"/>
    <w:rsid w:val="009F5688"/>
    <w:rsid w:val="009F56D2"/>
    <w:rsid w:val="009F56EB"/>
    <w:rsid w:val="009F59CA"/>
    <w:rsid w:val="009F5B00"/>
    <w:rsid w:val="009F5EB2"/>
    <w:rsid w:val="009F5F58"/>
    <w:rsid w:val="009F6612"/>
    <w:rsid w:val="009F693D"/>
    <w:rsid w:val="009F6ABE"/>
    <w:rsid w:val="009F6D3D"/>
    <w:rsid w:val="009F6F6C"/>
    <w:rsid w:val="009F6F73"/>
    <w:rsid w:val="009F7042"/>
    <w:rsid w:val="009F7058"/>
    <w:rsid w:val="009F7247"/>
    <w:rsid w:val="009F7281"/>
    <w:rsid w:val="009F73D3"/>
    <w:rsid w:val="009F7801"/>
    <w:rsid w:val="009F784E"/>
    <w:rsid w:val="009F792B"/>
    <w:rsid w:val="009F79A0"/>
    <w:rsid w:val="009F7C31"/>
    <w:rsid w:val="009F7D4C"/>
    <w:rsid w:val="009F7FA2"/>
    <w:rsid w:val="009F7FAD"/>
    <w:rsid w:val="00A0024F"/>
    <w:rsid w:val="00A0047C"/>
    <w:rsid w:val="00A00627"/>
    <w:rsid w:val="00A0081E"/>
    <w:rsid w:val="00A00BDD"/>
    <w:rsid w:val="00A010F0"/>
    <w:rsid w:val="00A010F5"/>
    <w:rsid w:val="00A011C5"/>
    <w:rsid w:val="00A012F5"/>
    <w:rsid w:val="00A013C5"/>
    <w:rsid w:val="00A0152E"/>
    <w:rsid w:val="00A015E1"/>
    <w:rsid w:val="00A017AD"/>
    <w:rsid w:val="00A01897"/>
    <w:rsid w:val="00A0195A"/>
    <w:rsid w:val="00A01979"/>
    <w:rsid w:val="00A01E0A"/>
    <w:rsid w:val="00A02018"/>
    <w:rsid w:val="00A02379"/>
    <w:rsid w:val="00A025DB"/>
    <w:rsid w:val="00A026A8"/>
    <w:rsid w:val="00A026FC"/>
    <w:rsid w:val="00A027E9"/>
    <w:rsid w:val="00A0287A"/>
    <w:rsid w:val="00A029CD"/>
    <w:rsid w:val="00A02B36"/>
    <w:rsid w:val="00A02DAA"/>
    <w:rsid w:val="00A02DC0"/>
    <w:rsid w:val="00A02F70"/>
    <w:rsid w:val="00A03077"/>
    <w:rsid w:val="00A03285"/>
    <w:rsid w:val="00A032C0"/>
    <w:rsid w:val="00A033E8"/>
    <w:rsid w:val="00A03851"/>
    <w:rsid w:val="00A038FD"/>
    <w:rsid w:val="00A03DCB"/>
    <w:rsid w:val="00A03E63"/>
    <w:rsid w:val="00A03EAD"/>
    <w:rsid w:val="00A0418C"/>
    <w:rsid w:val="00A04242"/>
    <w:rsid w:val="00A0430D"/>
    <w:rsid w:val="00A043C5"/>
    <w:rsid w:val="00A0443C"/>
    <w:rsid w:val="00A0498F"/>
    <w:rsid w:val="00A049DD"/>
    <w:rsid w:val="00A04A73"/>
    <w:rsid w:val="00A04C52"/>
    <w:rsid w:val="00A050A2"/>
    <w:rsid w:val="00A051AF"/>
    <w:rsid w:val="00A052E1"/>
    <w:rsid w:val="00A0534C"/>
    <w:rsid w:val="00A0564B"/>
    <w:rsid w:val="00A05688"/>
    <w:rsid w:val="00A057D8"/>
    <w:rsid w:val="00A0596A"/>
    <w:rsid w:val="00A05C44"/>
    <w:rsid w:val="00A05ED3"/>
    <w:rsid w:val="00A060AB"/>
    <w:rsid w:val="00A062B2"/>
    <w:rsid w:val="00A06A70"/>
    <w:rsid w:val="00A06A73"/>
    <w:rsid w:val="00A06B98"/>
    <w:rsid w:val="00A06E33"/>
    <w:rsid w:val="00A06E70"/>
    <w:rsid w:val="00A0703A"/>
    <w:rsid w:val="00A07200"/>
    <w:rsid w:val="00A072EC"/>
    <w:rsid w:val="00A0745F"/>
    <w:rsid w:val="00A07466"/>
    <w:rsid w:val="00A075BA"/>
    <w:rsid w:val="00A0779D"/>
    <w:rsid w:val="00A07A89"/>
    <w:rsid w:val="00A07C25"/>
    <w:rsid w:val="00A07DEF"/>
    <w:rsid w:val="00A100B4"/>
    <w:rsid w:val="00A1013B"/>
    <w:rsid w:val="00A103F7"/>
    <w:rsid w:val="00A106F7"/>
    <w:rsid w:val="00A107DB"/>
    <w:rsid w:val="00A10AB1"/>
    <w:rsid w:val="00A10EFD"/>
    <w:rsid w:val="00A11215"/>
    <w:rsid w:val="00A11302"/>
    <w:rsid w:val="00A1145D"/>
    <w:rsid w:val="00A11472"/>
    <w:rsid w:val="00A11755"/>
    <w:rsid w:val="00A117AD"/>
    <w:rsid w:val="00A11976"/>
    <w:rsid w:val="00A11986"/>
    <w:rsid w:val="00A11C43"/>
    <w:rsid w:val="00A11D97"/>
    <w:rsid w:val="00A11E6E"/>
    <w:rsid w:val="00A121B9"/>
    <w:rsid w:val="00A124A3"/>
    <w:rsid w:val="00A1253B"/>
    <w:rsid w:val="00A1256F"/>
    <w:rsid w:val="00A125A4"/>
    <w:rsid w:val="00A125BB"/>
    <w:rsid w:val="00A127C6"/>
    <w:rsid w:val="00A12848"/>
    <w:rsid w:val="00A12945"/>
    <w:rsid w:val="00A12BD7"/>
    <w:rsid w:val="00A12C3C"/>
    <w:rsid w:val="00A12F90"/>
    <w:rsid w:val="00A1305A"/>
    <w:rsid w:val="00A13101"/>
    <w:rsid w:val="00A1316B"/>
    <w:rsid w:val="00A13283"/>
    <w:rsid w:val="00A132FB"/>
    <w:rsid w:val="00A13342"/>
    <w:rsid w:val="00A1397A"/>
    <w:rsid w:val="00A13AAF"/>
    <w:rsid w:val="00A13D91"/>
    <w:rsid w:val="00A13F1D"/>
    <w:rsid w:val="00A13F65"/>
    <w:rsid w:val="00A1413D"/>
    <w:rsid w:val="00A1422D"/>
    <w:rsid w:val="00A1490A"/>
    <w:rsid w:val="00A14BC1"/>
    <w:rsid w:val="00A14C84"/>
    <w:rsid w:val="00A14DF1"/>
    <w:rsid w:val="00A15132"/>
    <w:rsid w:val="00A151B4"/>
    <w:rsid w:val="00A151C5"/>
    <w:rsid w:val="00A15208"/>
    <w:rsid w:val="00A1528A"/>
    <w:rsid w:val="00A1549B"/>
    <w:rsid w:val="00A154D8"/>
    <w:rsid w:val="00A155EF"/>
    <w:rsid w:val="00A15604"/>
    <w:rsid w:val="00A15612"/>
    <w:rsid w:val="00A156BD"/>
    <w:rsid w:val="00A1575B"/>
    <w:rsid w:val="00A15B27"/>
    <w:rsid w:val="00A15C08"/>
    <w:rsid w:val="00A15EE9"/>
    <w:rsid w:val="00A161D8"/>
    <w:rsid w:val="00A1627D"/>
    <w:rsid w:val="00A16299"/>
    <w:rsid w:val="00A162EC"/>
    <w:rsid w:val="00A16729"/>
    <w:rsid w:val="00A167C8"/>
    <w:rsid w:val="00A167FA"/>
    <w:rsid w:val="00A169AB"/>
    <w:rsid w:val="00A169AF"/>
    <w:rsid w:val="00A16A1D"/>
    <w:rsid w:val="00A16A69"/>
    <w:rsid w:val="00A16B71"/>
    <w:rsid w:val="00A16BFF"/>
    <w:rsid w:val="00A16C4D"/>
    <w:rsid w:val="00A16EBB"/>
    <w:rsid w:val="00A16F7F"/>
    <w:rsid w:val="00A16FD1"/>
    <w:rsid w:val="00A16FFD"/>
    <w:rsid w:val="00A172CF"/>
    <w:rsid w:val="00A1735E"/>
    <w:rsid w:val="00A17412"/>
    <w:rsid w:val="00A17666"/>
    <w:rsid w:val="00A17781"/>
    <w:rsid w:val="00A17AEE"/>
    <w:rsid w:val="00A17DD6"/>
    <w:rsid w:val="00A17DFC"/>
    <w:rsid w:val="00A17EEB"/>
    <w:rsid w:val="00A17F17"/>
    <w:rsid w:val="00A17F8B"/>
    <w:rsid w:val="00A2016A"/>
    <w:rsid w:val="00A2016B"/>
    <w:rsid w:val="00A201B2"/>
    <w:rsid w:val="00A2045E"/>
    <w:rsid w:val="00A20522"/>
    <w:rsid w:val="00A205A6"/>
    <w:rsid w:val="00A2064D"/>
    <w:rsid w:val="00A2072B"/>
    <w:rsid w:val="00A2076D"/>
    <w:rsid w:val="00A207F9"/>
    <w:rsid w:val="00A20873"/>
    <w:rsid w:val="00A2093D"/>
    <w:rsid w:val="00A20A19"/>
    <w:rsid w:val="00A20AA1"/>
    <w:rsid w:val="00A20F8B"/>
    <w:rsid w:val="00A20FD3"/>
    <w:rsid w:val="00A21080"/>
    <w:rsid w:val="00A21429"/>
    <w:rsid w:val="00A2148E"/>
    <w:rsid w:val="00A214AC"/>
    <w:rsid w:val="00A217A3"/>
    <w:rsid w:val="00A218C2"/>
    <w:rsid w:val="00A2195C"/>
    <w:rsid w:val="00A219CD"/>
    <w:rsid w:val="00A21BE9"/>
    <w:rsid w:val="00A21D21"/>
    <w:rsid w:val="00A21D22"/>
    <w:rsid w:val="00A21EE9"/>
    <w:rsid w:val="00A21EEE"/>
    <w:rsid w:val="00A21FA8"/>
    <w:rsid w:val="00A21FDC"/>
    <w:rsid w:val="00A21FE5"/>
    <w:rsid w:val="00A221E7"/>
    <w:rsid w:val="00A22382"/>
    <w:rsid w:val="00A226AD"/>
    <w:rsid w:val="00A226EC"/>
    <w:rsid w:val="00A227B1"/>
    <w:rsid w:val="00A22806"/>
    <w:rsid w:val="00A228F6"/>
    <w:rsid w:val="00A22958"/>
    <w:rsid w:val="00A22A74"/>
    <w:rsid w:val="00A22B30"/>
    <w:rsid w:val="00A22C83"/>
    <w:rsid w:val="00A22CB5"/>
    <w:rsid w:val="00A22E15"/>
    <w:rsid w:val="00A23006"/>
    <w:rsid w:val="00A23011"/>
    <w:rsid w:val="00A23189"/>
    <w:rsid w:val="00A23202"/>
    <w:rsid w:val="00A23613"/>
    <w:rsid w:val="00A23765"/>
    <w:rsid w:val="00A23770"/>
    <w:rsid w:val="00A238E3"/>
    <w:rsid w:val="00A238EC"/>
    <w:rsid w:val="00A23B26"/>
    <w:rsid w:val="00A23B55"/>
    <w:rsid w:val="00A23CF0"/>
    <w:rsid w:val="00A23DB4"/>
    <w:rsid w:val="00A23E81"/>
    <w:rsid w:val="00A242F4"/>
    <w:rsid w:val="00A24460"/>
    <w:rsid w:val="00A244E0"/>
    <w:rsid w:val="00A24606"/>
    <w:rsid w:val="00A246E2"/>
    <w:rsid w:val="00A2471D"/>
    <w:rsid w:val="00A2490F"/>
    <w:rsid w:val="00A24914"/>
    <w:rsid w:val="00A24D89"/>
    <w:rsid w:val="00A24FA9"/>
    <w:rsid w:val="00A24FEF"/>
    <w:rsid w:val="00A25068"/>
    <w:rsid w:val="00A257EC"/>
    <w:rsid w:val="00A2591B"/>
    <w:rsid w:val="00A259DD"/>
    <w:rsid w:val="00A25ABD"/>
    <w:rsid w:val="00A25F47"/>
    <w:rsid w:val="00A25F9E"/>
    <w:rsid w:val="00A25FB6"/>
    <w:rsid w:val="00A25FC0"/>
    <w:rsid w:val="00A26297"/>
    <w:rsid w:val="00A26329"/>
    <w:rsid w:val="00A26397"/>
    <w:rsid w:val="00A26549"/>
    <w:rsid w:val="00A2658F"/>
    <w:rsid w:val="00A265BB"/>
    <w:rsid w:val="00A265C5"/>
    <w:rsid w:val="00A26665"/>
    <w:rsid w:val="00A266D6"/>
    <w:rsid w:val="00A2691B"/>
    <w:rsid w:val="00A269C0"/>
    <w:rsid w:val="00A269F5"/>
    <w:rsid w:val="00A26A7E"/>
    <w:rsid w:val="00A26C01"/>
    <w:rsid w:val="00A26CD4"/>
    <w:rsid w:val="00A26DB9"/>
    <w:rsid w:val="00A26EAE"/>
    <w:rsid w:val="00A26EB1"/>
    <w:rsid w:val="00A27057"/>
    <w:rsid w:val="00A27254"/>
    <w:rsid w:val="00A2751F"/>
    <w:rsid w:val="00A2755C"/>
    <w:rsid w:val="00A27853"/>
    <w:rsid w:val="00A278E2"/>
    <w:rsid w:val="00A27A60"/>
    <w:rsid w:val="00A27B4C"/>
    <w:rsid w:val="00A27C0A"/>
    <w:rsid w:val="00A27D15"/>
    <w:rsid w:val="00A30083"/>
    <w:rsid w:val="00A30212"/>
    <w:rsid w:val="00A303CB"/>
    <w:rsid w:val="00A305A1"/>
    <w:rsid w:val="00A31162"/>
    <w:rsid w:val="00A31837"/>
    <w:rsid w:val="00A31A04"/>
    <w:rsid w:val="00A31C86"/>
    <w:rsid w:val="00A31EBF"/>
    <w:rsid w:val="00A3205F"/>
    <w:rsid w:val="00A32174"/>
    <w:rsid w:val="00A3242F"/>
    <w:rsid w:val="00A3263B"/>
    <w:rsid w:val="00A327C4"/>
    <w:rsid w:val="00A327E4"/>
    <w:rsid w:val="00A32917"/>
    <w:rsid w:val="00A32960"/>
    <w:rsid w:val="00A32A21"/>
    <w:rsid w:val="00A32A82"/>
    <w:rsid w:val="00A32B5F"/>
    <w:rsid w:val="00A32D15"/>
    <w:rsid w:val="00A32DF3"/>
    <w:rsid w:val="00A32E98"/>
    <w:rsid w:val="00A3324B"/>
    <w:rsid w:val="00A3351A"/>
    <w:rsid w:val="00A33647"/>
    <w:rsid w:val="00A33724"/>
    <w:rsid w:val="00A33810"/>
    <w:rsid w:val="00A33987"/>
    <w:rsid w:val="00A33B0C"/>
    <w:rsid w:val="00A33B49"/>
    <w:rsid w:val="00A33C39"/>
    <w:rsid w:val="00A33D00"/>
    <w:rsid w:val="00A33D19"/>
    <w:rsid w:val="00A33D31"/>
    <w:rsid w:val="00A33DA5"/>
    <w:rsid w:val="00A33EDC"/>
    <w:rsid w:val="00A340AD"/>
    <w:rsid w:val="00A342DA"/>
    <w:rsid w:val="00A34466"/>
    <w:rsid w:val="00A3457C"/>
    <w:rsid w:val="00A34673"/>
    <w:rsid w:val="00A346F6"/>
    <w:rsid w:val="00A34775"/>
    <w:rsid w:val="00A34BF8"/>
    <w:rsid w:val="00A34C27"/>
    <w:rsid w:val="00A34FD6"/>
    <w:rsid w:val="00A355C5"/>
    <w:rsid w:val="00A3567C"/>
    <w:rsid w:val="00A356A8"/>
    <w:rsid w:val="00A357D6"/>
    <w:rsid w:val="00A35960"/>
    <w:rsid w:val="00A35D5D"/>
    <w:rsid w:val="00A35D5E"/>
    <w:rsid w:val="00A360A0"/>
    <w:rsid w:val="00A3619B"/>
    <w:rsid w:val="00A3620A"/>
    <w:rsid w:val="00A36279"/>
    <w:rsid w:val="00A362AA"/>
    <w:rsid w:val="00A362F3"/>
    <w:rsid w:val="00A36309"/>
    <w:rsid w:val="00A36523"/>
    <w:rsid w:val="00A367B3"/>
    <w:rsid w:val="00A36D48"/>
    <w:rsid w:val="00A370C8"/>
    <w:rsid w:val="00A37138"/>
    <w:rsid w:val="00A372A9"/>
    <w:rsid w:val="00A372EB"/>
    <w:rsid w:val="00A37413"/>
    <w:rsid w:val="00A3743C"/>
    <w:rsid w:val="00A37460"/>
    <w:rsid w:val="00A3763E"/>
    <w:rsid w:val="00A3773C"/>
    <w:rsid w:val="00A377D8"/>
    <w:rsid w:val="00A37839"/>
    <w:rsid w:val="00A379A5"/>
    <w:rsid w:val="00A37B10"/>
    <w:rsid w:val="00A37F98"/>
    <w:rsid w:val="00A37F9A"/>
    <w:rsid w:val="00A37FC2"/>
    <w:rsid w:val="00A4009A"/>
    <w:rsid w:val="00A4031B"/>
    <w:rsid w:val="00A40467"/>
    <w:rsid w:val="00A40582"/>
    <w:rsid w:val="00A405C8"/>
    <w:rsid w:val="00A40907"/>
    <w:rsid w:val="00A409D1"/>
    <w:rsid w:val="00A40BAE"/>
    <w:rsid w:val="00A40D6A"/>
    <w:rsid w:val="00A40DD7"/>
    <w:rsid w:val="00A41239"/>
    <w:rsid w:val="00A41327"/>
    <w:rsid w:val="00A4151F"/>
    <w:rsid w:val="00A415AD"/>
    <w:rsid w:val="00A41E80"/>
    <w:rsid w:val="00A41EF0"/>
    <w:rsid w:val="00A41FE8"/>
    <w:rsid w:val="00A420FF"/>
    <w:rsid w:val="00A42132"/>
    <w:rsid w:val="00A4216F"/>
    <w:rsid w:val="00A421E2"/>
    <w:rsid w:val="00A422B0"/>
    <w:rsid w:val="00A42807"/>
    <w:rsid w:val="00A4282E"/>
    <w:rsid w:val="00A429BD"/>
    <w:rsid w:val="00A429D1"/>
    <w:rsid w:val="00A42BC2"/>
    <w:rsid w:val="00A42C53"/>
    <w:rsid w:val="00A42E61"/>
    <w:rsid w:val="00A42E88"/>
    <w:rsid w:val="00A42F0C"/>
    <w:rsid w:val="00A430C9"/>
    <w:rsid w:val="00A431D0"/>
    <w:rsid w:val="00A4324A"/>
    <w:rsid w:val="00A4336C"/>
    <w:rsid w:val="00A434E2"/>
    <w:rsid w:val="00A43832"/>
    <w:rsid w:val="00A43843"/>
    <w:rsid w:val="00A43A2D"/>
    <w:rsid w:val="00A43C95"/>
    <w:rsid w:val="00A43E08"/>
    <w:rsid w:val="00A43EC3"/>
    <w:rsid w:val="00A4460C"/>
    <w:rsid w:val="00A4470C"/>
    <w:rsid w:val="00A44792"/>
    <w:rsid w:val="00A44B54"/>
    <w:rsid w:val="00A44C09"/>
    <w:rsid w:val="00A44CA0"/>
    <w:rsid w:val="00A44D9E"/>
    <w:rsid w:val="00A44E97"/>
    <w:rsid w:val="00A44F12"/>
    <w:rsid w:val="00A45111"/>
    <w:rsid w:val="00A4542D"/>
    <w:rsid w:val="00A4577C"/>
    <w:rsid w:val="00A45BC5"/>
    <w:rsid w:val="00A45C71"/>
    <w:rsid w:val="00A45D9E"/>
    <w:rsid w:val="00A45DD4"/>
    <w:rsid w:val="00A46085"/>
    <w:rsid w:val="00A46191"/>
    <w:rsid w:val="00A462B7"/>
    <w:rsid w:val="00A464CB"/>
    <w:rsid w:val="00A46611"/>
    <w:rsid w:val="00A46626"/>
    <w:rsid w:val="00A4688E"/>
    <w:rsid w:val="00A471AC"/>
    <w:rsid w:val="00A47518"/>
    <w:rsid w:val="00A47695"/>
    <w:rsid w:val="00A4778C"/>
    <w:rsid w:val="00A47905"/>
    <w:rsid w:val="00A47B8C"/>
    <w:rsid w:val="00A47BCA"/>
    <w:rsid w:val="00A47E97"/>
    <w:rsid w:val="00A47FCE"/>
    <w:rsid w:val="00A50166"/>
    <w:rsid w:val="00A50237"/>
    <w:rsid w:val="00A50295"/>
    <w:rsid w:val="00A50557"/>
    <w:rsid w:val="00A5072D"/>
    <w:rsid w:val="00A5078A"/>
    <w:rsid w:val="00A50847"/>
    <w:rsid w:val="00A50AD8"/>
    <w:rsid w:val="00A50B2C"/>
    <w:rsid w:val="00A50E36"/>
    <w:rsid w:val="00A51235"/>
    <w:rsid w:val="00A515FC"/>
    <w:rsid w:val="00A519A4"/>
    <w:rsid w:val="00A519FD"/>
    <w:rsid w:val="00A51AB8"/>
    <w:rsid w:val="00A51D2D"/>
    <w:rsid w:val="00A51E6F"/>
    <w:rsid w:val="00A523C5"/>
    <w:rsid w:val="00A52593"/>
    <w:rsid w:val="00A52678"/>
    <w:rsid w:val="00A52951"/>
    <w:rsid w:val="00A52ADD"/>
    <w:rsid w:val="00A52C75"/>
    <w:rsid w:val="00A52D1B"/>
    <w:rsid w:val="00A5303A"/>
    <w:rsid w:val="00A530B0"/>
    <w:rsid w:val="00A5311A"/>
    <w:rsid w:val="00A531B9"/>
    <w:rsid w:val="00A532BB"/>
    <w:rsid w:val="00A532D9"/>
    <w:rsid w:val="00A5335C"/>
    <w:rsid w:val="00A5340F"/>
    <w:rsid w:val="00A53468"/>
    <w:rsid w:val="00A53501"/>
    <w:rsid w:val="00A535CF"/>
    <w:rsid w:val="00A53755"/>
    <w:rsid w:val="00A539F9"/>
    <w:rsid w:val="00A53A00"/>
    <w:rsid w:val="00A53AA5"/>
    <w:rsid w:val="00A53D0E"/>
    <w:rsid w:val="00A53D8F"/>
    <w:rsid w:val="00A53DD4"/>
    <w:rsid w:val="00A540DD"/>
    <w:rsid w:val="00A5425C"/>
    <w:rsid w:val="00A542D6"/>
    <w:rsid w:val="00A542DA"/>
    <w:rsid w:val="00A542F0"/>
    <w:rsid w:val="00A543A9"/>
    <w:rsid w:val="00A548E0"/>
    <w:rsid w:val="00A548FF"/>
    <w:rsid w:val="00A54AC2"/>
    <w:rsid w:val="00A54EEE"/>
    <w:rsid w:val="00A54F15"/>
    <w:rsid w:val="00A55122"/>
    <w:rsid w:val="00A5531F"/>
    <w:rsid w:val="00A5543F"/>
    <w:rsid w:val="00A555B5"/>
    <w:rsid w:val="00A55690"/>
    <w:rsid w:val="00A556FF"/>
    <w:rsid w:val="00A55850"/>
    <w:rsid w:val="00A558DD"/>
    <w:rsid w:val="00A55950"/>
    <w:rsid w:val="00A55CA0"/>
    <w:rsid w:val="00A55E0E"/>
    <w:rsid w:val="00A55F7B"/>
    <w:rsid w:val="00A561B1"/>
    <w:rsid w:val="00A561C9"/>
    <w:rsid w:val="00A561E5"/>
    <w:rsid w:val="00A5655C"/>
    <w:rsid w:val="00A567AF"/>
    <w:rsid w:val="00A56C9B"/>
    <w:rsid w:val="00A57074"/>
    <w:rsid w:val="00A57459"/>
    <w:rsid w:val="00A5758E"/>
    <w:rsid w:val="00A57732"/>
    <w:rsid w:val="00A577E6"/>
    <w:rsid w:val="00A578BC"/>
    <w:rsid w:val="00A57AD7"/>
    <w:rsid w:val="00A57AD8"/>
    <w:rsid w:val="00A57D60"/>
    <w:rsid w:val="00A57DD9"/>
    <w:rsid w:val="00A57FB8"/>
    <w:rsid w:val="00A60311"/>
    <w:rsid w:val="00A603DC"/>
    <w:rsid w:val="00A60734"/>
    <w:rsid w:val="00A60C58"/>
    <w:rsid w:val="00A60C7C"/>
    <w:rsid w:val="00A60D32"/>
    <w:rsid w:val="00A60D75"/>
    <w:rsid w:val="00A60E00"/>
    <w:rsid w:val="00A60F39"/>
    <w:rsid w:val="00A60FBE"/>
    <w:rsid w:val="00A6100E"/>
    <w:rsid w:val="00A61044"/>
    <w:rsid w:val="00A6132C"/>
    <w:rsid w:val="00A613DE"/>
    <w:rsid w:val="00A615BC"/>
    <w:rsid w:val="00A61CC5"/>
    <w:rsid w:val="00A61F7F"/>
    <w:rsid w:val="00A62087"/>
    <w:rsid w:val="00A6218E"/>
    <w:rsid w:val="00A621A4"/>
    <w:rsid w:val="00A621DA"/>
    <w:rsid w:val="00A625E3"/>
    <w:rsid w:val="00A62758"/>
    <w:rsid w:val="00A62879"/>
    <w:rsid w:val="00A628CE"/>
    <w:rsid w:val="00A62E1F"/>
    <w:rsid w:val="00A634D9"/>
    <w:rsid w:val="00A6358F"/>
    <w:rsid w:val="00A6369E"/>
    <w:rsid w:val="00A636C2"/>
    <w:rsid w:val="00A63C0E"/>
    <w:rsid w:val="00A63CDB"/>
    <w:rsid w:val="00A6403D"/>
    <w:rsid w:val="00A64460"/>
    <w:rsid w:val="00A64544"/>
    <w:rsid w:val="00A64743"/>
    <w:rsid w:val="00A64744"/>
    <w:rsid w:val="00A6484F"/>
    <w:rsid w:val="00A64B63"/>
    <w:rsid w:val="00A64C75"/>
    <w:rsid w:val="00A64C9C"/>
    <w:rsid w:val="00A64DB4"/>
    <w:rsid w:val="00A64F11"/>
    <w:rsid w:val="00A6500C"/>
    <w:rsid w:val="00A650C5"/>
    <w:rsid w:val="00A65296"/>
    <w:rsid w:val="00A65456"/>
    <w:rsid w:val="00A6572D"/>
    <w:rsid w:val="00A65899"/>
    <w:rsid w:val="00A658FC"/>
    <w:rsid w:val="00A65A1E"/>
    <w:rsid w:val="00A65AA0"/>
    <w:rsid w:val="00A65D69"/>
    <w:rsid w:val="00A65F3E"/>
    <w:rsid w:val="00A66045"/>
    <w:rsid w:val="00A665E3"/>
    <w:rsid w:val="00A66789"/>
    <w:rsid w:val="00A66835"/>
    <w:rsid w:val="00A66836"/>
    <w:rsid w:val="00A6683B"/>
    <w:rsid w:val="00A6690B"/>
    <w:rsid w:val="00A66A17"/>
    <w:rsid w:val="00A66AAB"/>
    <w:rsid w:val="00A66B9D"/>
    <w:rsid w:val="00A66DA1"/>
    <w:rsid w:val="00A672CB"/>
    <w:rsid w:val="00A67440"/>
    <w:rsid w:val="00A67AEF"/>
    <w:rsid w:val="00A67B93"/>
    <w:rsid w:val="00A67C10"/>
    <w:rsid w:val="00A67C5C"/>
    <w:rsid w:val="00A67F9D"/>
    <w:rsid w:val="00A70117"/>
    <w:rsid w:val="00A7012E"/>
    <w:rsid w:val="00A706DF"/>
    <w:rsid w:val="00A70722"/>
    <w:rsid w:val="00A707A0"/>
    <w:rsid w:val="00A707F3"/>
    <w:rsid w:val="00A709E7"/>
    <w:rsid w:val="00A70CD4"/>
    <w:rsid w:val="00A70FB5"/>
    <w:rsid w:val="00A71062"/>
    <w:rsid w:val="00A71117"/>
    <w:rsid w:val="00A7140A"/>
    <w:rsid w:val="00A7153C"/>
    <w:rsid w:val="00A715EA"/>
    <w:rsid w:val="00A71674"/>
    <w:rsid w:val="00A71720"/>
    <w:rsid w:val="00A71AC0"/>
    <w:rsid w:val="00A71CE6"/>
    <w:rsid w:val="00A71F9A"/>
    <w:rsid w:val="00A72048"/>
    <w:rsid w:val="00A72142"/>
    <w:rsid w:val="00A72143"/>
    <w:rsid w:val="00A72325"/>
    <w:rsid w:val="00A723C9"/>
    <w:rsid w:val="00A72628"/>
    <w:rsid w:val="00A726B3"/>
    <w:rsid w:val="00A72941"/>
    <w:rsid w:val="00A72A0D"/>
    <w:rsid w:val="00A72A79"/>
    <w:rsid w:val="00A72BFD"/>
    <w:rsid w:val="00A72D07"/>
    <w:rsid w:val="00A7305C"/>
    <w:rsid w:val="00A7310C"/>
    <w:rsid w:val="00A73152"/>
    <w:rsid w:val="00A7323A"/>
    <w:rsid w:val="00A7330C"/>
    <w:rsid w:val="00A73568"/>
    <w:rsid w:val="00A736C3"/>
    <w:rsid w:val="00A7386D"/>
    <w:rsid w:val="00A73A33"/>
    <w:rsid w:val="00A73AA3"/>
    <w:rsid w:val="00A73B31"/>
    <w:rsid w:val="00A73B38"/>
    <w:rsid w:val="00A73B8E"/>
    <w:rsid w:val="00A73BA9"/>
    <w:rsid w:val="00A73D49"/>
    <w:rsid w:val="00A73E13"/>
    <w:rsid w:val="00A73E30"/>
    <w:rsid w:val="00A73E32"/>
    <w:rsid w:val="00A74088"/>
    <w:rsid w:val="00A74196"/>
    <w:rsid w:val="00A74314"/>
    <w:rsid w:val="00A74763"/>
    <w:rsid w:val="00A74769"/>
    <w:rsid w:val="00A74B72"/>
    <w:rsid w:val="00A74C47"/>
    <w:rsid w:val="00A74C6E"/>
    <w:rsid w:val="00A74CAA"/>
    <w:rsid w:val="00A750DF"/>
    <w:rsid w:val="00A750FC"/>
    <w:rsid w:val="00A751E8"/>
    <w:rsid w:val="00A752CC"/>
    <w:rsid w:val="00A754AD"/>
    <w:rsid w:val="00A75509"/>
    <w:rsid w:val="00A7554A"/>
    <w:rsid w:val="00A7555A"/>
    <w:rsid w:val="00A755CB"/>
    <w:rsid w:val="00A755EF"/>
    <w:rsid w:val="00A7565A"/>
    <w:rsid w:val="00A75C48"/>
    <w:rsid w:val="00A75D4A"/>
    <w:rsid w:val="00A75E2F"/>
    <w:rsid w:val="00A75E99"/>
    <w:rsid w:val="00A76030"/>
    <w:rsid w:val="00A760DC"/>
    <w:rsid w:val="00A761CC"/>
    <w:rsid w:val="00A7644D"/>
    <w:rsid w:val="00A7649B"/>
    <w:rsid w:val="00A765ED"/>
    <w:rsid w:val="00A7667D"/>
    <w:rsid w:val="00A766E7"/>
    <w:rsid w:val="00A76AAC"/>
    <w:rsid w:val="00A76C7B"/>
    <w:rsid w:val="00A76F0F"/>
    <w:rsid w:val="00A76F4E"/>
    <w:rsid w:val="00A773A8"/>
    <w:rsid w:val="00A77416"/>
    <w:rsid w:val="00A774B6"/>
    <w:rsid w:val="00A77561"/>
    <w:rsid w:val="00A7768D"/>
    <w:rsid w:val="00A7792D"/>
    <w:rsid w:val="00A77D8F"/>
    <w:rsid w:val="00A77EAE"/>
    <w:rsid w:val="00A7AB4A"/>
    <w:rsid w:val="00A80038"/>
    <w:rsid w:val="00A80156"/>
    <w:rsid w:val="00A804F2"/>
    <w:rsid w:val="00A80C35"/>
    <w:rsid w:val="00A80D79"/>
    <w:rsid w:val="00A80FE9"/>
    <w:rsid w:val="00A81091"/>
    <w:rsid w:val="00A811D6"/>
    <w:rsid w:val="00A813BE"/>
    <w:rsid w:val="00A8142E"/>
    <w:rsid w:val="00A81786"/>
    <w:rsid w:val="00A81865"/>
    <w:rsid w:val="00A81CBA"/>
    <w:rsid w:val="00A81E02"/>
    <w:rsid w:val="00A82133"/>
    <w:rsid w:val="00A82A21"/>
    <w:rsid w:val="00A82AEC"/>
    <w:rsid w:val="00A82C2F"/>
    <w:rsid w:val="00A82DB4"/>
    <w:rsid w:val="00A830EB"/>
    <w:rsid w:val="00A83146"/>
    <w:rsid w:val="00A8315F"/>
    <w:rsid w:val="00A83174"/>
    <w:rsid w:val="00A831E0"/>
    <w:rsid w:val="00A83329"/>
    <w:rsid w:val="00A83332"/>
    <w:rsid w:val="00A833CC"/>
    <w:rsid w:val="00A83515"/>
    <w:rsid w:val="00A836FB"/>
    <w:rsid w:val="00A8373E"/>
    <w:rsid w:val="00A83790"/>
    <w:rsid w:val="00A839C2"/>
    <w:rsid w:val="00A83B82"/>
    <w:rsid w:val="00A83E89"/>
    <w:rsid w:val="00A84077"/>
    <w:rsid w:val="00A844FA"/>
    <w:rsid w:val="00A84772"/>
    <w:rsid w:val="00A8496C"/>
    <w:rsid w:val="00A84F07"/>
    <w:rsid w:val="00A84F16"/>
    <w:rsid w:val="00A84F23"/>
    <w:rsid w:val="00A85538"/>
    <w:rsid w:val="00A856CC"/>
    <w:rsid w:val="00A857B9"/>
    <w:rsid w:val="00A858EB"/>
    <w:rsid w:val="00A85992"/>
    <w:rsid w:val="00A85A14"/>
    <w:rsid w:val="00A85C78"/>
    <w:rsid w:val="00A85D16"/>
    <w:rsid w:val="00A85FDA"/>
    <w:rsid w:val="00A8605B"/>
    <w:rsid w:val="00A8608B"/>
    <w:rsid w:val="00A865A6"/>
    <w:rsid w:val="00A8662B"/>
    <w:rsid w:val="00A86884"/>
    <w:rsid w:val="00A86DD5"/>
    <w:rsid w:val="00A86EF1"/>
    <w:rsid w:val="00A87281"/>
    <w:rsid w:val="00A8754E"/>
    <w:rsid w:val="00A87617"/>
    <w:rsid w:val="00A87A29"/>
    <w:rsid w:val="00A87A5A"/>
    <w:rsid w:val="00A87AC3"/>
    <w:rsid w:val="00A87AE0"/>
    <w:rsid w:val="00A87BAA"/>
    <w:rsid w:val="00A87C25"/>
    <w:rsid w:val="00A87C75"/>
    <w:rsid w:val="00A87F9B"/>
    <w:rsid w:val="00A90206"/>
    <w:rsid w:val="00A9041E"/>
    <w:rsid w:val="00A907BF"/>
    <w:rsid w:val="00A907FA"/>
    <w:rsid w:val="00A90ADB"/>
    <w:rsid w:val="00A90CD5"/>
    <w:rsid w:val="00A90D75"/>
    <w:rsid w:val="00A90DDD"/>
    <w:rsid w:val="00A90E78"/>
    <w:rsid w:val="00A90FEE"/>
    <w:rsid w:val="00A91043"/>
    <w:rsid w:val="00A9152D"/>
    <w:rsid w:val="00A91AA3"/>
    <w:rsid w:val="00A91D22"/>
    <w:rsid w:val="00A91EA6"/>
    <w:rsid w:val="00A91FD8"/>
    <w:rsid w:val="00A92242"/>
    <w:rsid w:val="00A92302"/>
    <w:rsid w:val="00A923D1"/>
    <w:rsid w:val="00A924DF"/>
    <w:rsid w:val="00A92655"/>
    <w:rsid w:val="00A926E8"/>
    <w:rsid w:val="00A92713"/>
    <w:rsid w:val="00A92786"/>
    <w:rsid w:val="00A929BC"/>
    <w:rsid w:val="00A929F3"/>
    <w:rsid w:val="00A929FB"/>
    <w:rsid w:val="00A92EB7"/>
    <w:rsid w:val="00A93032"/>
    <w:rsid w:val="00A9314E"/>
    <w:rsid w:val="00A93365"/>
    <w:rsid w:val="00A93521"/>
    <w:rsid w:val="00A9376B"/>
    <w:rsid w:val="00A938C1"/>
    <w:rsid w:val="00A9394A"/>
    <w:rsid w:val="00A93BA8"/>
    <w:rsid w:val="00A93E4A"/>
    <w:rsid w:val="00A93F7D"/>
    <w:rsid w:val="00A94280"/>
    <w:rsid w:val="00A9428F"/>
    <w:rsid w:val="00A94306"/>
    <w:rsid w:val="00A9473D"/>
    <w:rsid w:val="00A94848"/>
    <w:rsid w:val="00A94935"/>
    <w:rsid w:val="00A9496C"/>
    <w:rsid w:val="00A94982"/>
    <w:rsid w:val="00A94CCE"/>
    <w:rsid w:val="00A951D5"/>
    <w:rsid w:val="00A95249"/>
    <w:rsid w:val="00A954DB"/>
    <w:rsid w:val="00A95AF0"/>
    <w:rsid w:val="00A95DC1"/>
    <w:rsid w:val="00A95E9C"/>
    <w:rsid w:val="00A960A5"/>
    <w:rsid w:val="00A96338"/>
    <w:rsid w:val="00A965FE"/>
    <w:rsid w:val="00A96699"/>
    <w:rsid w:val="00A9671C"/>
    <w:rsid w:val="00A9671E"/>
    <w:rsid w:val="00A968AE"/>
    <w:rsid w:val="00A96C4D"/>
    <w:rsid w:val="00A96E0D"/>
    <w:rsid w:val="00A96F77"/>
    <w:rsid w:val="00A96F84"/>
    <w:rsid w:val="00A97128"/>
    <w:rsid w:val="00A97197"/>
    <w:rsid w:val="00A973E9"/>
    <w:rsid w:val="00A974AD"/>
    <w:rsid w:val="00A975FF"/>
    <w:rsid w:val="00A9765F"/>
    <w:rsid w:val="00A97A98"/>
    <w:rsid w:val="00A97C7C"/>
    <w:rsid w:val="00A97D1A"/>
    <w:rsid w:val="00A97D64"/>
    <w:rsid w:val="00A97DC4"/>
    <w:rsid w:val="00A97DE2"/>
    <w:rsid w:val="00A97FA6"/>
    <w:rsid w:val="00AA0013"/>
    <w:rsid w:val="00AA0095"/>
    <w:rsid w:val="00AA0106"/>
    <w:rsid w:val="00AA017B"/>
    <w:rsid w:val="00AA01BE"/>
    <w:rsid w:val="00AA0276"/>
    <w:rsid w:val="00AA0848"/>
    <w:rsid w:val="00AA0BDD"/>
    <w:rsid w:val="00AA0CD0"/>
    <w:rsid w:val="00AA0D6A"/>
    <w:rsid w:val="00AA1262"/>
    <w:rsid w:val="00AA1265"/>
    <w:rsid w:val="00AA1419"/>
    <w:rsid w:val="00AA1508"/>
    <w:rsid w:val="00AA15CC"/>
    <w:rsid w:val="00AA179E"/>
    <w:rsid w:val="00AA17E4"/>
    <w:rsid w:val="00AA193E"/>
    <w:rsid w:val="00AA2256"/>
    <w:rsid w:val="00AA2491"/>
    <w:rsid w:val="00AA25E2"/>
    <w:rsid w:val="00AA270C"/>
    <w:rsid w:val="00AA28A7"/>
    <w:rsid w:val="00AA2DD9"/>
    <w:rsid w:val="00AA3090"/>
    <w:rsid w:val="00AA3154"/>
    <w:rsid w:val="00AA3312"/>
    <w:rsid w:val="00AA347A"/>
    <w:rsid w:val="00AA34AA"/>
    <w:rsid w:val="00AA3507"/>
    <w:rsid w:val="00AA38D3"/>
    <w:rsid w:val="00AA38D8"/>
    <w:rsid w:val="00AA3921"/>
    <w:rsid w:val="00AA3A41"/>
    <w:rsid w:val="00AA3C2A"/>
    <w:rsid w:val="00AA3CCE"/>
    <w:rsid w:val="00AA3D95"/>
    <w:rsid w:val="00AA4066"/>
    <w:rsid w:val="00AA44AF"/>
    <w:rsid w:val="00AA46D1"/>
    <w:rsid w:val="00AA49A1"/>
    <w:rsid w:val="00AA4B4E"/>
    <w:rsid w:val="00AA4C68"/>
    <w:rsid w:val="00AA4F04"/>
    <w:rsid w:val="00AA5941"/>
    <w:rsid w:val="00AA5DFA"/>
    <w:rsid w:val="00AA5F76"/>
    <w:rsid w:val="00AA606E"/>
    <w:rsid w:val="00AA61B4"/>
    <w:rsid w:val="00AA6419"/>
    <w:rsid w:val="00AA6661"/>
    <w:rsid w:val="00AA6717"/>
    <w:rsid w:val="00AA6967"/>
    <w:rsid w:val="00AA6F5A"/>
    <w:rsid w:val="00AA6F98"/>
    <w:rsid w:val="00AA7003"/>
    <w:rsid w:val="00AA71C2"/>
    <w:rsid w:val="00AA7207"/>
    <w:rsid w:val="00AA7257"/>
    <w:rsid w:val="00AA737C"/>
    <w:rsid w:val="00AA74D0"/>
    <w:rsid w:val="00AA7833"/>
    <w:rsid w:val="00AA784B"/>
    <w:rsid w:val="00AA795C"/>
    <w:rsid w:val="00AA797F"/>
    <w:rsid w:val="00AA7B6C"/>
    <w:rsid w:val="00AA7D60"/>
    <w:rsid w:val="00AA7D86"/>
    <w:rsid w:val="00AA7ECB"/>
    <w:rsid w:val="00AA7F73"/>
    <w:rsid w:val="00AB0922"/>
    <w:rsid w:val="00AB09FC"/>
    <w:rsid w:val="00AB0B1F"/>
    <w:rsid w:val="00AB0B2A"/>
    <w:rsid w:val="00AB0EE8"/>
    <w:rsid w:val="00AB12DB"/>
    <w:rsid w:val="00AB1339"/>
    <w:rsid w:val="00AB1456"/>
    <w:rsid w:val="00AB1578"/>
    <w:rsid w:val="00AB16ED"/>
    <w:rsid w:val="00AB182D"/>
    <w:rsid w:val="00AB1920"/>
    <w:rsid w:val="00AB1D7C"/>
    <w:rsid w:val="00AB1E00"/>
    <w:rsid w:val="00AB1F77"/>
    <w:rsid w:val="00AB2054"/>
    <w:rsid w:val="00AB20A2"/>
    <w:rsid w:val="00AB22B4"/>
    <w:rsid w:val="00AB23DE"/>
    <w:rsid w:val="00AB25C6"/>
    <w:rsid w:val="00AB26D2"/>
    <w:rsid w:val="00AB2731"/>
    <w:rsid w:val="00AB2734"/>
    <w:rsid w:val="00AB28E1"/>
    <w:rsid w:val="00AB2A63"/>
    <w:rsid w:val="00AB2AAA"/>
    <w:rsid w:val="00AB2B7A"/>
    <w:rsid w:val="00AB2C4D"/>
    <w:rsid w:val="00AB2C95"/>
    <w:rsid w:val="00AB2E2D"/>
    <w:rsid w:val="00AB2F3C"/>
    <w:rsid w:val="00AB3040"/>
    <w:rsid w:val="00AB3282"/>
    <w:rsid w:val="00AB32A1"/>
    <w:rsid w:val="00AB3354"/>
    <w:rsid w:val="00AB3795"/>
    <w:rsid w:val="00AB38FB"/>
    <w:rsid w:val="00AB3C1E"/>
    <w:rsid w:val="00AB3F56"/>
    <w:rsid w:val="00AB3F62"/>
    <w:rsid w:val="00AB444A"/>
    <w:rsid w:val="00AB4661"/>
    <w:rsid w:val="00AB4978"/>
    <w:rsid w:val="00AB4B67"/>
    <w:rsid w:val="00AB4C18"/>
    <w:rsid w:val="00AB5065"/>
    <w:rsid w:val="00AB50A9"/>
    <w:rsid w:val="00AB536E"/>
    <w:rsid w:val="00AB543E"/>
    <w:rsid w:val="00AB54FA"/>
    <w:rsid w:val="00AB550E"/>
    <w:rsid w:val="00AB58F3"/>
    <w:rsid w:val="00AB594B"/>
    <w:rsid w:val="00AB59D5"/>
    <w:rsid w:val="00AB5A2C"/>
    <w:rsid w:val="00AB5A45"/>
    <w:rsid w:val="00AB5C93"/>
    <w:rsid w:val="00AB5DBD"/>
    <w:rsid w:val="00AB5DE9"/>
    <w:rsid w:val="00AB5EEB"/>
    <w:rsid w:val="00AB5F1E"/>
    <w:rsid w:val="00AB5FF1"/>
    <w:rsid w:val="00AB6055"/>
    <w:rsid w:val="00AB60DD"/>
    <w:rsid w:val="00AB6351"/>
    <w:rsid w:val="00AB6545"/>
    <w:rsid w:val="00AB65EC"/>
    <w:rsid w:val="00AB6649"/>
    <w:rsid w:val="00AB670F"/>
    <w:rsid w:val="00AB6A1C"/>
    <w:rsid w:val="00AB6AE1"/>
    <w:rsid w:val="00AB6DCE"/>
    <w:rsid w:val="00AB70B5"/>
    <w:rsid w:val="00AB7108"/>
    <w:rsid w:val="00AB7357"/>
    <w:rsid w:val="00AB73FA"/>
    <w:rsid w:val="00AB76CE"/>
    <w:rsid w:val="00AB7705"/>
    <w:rsid w:val="00AB7927"/>
    <w:rsid w:val="00AB799F"/>
    <w:rsid w:val="00AB7BAC"/>
    <w:rsid w:val="00AB7D3C"/>
    <w:rsid w:val="00AB7EAB"/>
    <w:rsid w:val="00AB7F9F"/>
    <w:rsid w:val="00AC00F3"/>
    <w:rsid w:val="00AC0146"/>
    <w:rsid w:val="00AC02DF"/>
    <w:rsid w:val="00AC0339"/>
    <w:rsid w:val="00AC04D4"/>
    <w:rsid w:val="00AC0601"/>
    <w:rsid w:val="00AC0629"/>
    <w:rsid w:val="00AC0727"/>
    <w:rsid w:val="00AC07F1"/>
    <w:rsid w:val="00AC0855"/>
    <w:rsid w:val="00AC08D3"/>
    <w:rsid w:val="00AC0BC3"/>
    <w:rsid w:val="00AC0CE1"/>
    <w:rsid w:val="00AC0DA8"/>
    <w:rsid w:val="00AC0EB5"/>
    <w:rsid w:val="00AC0FD3"/>
    <w:rsid w:val="00AC1145"/>
    <w:rsid w:val="00AC12D2"/>
    <w:rsid w:val="00AC12F4"/>
    <w:rsid w:val="00AC144D"/>
    <w:rsid w:val="00AC15C4"/>
    <w:rsid w:val="00AC1622"/>
    <w:rsid w:val="00AC1807"/>
    <w:rsid w:val="00AC19C7"/>
    <w:rsid w:val="00AC1E02"/>
    <w:rsid w:val="00AC1E55"/>
    <w:rsid w:val="00AC1F51"/>
    <w:rsid w:val="00AC1FFA"/>
    <w:rsid w:val="00AC20EA"/>
    <w:rsid w:val="00AC2247"/>
    <w:rsid w:val="00AC2489"/>
    <w:rsid w:val="00AC2592"/>
    <w:rsid w:val="00AC26C3"/>
    <w:rsid w:val="00AC2AA1"/>
    <w:rsid w:val="00AC2CA4"/>
    <w:rsid w:val="00AC2D5C"/>
    <w:rsid w:val="00AC2EE7"/>
    <w:rsid w:val="00AC318F"/>
    <w:rsid w:val="00AC36D7"/>
    <w:rsid w:val="00AC377C"/>
    <w:rsid w:val="00AC3AD4"/>
    <w:rsid w:val="00AC3C96"/>
    <w:rsid w:val="00AC3CE7"/>
    <w:rsid w:val="00AC4137"/>
    <w:rsid w:val="00AC41CC"/>
    <w:rsid w:val="00AC4252"/>
    <w:rsid w:val="00AC44EA"/>
    <w:rsid w:val="00AC4936"/>
    <w:rsid w:val="00AC4985"/>
    <w:rsid w:val="00AC49EE"/>
    <w:rsid w:val="00AC4B66"/>
    <w:rsid w:val="00AC4CF2"/>
    <w:rsid w:val="00AC4D45"/>
    <w:rsid w:val="00AC4DC6"/>
    <w:rsid w:val="00AC4F9A"/>
    <w:rsid w:val="00AC5229"/>
    <w:rsid w:val="00AC53CF"/>
    <w:rsid w:val="00AC546E"/>
    <w:rsid w:val="00AC5D8E"/>
    <w:rsid w:val="00AC5EA7"/>
    <w:rsid w:val="00AC5F43"/>
    <w:rsid w:val="00AC5F69"/>
    <w:rsid w:val="00AC5FAD"/>
    <w:rsid w:val="00AC6246"/>
    <w:rsid w:val="00AC6387"/>
    <w:rsid w:val="00AC668F"/>
    <w:rsid w:val="00AC6813"/>
    <w:rsid w:val="00AC6823"/>
    <w:rsid w:val="00AC6C31"/>
    <w:rsid w:val="00AC6D85"/>
    <w:rsid w:val="00AC6E2F"/>
    <w:rsid w:val="00AC6FF4"/>
    <w:rsid w:val="00AC7649"/>
    <w:rsid w:val="00AC773E"/>
    <w:rsid w:val="00AC7939"/>
    <w:rsid w:val="00AC7945"/>
    <w:rsid w:val="00AC7AA3"/>
    <w:rsid w:val="00AC7B03"/>
    <w:rsid w:val="00AC7B81"/>
    <w:rsid w:val="00AC7F83"/>
    <w:rsid w:val="00AD007A"/>
    <w:rsid w:val="00AD00AA"/>
    <w:rsid w:val="00AD01E3"/>
    <w:rsid w:val="00AD03EE"/>
    <w:rsid w:val="00AD0465"/>
    <w:rsid w:val="00AD0609"/>
    <w:rsid w:val="00AD063F"/>
    <w:rsid w:val="00AD090C"/>
    <w:rsid w:val="00AD0A9A"/>
    <w:rsid w:val="00AD0B55"/>
    <w:rsid w:val="00AD0B5C"/>
    <w:rsid w:val="00AD0BCF"/>
    <w:rsid w:val="00AD0C62"/>
    <w:rsid w:val="00AD1723"/>
    <w:rsid w:val="00AD1733"/>
    <w:rsid w:val="00AD1929"/>
    <w:rsid w:val="00AD19E2"/>
    <w:rsid w:val="00AD1AF4"/>
    <w:rsid w:val="00AD1B3A"/>
    <w:rsid w:val="00AD1DDE"/>
    <w:rsid w:val="00AD20AF"/>
    <w:rsid w:val="00AD2845"/>
    <w:rsid w:val="00AD28A1"/>
    <w:rsid w:val="00AD2969"/>
    <w:rsid w:val="00AD29F5"/>
    <w:rsid w:val="00AD2B73"/>
    <w:rsid w:val="00AD2C6B"/>
    <w:rsid w:val="00AD324F"/>
    <w:rsid w:val="00AD32AF"/>
    <w:rsid w:val="00AD33EB"/>
    <w:rsid w:val="00AD35AC"/>
    <w:rsid w:val="00AD3680"/>
    <w:rsid w:val="00AD3A1A"/>
    <w:rsid w:val="00AD3C08"/>
    <w:rsid w:val="00AD3CAC"/>
    <w:rsid w:val="00AD3CD4"/>
    <w:rsid w:val="00AD3D97"/>
    <w:rsid w:val="00AD4002"/>
    <w:rsid w:val="00AD4045"/>
    <w:rsid w:val="00AD40D6"/>
    <w:rsid w:val="00AD40F0"/>
    <w:rsid w:val="00AD41DC"/>
    <w:rsid w:val="00AD456F"/>
    <w:rsid w:val="00AD468A"/>
    <w:rsid w:val="00AD479D"/>
    <w:rsid w:val="00AD47CC"/>
    <w:rsid w:val="00AD47DA"/>
    <w:rsid w:val="00AD48D2"/>
    <w:rsid w:val="00AD4BE2"/>
    <w:rsid w:val="00AD4D7D"/>
    <w:rsid w:val="00AD4EAF"/>
    <w:rsid w:val="00AD501F"/>
    <w:rsid w:val="00AD5199"/>
    <w:rsid w:val="00AD51B6"/>
    <w:rsid w:val="00AD5208"/>
    <w:rsid w:val="00AD53AC"/>
    <w:rsid w:val="00AD53B9"/>
    <w:rsid w:val="00AD56F4"/>
    <w:rsid w:val="00AD58B1"/>
    <w:rsid w:val="00AD58F9"/>
    <w:rsid w:val="00AD5E70"/>
    <w:rsid w:val="00AD5EF5"/>
    <w:rsid w:val="00AD5F97"/>
    <w:rsid w:val="00AD6274"/>
    <w:rsid w:val="00AD65A6"/>
    <w:rsid w:val="00AD65C6"/>
    <w:rsid w:val="00AD66B0"/>
    <w:rsid w:val="00AD66ED"/>
    <w:rsid w:val="00AD6F03"/>
    <w:rsid w:val="00AD72E3"/>
    <w:rsid w:val="00AD7779"/>
    <w:rsid w:val="00AD79B4"/>
    <w:rsid w:val="00AD7A6A"/>
    <w:rsid w:val="00AD7DF6"/>
    <w:rsid w:val="00AD7FEC"/>
    <w:rsid w:val="00AE0040"/>
    <w:rsid w:val="00AE0119"/>
    <w:rsid w:val="00AE0139"/>
    <w:rsid w:val="00AE02AE"/>
    <w:rsid w:val="00AE038E"/>
    <w:rsid w:val="00AE0570"/>
    <w:rsid w:val="00AE0646"/>
    <w:rsid w:val="00AE06EF"/>
    <w:rsid w:val="00AE074E"/>
    <w:rsid w:val="00AE08BF"/>
    <w:rsid w:val="00AE098F"/>
    <w:rsid w:val="00AE0AD5"/>
    <w:rsid w:val="00AE0CDF"/>
    <w:rsid w:val="00AE0CEB"/>
    <w:rsid w:val="00AE0E59"/>
    <w:rsid w:val="00AE0E83"/>
    <w:rsid w:val="00AE0F27"/>
    <w:rsid w:val="00AE0FD6"/>
    <w:rsid w:val="00AE115E"/>
    <w:rsid w:val="00AE135D"/>
    <w:rsid w:val="00AE13AC"/>
    <w:rsid w:val="00AE13CC"/>
    <w:rsid w:val="00AE15DB"/>
    <w:rsid w:val="00AE1BFB"/>
    <w:rsid w:val="00AE1E1F"/>
    <w:rsid w:val="00AE24E4"/>
    <w:rsid w:val="00AE256C"/>
    <w:rsid w:val="00AE27B5"/>
    <w:rsid w:val="00AE293B"/>
    <w:rsid w:val="00AE2964"/>
    <w:rsid w:val="00AE2B0B"/>
    <w:rsid w:val="00AE2CFE"/>
    <w:rsid w:val="00AE2FB9"/>
    <w:rsid w:val="00AE304D"/>
    <w:rsid w:val="00AE3383"/>
    <w:rsid w:val="00AE349B"/>
    <w:rsid w:val="00AE353C"/>
    <w:rsid w:val="00AE3674"/>
    <w:rsid w:val="00AE37AD"/>
    <w:rsid w:val="00AE3995"/>
    <w:rsid w:val="00AE4024"/>
    <w:rsid w:val="00AE41AE"/>
    <w:rsid w:val="00AE41C1"/>
    <w:rsid w:val="00AE4294"/>
    <w:rsid w:val="00AE461D"/>
    <w:rsid w:val="00AE4640"/>
    <w:rsid w:val="00AE493D"/>
    <w:rsid w:val="00AE4968"/>
    <w:rsid w:val="00AE4B5D"/>
    <w:rsid w:val="00AE4DB3"/>
    <w:rsid w:val="00AE4F9F"/>
    <w:rsid w:val="00AE5087"/>
    <w:rsid w:val="00AE5130"/>
    <w:rsid w:val="00AE52E4"/>
    <w:rsid w:val="00AE5339"/>
    <w:rsid w:val="00AE54BB"/>
    <w:rsid w:val="00AE5504"/>
    <w:rsid w:val="00AE5537"/>
    <w:rsid w:val="00AE5635"/>
    <w:rsid w:val="00AE56FA"/>
    <w:rsid w:val="00AE57E9"/>
    <w:rsid w:val="00AE5DFA"/>
    <w:rsid w:val="00AE5EC1"/>
    <w:rsid w:val="00AE6344"/>
    <w:rsid w:val="00AE6366"/>
    <w:rsid w:val="00AE64DE"/>
    <w:rsid w:val="00AE652F"/>
    <w:rsid w:val="00AE66BF"/>
    <w:rsid w:val="00AE6767"/>
    <w:rsid w:val="00AE6B46"/>
    <w:rsid w:val="00AE6D34"/>
    <w:rsid w:val="00AE6FE7"/>
    <w:rsid w:val="00AE7168"/>
    <w:rsid w:val="00AE7675"/>
    <w:rsid w:val="00AE7789"/>
    <w:rsid w:val="00AE7862"/>
    <w:rsid w:val="00AE7866"/>
    <w:rsid w:val="00AE792F"/>
    <w:rsid w:val="00AE7A69"/>
    <w:rsid w:val="00AE7AA8"/>
    <w:rsid w:val="00AE7CC2"/>
    <w:rsid w:val="00AE7F32"/>
    <w:rsid w:val="00AE7F9D"/>
    <w:rsid w:val="00AF023E"/>
    <w:rsid w:val="00AF0515"/>
    <w:rsid w:val="00AF0643"/>
    <w:rsid w:val="00AF0A18"/>
    <w:rsid w:val="00AF0C24"/>
    <w:rsid w:val="00AF0CBC"/>
    <w:rsid w:val="00AF0D85"/>
    <w:rsid w:val="00AF0E2B"/>
    <w:rsid w:val="00AF0E45"/>
    <w:rsid w:val="00AF1045"/>
    <w:rsid w:val="00AF112F"/>
    <w:rsid w:val="00AF1176"/>
    <w:rsid w:val="00AF145D"/>
    <w:rsid w:val="00AF1488"/>
    <w:rsid w:val="00AF14E9"/>
    <w:rsid w:val="00AF1521"/>
    <w:rsid w:val="00AF17B1"/>
    <w:rsid w:val="00AF1CDD"/>
    <w:rsid w:val="00AF1D83"/>
    <w:rsid w:val="00AF1E55"/>
    <w:rsid w:val="00AF1FF9"/>
    <w:rsid w:val="00AF203D"/>
    <w:rsid w:val="00AF20AE"/>
    <w:rsid w:val="00AF22A9"/>
    <w:rsid w:val="00AF2660"/>
    <w:rsid w:val="00AF26F5"/>
    <w:rsid w:val="00AF2FA4"/>
    <w:rsid w:val="00AF34CA"/>
    <w:rsid w:val="00AF358C"/>
    <w:rsid w:val="00AF3692"/>
    <w:rsid w:val="00AF387B"/>
    <w:rsid w:val="00AF3EE5"/>
    <w:rsid w:val="00AF3EF1"/>
    <w:rsid w:val="00AF41AB"/>
    <w:rsid w:val="00AF423D"/>
    <w:rsid w:val="00AF42AD"/>
    <w:rsid w:val="00AF43F6"/>
    <w:rsid w:val="00AF44E4"/>
    <w:rsid w:val="00AF45BF"/>
    <w:rsid w:val="00AF483C"/>
    <w:rsid w:val="00AF48AB"/>
    <w:rsid w:val="00AF4B54"/>
    <w:rsid w:val="00AF4C97"/>
    <w:rsid w:val="00AF4D13"/>
    <w:rsid w:val="00AF4D1A"/>
    <w:rsid w:val="00AF4D36"/>
    <w:rsid w:val="00AF4DFA"/>
    <w:rsid w:val="00AF4F94"/>
    <w:rsid w:val="00AF5152"/>
    <w:rsid w:val="00AF5431"/>
    <w:rsid w:val="00AF559B"/>
    <w:rsid w:val="00AF56D6"/>
    <w:rsid w:val="00AF5BDE"/>
    <w:rsid w:val="00AF5E36"/>
    <w:rsid w:val="00AF5FF8"/>
    <w:rsid w:val="00AF61F1"/>
    <w:rsid w:val="00AF6275"/>
    <w:rsid w:val="00AF6320"/>
    <w:rsid w:val="00AF6332"/>
    <w:rsid w:val="00AF66E8"/>
    <w:rsid w:val="00AF69D5"/>
    <w:rsid w:val="00AF6B1E"/>
    <w:rsid w:val="00AF6B8E"/>
    <w:rsid w:val="00AF6D29"/>
    <w:rsid w:val="00AF7014"/>
    <w:rsid w:val="00AF7338"/>
    <w:rsid w:val="00AF73ED"/>
    <w:rsid w:val="00AF7446"/>
    <w:rsid w:val="00AF74C8"/>
    <w:rsid w:val="00AF75E3"/>
    <w:rsid w:val="00AF7868"/>
    <w:rsid w:val="00AF7908"/>
    <w:rsid w:val="00AF79EA"/>
    <w:rsid w:val="00AF7C5C"/>
    <w:rsid w:val="00AF7DFA"/>
    <w:rsid w:val="00AF7E43"/>
    <w:rsid w:val="00AF7FA0"/>
    <w:rsid w:val="00B0009D"/>
    <w:rsid w:val="00B00155"/>
    <w:rsid w:val="00B001E4"/>
    <w:rsid w:val="00B00202"/>
    <w:rsid w:val="00B00356"/>
    <w:rsid w:val="00B007C1"/>
    <w:rsid w:val="00B0088D"/>
    <w:rsid w:val="00B00892"/>
    <w:rsid w:val="00B00B46"/>
    <w:rsid w:val="00B00C67"/>
    <w:rsid w:val="00B00F9F"/>
    <w:rsid w:val="00B01137"/>
    <w:rsid w:val="00B0131D"/>
    <w:rsid w:val="00B015B8"/>
    <w:rsid w:val="00B01606"/>
    <w:rsid w:val="00B01862"/>
    <w:rsid w:val="00B019D4"/>
    <w:rsid w:val="00B01E6D"/>
    <w:rsid w:val="00B022BF"/>
    <w:rsid w:val="00B02397"/>
    <w:rsid w:val="00B024D0"/>
    <w:rsid w:val="00B025FB"/>
    <w:rsid w:val="00B02715"/>
    <w:rsid w:val="00B02838"/>
    <w:rsid w:val="00B0283C"/>
    <w:rsid w:val="00B02910"/>
    <w:rsid w:val="00B029F0"/>
    <w:rsid w:val="00B02ABD"/>
    <w:rsid w:val="00B02F19"/>
    <w:rsid w:val="00B03360"/>
    <w:rsid w:val="00B03421"/>
    <w:rsid w:val="00B035EE"/>
    <w:rsid w:val="00B036F2"/>
    <w:rsid w:val="00B03919"/>
    <w:rsid w:val="00B03AFE"/>
    <w:rsid w:val="00B03BD1"/>
    <w:rsid w:val="00B03DC0"/>
    <w:rsid w:val="00B0421A"/>
    <w:rsid w:val="00B04276"/>
    <w:rsid w:val="00B042B2"/>
    <w:rsid w:val="00B04357"/>
    <w:rsid w:val="00B044F3"/>
    <w:rsid w:val="00B0460F"/>
    <w:rsid w:val="00B04704"/>
    <w:rsid w:val="00B047A9"/>
    <w:rsid w:val="00B04A09"/>
    <w:rsid w:val="00B04ADA"/>
    <w:rsid w:val="00B04BE4"/>
    <w:rsid w:val="00B04CC0"/>
    <w:rsid w:val="00B04DB4"/>
    <w:rsid w:val="00B04EE2"/>
    <w:rsid w:val="00B05679"/>
    <w:rsid w:val="00B05AB1"/>
    <w:rsid w:val="00B05AB4"/>
    <w:rsid w:val="00B05B4F"/>
    <w:rsid w:val="00B05E0F"/>
    <w:rsid w:val="00B05EBC"/>
    <w:rsid w:val="00B05EFF"/>
    <w:rsid w:val="00B060C2"/>
    <w:rsid w:val="00B060CE"/>
    <w:rsid w:val="00B06250"/>
    <w:rsid w:val="00B064D6"/>
    <w:rsid w:val="00B0658D"/>
    <w:rsid w:val="00B066D0"/>
    <w:rsid w:val="00B0682E"/>
    <w:rsid w:val="00B06AA1"/>
    <w:rsid w:val="00B06CAD"/>
    <w:rsid w:val="00B07038"/>
    <w:rsid w:val="00B071B1"/>
    <w:rsid w:val="00B072A3"/>
    <w:rsid w:val="00B074C1"/>
    <w:rsid w:val="00B076C5"/>
    <w:rsid w:val="00B076D6"/>
    <w:rsid w:val="00B07C6E"/>
    <w:rsid w:val="00B07D0C"/>
    <w:rsid w:val="00B101F1"/>
    <w:rsid w:val="00B103A0"/>
    <w:rsid w:val="00B10485"/>
    <w:rsid w:val="00B1051D"/>
    <w:rsid w:val="00B105C0"/>
    <w:rsid w:val="00B1069D"/>
    <w:rsid w:val="00B1080B"/>
    <w:rsid w:val="00B1087A"/>
    <w:rsid w:val="00B109BE"/>
    <w:rsid w:val="00B10F44"/>
    <w:rsid w:val="00B11200"/>
    <w:rsid w:val="00B11391"/>
    <w:rsid w:val="00B11A6D"/>
    <w:rsid w:val="00B11B1F"/>
    <w:rsid w:val="00B11CCA"/>
    <w:rsid w:val="00B11E22"/>
    <w:rsid w:val="00B11E90"/>
    <w:rsid w:val="00B121B7"/>
    <w:rsid w:val="00B121BF"/>
    <w:rsid w:val="00B12378"/>
    <w:rsid w:val="00B1248D"/>
    <w:rsid w:val="00B12709"/>
    <w:rsid w:val="00B127F4"/>
    <w:rsid w:val="00B129BA"/>
    <w:rsid w:val="00B12C53"/>
    <w:rsid w:val="00B12CCF"/>
    <w:rsid w:val="00B12D8E"/>
    <w:rsid w:val="00B12E25"/>
    <w:rsid w:val="00B12F41"/>
    <w:rsid w:val="00B12F45"/>
    <w:rsid w:val="00B13007"/>
    <w:rsid w:val="00B1321D"/>
    <w:rsid w:val="00B1360B"/>
    <w:rsid w:val="00B13706"/>
    <w:rsid w:val="00B137E0"/>
    <w:rsid w:val="00B13833"/>
    <w:rsid w:val="00B1388D"/>
    <w:rsid w:val="00B1397C"/>
    <w:rsid w:val="00B13B68"/>
    <w:rsid w:val="00B13D59"/>
    <w:rsid w:val="00B13E3C"/>
    <w:rsid w:val="00B13EE1"/>
    <w:rsid w:val="00B1404B"/>
    <w:rsid w:val="00B14166"/>
    <w:rsid w:val="00B149EE"/>
    <w:rsid w:val="00B14B88"/>
    <w:rsid w:val="00B14DBE"/>
    <w:rsid w:val="00B14E5F"/>
    <w:rsid w:val="00B14FCD"/>
    <w:rsid w:val="00B15037"/>
    <w:rsid w:val="00B1513C"/>
    <w:rsid w:val="00B15366"/>
    <w:rsid w:val="00B1556F"/>
    <w:rsid w:val="00B155D1"/>
    <w:rsid w:val="00B15832"/>
    <w:rsid w:val="00B158F4"/>
    <w:rsid w:val="00B15D9B"/>
    <w:rsid w:val="00B15E69"/>
    <w:rsid w:val="00B16049"/>
    <w:rsid w:val="00B16507"/>
    <w:rsid w:val="00B16599"/>
    <w:rsid w:val="00B16C4E"/>
    <w:rsid w:val="00B16EE7"/>
    <w:rsid w:val="00B16FF2"/>
    <w:rsid w:val="00B170E5"/>
    <w:rsid w:val="00B172A7"/>
    <w:rsid w:val="00B173DE"/>
    <w:rsid w:val="00B1740B"/>
    <w:rsid w:val="00B176C4"/>
    <w:rsid w:val="00B17862"/>
    <w:rsid w:val="00B17949"/>
    <w:rsid w:val="00B17D38"/>
    <w:rsid w:val="00B200C5"/>
    <w:rsid w:val="00B201D1"/>
    <w:rsid w:val="00B2030E"/>
    <w:rsid w:val="00B2036C"/>
    <w:rsid w:val="00B20382"/>
    <w:rsid w:val="00B20523"/>
    <w:rsid w:val="00B205FF"/>
    <w:rsid w:val="00B2065A"/>
    <w:rsid w:val="00B208D2"/>
    <w:rsid w:val="00B20941"/>
    <w:rsid w:val="00B20B3D"/>
    <w:rsid w:val="00B20BF2"/>
    <w:rsid w:val="00B20DB4"/>
    <w:rsid w:val="00B20E97"/>
    <w:rsid w:val="00B20F78"/>
    <w:rsid w:val="00B20F7E"/>
    <w:rsid w:val="00B21236"/>
    <w:rsid w:val="00B213EC"/>
    <w:rsid w:val="00B2145F"/>
    <w:rsid w:val="00B2169E"/>
    <w:rsid w:val="00B21C12"/>
    <w:rsid w:val="00B21D89"/>
    <w:rsid w:val="00B21F81"/>
    <w:rsid w:val="00B21FA3"/>
    <w:rsid w:val="00B22382"/>
    <w:rsid w:val="00B225A3"/>
    <w:rsid w:val="00B229D8"/>
    <w:rsid w:val="00B22EE4"/>
    <w:rsid w:val="00B23262"/>
    <w:rsid w:val="00B23703"/>
    <w:rsid w:val="00B23718"/>
    <w:rsid w:val="00B23739"/>
    <w:rsid w:val="00B2373C"/>
    <w:rsid w:val="00B23860"/>
    <w:rsid w:val="00B23B35"/>
    <w:rsid w:val="00B23C81"/>
    <w:rsid w:val="00B23CE8"/>
    <w:rsid w:val="00B23D31"/>
    <w:rsid w:val="00B23D45"/>
    <w:rsid w:val="00B23F59"/>
    <w:rsid w:val="00B24154"/>
    <w:rsid w:val="00B24209"/>
    <w:rsid w:val="00B242ED"/>
    <w:rsid w:val="00B246A6"/>
    <w:rsid w:val="00B247FD"/>
    <w:rsid w:val="00B24980"/>
    <w:rsid w:val="00B24CD5"/>
    <w:rsid w:val="00B24D53"/>
    <w:rsid w:val="00B24D63"/>
    <w:rsid w:val="00B24EAA"/>
    <w:rsid w:val="00B24FDD"/>
    <w:rsid w:val="00B25280"/>
    <w:rsid w:val="00B2545C"/>
    <w:rsid w:val="00B255FE"/>
    <w:rsid w:val="00B25602"/>
    <w:rsid w:val="00B25873"/>
    <w:rsid w:val="00B25A66"/>
    <w:rsid w:val="00B25AF8"/>
    <w:rsid w:val="00B25B5E"/>
    <w:rsid w:val="00B25F0C"/>
    <w:rsid w:val="00B25F83"/>
    <w:rsid w:val="00B26022"/>
    <w:rsid w:val="00B26176"/>
    <w:rsid w:val="00B2626F"/>
    <w:rsid w:val="00B263E9"/>
    <w:rsid w:val="00B26578"/>
    <w:rsid w:val="00B26690"/>
    <w:rsid w:val="00B266A3"/>
    <w:rsid w:val="00B2696C"/>
    <w:rsid w:val="00B269E9"/>
    <w:rsid w:val="00B26A89"/>
    <w:rsid w:val="00B26B74"/>
    <w:rsid w:val="00B26BC9"/>
    <w:rsid w:val="00B26C59"/>
    <w:rsid w:val="00B26FA3"/>
    <w:rsid w:val="00B26FFC"/>
    <w:rsid w:val="00B2719D"/>
    <w:rsid w:val="00B27231"/>
    <w:rsid w:val="00B27274"/>
    <w:rsid w:val="00B27390"/>
    <w:rsid w:val="00B273D3"/>
    <w:rsid w:val="00B2754A"/>
    <w:rsid w:val="00B27556"/>
    <w:rsid w:val="00B27569"/>
    <w:rsid w:val="00B278FD"/>
    <w:rsid w:val="00B27DB7"/>
    <w:rsid w:val="00B27DEF"/>
    <w:rsid w:val="00B27EC5"/>
    <w:rsid w:val="00B302CC"/>
    <w:rsid w:val="00B3051A"/>
    <w:rsid w:val="00B306E2"/>
    <w:rsid w:val="00B30A3A"/>
    <w:rsid w:val="00B30ADA"/>
    <w:rsid w:val="00B30C1D"/>
    <w:rsid w:val="00B30C42"/>
    <w:rsid w:val="00B31196"/>
    <w:rsid w:val="00B31277"/>
    <w:rsid w:val="00B31301"/>
    <w:rsid w:val="00B31696"/>
    <w:rsid w:val="00B316F8"/>
    <w:rsid w:val="00B318CB"/>
    <w:rsid w:val="00B31938"/>
    <w:rsid w:val="00B31A19"/>
    <w:rsid w:val="00B31A1E"/>
    <w:rsid w:val="00B31E0E"/>
    <w:rsid w:val="00B31FC5"/>
    <w:rsid w:val="00B321FB"/>
    <w:rsid w:val="00B3242F"/>
    <w:rsid w:val="00B324C8"/>
    <w:rsid w:val="00B32516"/>
    <w:rsid w:val="00B3254A"/>
    <w:rsid w:val="00B32582"/>
    <w:rsid w:val="00B3276E"/>
    <w:rsid w:val="00B328B8"/>
    <w:rsid w:val="00B328BC"/>
    <w:rsid w:val="00B328C7"/>
    <w:rsid w:val="00B32992"/>
    <w:rsid w:val="00B32B82"/>
    <w:rsid w:val="00B32F96"/>
    <w:rsid w:val="00B3301F"/>
    <w:rsid w:val="00B3316F"/>
    <w:rsid w:val="00B33182"/>
    <w:rsid w:val="00B331E0"/>
    <w:rsid w:val="00B333E0"/>
    <w:rsid w:val="00B334C7"/>
    <w:rsid w:val="00B33505"/>
    <w:rsid w:val="00B339F2"/>
    <w:rsid w:val="00B33B0A"/>
    <w:rsid w:val="00B33D32"/>
    <w:rsid w:val="00B33E93"/>
    <w:rsid w:val="00B33F99"/>
    <w:rsid w:val="00B34040"/>
    <w:rsid w:val="00B34144"/>
    <w:rsid w:val="00B345D5"/>
    <w:rsid w:val="00B3472E"/>
    <w:rsid w:val="00B3474C"/>
    <w:rsid w:val="00B34784"/>
    <w:rsid w:val="00B349AF"/>
    <w:rsid w:val="00B349D8"/>
    <w:rsid w:val="00B34A0F"/>
    <w:rsid w:val="00B34A32"/>
    <w:rsid w:val="00B34AFB"/>
    <w:rsid w:val="00B34D76"/>
    <w:rsid w:val="00B34DF8"/>
    <w:rsid w:val="00B34E1B"/>
    <w:rsid w:val="00B34FAE"/>
    <w:rsid w:val="00B34FE3"/>
    <w:rsid w:val="00B35023"/>
    <w:rsid w:val="00B35202"/>
    <w:rsid w:val="00B35359"/>
    <w:rsid w:val="00B354EE"/>
    <w:rsid w:val="00B35743"/>
    <w:rsid w:val="00B357B0"/>
    <w:rsid w:val="00B3584B"/>
    <w:rsid w:val="00B3590C"/>
    <w:rsid w:val="00B35960"/>
    <w:rsid w:val="00B35B05"/>
    <w:rsid w:val="00B35BC3"/>
    <w:rsid w:val="00B35C20"/>
    <w:rsid w:val="00B35CAA"/>
    <w:rsid w:val="00B35F24"/>
    <w:rsid w:val="00B362AA"/>
    <w:rsid w:val="00B36319"/>
    <w:rsid w:val="00B3657F"/>
    <w:rsid w:val="00B366AE"/>
    <w:rsid w:val="00B36844"/>
    <w:rsid w:val="00B3689F"/>
    <w:rsid w:val="00B3698C"/>
    <w:rsid w:val="00B36AB0"/>
    <w:rsid w:val="00B36D8F"/>
    <w:rsid w:val="00B36F49"/>
    <w:rsid w:val="00B372A7"/>
    <w:rsid w:val="00B37312"/>
    <w:rsid w:val="00B37400"/>
    <w:rsid w:val="00B37571"/>
    <w:rsid w:val="00B37588"/>
    <w:rsid w:val="00B37600"/>
    <w:rsid w:val="00B37608"/>
    <w:rsid w:val="00B37910"/>
    <w:rsid w:val="00B37BB0"/>
    <w:rsid w:val="00B37D50"/>
    <w:rsid w:val="00B37DA8"/>
    <w:rsid w:val="00B37DD3"/>
    <w:rsid w:val="00B37E71"/>
    <w:rsid w:val="00B37FB5"/>
    <w:rsid w:val="00B4025C"/>
    <w:rsid w:val="00B40295"/>
    <w:rsid w:val="00B40335"/>
    <w:rsid w:val="00B403B6"/>
    <w:rsid w:val="00B40428"/>
    <w:rsid w:val="00B40465"/>
    <w:rsid w:val="00B4052A"/>
    <w:rsid w:val="00B40562"/>
    <w:rsid w:val="00B408D1"/>
    <w:rsid w:val="00B40A12"/>
    <w:rsid w:val="00B40D48"/>
    <w:rsid w:val="00B40E67"/>
    <w:rsid w:val="00B40FBB"/>
    <w:rsid w:val="00B41065"/>
    <w:rsid w:val="00B41212"/>
    <w:rsid w:val="00B4158A"/>
    <w:rsid w:val="00B4159A"/>
    <w:rsid w:val="00B416F2"/>
    <w:rsid w:val="00B41BCC"/>
    <w:rsid w:val="00B41C16"/>
    <w:rsid w:val="00B41FAA"/>
    <w:rsid w:val="00B42436"/>
    <w:rsid w:val="00B42520"/>
    <w:rsid w:val="00B42580"/>
    <w:rsid w:val="00B42670"/>
    <w:rsid w:val="00B4274B"/>
    <w:rsid w:val="00B428F5"/>
    <w:rsid w:val="00B42A01"/>
    <w:rsid w:val="00B42B18"/>
    <w:rsid w:val="00B42BB6"/>
    <w:rsid w:val="00B42D66"/>
    <w:rsid w:val="00B42E0D"/>
    <w:rsid w:val="00B4305A"/>
    <w:rsid w:val="00B430E9"/>
    <w:rsid w:val="00B433C9"/>
    <w:rsid w:val="00B43423"/>
    <w:rsid w:val="00B43527"/>
    <w:rsid w:val="00B43708"/>
    <w:rsid w:val="00B43759"/>
    <w:rsid w:val="00B4393E"/>
    <w:rsid w:val="00B43BF1"/>
    <w:rsid w:val="00B43CFE"/>
    <w:rsid w:val="00B43EB2"/>
    <w:rsid w:val="00B44183"/>
    <w:rsid w:val="00B4423B"/>
    <w:rsid w:val="00B442EC"/>
    <w:rsid w:val="00B4433B"/>
    <w:rsid w:val="00B44529"/>
    <w:rsid w:val="00B445A7"/>
    <w:rsid w:val="00B44696"/>
    <w:rsid w:val="00B446D5"/>
    <w:rsid w:val="00B4472A"/>
    <w:rsid w:val="00B447C6"/>
    <w:rsid w:val="00B447D2"/>
    <w:rsid w:val="00B4485A"/>
    <w:rsid w:val="00B44953"/>
    <w:rsid w:val="00B44B09"/>
    <w:rsid w:val="00B44CB4"/>
    <w:rsid w:val="00B44E6D"/>
    <w:rsid w:val="00B44F10"/>
    <w:rsid w:val="00B44FBD"/>
    <w:rsid w:val="00B44FF7"/>
    <w:rsid w:val="00B450C1"/>
    <w:rsid w:val="00B450D1"/>
    <w:rsid w:val="00B45225"/>
    <w:rsid w:val="00B4537A"/>
    <w:rsid w:val="00B45600"/>
    <w:rsid w:val="00B45753"/>
    <w:rsid w:val="00B459CA"/>
    <w:rsid w:val="00B459D7"/>
    <w:rsid w:val="00B45BD2"/>
    <w:rsid w:val="00B45C26"/>
    <w:rsid w:val="00B46079"/>
    <w:rsid w:val="00B4629B"/>
    <w:rsid w:val="00B464EB"/>
    <w:rsid w:val="00B46571"/>
    <w:rsid w:val="00B4686C"/>
    <w:rsid w:val="00B46CBD"/>
    <w:rsid w:val="00B4708B"/>
    <w:rsid w:val="00B47116"/>
    <w:rsid w:val="00B471AC"/>
    <w:rsid w:val="00B47458"/>
    <w:rsid w:val="00B4746E"/>
    <w:rsid w:val="00B477DE"/>
    <w:rsid w:val="00B47805"/>
    <w:rsid w:val="00B47AA5"/>
    <w:rsid w:val="00B47BA9"/>
    <w:rsid w:val="00B47CB3"/>
    <w:rsid w:val="00B47F58"/>
    <w:rsid w:val="00B50356"/>
    <w:rsid w:val="00B50581"/>
    <w:rsid w:val="00B50697"/>
    <w:rsid w:val="00B50800"/>
    <w:rsid w:val="00B50955"/>
    <w:rsid w:val="00B50A07"/>
    <w:rsid w:val="00B50B5B"/>
    <w:rsid w:val="00B50EAF"/>
    <w:rsid w:val="00B51309"/>
    <w:rsid w:val="00B5177D"/>
    <w:rsid w:val="00B517F2"/>
    <w:rsid w:val="00B51A27"/>
    <w:rsid w:val="00B51AD5"/>
    <w:rsid w:val="00B51B50"/>
    <w:rsid w:val="00B51E4B"/>
    <w:rsid w:val="00B51F22"/>
    <w:rsid w:val="00B522AF"/>
    <w:rsid w:val="00B527AB"/>
    <w:rsid w:val="00B52B77"/>
    <w:rsid w:val="00B52CF2"/>
    <w:rsid w:val="00B52D28"/>
    <w:rsid w:val="00B52DA8"/>
    <w:rsid w:val="00B52F9E"/>
    <w:rsid w:val="00B53241"/>
    <w:rsid w:val="00B53334"/>
    <w:rsid w:val="00B5351C"/>
    <w:rsid w:val="00B53782"/>
    <w:rsid w:val="00B538E3"/>
    <w:rsid w:val="00B5398F"/>
    <w:rsid w:val="00B53AF1"/>
    <w:rsid w:val="00B53C2E"/>
    <w:rsid w:val="00B53CF6"/>
    <w:rsid w:val="00B53D6B"/>
    <w:rsid w:val="00B53FAA"/>
    <w:rsid w:val="00B54058"/>
    <w:rsid w:val="00B540A1"/>
    <w:rsid w:val="00B5431D"/>
    <w:rsid w:val="00B543FB"/>
    <w:rsid w:val="00B544A8"/>
    <w:rsid w:val="00B5458A"/>
    <w:rsid w:val="00B54C9C"/>
    <w:rsid w:val="00B54CD6"/>
    <w:rsid w:val="00B54D14"/>
    <w:rsid w:val="00B54D77"/>
    <w:rsid w:val="00B54E86"/>
    <w:rsid w:val="00B54EB1"/>
    <w:rsid w:val="00B54F68"/>
    <w:rsid w:val="00B55015"/>
    <w:rsid w:val="00B55157"/>
    <w:rsid w:val="00B5538C"/>
    <w:rsid w:val="00B55449"/>
    <w:rsid w:val="00B554D6"/>
    <w:rsid w:val="00B55AE3"/>
    <w:rsid w:val="00B55B2F"/>
    <w:rsid w:val="00B55D8C"/>
    <w:rsid w:val="00B5618B"/>
    <w:rsid w:val="00B56675"/>
    <w:rsid w:val="00B5670F"/>
    <w:rsid w:val="00B5678D"/>
    <w:rsid w:val="00B5687E"/>
    <w:rsid w:val="00B56CF3"/>
    <w:rsid w:val="00B56CF8"/>
    <w:rsid w:val="00B56DDA"/>
    <w:rsid w:val="00B56ECB"/>
    <w:rsid w:val="00B56F8D"/>
    <w:rsid w:val="00B5728F"/>
    <w:rsid w:val="00B57504"/>
    <w:rsid w:val="00B57551"/>
    <w:rsid w:val="00B577FF"/>
    <w:rsid w:val="00B57850"/>
    <w:rsid w:val="00B5785D"/>
    <w:rsid w:val="00B579B9"/>
    <w:rsid w:val="00B579FA"/>
    <w:rsid w:val="00B602DC"/>
    <w:rsid w:val="00B60388"/>
    <w:rsid w:val="00B60406"/>
    <w:rsid w:val="00B605B4"/>
    <w:rsid w:val="00B605CD"/>
    <w:rsid w:val="00B60907"/>
    <w:rsid w:val="00B60AA6"/>
    <w:rsid w:val="00B60C4B"/>
    <w:rsid w:val="00B611F0"/>
    <w:rsid w:val="00B6138D"/>
    <w:rsid w:val="00B6165D"/>
    <w:rsid w:val="00B616AB"/>
    <w:rsid w:val="00B61719"/>
    <w:rsid w:val="00B617DC"/>
    <w:rsid w:val="00B6180B"/>
    <w:rsid w:val="00B61A43"/>
    <w:rsid w:val="00B61C95"/>
    <w:rsid w:val="00B61D2A"/>
    <w:rsid w:val="00B61E71"/>
    <w:rsid w:val="00B6220A"/>
    <w:rsid w:val="00B62469"/>
    <w:rsid w:val="00B624CC"/>
    <w:rsid w:val="00B626F4"/>
    <w:rsid w:val="00B62719"/>
    <w:rsid w:val="00B6285D"/>
    <w:rsid w:val="00B629F8"/>
    <w:rsid w:val="00B62C93"/>
    <w:rsid w:val="00B6308C"/>
    <w:rsid w:val="00B6336A"/>
    <w:rsid w:val="00B6337D"/>
    <w:rsid w:val="00B633D7"/>
    <w:rsid w:val="00B6341B"/>
    <w:rsid w:val="00B63748"/>
    <w:rsid w:val="00B637EE"/>
    <w:rsid w:val="00B638AE"/>
    <w:rsid w:val="00B6395B"/>
    <w:rsid w:val="00B639F4"/>
    <w:rsid w:val="00B63A5C"/>
    <w:rsid w:val="00B63A9B"/>
    <w:rsid w:val="00B63BBC"/>
    <w:rsid w:val="00B63BFA"/>
    <w:rsid w:val="00B64065"/>
    <w:rsid w:val="00B640C3"/>
    <w:rsid w:val="00B64184"/>
    <w:rsid w:val="00B6421E"/>
    <w:rsid w:val="00B64319"/>
    <w:rsid w:val="00B6435E"/>
    <w:rsid w:val="00B64377"/>
    <w:rsid w:val="00B64E14"/>
    <w:rsid w:val="00B64E24"/>
    <w:rsid w:val="00B6509B"/>
    <w:rsid w:val="00B6526C"/>
    <w:rsid w:val="00B6533A"/>
    <w:rsid w:val="00B653ED"/>
    <w:rsid w:val="00B653F9"/>
    <w:rsid w:val="00B654A9"/>
    <w:rsid w:val="00B654D6"/>
    <w:rsid w:val="00B65542"/>
    <w:rsid w:val="00B6554B"/>
    <w:rsid w:val="00B655A6"/>
    <w:rsid w:val="00B657C7"/>
    <w:rsid w:val="00B658EF"/>
    <w:rsid w:val="00B65A42"/>
    <w:rsid w:val="00B65B4D"/>
    <w:rsid w:val="00B65BA1"/>
    <w:rsid w:val="00B6613A"/>
    <w:rsid w:val="00B6634E"/>
    <w:rsid w:val="00B6639D"/>
    <w:rsid w:val="00B663C5"/>
    <w:rsid w:val="00B663F8"/>
    <w:rsid w:val="00B664DE"/>
    <w:rsid w:val="00B66C6F"/>
    <w:rsid w:val="00B66CAE"/>
    <w:rsid w:val="00B66CB0"/>
    <w:rsid w:val="00B6701D"/>
    <w:rsid w:val="00B670D0"/>
    <w:rsid w:val="00B672BA"/>
    <w:rsid w:val="00B67452"/>
    <w:rsid w:val="00B674DC"/>
    <w:rsid w:val="00B674FA"/>
    <w:rsid w:val="00B67AA3"/>
    <w:rsid w:val="00B67AE3"/>
    <w:rsid w:val="00B67C2A"/>
    <w:rsid w:val="00B67FA5"/>
    <w:rsid w:val="00B67FB5"/>
    <w:rsid w:val="00B701A8"/>
    <w:rsid w:val="00B701FD"/>
    <w:rsid w:val="00B70221"/>
    <w:rsid w:val="00B70558"/>
    <w:rsid w:val="00B70575"/>
    <w:rsid w:val="00B70AD2"/>
    <w:rsid w:val="00B70BB4"/>
    <w:rsid w:val="00B7101C"/>
    <w:rsid w:val="00B7107D"/>
    <w:rsid w:val="00B71227"/>
    <w:rsid w:val="00B71731"/>
    <w:rsid w:val="00B71A4D"/>
    <w:rsid w:val="00B71AFD"/>
    <w:rsid w:val="00B71B56"/>
    <w:rsid w:val="00B71BAA"/>
    <w:rsid w:val="00B71D45"/>
    <w:rsid w:val="00B71F8A"/>
    <w:rsid w:val="00B71FF7"/>
    <w:rsid w:val="00B721AC"/>
    <w:rsid w:val="00B721DE"/>
    <w:rsid w:val="00B721F4"/>
    <w:rsid w:val="00B722FA"/>
    <w:rsid w:val="00B7239F"/>
    <w:rsid w:val="00B726CA"/>
    <w:rsid w:val="00B726DA"/>
    <w:rsid w:val="00B72765"/>
    <w:rsid w:val="00B72A8E"/>
    <w:rsid w:val="00B72B6A"/>
    <w:rsid w:val="00B73115"/>
    <w:rsid w:val="00B731E7"/>
    <w:rsid w:val="00B737E7"/>
    <w:rsid w:val="00B73980"/>
    <w:rsid w:val="00B73B90"/>
    <w:rsid w:val="00B73D38"/>
    <w:rsid w:val="00B73E30"/>
    <w:rsid w:val="00B73E53"/>
    <w:rsid w:val="00B741C2"/>
    <w:rsid w:val="00B7431F"/>
    <w:rsid w:val="00B74500"/>
    <w:rsid w:val="00B747A0"/>
    <w:rsid w:val="00B748E7"/>
    <w:rsid w:val="00B74DB5"/>
    <w:rsid w:val="00B74F19"/>
    <w:rsid w:val="00B74F59"/>
    <w:rsid w:val="00B75186"/>
    <w:rsid w:val="00B752B0"/>
    <w:rsid w:val="00B7538F"/>
    <w:rsid w:val="00B75580"/>
    <w:rsid w:val="00B75604"/>
    <w:rsid w:val="00B756CF"/>
    <w:rsid w:val="00B756FA"/>
    <w:rsid w:val="00B7578B"/>
    <w:rsid w:val="00B7581F"/>
    <w:rsid w:val="00B7590C"/>
    <w:rsid w:val="00B7592E"/>
    <w:rsid w:val="00B759FE"/>
    <w:rsid w:val="00B75B68"/>
    <w:rsid w:val="00B75B6F"/>
    <w:rsid w:val="00B75B7C"/>
    <w:rsid w:val="00B75BA8"/>
    <w:rsid w:val="00B75E19"/>
    <w:rsid w:val="00B7601A"/>
    <w:rsid w:val="00B76060"/>
    <w:rsid w:val="00B76089"/>
    <w:rsid w:val="00B760AF"/>
    <w:rsid w:val="00B76409"/>
    <w:rsid w:val="00B766B7"/>
    <w:rsid w:val="00B766B9"/>
    <w:rsid w:val="00B767AE"/>
    <w:rsid w:val="00B769D5"/>
    <w:rsid w:val="00B76D8A"/>
    <w:rsid w:val="00B7748D"/>
    <w:rsid w:val="00B7749A"/>
    <w:rsid w:val="00B7761E"/>
    <w:rsid w:val="00B776E1"/>
    <w:rsid w:val="00B7789B"/>
    <w:rsid w:val="00B77B7A"/>
    <w:rsid w:val="00B77C33"/>
    <w:rsid w:val="00B77C37"/>
    <w:rsid w:val="00B77C78"/>
    <w:rsid w:val="00B77F8A"/>
    <w:rsid w:val="00B8000E"/>
    <w:rsid w:val="00B80094"/>
    <w:rsid w:val="00B800EA"/>
    <w:rsid w:val="00B800F7"/>
    <w:rsid w:val="00B8019F"/>
    <w:rsid w:val="00B80214"/>
    <w:rsid w:val="00B802ED"/>
    <w:rsid w:val="00B80435"/>
    <w:rsid w:val="00B80601"/>
    <w:rsid w:val="00B80622"/>
    <w:rsid w:val="00B806B0"/>
    <w:rsid w:val="00B806D2"/>
    <w:rsid w:val="00B807C9"/>
    <w:rsid w:val="00B80955"/>
    <w:rsid w:val="00B80B6A"/>
    <w:rsid w:val="00B80E37"/>
    <w:rsid w:val="00B81140"/>
    <w:rsid w:val="00B8170B"/>
    <w:rsid w:val="00B818FE"/>
    <w:rsid w:val="00B81BB2"/>
    <w:rsid w:val="00B81C1E"/>
    <w:rsid w:val="00B81CD7"/>
    <w:rsid w:val="00B81DDF"/>
    <w:rsid w:val="00B81ECF"/>
    <w:rsid w:val="00B81ED3"/>
    <w:rsid w:val="00B82240"/>
    <w:rsid w:val="00B82694"/>
    <w:rsid w:val="00B82971"/>
    <w:rsid w:val="00B82A42"/>
    <w:rsid w:val="00B82AF7"/>
    <w:rsid w:val="00B82AFD"/>
    <w:rsid w:val="00B82AFE"/>
    <w:rsid w:val="00B82C22"/>
    <w:rsid w:val="00B82CBF"/>
    <w:rsid w:val="00B82F7B"/>
    <w:rsid w:val="00B8302D"/>
    <w:rsid w:val="00B83069"/>
    <w:rsid w:val="00B83189"/>
    <w:rsid w:val="00B832D9"/>
    <w:rsid w:val="00B835FC"/>
    <w:rsid w:val="00B837A6"/>
    <w:rsid w:val="00B8384D"/>
    <w:rsid w:val="00B8385A"/>
    <w:rsid w:val="00B838CA"/>
    <w:rsid w:val="00B8396B"/>
    <w:rsid w:val="00B83990"/>
    <w:rsid w:val="00B83A29"/>
    <w:rsid w:val="00B83C49"/>
    <w:rsid w:val="00B83DFC"/>
    <w:rsid w:val="00B841B3"/>
    <w:rsid w:val="00B8461D"/>
    <w:rsid w:val="00B84637"/>
    <w:rsid w:val="00B84B70"/>
    <w:rsid w:val="00B84B8D"/>
    <w:rsid w:val="00B851F2"/>
    <w:rsid w:val="00B8524C"/>
    <w:rsid w:val="00B853AA"/>
    <w:rsid w:val="00B853BB"/>
    <w:rsid w:val="00B855F9"/>
    <w:rsid w:val="00B8564C"/>
    <w:rsid w:val="00B856B6"/>
    <w:rsid w:val="00B85713"/>
    <w:rsid w:val="00B858E0"/>
    <w:rsid w:val="00B85969"/>
    <w:rsid w:val="00B859AD"/>
    <w:rsid w:val="00B85A03"/>
    <w:rsid w:val="00B85B6D"/>
    <w:rsid w:val="00B85E39"/>
    <w:rsid w:val="00B85E7F"/>
    <w:rsid w:val="00B85EB4"/>
    <w:rsid w:val="00B85FBA"/>
    <w:rsid w:val="00B8604D"/>
    <w:rsid w:val="00B86130"/>
    <w:rsid w:val="00B861D3"/>
    <w:rsid w:val="00B86316"/>
    <w:rsid w:val="00B863CF"/>
    <w:rsid w:val="00B864C8"/>
    <w:rsid w:val="00B86581"/>
    <w:rsid w:val="00B865EE"/>
    <w:rsid w:val="00B8664E"/>
    <w:rsid w:val="00B867EC"/>
    <w:rsid w:val="00B868F9"/>
    <w:rsid w:val="00B8697A"/>
    <w:rsid w:val="00B86BA9"/>
    <w:rsid w:val="00B86CF1"/>
    <w:rsid w:val="00B86E9A"/>
    <w:rsid w:val="00B86F2B"/>
    <w:rsid w:val="00B87203"/>
    <w:rsid w:val="00B87261"/>
    <w:rsid w:val="00B8731F"/>
    <w:rsid w:val="00B87357"/>
    <w:rsid w:val="00B873D5"/>
    <w:rsid w:val="00B873FD"/>
    <w:rsid w:val="00B875B3"/>
    <w:rsid w:val="00B8782A"/>
    <w:rsid w:val="00B87849"/>
    <w:rsid w:val="00B878E4"/>
    <w:rsid w:val="00B87A8E"/>
    <w:rsid w:val="00B87C4B"/>
    <w:rsid w:val="00B87C61"/>
    <w:rsid w:val="00B904B2"/>
    <w:rsid w:val="00B906FB"/>
    <w:rsid w:val="00B90722"/>
    <w:rsid w:val="00B9074B"/>
    <w:rsid w:val="00B90775"/>
    <w:rsid w:val="00B90B7D"/>
    <w:rsid w:val="00B90CAC"/>
    <w:rsid w:val="00B90E2D"/>
    <w:rsid w:val="00B91125"/>
    <w:rsid w:val="00B91226"/>
    <w:rsid w:val="00B91332"/>
    <w:rsid w:val="00B914EF"/>
    <w:rsid w:val="00B91881"/>
    <w:rsid w:val="00B9188E"/>
    <w:rsid w:val="00B91AE1"/>
    <w:rsid w:val="00B91BA6"/>
    <w:rsid w:val="00B91BC4"/>
    <w:rsid w:val="00B91BC5"/>
    <w:rsid w:val="00B91C51"/>
    <w:rsid w:val="00B91E7F"/>
    <w:rsid w:val="00B91F7C"/>
    <w:rsid w:val="00B9204F"/>
    <w:rsid w:val="00B92227"/>
    <w:rsid w:val="00B92367"/>
    <w:rsid w:val="00B9246E"/>
    <w:rsid w:val="00B924A8"/>
    <w:rsid w:val="00B924F6"/>
    <w:rsid w:val="00B92705"/>
    <w:rsid w:val="00B928DA"/>
    <w:rsid w:val="00B928FE"/>
    <w:rsid w:val="00B92AE7"/>
    <w:rsid w:val="00B92CB6"/>
    <w:rsid w:val="00B92D09"/>
    <w:rsid w:val="00B92D68"/>
    <w:rsid w:val="00B92E06"/>
    <w:rsid w:val="00B92EFC"/>
    <w:rsid w:val="00B92F30"/>
    <w:rsid w:val="00B93015"/>
    <w:rsid w:val="00B93399"/>
    <w:rsid w:val="00B935CF"/>
    <w:rsid w:val="00B93BC7"/>
    <w:rsid w:val="00B93C33"/>
    <w:rsid w:val="00B93E0E"/>
    <w:rsid w:val="00B93F61"/>
    <w:rsid w:val="00B93FB0"/>
    <w:rsid w:val="00B94554"/>
    <w:rsid w:val="00B94633"/>
    <w:rsid w:val="00B947DB"/>
    <w:rsid w:val="00B947F6"/>
    <w:rsid w:val="00B94815"/>
    <w:rsid w:val="00B94A61"/>
    <w:rsid w:val="00B94B33"/>
    <w:rsid w:val="00B94CD8"/>
    <w:rsid w:val="00B94EC1"/>
    <w:rsid w:val="00B94F1C"/>
    <w:rsid w:val="00B95045"/>
    <w:rsid w:val="00B95208"/>
    <w:rsid w:val="00B954CA"/>
    <w:rsid w:val="00B95602"/>
    <w:rsid w:val="00B958D7"/>
    <w:rsid w:val="00B95B0A"/>
    <w:rsid w:val="00B95BCA"/>
    <w:rsid w:val="00B95D23"/>
    <w:rsid w:val="00B9646E"/>
    <w:rsid w:val="00B96828"/>
    <w:rsid w:val="00B96A8D"/>
    <w:rsid w:val="00B96DB9"/>
    <w:rsid w:val="00B96E23"/>
    <w:rsid w:val="00B96FA6"/>
    <w:rsid w:val="00B9719B"/>
    <w:rsid w:val="00B973D0"/>
    <w:rsid w:val="00B975D3"/>
    <w:rsid w:val="00B976F0"/>
    <w:rsid w:val="00B9790B"/>
    <w:rsid w:val="00B97A25"/>
    <w:rsid w:val="00B97A31"/>
    <w:rsid w:val="00B97B3D"/>
    <w:rsid w:val="00B97E85"/>
    <w:rsid w:val="00BA01EB"/>
    <w:rsid w:val="00BA03AF"/>
    <w:rsid w:val="00BA0553"/>
    <w:rsid w:val="00BA056E"/>
    <w:rsid w:val="00BA068F"/>
    <w:rsid w:val="00BA06A2"/>
    <w:rsid w:val="00BA06C5"/>
    <w:rsid w:val="00BA07A1"/>
    <w:rsid w:val="00BA0AD4"/>
    <w:rsid w:val="00BA0BB9"/>
    <w:rsid w:val="00BA0C1B"/>
    <w:rsid w:val="00BA0CE9"/>
    <w:rsid w:val="00BA0D21"/>
    <w:rsid w:val="00BA0DF2"/>
    <w:rsid w:val="00BA0DF7"/>
    <w:rsid w:val="00BA0E8B"/>
    <w:rsid w:val="00BA0EE3"/>
    <w:rsid w:val="00BA14D6"/>
    <w:rsid w:val="00BA16B6"/>
    <w:rsid w:val="00BA1877"/>
    <w:rsid w:val="00BA1977"/>
    <w:rsid w:val="00BA1A0E"/>
    <w:rsid w:val="00BA1BE9"/>
    <w:rsid w:val="00BA1C0E"/>
    <w:rsid w:val="00BA1CCA"/>
    <w:rsid w:val="00BA20E2"/>
    <w:rsid w:val="00BA214C"/>
    <w:rsid w:val="00BA236C"/>
    <w:rsid w:val="00BA244A"/>
    <w:rsid w:val="00BA2656"/>
    <w:rsid w:val="00BA265D"/>
    <w:rsid w:val="00BA2920"/>
    <w:rsid w:val="00BA2AB6"/>
    <w:rsid w:val="00BA2C18"/>
    <w:rsid w:val="00BA2EED"/>
    <w:rsid w:val="00BA2F55"/>
    <w:rsid w:val="00BA308B"/>
    <w:rsid w:val="00BA30CE"/>
    <w:rsid w:val="00BA30DE"/>
    <w:rsid w:val="00BA3164"/>
    <w:rsid w:val="00BA3184"/>
    <w:rsid w:val="00BA3213"/>
    <w:rsid w:val="00BA336E"/>
    <w:rsid w:val="00BA35A1"/>
    <w:rsid w:val="00BA35C2"/>
    <w:rsid w:val="00BA3879"/>
    <w:rsid w:val="00BA3902"/>
    <w:rsid w:val="00BA3971"/>
    <w:rsid w:val="00BA3ADA"/>
    <w:rsid w:val="00BA3BE2"/>
    <w:rsid w:val="00BA3CC1"/>
    <w:rsid w:val="00BA3E28"/>
    <w:rsid w:val="00BA3FCA"/>
    <w:rsid w:val="00BA405B"/>
    <w:rsid w:val="00BA4060"/>
    <w:rsid w:val="00BA41AC"/>
    <w:rsid w:val="00BA4650"/>
    <w:rsid w:val="00BA4959"/>
    <w:rsid w:val="00BA4C65"/>
    <w:rsid w:val="00BA4F00"/>
    <w:rsid w:val="00BA4FD8"/>
    <w:rsid w:val="00BA5020"/>
    <w:rsid w:val="00BA5036"/>
    <w:rsid w:val="00BA5312"/>
    <w:rsid w:val="00BA570F"/>
    <w:rsid w:val="00BA58C6"/>
    <w:rsid w:val="00BA5B8A"/>
    <w:rsid w:val="00BA5BED"/>
    <w:rsid w:val="00BA5C45"/>
    <w:rsid w:val="00BA5E17"/>
    <w:rsid w:val="00BA5F2C"/>
    <w:rsid w:val="00BA607C"/>
    <w:rsid w:val="00BA64D5"/>
    <w:rsid w:val="00BA6587"/>
    <w:rsid w:val="00BA6621"/>
    <w:rsid w:val="00BA6689"/>
    <w:rsid w:val="00BA6826"/>
    <w:rsid w:val="00BA69BE"/>
    <w:rsid w:val="00BA6CAC"/>
    <w:rsid w:val="00BA6E0E"/>
    <w:rsid w:val="00BA6EF2"/>
    <w:rsid w:val="00BA70B8"/>
    <w:rsid w:val="00BA7227"/>
    <w:rsid w:val="00BA7273"/>
    <w:rsid w:val="00BA74CE"/>
    <w:rsid w:val="00BA7525"/>
    <w:rsid w:val="00BA762B"/>
    <w:rsid w:val="00BA769F"/>
    <w:rsid w:val="00BA76E6"/>
    <w:rsid w:val="00BA781C"/>
    <w:rsid w:val="00BA7946"/>
    <w:rsid w:val="00BA7F99"/>
    <w:rsid w:val="00BB049A"/>
    <w:rsid w:val="00BB05AA"/>
    <w:rsid w:val="00BB05B1"/>
    <w:rsid w:val="00BB07B6"/>
    <w:rsid w:val="00BB0802"/>
    <w:rsid w:val="00BB086D"/>
    <w:rsid w:val="00BB09BA"/>
    <w:rsid w:val="00BB0A61"/>
    <w:rsid w:val="00BB0BCD"/>
    <w:rsid w:val="00BB0BDF"/>
    <w:rsid w:val="00BB0DC7"/>
    <w:rsid w:val="00BB0E20"/>
    <w:rsid w:val="00BB0FB4"/>
    <w:rsid w:val="00BB1148"/>
    <w:rsid w:val="00BB1348"/>
    <w:rsid w:val="00BB137D"/>
    <w:rsid w:val="00BB182C"/>
    <w:rsid w:val="00BB1A84"/>
    <w:rsid w:val="00BB1AB9"/>
    <w:rsid w:val="00BB1AF4"/>
    <w:rsid w:val="00BB1C8F"/>
    <w:rsid w:val="00BB1FFC"/>
    <w:rsid w:val="00BB2072"/>
    <w:rsid w:val="00BB2456"/>
    <w:rsid w:val="00BB2644"/>
    <w:rsid w:val="00BB291C"/>
    <w:rsid w:val="00BB2D4A"/>
    <w:rsid w:val="00BB2F04"/>
    <w:rsid w:val="00BB3047"/>
    <w:rsid w:val="00BB33B4"/>
    <w:rsid w:val="00BB34B3"/>
    <w:rsid w:val="00BB35E3"/>
    <w:rsid w:val="00BB35E4"/>
    <w:rsid w:val="00BB36D5"/>
    <w:rsid w:val="00BB36F2"/>
    <w:rsid w:val="00BB3794"/>
    <w:rsid w:val="00BB3AAE"/>
    <w:rsid w:val="00BB3CA8"/>
    <w:rsid w:val="00BB3D0B"/>
    <w:rsid w:val="00BB3E07"/>
    <w:rsid w:val="00BB3EE3"/>
    <w:rsid w:val="00BB4309"/>
    <w:rsid w:val="00BB44AB"/>
    <w:rsid w:val="00BB4729"/>
    <w:rsid w:val="00BB48BE"/>
    <w:rsid w:val="00BB48CE"/>
    <w:rsid w:val="00BB494D"/>
    <w:rsid w:val="00BB4A41"/>
    <w:rsid w:val="00BB4A6C"/>
    <w:rsid w:val="00BB4BCE"/>
    <w:rsid w:val="00BB4D13"/>
    <w:rsid w:val="00BB4D25"/>
    <w:rsid w:val="00BB4F95"/>
    <w:rsid w:val="00BB5216"/>
    <w:rsid w:val="00BB528B"/>
    <w:rsid w:val="00BB530E"/>
    <w:rsid w:val="00BB54DB"/>
    <w:rsid w:val="00BB5AEC"/>
    <w:rsid w:val="00BB5BF9"/>
    <w:rsid w:val="00BB604E"/>
    <w:rsid w:val="00BB614D"/>
    <w:rsid w:val="00BB6166"/>
    <w:rsid w:val="00BB61CD"/>
    <w:rsid w:val="00BB6280"/>
    <w:rsid w:val="00BB633D"/>
    <w:rsid w:val="00BB63CF"/>
    <w:rsid w:val="00BB6430"/>
    <w:rsid w:val="00BB6745"/>
    <w:rsid w:val="00BB677B"/>
    <w:rsid w:val="00BB677E"/>
    <w:rsid w:val="00BB6872"/>
    <w:rsid w:val="00BB6C5B"/>
    <w:rsid w:val="00BB6EDD"/>
    <w:rsid w:val="00BB723D"/>
    <w:rsid w:val="00BB7321"/>
    <w:rsid w:val="00BB73B4"/>
    <w:rsid w:val="00BB7581"/>
    <w:rsid w:val="00BB75BE"/>
    <w:rsid w:val="00BB76B6"/>
    <w:rsid w:val="00BB7995"/>
    <w:rsid w:val="00BB79C0"/>
    <w:rsid w:val="00BB7B53"/>
    <w:rsid w:val="00BB7BCA"/>
    <w:rsid w:val="00BB7C9D"/>
    <w:rsid w:val="00BC0026"/>
    <w:rsid w:val="00BC00BE"/>
    <w:rsid w:val="00BC01C3"/>
    <w:rsid w:val="00BC0203"/>
    <w:rsid w:val="00BC0307"/>
    <w:rsid w:val="00BC0472"/>
    <w:rsid w:val="00BC047B"/>
    <w:rsid w:val="00BC04D4"/>
    <w:rsid w:val="00BC0A3B"/>
    <w:rsid w:val="00BC0A73"/>
    <w:rsid w:val="00BC0DD3"/>
    <w:rsid w:val="00BC0E98"/>
    <w:rsid w:val="00BC0FAF"/>
    <w:rsid w:val="00BC1163"/>
    <w:rsid w:val="00BC1414"/>
    <w:rsid w:val="00BC14CF"/>
    <w:rsid w:val="00BC1517"/>
    <w:rsid w:val="00BC1751"/>
    <w:rsid w:val="00BC194E"/>
    <w:rsid w:val="00BC19AE"/>
    <w:rsid w:val="00BC1A24"/>
    <w:rsid w:val="00BC1BDB"/>
    <w:rsid w:val="00BC1DE8"/>
    <w:rsid w:val="00BC1DEF"/>
    <w:rsid w:val="00BC21D2"/>
    <w:rsid w:val="00BC226C"/>
    <w:rsid w:val="00BC2364"/>
    <w:rsid w:val="00BC2452"/>
    <w:rsid w:val="00BC2679"/>
    <w:rsid w:val="00BC2C35"/>
    <w:rsid w:val="00BC2DC9"/>
    <w:rsid w:val="00BC312D"/>
    <w:rsid w:val="00BC34DB"/>
    <w:rsid w:val="00BC3D4B"/>
    <w:rsid w:val="00BC42C3"/>
    <w:rsid w:val="00BC4360"/>
    <w:rsid w:val="00BC441C"/>
    <w:rsid w:val="00BC4453"/>
    <w:rsid w:val="00BC448A"/>
    <w:rsid w:val="00BC469D"/>
    <w:rsid w:val="00BC4732"/>
    <w:rsid w:val="00BC4975"/>
    <w:rsid w:val="00BC4996"/>
    <w:rsid w:val="00BC4A6F"/>
    <w:rsid w:val="00BC4C32"/>
    <w:rsid w:val="00BC4CF2"/>
    <w:rsid w:val="00BC502D"/>
    <w:rsid w:val="00BC506F"/>
    <w:rsid w:val="00BC5162"/>
    <w:rsid w:val="00BC52D2"/>
    <w:rsid w:val="00BC53A4"/>
    <w:rsid w:val="00BC54E4"/>
    <w:rsid w:val="00BC5937"/>
    <w:rsid w:val="00BC59D6"/>
    <w:rsid w:val="00BC5C9C"/>
    <w:rsid w:val="00BC5D6E"/>
    <w:rsid w:val="00BC5E20"/>
    <w:rsid w:val="00BC5E40"/>
    <w:rsid w:val="00BC6063"/>
    <w:rsid w:val="00BC60ED"/>
    <w:rsid w:val="00BC627E"/>
    <w:rsid w:val="00BC6296"/>
    <w:rsid w:val="00BC6780"/>
    <w:rsid w:val="00BC6986"/>
    <w:rsid w:val="00BC6AE0"/>
    <w:rsid w:val="00BC6C11"/>
    <w:rsid w:val="00BC6F1E"/>
    <w:rsid w:val="00BC6FDD"/>
    <w:rsid w:val="00BC701E"/>
    <w:rsid w:val="00BC7114"/>
    <w:rsid w:val="00BC72CB"/>
    <w:rsid w:val="00BC73FF"/>
    <w:rsid w:val="00BC776F"/>
    <w:rsid w:val="00BC7775"/>
    <w:rsid w:val="00BC77B8"/>
    <w:rsid w:val="00BC7930"/>
    <w:rsid w:val="00BC79E2"/>
    <w:rsid w:val="00BC7AA4"/>
    <w:rsid w:val="00BC7B82"/>
    <w:rsid w:val="00BC7BD5"/>
    <w:rsid w:val="00BC7E91"/>
    <w:rsid w:val="00BC7EBE"/>
    <w:rsid w:val="00BD0098"/>
    <w:rsid w:val="00BD02D9"/>
    <w:rsid w:val="00BD038A"/>
    <w:rsid w:val="00BD0866"/>
    <w:rsid w:val="00BD0ACA"/>
    <w:rsid w:val="00BD0B8D"/>
    <w:rsid w:val="00BD0CDA"/>
    <w:rsid w:val="00BD0D87"/>
    <w:rsid w:val="00BD0DB4"/>
    <w:rsid w:val="00BD0EAA"/>
    <w:rsid w:val="00BD0F2F"/>
    <w:rsid w:val="00BD0FBE"/>
    <w:rsid w:val="00BD1022"/>
    <w:rsid w:val="00BD1099"/>
    <w:rsid w:val="00BD10CB"/>
    <w:rsid w:val="00BD12B1"/>
    <w:rsid w:val="00BD13C6"/>
    <w:rsid w:val="00BD1406"/>
    <w:rsid w:val="00BD1459"/>
    <w:rsid w:val="00BD146C"/>
    <w:rsid w:val="00BD156A"/>
    <w:rsid w:val="00BD15B3"/>
    <w:rsid w:val="00BD19AB"/>
    <w:rsid w:val="00BD1EBB"/>
    <w:rsid w:val="00BD1F68"/>
    <w:rsid w:val="00BD2137"/>
    <w:rsid w:val="00BD2233"/>
    <w:rsid w:val="00BD2523"/>
    <w:rsid w:val="00BD2646"/>
    <w:rsid w:val="00BD2909"/>
    <w:rsid w:val="00BD290C"/>
    <w:rsid w:val="00BD29B3"/>
    <w:rsid w:val="00BD2CE6"/>
    <w:rsid w:val="00BD2E92"/>
    <w:rsid w:val="00BD2F7D"/>
    <w:rsid w:val="00BD319C"/>
    <w:rsid w:val="00BD338E"/>
    <w:rsid w:val="00BD3393"/>
    <w:rsid w:val="00BD371D"/>
    <w:rsid w:val="00BD3732"/>
    <w:rsid w:val="00BD39EA"/>
    <w:rsid w:val="00BD39FD"/>
    <w:rsid w:val="00BD3A24"/>
    <w:rsid w:val="00BD3B3E"/>
    <w:rsid w:val="00BD3BD5"/>
    <w:rsid w:val="00BD3CA2"/>
    <w:rsid w:val="00BD3D7C"/>
    <w:rsid w:val="00BD3D9F"/>
    <w:rsid w:val="00BD3EF1"/>
    <w:rsid w:val="00BD40BF"/>
    <w:rsid w:val="00BD4111"/>
    <w:rsid w:val="00BD411E"/>
    <w:rsid w:val="00BD41F5"/>
    <w:rsid w:val="00BD4322"/>
    <w:rsid w:val="00BD44F1"/>
    <w:rsid w:val="00BD4523"/>
    <w:rsid w:val="00BD4653"/>
    <w:rsid w:val="00BD4723"/>
    <w:rsid w:val="00BD47DB"/>
    <w:rsid w:val="00BD4808"/>
    <w:rsid w:val="00BD4985"/>
    <w:rsid w:val="00BD499A"/>
    <w:rsid w:val="00BD4B43"/>
    <w:rsid w:val="00BD4CBC"/>
    <w:rsid w:val="00BD4D99"/>
    <w:rsid w:val="00BD4DB3"/>
    <w:rsid w:val="00BD4DEE"/>
    <w:rsid w:val="00BD4E19"/>
    <w:rsid w:val="00BD4FE8"/>
    <w:rsid w:val="00BD533B"/>
    <w:rsid w:val="00BD5798"/>
    <w:rsid w:val="00BD5855"/>
    <w:rsid w:val="00BD59AD"/>
    <w:rsid w:val="00BD59DC"/>
    <w:rsid w:val="00BD5FCF"/>
    <w:rsid w:val="00BD616D"/>
    <w:rsid w:val="00BD63A1"/>
    <w:rsid w:val="00BD63B6"/>
    <w:rsid w:val="00BD64CF"/>
    <w:rsid w:val="00BD66CF"/>
    <w:rsid w:val="00BD6733"/>
    <w:rsid w:val="00BD680F"/>
    <w:rsid w:val="00BD6829"/>
    <w:rsid w:val="00BD6925"/>
    <w:rsid w:val="00BD698D"/>
    <w:rsid w:val="00BD6AFA"/>
    <w:rsid w:val="00BD6C80"/>
    <w:rsid w:val="00BD6D1A"/>
    <w:rsid w:val="00BD6D71"/>
    <w:rsid w:val="00BD7718"/>
    <w:rsid w:val="00BD79CD"/>
    <w:rsid w:val="00BD79F5"/>
    <w:rsid w:val="00BD7AB0"/>
    <w:rsid w:val="00BD7DB2"/>
    <w:rsid w:val="00BD7F1C"/>
    <w:rsid w:val="00BD7F97"/>
    <w:rsid w:val="00BD7FC2"/>
    <w:rsid w:val="00BE0122"/>
    <w:rsid w:val="00BE0163"/>
    <w:rsid w:val="00BE01F5"/>
    <w:rsid w:val="00BE04A1"/>
    <w:rsid w:val="00BE0656"/>
    <w:rsid w:val="00BE0735"/>
    <w:rsid w:val="00BE08D5"/>
    <w:rsid w:val="00BE091B"/>
    <w:rsid w:val="00BE0942"/>
    <w:rsid w:val="00BE096E"/>
    <w:rsid w:val="00BE0BE0"/>
    <w:rsid w:val="00BE0C47"/>
    <w:rsid w:val="00BE0D1A"/>
    <w:rsid w:val="00BE0F4C"/>
    <w:rsid w:val="00BE101F"/>
    <w:rsid w:val="00BE1325"/>
    <w:rsid w:val="00BE1457"/>
    <w:rsid w:val="00BE15A6"/>
    <w:rsid w:val="00BE15C2"/>
    <w:rsid w:val="00BE1AE6"/>
    <w:rsid w:val="00BE1C7D"/>
    <w:rsid w:val="00BE1D45"/>
    <w:rsid w:val="00BE1FC7"/>
    <w:rsid w:val="00BE211C"/>
    <w:rsid w:val="00BE21F3"/>
    <w:rsid w:val="00BE2238"/>
    <w:rsid w:val="00BE280C"/>
    <w:rsid w:val="00BE2D03"/>
    <w:rsid w:val="00BE2F02"/>
    <w:rsid w:val="00BE2F08"/>
    <w:rsid w:val="00BE2FF7"/>
    <w:rsid w:val="00BE3113"/>
    <w:rsid w:val="00BE3268"/>
    <w:rsid w:val="00BE3555"/>
    <w:rsid w:val="00BE3650"/>
    <w:rsid w:val="00BE3922"/>
    <w:rsid w:val="00BE3AC3"/>
    <w:rsid w:val="00BE3C16"/>
    <w:rsid w:val="00BE3DD6"/>
    <w:rsid w:val="00BE3E00"/>
    <w:rsid w:val="00BE3FC2"/>
    <w:rsid w:val="00BE40F7"/>
    <w:rsid w:val="00BE41F8"/>
    <w:rsid w:val="00BE4399"/>
    <w:rsid w:val="00BE4669"/>
    <w:rsid w:val="00BE475B"/>
    <w:rsid w:val="00BE47E2"/>
    <w:rsid w:val="00BE4844"/>
    <w:rsid w:val="00BE48ED"/>
    <w:rsid w:val="00BE4936"/>
    <w:rsid w:val="00BE4BD7"/>
    <w:rsid w:val="00BE4C74"/>
    <w:rsid w:val="00BE4DFC"/>
    <w:rsid w:val="00BE4E54"/>
    <w:rsid w:val="00BE4E7C"/>
    <w:rsid w:val="00BE55E3"/>
    <w:rsid w:val="00BE5B90"/>
    <w:rsid w:val="00BE5D3E"/>
    <w:rsid w:val="00BE6007"/>
    <w:rsid w:val="00BE615C"/>
    <w:rsid w:val="00BE6314"/>
    <w:rsid w:val="00BE6354"/>
    <w:rsid w:val="00BE6391"/>
    <w:rsid w:val="00BE645F"/>
    <w:rsid w:val="00BE6595"/>
    <w:rsid w:val="00BE6637"/>
    <w:rsid w:val="00BE6839"/>
    <w:rsid w:val="00BE686E"/>
    <w:rsid w:val="00BE68CF"/>
    <w:rsid w:val="00BE69A3"/>
    <w:rsid w:val="00BE69DD"/>
    <w:rsid w:val="00BE6A4B"/>
    <w:rsid w:val="00BE6C04"/>
    <w:rsid w:val="00BE6C8A"/>
    <w:rsid w:val="00BE6CC0"/>
    <w:rsid w:val="00BE6CEF"/>
    <w:rsid w:val="00BE6D16"/>
    <w:rsid w:val="00BE702C"/>
    <w:rsid w:val="00BE7097"/>
    <w:rsid w:val="00BE723C"/>
    <w:rsid w:val="00BE73B6"/>
    <w:rsid w:val="00BE74C5"/>
    <w:rsid w:val="00BE7603"/>
    <w:rsid w:val="00BE76BA"/>
    <w:rsid w:val="00BE77A7"/>
    <w:rsid w:val="00BE78C5"/>
    <w:rsid w:val="00BE7912"/>
    <w:rsid w:val="00BE7AFB"/>
    <w:rsid w:val="00BE7D09"/>
    <w:rsid w:val="00BE7D9A"/>
    <w:rsid w:val="00BE7DDB"/>
    <w:rsid w:val="00BE7EF1"/>
    <w:rsid w:val="00BE7F45"/>
    <w:rsid w:val="00BF0054"/>
    <w:rsid w:val="00BF0211"/>
    <w:rsid w:val="00BF0353"/>
    <w:rsid w:val="00BF0422"/>
    <w:rsid w:val="00BF07E6"/>
    <w:rsid w:val="00BF0817"/>
    <w:rsid w:val="00BF0B78"/>
    <w:rsid w:val="00BF0BC6"/>
    <w:rsid w:val="00BF0E2B"/>
    <w:rsid w:val="00BF0F65"/>
    <w:rsid w:val="00BF0FE6"/>
    <w:rsid w:val="00BF1087"/>
    <w:rsid w:val="00BF1251"/>
    <w:rsid w:val="00BF162C"/>
    <w:rsid w:val="00BF19A9"/>
    <w:rsid w:val="00BF1B4A"/>
    <w:rsid w:val="00BF1C11"/>
    <w:rsid w:val="00BF1C9F"/>
    <w:rsid w:val="00BF1F41"/>
    <w:rsid w:val="00BF2246"/>
    <w:rsid w:val="00BF2B80"/>
    <w:rsid w:val="00BF2C7C"/>
    <w:rsid w:val="00BF2EE6"/>
    <w:rsid w:val="00BF304D"/>
    <w:rsid w:val="00BF30D0"/>
    <w:rsid w:val="00BF3258"/>
    <w:rsid w:val="00BF35FF"/>
    <w:rsid w:val="00BF3704"/>
    <w:rsid w:val="00BF3711"/>
    <w:rsid w:val="00BF37C0"/>
    <w:rsid w:val="00BF38BC"/>
    <w:rsid w:val="00BF3971"/>
    <w:rsid w:val="00BF3BAC"/>
    <w:rsid w:val="00BF3D93"/>
    <w:rsid w:val="00BF3FA1"/>
    <w:rsid w:val="00BF4396"/>
    <w:rsid w:val="00BF463D"/>
    <w:rsid w:val="00BF4A0A"/>
    <w:rsid w:val="00BF4E78"/>
    <w:rsid w:val="00BF508A"/>
    <w:rsid w:val="00BF50EF"/>
    <w:rsid w:val="00BF53CD"/>
    <w:rsid w:val="00BF549C"/>
    <w:rsid w:val="00BF5537"/>
    <w:rsid w:val="00BF56E2"/>
    <w:rsid w:val="00BF56E6"/>
    <w:rsid w:val="00BF5BAB"/>
    <w:rsid w:val="00BF5CBD"/>
    <w:rsid w:val="00BF5D2C"/>
    <w:rsid w:val="00BF5D32"/>
    <w:rsid w:val="00BF5DDE"/>
    <w:rsid w:val="00BF5DE8"/>
    <w:rsid w:val="00BF5EBF"/>
    <w:rsid w:val="00BF5F1C"/>
    <w:rsid w:val="00BF5F63"/>
    <w:rsid w:val="00BF5F8E"/>
    <w:rsid w:val="00BF6232"/>
    <w:rsid w:val="00BF63EC"/>
    <w:rsid w:val="00BF653F"/>
    <w:rsid w:val="00BF6A73"/>
    <w:rsid w:val="00BF6D57"/>
    <w:rsid w:val="00BF70CA"/>
    <w:rsid w:val="00BF728D"/>
    <w:rsid w:val="00BF738A"/>
    <w:rsid w:val="00BF74BB"/>
    <w:rsid w:val="00BF7691"/>
    <w:rsid w:val="00BF784E"/>
    <w:rsid w:val="00BF7864"/>
    <w:rsid w:val="00BF7A4B"/>
    <w:rsid w:val="00BF7A9A"/>
    <w:rsid w:val="00BF7B0F"/>
    <w:rsid w:val="00BF7B95"/>
    <w:rsid w:val="00BF7C87"/>
    <w:rsid w:val="00BF7CEF"/>
    <w:rsid w:val="00BF7D1C"/>
    <w:rsid w:val="00BF7D78"/>
    <w:rsid w:val="00BF7EA8"/>
    <w:rsid w:val="00C00068"/>
    <w:rsid w:val="00C0016A"/>
    <w:rsid w:val="00C0036E"/>
    <w:rsid w:val="00C004E8"/>
    <w:rsid w:val="00C0069F"/>
    <w:rsid w:val="00C00807"/>
    <w:rsid w:val="00C0097C"/>
    <w:rsid w:val="00C00BA0"/>
    <w:rsid w:val="00C00C1D"/>
    <w:rsid w:val="00C00FFB"/>
    <w:rsid w:val="00C0105C"/>
    <w:rsid w:val="00C010D5"/>
    <w:rsid w:val="00C01302"/>
    <w:rsid w:val="00C016B4"/>
    <w:rsid w:val="00C0170E"/>
    <w:rsid w:val="00C01719"/>
    <w:rsid w:val="00C01820"/>
    <w:rsid w:val="00C01BFE"/>
    <w:rsid w:val="00C01F5E"/>
    <w:rsid w:val="00C01FA5"/>
    <w:rsid w:val="00C020A1"/>
    <w:rsid w:val="00C0212C"/>
    <w:rsid w:val="00C02159"/>
    <w:rsid w:val="00C0219C"/>
    <w:rsid w:val="00C02396"/>
    <w:rsid w:val="00C023A2"/>
    <w:rsid w:val="00C02502"/>
    <w:rsid w:val="00C025B9"/>
    <w:rsid w:val="00C027AC"/>
    <w:rsid w:val="00C0286B"/>
    <w:rsid w:val="00C028AF"/>
    <w:rsid w:val="00C0296B"/>
    <w:rsid w:val="00C02C36"/>
    <w:rsid w:val="00C02CEE"/>
    <w:rsid w:val="00C03043"/>
    <w:rsid w:val="00C030FB"/>
    <w:rsid w:val="00C0349E"/>
    <w:rsid w:val="00C03654"/>
    <w:rsid w:val="00C0369D"/>
    <w:rsid w:val="00C03785"/>
    <w:rsid w:val="00C0381B"/>
    <w:rsid w:val="00C038E0"/>
    <w:rsid w:val="00C03C9E"/>
    <w:rsid w:val="00C03D58"/>
    <w:rsid w:val="00C03ED5"/>
    <w:rsid w:val="00C04021"/>
    <w:rsid w:val="00C040A4"/>
    <w:rsid w:val="00C040BD"/>
    <w:rsid w:val="00C04344"/>
    <w:rsid w:val="00C0436D"/>
    <w:rsid w:val="00C0452A"/>
    <w:rsid w:val="00C045A1"/>
    <w:rsid w:val="00C045DB"/>
    <w:rsid w:val="00C0476F"/>
    <w:rsid w:val="00C04825"/>
    <w:rsid w:val="00C04830"/>
    <w:rsid w:val="00C04983"/>
    <w:rsid w:val="00C04995"/>
    <w:rsid w:val="00C049F1"/>
    <w:rsid w:val="00C04B79"/>
    <w:rsid w:val="00C05026"/>
    <w:rsid w:val="00C050C5"/>
    <w:rsid w:val="00C052C7"/>
    <w:rsid w:val="00C054C6"/>
    <w:rsid w:val="00C056FB"/>
    <w:rsid w:val="00C05B2C"/>
    <w:rsid w:val="00C05B7C"/>
    <w:rsid w:val="00C05DF1"/>
    <w:rsid w:val="00C05EE4"/>
    <w:rsid w:val="00C05F9F"/>
    <w:rsid w:val="00C06028"/>
    <w:rsid w:val="00C0630E"/>
    <w:rsid w:val="00C064E5"/>
    <w:rsid w:val="00C06657"/>
    <w:rsid w:val="00C067F8"/>
    <w:rsid w:val="00C06AEA"/>
    <w:rsid w:val="00C06AFC"/>
    <w:rsid w:val="00C06CB5"/>
    <w:rsid w:val="00C06F49"/>
    <w:rsid w:val="00C07322"/>
    <w:rsid w:val="00C074DC"/>
    <w:rsid w:val="00C078B6"/>
    <w:rsid w:val="00C07964"/>
    <w:rsid w:val="00C07A43"/>
    <w:rsid w:val="00C07A76"/>
    <w:rsid w:val="00C07AE5"/>
    <w:rsid w:val="00C07B7B"/>
    <w:rsid w:val="00C1004C"/>
    <w:rsid w:val="00C103ED"/>
    <w:rsid w:val="00C106A8"/>
    <w:rsid w:val="00C107B6"/>
    <w:rsid w:val="00C10AEA"/>
    <w:rsid w:val="00C11024"/>
    <w:rsid w:val="00C11201"/>
    <w:rsid w:val="00C11249"/>
    <w:rsid w:val="00C11675"/>
    <w:rsid w:val="00C11818"/>
    <w:rsid w:val="00C11837"/>
    <w:rsid w:val="00C118EC"/>
    <w:rsid w:val="00C11A58"/>
    <w:rsid w:val="00C11A7C"/>
    <w:rsid w:val="00C11AB0"/>
    <w:rsid w:val="00C11AC3"/>
    <w:rsid w:val="00C11B5A"/>
    <w:rsid w:val="00C121C4"/>
    <w:rsid w:val="00C12607"/>
    <w:rsid w:val="00C12827"/>
    <w:rsid w:val="00C12E73"/>
    <w:rsid w:val="00C12F05"/>
    <w:rsid w:val="00C12FD1"/>
    <w:rsid w:val="00C1308D"/>
    <w:rsid w:val="00C13164"/>
    <w:rsid w:val="00C13307"/>
    <w:rsid w:val="00C13316"/>
    <w:rsid w:val="00C13426"/>
    <w:rsid w:val="00C134F2"/>
    <w:rsid w:val="00C135F1"/>
    <w:rsid w:val="00C136CC"/>
    <w:rsid w:val="00C13702"/>
    <w:rsid w:val="00C13829"/>
    <w:rsid w:val="00C13871"/>
    <w:rsid w:val="00C13926"/>
    <w:rsid w:val="00C139EE"/>
    <w:rsid w:val="00C13A98"/>
    <w:rsid w:val="00C13C6C"/>
    <w:rsid w:val="00C1423E"/>
    <w:rsid w:val="00C1424A"/>
    <w:rsid w:val="00C145AB"/>
    <w:rsid w:val="00C14654"/>
    <w:rsid w:val="00C14695"/>
    <w:rsid w:val="00C1481E"/>
    <w:rsid w:val="00C148C4"/>
    <w:rsid w:val="00C14998"/>
    <w:rsid w:val="00C14A39"/>
    <w:rsid w:val="00C14B7E"/>
    <w:rsid w:val="00C14E6E"/>
    <w:rsid w:val="00C14EDC"/>
    <w:rsid w:val="00C1521B"/>
    <w:rsid w:val="00C15260"/>
    <w:rsid w:val="00C15277"/>
    <w:rsid w:val="00C1554E"/>
    <w:rsid w:val="00C156FA"/>
    <w:rsid w:val="00C15832"/>
    <w:rsid w:val="00C15B15"/>
    <w:rsid w:val="00C15C21"/>
    <w:rsid w:val="00C15E8B"/>
    <w:rsid w:val="00C165FE"/>
    <w:rsid w:val="00C16670"/>
    <w:rsid w:val="00C16AFC"/>
    <w:rsid w:val="00C16BCE"/>
    <w:rsid w:val="00C16C2B"/>
    <w:rsid w:val="00C16CEA"/>
    <w:rsid w:val="00C16DD6"/>
    <w:rsid w:val="00C16E12"/>
    <w:rsid w:val="00C16F6F"/>
    <w:rsid w:val="00C17169"/>
    <w:rsid w:val="00C17249"/>
    <w:rsid w:val="00C174B0"/>
    <w:rsid w:val="00C178E3"/>
    <w:rsid w:val="00C178E4"/>
    <w:rsid w:val="00C1793F"/>
    <w:rsid w:val="00C17A63"/>
    <w:rsid w:val="00C200AA"/>
    <w:rsid w:val="00C201F9"/>
    <w:rsid w:val="00C203D9"/>
    <w:rsid w:val="00C20461"/>
    <w:rsid w:val="00C2058D"/>
    <w:rsid w:val="00C20735"/>
    <w:rsid w:val="00C20814"/>
    <w:rsid w:val="00C2089F"/>
    <w:rsid w:val="00C20B9A"/>
    <w:rsid w:val="00C20D12"/>
    <w:rsid w:val="00C21326"/>
    <w:rsid w:val="00C21427"/>
    <w:rsid w:val="00C2143C"/>
    <w:rsid w:val="00C2164A"/>
    <w:rsid w:val="00C2183C"/>
    <w:rsid w:val="00C21C88"/>
    <w:rsid w:val="00C220BA"/>
    <w:rsid w:val="00C2212E"/>
    <w:rsid w:val="00C221C5"/>
    <w:rsid w:val="00C22343"/>
    <w:rsid w:val="00C225A1"/>
    <w:rsid w:val="00C22633"/>
    <w:rsid w:val="00C228BE"/>
    <w:rsid w:val="00C22A65"/>
    <w:rsid w:val="00C22C65"/>
    <w:rsid w:val="00C22C78"/>
    <w:rsid w:val="00C22CCB"/>
    <w:rsid w:val="00C22DD6"/>
    <w:rsid w:val="00C23423"/>
    <w:rsid w:val="00C23747"/>
    <w:rsid w:val="00C2379D"/>
    <w:rsid w:val="00C237AD"/>
    <w:rsid w:val="00C23831"/>
    <w:rsid w:val="00C23921"/>
    <w:rsid w:val="00C23BDD"/>
    <w:rsid w:val="00C24032"/>
    <w:rsid w:val="00C241A5"/>
    <w:rsid w:val="00C2426B"/>
    <w:rsid w:val="00C24281"/>
    <w:rsid w:val="00C242F1"/>
    <w:rsid w:val="00C24401"/>
    <w:rsid w:val="00C24527"/>
    <w:rsid w:val="00C24666"/>
    <w:rsid w:val="00C24723"/>
    <w:rsid w:val="00C2473C"/>
    <w:rsid w:val="00C248F0"/>
    <w:rsid w:val="00C24D1F"/>
    <w:rsid w:val="00C24E4C"/>
    <w:rsid w:val="00C2525B"/>
    <w:rsid w:val="00C253D5"/>
    <w:rsid w:val="00C256C9"/>
    <w:rsid w:val="00C25956"/>
    <w:rsid w:val="00C25BEA"/>
    <w:rsid w:val="00C25D1B"/>
    <w:rsid w:val="00C25D63"/>
    <w:rsid w:val="00C262A8"/>
    <w:rsid w:val="00C265A0"/>
    <w:rsid w:val="00C265D8"/>
    <w:rsid w:val="00C266F3"/>
    <w:rsid w:val="00C26762"/>
    <w:rsid w:val="00C268A5"/>
    <w:rsid w:val="00C26A08"/>
    <w:rsid w:val="00C26A7F"/>
    <w:rsid w:val="00C26AB2"/>
    <w:rsid w:val="00C26B09"/>
    <w:rsid w:val="00C26C7D"/>
    <w:rsid w:val="00C271A3"/>
    <w:rsid w:val="00C27227"/>
    <w:rsid w:val="00C272AB"/>
    <w:rsid w:val="00C272BE"/>
    <w:rsid w:val="00C273EC"/>
    <w:rsid w:val="00C2764E"/>
    <w:rsid w:val="00C27661"/>
    <w:rsid w:val="00C27AA8"/>
    <w:rsid w:val="00C27AD7"/>
    <w:rsid w:val="00C27C57"/>
    <w:rsid w:val="00C27E07"/>
    <w:rsid w:val="00C27E1A"/>
    <w:rsid w:val="00C300C5"/>
    <w:rsid w:val="00C30267"/>
    <w:rsid w:val="00C3042A"/>
    <w:rsid w:val="00C306BE"/>
    <w:rsid w:val="00C306D8"/>
    <w:rsid w:val="00C30742"/>
    <w:rsid w:val="00C307AC"/>
    <w:rsid w:val="00C30A34"/>
    <w:rsid w:val="00C30BBE"/>
    <w:rsid w:val="00C30C97"/>
    <w:rsid w:val="00C30F05"/>
    <w:rsid w:val="00C3118C"/>
    <w:rsid w:val="00C317E0"/>
    <w:rsid w:val="00C317E6"/>
    <w:rsid w:val="00C31921"/>
    <w:rsid w:val="00C31B5C"/>
    <w:rsid w:val="00C32072"/>
    <w:rsid w:val="00C32905"/>
    <w:rsid w:val="00C32967"/>
    <w:rsid w:val="00C329DF"/>
    <w:rsid w:val="00C32BDE"/>
    <w:rsid w:val="00C32C28"/>
    <w:rsid w:val="00C32C63"/>
    <w:rsid w:val="00C32CF0"/>
    <w:rsid w:val="00C32DFE"/>
    <w:rsid w:val="00C331DE"/>
    <w:rsid w:val="00C33494"/>
    <w:rsid w:val="00C33628"/>
    <w:rsid w:val="00C33652"/>
    <w:rsid w:val="00C33659"/>
    <w:rsid w:val="00C33724"/>
    <w:rsid w:val="00C337D5"/>
    <w:rsid w:val="00C337E9"/>
    <w:rsid w:val="00C337EC"/>
    <w:rsid w:val="00C33857"/>
    <w:rsid w:val="00C339B8"/>
    <w:rsid w:val="00C339BD"/>
    <w:rsid w:val="00C33C04"/>
    <w:rsid w:val="00C33D19"/>
    <w:rsid w:val="00C33E8E"/>
    <w:rsid w:val="00C34053"/>
    <w:rsid w:val="00C34366"/>
    <w:rsid w:val="00C344E2"/>
    <w:rsid w:val="00C34629"/>
    <w:rsid w:val="00C3467A"/>
    <w:rsid w:val="00C3468A"/>
    <w:rsid w:val="00C349B3"/>
    <w:rsid w:val="00C349C1"/>
    <w:rsid w:val="00C34AEA"/>
    <w:rsid w:val="00C34D59"/>
    <w:rsid w:val="00C3519D"/>
    <w:rsid w:val="00C35599"/>
    <w:rsid w:val="00C355FA"/>
    <w:rsid w:val="00C35B9E"/>
    <w:rsid w:val="00C35DD1"/>
    <w:rsid w:val="00C365CE"/>
    <w:rsid w:val="00C36D38"/>
    <w:rsid w:val="00C36F45"/>
    <w:rsid w:val="00C36F57"/>
    <w:rsid w:val="00C3723F"/>
    <w:rsid w:val="00C3726B"/>
    <w:rsid w:val="00C374E9"/>
    <w:rsid w:val="00C374FC"/>
    <w:rsid w:val="00C37604"/>
    <w:rsid w:val="00C3778C"/>
    <w:rsid w:val="00C379D2"/>
    <w:rsid w:val="00C37A9C"/>
    <w:rsid w:val="00C37F25"/>
    <w:rsid w:val="00C37F6C"/>
    <w:rsid w:val="00C37FF4"/>
    <w:rsid w:val="00C40259"/>
    <w:rsid w:val="00C40273"/>
    <w:rsid w:val="00C403DD"/>
    <w:rsid w:val="00C403EF"/>
    <w:rsid w:val="00C40912"/>
    <w:rsid w:val="00C40929"/>
    <w:rsid w:val="00C40B8E"/>
    <w:rsid w:val="00C40C59"/>
    <w:rsid w:val="00C40D46"/>
    <w:rsid w:val="00C40F36"/>
    <w:rsid w:val="00C41228"/>
    <w:rsid w:val="00C41397"/>
    <w:rsid w:val="00C41444"/>
    <w:rsid w:val="00C416F0"/>
    <w:rsid w:val="00C41714"/>
    <w:rsid w:val="00C418A7"/>
    <w:rsid w:val="00C419D6"/>
    <w:rsid w:val="00C41A61"/>
    <w:rsid w:val="00C41F7F"/>
    <w:rsid w:val="00C41F82"/>
    <w:rsid w:val="00C4202A"/>
    <w:rsid w:val="00C42178"/>
    <w:rsid w:val="00C4234E"/>
    <w:rsid w:val="00C42377"/>
    <w:rsid w:val="00C425C9"/>
    <w:rsid w:val="00C426F5"/>
    <w:rsid w:val="00C427E8"/>
    <w:rsid w:val="00C42882"/>
    <w:rsid w:val="00C42A0D"/>
    <w:rsid w:val="00C42B58"/>
    <w:rsid w:val="00C42BFD"/>
    <w:rsid w:val="00C42C8B"/>
    <w:rsid w:val="00C42DCB"/>
    <w:rsid w:val="00C42E2A"/>
    <w:rsid w:val="00C42F78"/>
    <w:rsid w:val="00C4310E"/>
    <w:rsid w:val="00C4313F"/>
    <w:rsid w:val="00C431B6"/>
    <w:rsid w:val="00C43234"/>
    <w:rsid w:val="00C433AC"/>
    <w:rsid w:val="00C4343B"/>
    <w:rsid w:val="00C4362A"/>
    <w:rsid w:val="00C436AB"/>
    <w:rsid w:val="00C4384B"/>
    <w:rsid w:val="00C4388B"/>
    <w:rsid w:val="00C43960"/>
    <w:rsid w:val="00C43CB3"/>
    <w:rsid w:val="00C43DE5"/>
    <w:rsid w:val="00C440C6"/>
    <w:rsid w:val="00C443AD"/>
    <w:rsid w:val="00C44460"/>
    <w:rsid w:val="00C44651"/>
    <w:rsid w:val="00C4489B"/>
    <w:rsid w:val="00C44A83"/>
    <w:rsid w:val="00C44CDF"/>
    <w:rsid w:val="00C44D0D"/>
    <w:rsid w:val="00C45015"/>
    <w:rsid w:val="00C45081"/>
    <w:rsid w:val="00C453F6"/>
    <w:rsid w:val="00C45547"/>
    <w:rsid w:val="00C45554"/>
    <w:rsid w:val="00C45584"/>
    <w:rsid w:val="00C455C1"/>
    <w:rsid w:val="00C455CF"/>
    <w:rsid w:val="00C456B7"/>
    <w:rsid w:val="00C4574C"/>
    <w:rsid w:val="00C45853"/>
    <w:rsid w:val="00C458EA"/>
    <w:rsid w:val="00C45966"/>
    <w:rsid w:val="00C45B78"/>
    <w:rsid w:val="00C45B94"/>
    <w:rsid w:val="00C45CD1"/>
    <w:rsid w:val="00C45E4C"/>
    <w:rsid w:val="00C45FEA"/>
    <w:rsid w:val="00C46025"/>
    <w:rsid w:val="00C460B7"/>
    <w:rsid w:val="00C4615D"/>
    <w:rsid w:val="00C461C4"/>
    <w:rsid w:val="00C4625D"/>
    <w:rsid w:val="00C464E4"/>
    <w:rsid w:val="00C465AE"/>
    <w:rsid w:val="00C466B3"/>
    <w:rsid w:val="00C467D1"/>
    <w:rsid w:val="00C46AE8"/>
    <w:rsid w:val="00C46BA3"/>
    <w:rsid w:val="00C46D06"/>
    <w:rsid w:val="00C46E4F"/>
    <w:rsid w:val="00C46E80"/>
    <w:rsid w:val="00C46FCC"/>
    <w:rsid w:val="00C47008"/>
    <w:rsid w:val="00C470FB"/>
    <w:rsid w:val="00C4723D"/>
    <w:rsid w:val="00C47AD0"/>
    <w:rsid w:val="00C47E03"/>
    <w:rsid w:val="00C47F21"/>
    <w:rsid w:val="00C503B5"/>
    <w:rsid w:val="00C506F6"/>
    <w:rsid w:val="00C50723"/>
    <w:rsid w:val="00C50974"/>
    <w:rsid w:val="00C50AE4"/>
    <w:rsid w:val="00C50C26"/>
    <w:rsid w:val="00C50C59"/>
    <w:rsid w:val="00C50DFD"/>
    <w:rsid w:val="00C5102B"/>
    <w:rsid w:val="00C511B0"/>
    <w:rsid w:val="00C5135F"/>
    <w:rsid w:val="00C51651"/>
    <w:rsid w:val="00C51B87"/>
    <w:rsid w:val="00C51BA9"/>
    <w:rsid w:val="00C51BB6"/>
    <w:rsid w:val="00C51E0E"/>
    <w:rsid w:val="00C51EB4"/>
    <w:rsid w:val="00C51F4C"/>
    <w:rsid w:val="00C52654"/>
    <w:rsid w:val="00C52B41"/>
    <w:rsid w:val="00C52CCC"/>
    <w:rsid w:val="00C52CE2"/>
    <w:rsid w:val="00C5309B"/>
    <w:rsid w:val="00C53367"/>
    <w:rsid w:val="00C533B6"/>
    <w:rsid w:val="00C5345F"/>
    <w:rsid w:val="00C53784"/>
    <w:rsid w:val="00C5389D"/>
    <w:rsid w:val="00C5398F"/>
    <w:rsid w:val="00C53A28"/>
    <w:rsid w:val="00C53EA4"/>
    <w:rsid w:val="00C541F5"/>
    <w:rsid w:val="00C5423C"/>
    <w:rsid w:val="00C54305"/>
    <w:rsid w:val="00C54573"/>
    <w:rsid w:val="00C545D2"/>
    <w:rsid w:val="00C546D2"/>
    <w:rsid w:val="00C54782"/>
    <w:rsid w:val="00C547B5"/>
    <w:rsid w:val="00C548FA"/>
    <w:rsid w:val="00C54A44"/>
    <w:rsid w:val="00C54A88"/>
    <w:rsid w:val="00C54B08"/>
    <w:rsid w:val="00C54BD9"/>
    <w:rsid w:val="00C54FB0"/>
    <w:rsid w:val="00C55276"/>
    <w:rsid w:val="00C552AC"/>
    <w:rsid w:val="00C552E7"/>
    <w:rsid w:val="00C553F1"/>
    <w:rsid w:val="00C5552F"/>
    <w:rsid w:val="00C5554C"/>
    <w:rsid w:val="00C555E9"/>
    <w:rsid w:val="00C558A5"/>
    <w:rsid w:val="00C558DF"/>
    <w:rsid w:val="00C55BD4"/>
    <w:rsid w:val="00C55E80"/>
    <w:rsid w:val="00C561F0"/>
    <w:rsid w:val="00C5625E"/>
    <w:rsid w:val="00C5628A"/>
    <w:rsid w:val="00C562A2"/>
    <w:rsid w:val="00C563A3"/>
    <w:rsid w:val="00C564AC"/>
    <w:rsid w:val="00C565F2"/>
    <w:rsid w:val="00C5665D"/>
    <w:rsid w:val="00C56BA6"/>
    <w:rsid w:val="00C56E12"/>
    <w:rsid w:val="00C56F7F"/>
    <w:rsid w:val="00C572AE"/>
    <w:rsid w:val="00C57343"/>
    <w:rsid w:val="00C57352"/>
    <w:rsid w:val="00C57559"/>
    <w:rsid w:val="00C576EE"/>
    <w:rsid w:val="00C577C2"/>
    <w:rsid w:val="00C5784A"/>
    <w:rsid w:val="00C57CDB"/>
    <w:rsid w:val="00C57DBD"/>
    <w:rsid w:val="00C57E22"/>
    <w:rsid w:val="00C57F84"/>
    <w:rsid w:val="00C60016"/>
    <w:rsid w:val="00C60260"/>
    <w:rsid w:val="00C6027C"/>
    <w:rsid w:val="00C6049B"/>
    <w:rsid w:val="00C607F2"/>
    <w:rsid w:val="00C60861"/>
    <w:rsid w:val="00C608A7"/>
    <w:rsid w:val="00C60939"/>
    <w:rsid w:val="00C60A1A"/>
    <w:rsid w:val="00C60A7C"/>
    <w:rsid w:val="00C60B21"/>
    <w:rsid w:val="00C60D93"/>
    <w:rsid w:val="00C60E34"/>
    <w:rsid w:val="00C6113B"/>
    <w:rsid w:val="00C6131E"/>
    <w:rsid w:val="00C61399"/>
    <w:rsid w:val="00C6142C"/>
    <w:rsid w:val="00C616C7"/>
    <w:rsid w:val="00C61802"/>
    <w:rsid w:val="00C61843"/>
    <w:rsid w:val="00C61AC8"/>
    <w:rsid w:val="00C61CAE"/>
    <w:rsid w:val="00C61CDA"/>
    <w:rsid w:val="00C61D80"/>
    <w:rsid w:val="00C621F4"/>
    <w:rsid w:val="00C625BF"/>
    <w:rsid w:val="00C62632"/>
    <w:rsid w:val="00C627A9"/>
    <w:rsid w:val="00C62A0C"/>
    <w:rsid w:val="00C62A83"/>
    <w:rsid w:val="00C62B00"/>
    <w:rsid w:val="00C62C7E"/>
    <w:rsid w:val="00C62D8A"/>
    <w:rsid w:val="00C62E66"/>
    <w:rsid w:val="00C62E8A"/>
    <w:rsid w:val="00C62EDC"/>
    <w:rsid w:val="00C6303C"/>
    <w:rsid w:val="00C631B4"/>
    <w:rsid w:val="00C6323C"/>
    <w:rsid w:val="00C6361B"/>
    <w:rsid w:val="00C636A6"/>
    <w:rsid w:val="00C63723"/>
    <w:rsid w:val="00C63A17"/>
    <w:rsid w:val="00C63B64"/>
    <w:rsid w:val="00C63BDD"/>
    <w:rsid w:val="00C64011"/>
    <w:rsid w:val="00C642A7"/>
    <w:rsid w:val="00C64500"/>
    <w:rsid w:val="00C64794"/>
    <w:rsid w:val="00C64C14"/>
    <w:rsid w:val="00C64C70"/>
    <w:rsid w:val="00C64E09"/>
    <w:rsid w:val="00C65053"/>
    <w:rsid w:val="00C650AC"/>
    <w:rsid w:val="00C650E7"/>
    <w:rsid w:val="00C6515F"/>
    <w:rsid w:val="00C6522E"/>
    <w:rsid w:val="00C653ED"/>
    <w:rsid w:val="00C654C4"/>
    <w:rsid w:val="00C65534"/>
    <w:rsid w:val="00C65756"/>
    <w:rsid w:val="00C65BDF"/>
    <w:rsid w:val="00C65D40"/>
    <w:rsid w:val="00C65EAF"/>
    <w:rsid w:val="00C65F57"/>
    <w:rsid w:val="00C664CD"/>
    <w:rsid w:val="00C66575"/>
    <w:rsid w:val="00C6673D"/>
    <w:rsid w:val="00C66D52"/>
    <w:rsid w:val="00C66E06"/>
    <w:rsid w:val="00C66E13"/>
    <w:rsid w:val="00C66E6E"/>
    <w:rsid w:val="00C66F7B"/>
    <w:rsid w:val="00C670AF"/>
    <w:rsid w:val="00C67120"/>
    <w:rsid w:val="00C672D4"/>
    <w:rsid w:val="00C67512"/>
    <w:rsid w:val="00C6755E"/>
    <w:rsid w:val="00C675E4"/>
    <w:rsid w:val="00C677FB"/>
    <w:rsid w:val="00C67A8D"/>
    <w:rsid w:val="00C67AC3"/>
    <w:rsid w:val="00C67CC7"/>
    <w:rsid w:val="00C67D57"/>
    <w:rsid w:val="00C700CB"/>
    <w:rsid w:val="00C70170"/>
    <w:rsid w:val="00C70222"/>
    <w:rsid w:val="00C70664"/>
    <w:rsid w:val="00C706E6"/>
    <w:rsid w:val="00C70712"/>
    <w:rsid w:val="00C70884"/>
    <w:rsid w:val="00C709D9"/>
    <w:rsid w:val="00C70D78"/>
    <w:rsid w:val="00C70D96"/>
    <w:rsid w:val="00C70DB5"/>
    <w:rsid w:val="00C70DB9"/>
    <w:rsid w:val="00C70DD9"/>
    <w:rsid w:val="00C711F0"/>
    <w:rsid w:val="00C71576"/>
    <w:rsid w:val="00C716FD"/>
    <w:rsid w:val="00C71737"/>
    <w:rsid w:val="00C717A1"/>
    <w:rsid w:val="00C71957"/>
    <w:rsid w:val="00C71CE1"/>
    <w:rsid w:val="00C71ED0"/>
    <w:rsid w:val="00C71ED9"/>
    <w:rsid w:val="00C72175"/>
    <w:rsid w:val="00C72316"/>
    <w:rsid w:val="00C7254C"/>
    <w:rsid w:val="00C72914"/>
    <w:rsid w:val="00C7291A"/>
    <w:rsid w:val="00C729B5"/>
    <w:rsid w:val="00C729DB"/>
    <w:rsid w:val="00C72B75"/>
    <w:rsid w:val="00C72CAA"/>
    <w:rsid w:val="00C72FA1"/>
    <w:rsid w:val="00C72FFE"/>
    <w:rsid w:val="00C731F4"/>
    <w:rsid w:val="00C733F4"/>
    <w:rsid w:val="00C736BE"/>
    <w:rsid w:val="00C736CD"/>
    <w:rsid w:val="00C739FA"/>
    <w:rsid w:val="00C73A9F"/>
    <w:rsid w:val="00C73C10"/>
    <w:rsid w:val="00C73E4B"/>
    <w:rsid w:val="00C73EC3"/>
    <w:rsid w:val="00C74073"/>
    <w:rsid w:val="00C74527"/>
    <w:rsid w:val="00C74599"/>
    <w:rsid w:val="00C7473D"/>
    <w:rsid w:val="00C74740"/>
    <w:rsid w:val="00C747A8"/>
    <w:rsid w:val="00C74AD3"/>
    <w:rsid w:val="00C74AFC"/>
    <w:rsid w:val="00C74B03"/>
    <w:rsid w:val="00C74DFF"/>
    <w:rsid w:val="00C75155"/>
    <w:rsid w:val="00C7556B"/>
    <w:rsid w:val="00C755C5"/>
    <w:rsid w:val="00C756C2"/>
    <w:rsid w:val="00C75AA6"/>
    <w:rsid w:val="00C75C2D"/>
    <w:rsid w:val="00C75CB3"/>
    <w:rsid w:val="00C7636F"/>
    <w:rsid w:val="00C76481"/>
    <w:rsid w:val="00C76734"/>
    <w:rsid w:val="00C767E3"/>
    <w:rsid w:val="00C76ED5"/>
    <w:rsid w:val="00C7711A"/>
    <w:rsid w:val="00C7744E"/>
    <w:rsid w:val="00C77464"/>
    <w:rsid w:val="00C774FB"/>
    <w:rsid w:val="00C77757"/>
    <w:rsid w:val="00C77A65"/>
    <w:rsid w:val="00C77BC4"/>
    <w:rsid w:val="00C77DCD"/>
    <w:rsid w:val="00C77E83"/>
    <w:rsid w:val="00C77E8F"/>
    <w:rsid w:val="00C77EB3"/>
    <w:rsid w:val="00C77F33"/>
    <w:rsid w:val="00C80006"/>
    <w:rsid w:val="00C8002F"/>
    <w:rsid w:val="00C8008B"/>
    <w:rsid w:val="00C8023C"/>
    <w:rsid w:val="00C80252"/>
    <w:rsid w:val="00C80652"/>
    <w:rsid w:val="00C80659"/>
    <w:rsid w:val="00C80ADC"/>
    <w:rsid w:val="00C80CBF"/>
    <w:rsid w:val="00C80D40"/>
    <w:rsid w:val="00C80E8D"/>
    <w:rsid w:val="00C80EBC"/>
    <w:rsid w:val="00C81255"/>
    <w:rsid w:val="00C8128A"/>
    <w:rsid w:val="00C813D7"/>
    <w:rsid w:val="00C8151E"/>
    <w:rsid w:val="00C819E6"/>
    <w:rsid w:val="00C81A95"/>
    <w:rsid w:val="00C81C13"/>
    <w:rsid w:val="00C81CF6"/>
    <w:rsid w:val="00C81E9F"/>
    <w:rsid w:val="00C81F95"/>
    <w:rsid w:val="00C823E3"/>
    <w:rsid w:val="00C82560"/>
    <w:rsid w:val="00C8259B"/>
    <w:rsid w:val="00C827CD"/>
    <w:rsid w:val="00C82991"/>
    <w:rsid w:val="00C82C8F"/>
    <w:rsid w:val="00C82DC6"/>
    <w:rsid w:val="00C82E21"/>
    <w:rsid w:val="00C82E2D"/>
    <w:rsid w:val="00C82FD1"/>
    <w:rsid w:val="00C830A1"/>
    <w:rsid w:val="00C830B1"/>
    <w:rsid w:val="00C83281"/>
    <w:rsid w:val="00C833C5"/>
    <w:rsid w:val="00C8341F"/>
    <w:rsid w:val="00C837A9"/>
    <w:rsid w:val="00C8386A"/>
    <w:rsid w:val="00C83C53"/>
    <w:rsid w:val="00C83D8D"/>
    <w:rsid w:val="00C83FFA"/>
    <w:rsid w:val="00C84091"/>
    <w:rsid w:val="00C84305"/>
    <w:rsid w:val="00C8433D"/>
    <w:rsid w:val="00C84377"/>
    <w:rsid w:val="00C84437"/>
    <w:rsid w:val="00C8452B"/>
    <w:rsid w:val="00C845A4"/>
    <w:rsid w:val="00C84721"/>
    <w:rsid w:val="00C8477E"/>
    <w:rsid w:val="00C84D20"/>
    <w:rsid w:val="00C84E17"/>
    <w:rsid w:val="00C85309"/>
    <w:rsid w:val="00C8535C"/>
    <w:rsid w:val="00C8540C"/>
    <w:rsid w:val="00C85631"/>
    <w:rsid w:val="00C85646"/>
    <w:rsid w:val="00C856BE"/>
    <w:rsid w:val="00C857C5"/>
    <w:rsid w:val="00C85AC9"/>
    <w:rsid w:val="00C85C8E"/>
    <w:rsid w:val="00C860BF"/>
    <w:rsid w:val="00C862E6"/>
    <w:rsid w:val="00C86314"/>
    <w:rsid w:val="00C863BC"/>
    <w:rsid w:val="00C8651C"/>
    <w:rsid w:val="00C8656F"/>
    <w:rsid w:val="00C86680"/>
    <w:rsid w:val="00C866DE"/>
    <w:rsid w:val="00C867A9"/>
    <w:rsid w:val="00C86837"/>
    <w:rsid w:val="00C86864"/>
    <w:rsid w:val="00C86930"/>
    <w:rsid w:val="00C86A3E"/>
    <w:rsid w:val="00C86BC4"/>
    <w:rsid w:val="00C86BEB"/>
    <w:rsid w:val="00C86D35"/>
    <w:rsid w:val="00C86EFE"/>
    <w:rsid w:val="00C870BC"/>
    <w:rsid w:val="00C870EC"/>
    <w:rsid w:val="00C87114"/>
    <w:rsid w:val="00C871CC"/>
    <w:rsid w:val="00C87438"/>
    <w:rsid w:val="00C874CC"/>
    <w:rsid w:val="00C87596"/>
    <w:rsid w:val="00C878E6"/>
    <w:rsid w:val="00C879CF"/>
    <w:rsid w:val="00C879D1"/>
    <w:rsid w:val="00C87E7F"/>
    <w:rsid w:val="00C90099"/>
    <w:rsid w:val="00C9026A"/>
    <w:rsid w:val="00C903C4"/>
    <w:rsid w:val="00C90910"/>
    <w:rsid w:val="00C90A14"/>
    <w:rsid w:val="00C90D95"/>
    <w:rsid w:val="00C90ECA"/>
    <w:rsid w:val="00C91077"/>
    <w:rsid w:val="00C91230"/>
    <w:rsid w:val="00C914B7"/>
    <w:rsid w:val="00C91750"/>
    <w:rsid w:val="00C917C9"/>
    <w:rsid w:val="00C9188B"/>
    <w:rsid w:val="00C91935"/>
    <w:rsid w:val="00C91A03"/>
    <w:rsid w:val="00C91A52"/>
    <w:rsid w:val="00C91E9C"/>
    <w:rsid w:val="00C91F51"/>
    <w:rsid w:val="00C92161"/>
    <w:rsid w:val="00C92773"/>
    <w:rsid w:val="00C92814"/>
    <w:rsid w:val="00C92844"/>
    <w:rsid w:val="00C929E0"/>
    <w:rsid w:val="00C92A85"/>
    <w:rsid w:val="00C92F7D"/>
    <w:rsid w:val="00C9311A"/>
    <w:rsid w:val="00C9316D"/>
    <w:rsid w:val="00C9324D"/>
    <w:rsid w:val="00C93655"/>
    <w:rsid w:val="00C93742"/>
    <w:rsid w:val="00C93811"/>
    <w:rsid w:val="00C93856"/>
    <w:rsid w:val="00C938C9"/>
    <w:rsid w:val="00C93A2E"/>
    <w:rsid w:val="00C93CFB"/>
    <w:rsid w:val="00C93E63"/>
    <w:rsid w:val="00C93F13"/>
    <w:rsid w:val="00C940BF"/>
    <w:rsid w:val="00C94654"/>
    <w:rsid w:val="00C9494A"/>
    <w:rsid w:val="00C94961"/>
    <w:rsid w:val="00C94A4B"/>
    <w:rsid w:val="00C94C99"/>
    <w:rsid w:val="00C94DF5"/>
    <w:rsid w:val="00C94E3B"/>
    <w:rsid w:val="00C94EA0"/>
    <w:rsid w:val="00C94F5A"/>
    <w:rsid w:val="00C95084"/>
    <w:rsid w:val="00C95418"/>
    <w:rsid w:val="00C954CE"/>
    <w:rsid w:val="00C95689"/>
    <w:rsid w:val="00C95913"/>
    <w:rsid w:val="00C95A83"/>
    <w:rsid w:val="00C95BC3"/>
    <w:rsid w:val="00C95C09"/>
    <w:rsid w:val="00C95C16"/>
    <w:rsid w:val="00C95D80"/>
    <w:rsid w:val="00C95D98"/>
    <w:rsid w:val="00C95DE6"/>
    <w:rsid w:val="00C96048"/>
    <w:rsid w:val="00C96083"/>
    <w:rsid w:val="00C96133"/>
    <w:rsid w:val="00C9649C"/>
    <w:rsid w:val="00C968F0"/>
    <w:rsid w:val="00C969BC"/>
    <w:rsid w:val="00C96AEE"/>
    <w:rsid w:val="00C96BD7"/>
    <w:rsid w:val="00C96F76"/>
    <w:rsid w:val="00C97031"/>
    <w:rsid w:val="00C97095"/>
    <w:rsid w:val="00C9712B"/>
    <w:rsid w:val="00C97149"/>
    <w:rsid w:val="00C97668"/>
    <w:rsid w:val="00C97875"/>
    <w:rsid w:val="00C97976"/>
    <w:rsid w:val="00C97995"/>
    <w:rsid w:val="00C97A75"/>
    <w:rsid w:val="00C97B78"/>
    <w:rsid w:val="00C97EF3"/>
    <w:rsid w:val="00C97FFD"/>
    <w:rsid w:val="00CA014F"/>
    <w:rsid w:val="00CA01CA"/>
    <w:rsid w:val="00CA0453"/>
    <w:rsid w:val="00CA052C"/>
    <w:rsid w:val="00CA06FE"/>
    <w:rsid w:val="00CA079B"/>
    <w:rsid w:val="00CA080F"/>
    <w:rsid w:val="00CA0968"/>
    <w:rsid w:val="00CA0A8E"/>
    <w:rsid w:val="00CA0AAE"/>
    <w:rsid w:val="00CA0D2F"/>
    <w:rsid w:val="00CA0EDC"/>
    <w:rsid w:val="00CA122D"/>
    <w:rsid w:val="00CA1316"/>
    <w:rsid w:val="00CA1463"/>
    <w:rsid w:val="00CA14DC"/>
    <w:rsid w:val="00CA17AF"/>
    <w:rsid w:val="00CA18ED"/>
    <w:rsid w:val="00CA1936"/>
    <w:rsid w:val="00CA19A9"/>
    <w:rsid w:val="00CA1B0C"/>
    <w:rsid w:val="00CA1BD8"/>
    <w:rsid w:val="00CA1BF4"/>
    <w:rsid w:val="00CA1CD6"/>
    <w:rsid w:val="00CA1DCE"/>
    <w:rsid w:val="00CA1F03"/>
    <w:rsid w:val="00CA214B"/>
    <w:rsid w:val="00CA2155"/>
    <w:rsid w:val="00CA23DD"/>
    <w:rsid w:val="00CA25EF"/>
    <w:rsid w:val="00CA270D"/>
    <w:rsid w:val="00CA312E"/>
    <w:rsid w:val="00CA31F5"/>
    <w:rsid w:val="00CA3514"/>
    <w:rsid w:val="00CA36C0"/>
    <w:rsid w:val="00CA386A"/>
    <w:rsid w:val="00CA3AC6"/>
    <w:rsid w:val="00CA3C81"/>
    <w:rsid w:val="00CA3DDD"/>
    <w:rsid w:val="00CA402B"/>
    <w:rsid w:val="00CA4171"/>
    <w:rsid w:val="00CA48E5"/>
    <w:rsid w:val="00CA4ACD"/>
    <w:rsid w:val="00CA4CCF"/>
    <w:rsid w:val="00CA513C"/>
    <w:rsid w:val="00CA5231"/>
    <w:rsid w:val="00CA53FC"/>
    <w:rsid w:val="00CA59F0"/>
    <w:rsid w:val="00CA5CCC"/>
    <w:rsid w:val="00CA5D4F"/>
    <w:rsid w:val="00CA5E52"/>
    <w:rsid w:val="00CA5EED"/>
    <w:rsid w:val="00CA6073"/>
    <w:rsid w:val="00CA6618"/>
    <w:rsid w:val="00CA66F1"/>
    <w:rsid w:val="00CA6957"/>
    <w:rsid w:val="00CA6D70"/>
    <w:rsid w:val="00CA6E84"/>
    <w:rsid w:val="00CA6FA7"/>
    <w:rsid w:val="00CA7126"/>
    <w:rsid w:val="00CA7697"/>
    <w:rsid w:val="00CA777C"/>
    <w:rsid w:val="00CA784C"/>
    <w:rsid w:val="00CA7AD6"/>
    <w:rsid w:val="00CA7B80"/>
    <w:rsid w:val="00CA7CE1"/>
    <w:rsid w:val="00CA7CF4"/>
    <w:rsid w:val="00CA7D67"/>
    <w:rsid w:val="00CA7DD8"/>
    <w:rsid w:val="00CA7E7F"/>
    <w:rsid w:val="00CA7F02"/>
    <w:rsid w:val="00CA7F31"/>
    <w:rsid w:val="00CB0035"/>
    <w:rsid w:val="00CB03A1"/>
    <w:rsid w:val="00CB0755"/>
    <w:rsid w:val="00CB0A47"/>
    <w:rsid w:val="00CB0ADE"/>
    <w:rsid w:val="00CB0C37"/>
    <w:rsid w:val="00CB0D7F"/>
    <w:rsid w:val="00CB0D97"/>
    <w:rsid w:val="00CB0EF2"/>
    <w:rsid w:val="00CB107B"/>
    <w:rsid w:val="00CB11C6"/>
    <w:rsid w:val="00CB11F2"/>
    <w:rsid w:val="00CB1361"/>
    <w:rsid w:val="00CB159F"/>
    <w:rsid w:val="00CB1655"/>
    <w:rsid w:val="00CB1802"/>
    <w:rsid w:val="00CB1A5C"/>
    <w:rsid w:val="00CB1AB5"/>
    <w:rsid w:val="00CB1BE1"/>
    <w:rsid w:val="00CB1DE4"/>
    <w:rsid w:val="00CB1ECC"/>
    <w:rsid w:val="00CB1F35"/>
    <w:rsid w:val="00CB220F"/>
    <w:rsid w:val="00CB2408"/>
    <w:rsid w:val="00CB248D"/>
    <w:rsid w:val="00CB25A1"/>
    <w:rsid w:val="00CB29F2"/>
    <w:rsid w:val="00CB2AFB"/>
    <w:rsid w:val="00CB2B36"/>
    <w:rsid w:val="00CB2B86"/>
    <w:rsid w:val="00CB2B93"/>
    <w:rsid w:val="00CB2C5A"/>
    <w:rsid w:val="00CB2D4C"/>
    <w:rsid w:val="00CB2FC0"/>
    <w:rsid w:val="00CB354B"/>
    <w:rsid w:val="00CB3996"/>
    <w:rsid w:val="00CB3A75"/>
    <w:rsid w:val="00CB3C09"/>
    <w:rsid w:val="00CB3CB6"/>
    <w:rsid w:val="00CB3DDD"/>
    <w:rsid w:val="00CB4260"/>
    <w:rsid w:val="00CB433E"/>
    <w:rsid w:val="00CB47A1"/>
    <w:rsid w:val="00CB4814"/>
    <w:rsid w:val="00CB4ABA"/>
    <w:rsid w:val="00CB4AFF"/>
    <w:rsid w:val="00CB4B66"/>
    <w:rsid w:val="00CB4B6B"/>
    <w:rsid w:val="00CB4BED"/>
    <w:rsid w:val="00CB4FDF"/>
    <w:rsid w:val="00CB50EB"/>
    <w:rsid w:val="00CB5252"/>
    <w:rsid w:val="00CB534E"/>
    <w:rsid w:val="00CB546C"/>
    <w:rsid w:val="00CB559D"/>
    <w:rsid w:val="00CB5C81"/>
    <w:rsid w:val="00CB5E08"/>
    <w:rsid w:val="00CB5F81"/>
    <w:rsid w:val="00CB5FED"/>
    <w:rsid w:val="00CB605E"/>
    <w:rsid w:val="00CB6098"/>
    <w:rsid w:val="00CB60AD"/>
    <w:rsid w:val="00CB63EA"/>
    <w:rsid w:val="00CB64FC"/>
    <w:rsid w:val="00CB68CA"/>
    <w:rsid w:val="00CB69E6"/>
    <w:rsid w:val="00CB6A96"/>
    <w:rsid w:val="00CB6B10"/>
    <w:rsid w:val="00CB6C5A"/>
    <w:rsid w:val="00CB6E15"/>
    <w:rsid w:val="00CB6EBE"/>
    <w:rsid w:val="00CB706E"/>
    <w:rsid w:val="00CB73CD"/>
    <w:rsid w:val="00CB741E"/>
    <w:rsid w:val="00CB7888"/>
    <w:rsid w:val="00CB799A"/>
    <w:rsid w:val="00CB79C6"/>
    <w:rsid w:val="00CB7B37"/>
    <w:rsid w:val="00CB7BB4"/>
    <w:rsid w:val="00CC011F"/>
    <w:rsid w:val="00CC0786"/>
    <w:rsid w:val="00CC09F0"/>
    <w:rsid w:val="00CC09F4"/>
    <w:rsid w:val="00CC0BD6"/>
    <w:rsid w:val="00CC0BDD"/>
    <w:rsid w:val="00CC0F65"/>
    <w:rsid w:val="00CC1648"/>
    <w:rsid w:val="00CC18FA"/>
    <w:rsid w:val="00CC1909"/>
    <w:rsid w:val="00CC1AA2"/>
    <w:rsid w:val="00CC1B47"/>
    <w:rsid w:val="00CC1B5A"/>
    <w:rsid w:val="00CC2091"/>
    <w:rsid w:val="00CC2222"/>
    <w:rsid w:val="00CC2273"/>
    <w:rsid w:val="00CC296F"/>
    <w:rsid w:val="00CC2D13"/>
    <w:rsid w:val="00CC2E25"/>
    <w:rsid w:val="00CC2E2A"/>
    <w:rsid w:val="00CC306A"/>
    <w:rsid w:val="00CC31C0"/>
    <w:rsid w:val="00CC3201"/>
    <w:rsid w:val="00CC3379"/>
    <w:rsid w:val="00CC356C"/>
    <w:rsid w:val="00CC3572"/>
    <w:rsid w:val="00CC3573"/>
    <w:rsid w:val="00CC37D3"/>
    <w:rsid w:val="00CC3BD5"/>
    <w:rsid w:val="00CC3DEA"/>
    <w:rsid w:val="00CC40DF"/>
    <w:rsid w:val="00CC40EF"/>
    <w:rsid w:val="00CC44B6"/>
    <w:rsid w:val="00CC453D"/>
    <w:rsid w:val="00CC4699"/>
    <w:rsid w:val="00CC4791"/>
    <w:rsid w:val="00CC47E7"/>
    <w:rsid w:val="00CC4B5E"/>
    <w:rsid w:val="00CC4B96"/>
    <w:rsid w:val="00CC4D95"/>
    <w:rsid w:val="00CC4E40"/>
    <w:rsid w:val="00CC4ED5"/>
    <w:rsid w:val="00CC4F4B"/>
    <w:rsid w:val="00CC509D"/>
    <w:rsid w:val="00CC50BB"/>
    <w:rsid w:val="00CC51D1"/>
    <w:rsid w:val="00CC5777"/>
    <w:rsid w:val="00CC57DA"/>
    <w:rsid w:val="00CC5950"/>
    <w:rsid w:val="00CC5B03"/>
    <w:rsid w:val="00CC5B84"/>
    <w:rsid w:val="00CC5BE4"/>
    <w:rsid w:val="00CC5C14"/>
    <w:rsid w:val="00CC5C46"/>
    <w:rsid w:val="00CC5CCF"/>
    <w:rsid w:val="00CC6014"/>
    <w:rsid w:val="00CC6330"/>
    <w:rsid w:val="00CC6675"/>
    <w:rsid w:val="00CC6893"/>
    <w:rsid w:val="00CC6A2E"/>
    <w:rsid w:val="00CC6B85"/>
    <w:rsid w:val="00CC6E89"/>
    <w:rsid w:val="00CC6FE0"/>
    <w:rsid w:val="00CC73E8"/>
    <w:rsid w:val="00CC756A"/>
    <w:rsid w:val="00CC79C4"/>
    <w:rsid w:val="00CC7BD8"/>
    <w:rsid w:val="00CC7D40"/>
    <w:rsid w:val="00CC7E0C"/>
    <w:rsid w:val="00CC7F82"/>
    <w:rsid w:val="00CD0056"/>
    <w:rsid w:val="00CD01DE"/>
    <w:rsid w:val="00CD09C6"/>
    <w:rsid w:val="00CD09F3"/>
    <w:rsid w:val="00CD0C00"/>
    <w:rsid w:val="00CD0D76"/>
    <w:rsid w:val="00CD0DFA"/>
    <w:rsid w:val="00CD0E5B"/>
    <w:rsid w:val="00CD1179"/>
    <w:rsid w:val="00CD11F1"/>
    <w:rsid w:val="00CD1237"/>
    <w:rsid w:val="00CD1B11"/>
    <w:rsid w:val="00CD1F6B"/>
    <w:rsid w:val="00CD238A"/>
    <w:rsid w:val="00CD26D1"/>
    <w:rsid w:val="00CD29D5"/>
    <w:rsid w:val="00CD2AC3"/>
    <w:rsid w:val="00CD2B6B"/>
    <w:rsid w:val="00CD2BDF"/>
    <w:rsid w:val="00CD2F9B"/>
    <w:rsid w:val="00CD31CC"/>
    <w:rsid w:val="00CD39E7"/>
    <w:rsid w:val="00CD3AE0"/>
    <w:rsid w:val="00CD3D65"/>
    <w:rsid w:val="00CD3D89"/>
    <w:rsid w:val="00CD3E5F"/>
    <w:rsid w:val="00CD3E60"/>
    <w:rsid w:val="00CD4066"/>
    <w:rsid w:val="00CD4119"/>
    <w:rsid w:val="00CD42DD"/>
    <w:rsid w:val="00CD43A4"/>
    <w:rsid w:val="00CD44E6"/>
    <w:rsid w:val="00CD452A"/>
    <w:rsid w:val="00CD46E2"/>
    <w:rsid w:val="00CD4724"/>
    <w:rsid w:val="00CD4942"/>
    <w:rsid w:val="00CD49C4"/>
    <w:rsid w:val="00CD4C34"/>
    <w:rsid w:val="00CD4CE1"/>
    <w:rsid w:val="00CD51AB"/>
    <w:rsid w:val="00CD523F"/>
    <w:rsid w:val="00CD543E"/>
    <w:rsid w:val="00CD5444"/>
    <w:rsid w:val="00CD545A"/>
    <w:rsid w:val="00CD5578"/>
    <w:rsid w:val="00CD56D9"/>
    <w:rsid w:val="00CD57A7"/>
    <w:rsid w:val="00CD57C3"/>
    <w:rsid w:val="00CD5B91"/>
    <w:rsid w:val="00CD5C2B"/>
    <w:rsid w:val="00CD5CBD"/>
    <w:rsid w:val="00CD5CE8"/>
    <w:rsid w:val="00CD5FB7"/>
    <w:rsid w:val="00CD6033"/>
    <w:rsid w:val="00CD6073"/>
    <w:rsid w:val="00CD6274"/>
    <w:rsid w:val="00CD6355"/>
    <w:rsid w:val="00CD63DC"/>
    <w:rsid w:val="00CD63F1"/>
    <w:rsid w:val="00CD648E"/>
    <w:rsid w:val="00CD66D3"/>
    <w:rsid w:val="00CD67B5"/>
    <w:rsid w:val="00CD6867"/>
    <w:rsid w:val="00CD6900"/>
    <w:rsid w:val="00CD6993"/>
    <w:rsid w:val="00CD69E1"/>
    <w:rsid w:val="00CD6A7C"/>
    <w:rsid w:val="00CD6CEE"/>
    <w:rsid w:val="00CD6D9E"/>
    <w:rsid w:val="00CD6E63"/>
    <w:rsid w:val="00CD6E9F"/>
    <w:rsid w:val="00CD7481"/>
    <w:rsid w:val="00CD7497"/>
    <w:rsid w:val="00CD7498"/>
    <w:rsid w:val="00CD77A4"/>
    <w:rsid w:val="00CD7940"/>
    <w:rsid w:val="00CD7978"/>
    <w:rsid w:val="00CD7B4A"/>
    <w:rsid w:val="00CD7EB9"/>
    <w:rsid w:val="00CD7F91"/>
    <w:rsid w:val="00CE00D0"/>
    <w:rsid w:val="00CE0497"/>
    <w:rsid w:val="00CE07C8"/>
    <w:rsid w:val="00CE0814"/>
    <w:rsid w:val="00CE083C"/>
    <w:rsid w:val="00CE09D3"/>
    <w:rsid w:val="00CE0A1E"/>
    <w:rsid w:val="00CE0B37"/>
    <w:rsid w:val="00CE0C08"/>
    <w:rsid w:val="00CE0EB0"/>
    <w:rsid w:val="00CE10C9"/>
    <w:rsid w:val="00CE1103"/>
    <w:rsid w:val="00CE1287"/>
    <w:rsid w:val="00CE131A"/>
    <w:rsid w:val="00CE138A"/>
    <w:rsid w:val="00CE1552"/>
    <w:rsid w:val="00CE1763"/>
    <w:rsid w:val="00CE18BC"/>
    <w:rsid w:val="00CE18FB"/>
    <w:rsid w:val="00CE1B25"/>
    <w:rsid w:val="00CE1CE8"/>
    <w:rsid w:val="00CE1D86"/>
    <w:rsid w:val="00CE1FFB"/>
    <w:rsid w:val="00CE20A6"/>
    <w:rsid w:val="00CE20BA"/>
    <w:rsid w:val="00CE21BA"/>
    <w:rsid w:val="00CE2660"/>
    <w:rsid w:val="00CE276A"/>
    <w:rsid w:val="00CE27A3"/>
    <w:rsid w:val="00CE27F8"/>
    <w:rsid w:val="00CE27FD"/>
    <w:rsid w:val="00CE2EC9"/>
    <w:rsid w:val="00CE314C"/>
    <w:rsid w:val="00CE365B"/>
    <w:rsid w:val="00CE38E4"/>
    <w:rsid w:val="00CE38FF"/>
    <w:rsid w:val="00CE3955"/>
    <w:rsid w:val="00CE3BB9"/>
    <w:rsid w:val="00CE3C24"/>
    <w:rsid w:val="00CE3F74"/>
    <w:rsid w:val="00CE4084"/>
    <w:rsid w:val="00CE4631"/>
    <w:rsid w:val="00CE4822"/>
    <w:rsid w:val="00CE4842"/>
    <w:rsid w:val="00CE4924"/>
    <w:rsid w:val="00CE4A79"/>
    <w:rsid w:val="00CE4B92"/>
    <w:rsid w:val="00CE4CF0"/>
    <w:rsid w:val="00CE4CF4"/>
    <w:rsid w:val="00CE4D0E"/>
    <w:rsid w:val="00CE4DB1"/>
    <w:rsid w:val="00CE4DB8"/>
    <w:rsid w:val="00CE513C"/>
    <w:rsid w:val="00CE520C"/>
    <w:rsid w:val="00CE558D"/>
    <w:rsid w:val="00CE5744"/>
    <w:rsid w:val="00CE5788"/>
    <w:rsid w:val="00CE588F"/>
    <w:rsid w:val="00CE59AB"/>
    <w:rsid w:val="00CE59E4"/>
    <w:rsid w:val="00CE5A5C"/>
    <w:rsid w:val="00CE5A69"/>
    <w:rsid w:val="00CE5BDD"/>
    <w:rsid w:val="00CE5CD5"/>
    <w:rsid w:val="00CE5E25"/>
    <w:rsid w:val="00CE5E53"/>
    <w:rsid w:val="00CE5E60"/>
    <w:rsid w:val="00CE5F28"/>
    <w:rsid w:val="00CE62CA"/>
    <w:rsid w:val="00CE636E"/>
    <w:rsid w:val="00CE651E"/>
    <w:rsid w:val="00CE66C3"/>
    <w:rsid w:val="00CE6A25"/>
    <w:rsid w:val="00CE6AE5"/>
    <w:rsid w:val="00CE6C51"/>
    <w:rsid w:val="00CE6DEC"/>
    <w:rsid w:val="00CE6E8F"/>
    <w:rsid w:val="00CE6EF3"/>
    <w:rsid w:val="00CE6F75"/>
    <w:rsid w:val="00CE6FD5"/>
    <w:rsid w:val="00CE71B8"/>
    <w:rsid w:val="00CE71CB"/>
    <w:rsid w:val="00CE778E"/>
    <w:rsid w:val="00CE78C6"/>
    <w:rsid w:val="00CE79ED"/>
    <w:rsid w:val="00CE7B61"/>
    <w:rsid w:val="00CE7E5B"/>
    <w:rsid w:val="00CE7EF6"/>
    <w:rsid w:val="00CF05AA"/>
    <w:rsid w:val="00CF06CE"/>
    <w:rsid w:val="00CF0788"/>
    <w:rsid w:val="00CF08BD"/>
    <w:rsid w:val="00CF0911"/>
    <w:rsid w:val="00CF0928"/>
    <w:rsid w:val="00CF0AC6"/>
    <w:rsid w:val="00CF0B11"/>
    <w:rsid w:val="00CF0E1D"/>
    <w:rsid w:val="00CF0F4F"/>
    <w:rsid w:val="00CF1139"/>
    <w:rsid w:val="00CF13C8"/>
    <w:rsid w:val="00CF154F"/>
    <w:rsid w:val="00CF177E"/>
    <w:rsid w:val="00CF19B0"/>
    <w:rsid w:val="00CF1A24"/>
    <w:rsid w:val="00CF1A46"/>
    <w:rsid w:val="00CF1B87"/>
    <w:rsid w:val="00CF1E61"/>
    <w:rsid w:val="00CF1EDD"/>
    <w:rsid w:val="00CF200D"/>
    <w:rsid w:val="00CF20B4"/>
    <w:rsid w:val="00CF2208"/>
    <w:rsid w:val="00CF2286"/>
    <w:rsid w:val="00CF2443"/>
    <w:rsid w:val="00CF25A7"/>
    <w:rsid w:val="00CF267E"/>
    <w:rsid w:val="00CF2872"/>
    <w:rsid w:val="00CF28D6"/>
    <w:rsid w:val="00CF2C29"/>
    <w:rsid w:val="00CF2FDB"/>
    <w:rsid w:val="00CF3094"/>
    <w:rsid w:val="00CF34AE"/>
    <w:rsid w:val="00CF34B9"/>
    <w:rsid w:val="00CF357A"/>
    <w:rsid w:val="00CF3795"/>
    <w:rsid w:val="00CF37ED"/>
    <w:rsid w:val="00CF3A37"/>
    <w:rsid w:val="00CF3C7C"/>
    <w:rsid w:val="00CF3F18"/>
    <w:rsid w:val="00CF3F49"/>
    <w:rsid w:val="00CF42FB"/>
    <w:rsid w:val="00CF4349"/>
    <w:rsid w:val="00CF438F"/>
    <w:rsid w:val="00CF43A5"/>
    <w:rsid w:val="00CF44EA"/>
    <w:rsid w:val="00CF461C"/>
    <w:rsid w:val="00CF4653"/>
    <w:rsid w:val="00CF47B8"/>
    <w:rsid w:val="00CF4857"/>
    <w:rsid w:val="00CF4F2A"/>
    <w:rsid w:val="00CF507C"/>
    <w:rsid w:val="00CF540C"/>
    <w:rsid w:val="00CF5455"/>
    <w:rsid w:val="00CF5825"/>
    <w:rsid w:val="00CF586B"/>
    <w:rsid w:val="00CF5C3C"/>
    <w:rsid w:val="00CF61DE"/>
    <w:rsid w:val="00CF645E"/>
    <w:rsid w:val="00CF6468"/>
    <w:rsid w:val="00CF6473"/>
    <w:rsid w:val="00CF6531"/>
    <w:rsid w:val="00CF6753"/>
    <w:rsid w:val="00CF68FA"/>
    <w:rsid w:val="00CF6A00"/>
    <w:rsid w:val="00CF6A0A"/>
    <w:rsid w:val="00CF6BB4"/>
    <w:rsid w:val="00CF731A"/>
    <w:rsid w:val="00CF73FF"/>
    <w:rsid w:val="00CF77D7"/>
    <w:rsid w:val="00CF78B9"/>
    <w:rsid w:val="00CF7DD8"/>
    <w:rsid w:val="00CF7E7E"/>
    <w:rsid w:val="00CF7E9A"/>
    <w:rsid w:val="00CF7ECC"/>
    <w:rsid w:val="00D0001D"/>
    <w:rsid w:val="00D0010E"/>
    <w:rsid w:val="00D001F3"/>
    <w:rsid w:val="00D00282"/>
    <w:rsid w:val="00D0088E"/>
    <w:rsid w:val="00D00B47"/>
    <w:rsid w:val="00D00C79"/>
    <w:rsid w:val="00D00E26"/>
    <w:rsid w:val="00D00E51"/>
    <w:rsid w:val="00D00E9A"/>
    <w:rsid w:val="00D011AC"/>
    <w:rsid w:val="00D011E1"/>
    <w:rsid w:val="00D01434"/>
    <w:rsid w:val="00D015C3"/>
    <w:rsid w:val="00D01710"/>
    <w:rsid w:val="00D01940"/>
    <w:rsid w:val="00D01F77"/>
    <w:rsid w:val="00D02241"/>
    <w:rsid w:val="00D023B1"/>
    <w:rsid w:val="00D023D7"/>
    <w:rsid w:val="00D0251B"/>
    <w:rsid w:val="00D0252E"/>
    <w:rsid w:val="00D02599"/>
    <w:rsid w:val="00D0286F"/>
    <w:rsid w:val="00D028CA"/>
    <w:rsid w:val="00D029BC"/>
    <w:rsid w:val="00D02E1A"/>
    <w:rsid w:val="00D0300A"/>
    <w:rsid w:val="00D031B8"/>
    <w:rsid w:val="00D03270"/>
    <w:rsid w:val="00D0335A"/>
    <w:rsid w:val="00D034A7"/>
    <w:rsid w:val="00D03697"/>
    <w:rsid w:val="00D03882"/>
    <w:rsid w:val="00D038C4"/>
    <w:rsid w:val="00D03AC8"/>
    <w:rsid w:val="00D03AD2"/>
    <w:rsid w:val="00D03D4A"/>
    <w:rsid w:val="00D03E01"/>
    <w:rsid w:val="00D03E03"/>
    <w:rsid w:val="00D03FB8"/>
    <w:rsid w:val="00D041D7"/>
    <w:rsid w:val="00D043FB"/>
    <w:rsid w:val="00D04436"/>
    <w:rsid w:val="00D04582"/>
    <w:rsid w:val="00D048F8"/>
    <w:rsid w:val="00D04D52"/>
    <w:rsid w:val="00D04DC3"/>
    <w:rsid w:val="00D0535E"/>
    <w:rsid w:val="00D059CB"/>
    <w:rsid w:val="00D05A91"/>
    <w:rsid w:val="00D05BF5"/>
    <w:rsid w:val="00D05BFB"/>
    <w:rsid w:val="00D05C8C"/>
    <w:rsid w:val="00D05CFE"/>
    <w:rsid w:val="00D05DE7"/>
    <w:rsid w:val="00D05F02"/>
    <w:rsid w:val="00D060D4"/>
    <w:rsid w:val="00D06103"/>
    <w:rsid w:val="00D062DE"/>
    <w:rsid w:val="00D063B0"/>
    <w:rsid w:val="00D066DF"/>
    <w:rsid w:val="00D06797"/>
    <w:rsid w:val="00D06823"/>
    <w:rsid w:val="00D06830"/>
    <w:rsid w:val="00D06842"/>
    <w:rsid w:val="00D068A6"/>
    <w:rsid w:val="00D06932"/>
    <w:rsid w:val="00D06F1B"/>
    <w:rsid w:val="00D071C2"/>
    <w:rsid w:val="00D071D6"/>
    <w:rsid w:val="00D07240"/>
    <w:rsid w:val="00D074DD"/>
    <w:rsid w:val="00D07693"/>
    <w:rsid w:val="00D0782C"/>
    <w:rsid w:val="00D07BAB"/>
    <w:rsid w:val="00D07CA0"/>
    <w:rsid w:val="00D10608"/>
    <w:rsid w:val="00D1066F"/>
    <w:rsid w:val="00D106D5"/>
    <w:rsid w:val="00D106E4"/>
    <w:rsid w:val="00D107FB"/>
    <w:rsid w:val="00D1085E"/>
    <w:rsid w:val="00D108D5"/>
    <w:rsid w:val="00D10B86"/>
    <w:rsid w:val="00D10D87"/>
    <w:rsid w:val="00D10D9F"/>
    <w:rsid w:val="00D10E9E"/>
    <w:rsid w:val="00D10F6B"/>
    <w:rsid w:val="00D10FB8"/>
    <w:rsid w:val="00D1109F"/>
    <w:rsid w:val="00D112CA"/>
    <w:rsid w:val="00D11338"/>
    <w:rsid w:val="00D114D2"/>
    <w:rsid w:val="00D11786"/>
    <w:rsid w:val="00D1197A"/>
    <w:rsid w:val="00D119AA"/>
    <w:rsid w:val="00D11A24"/>
    <w:rsid w:val="00D11A74"/>
    <w:rsid w:val="00D11B58"/>
    <w:rsid w:val="00D11CF7"/>
    <w:rsid w:val="00D11FD3"/>
    <w:rsid w:val="00D1233C"/>
    <w:rsid w:val="00D12443"/>
    <w:rsid w:val="00D1247B"/>
    <w:rsid w:val="00D125FF"/>
    <w:rsid w:val="00D126EA"/>
    <w:rsid w:val="00D1280D"/>
    <w:rsid w:val="00D12BC4"/>
    <w:rsid w:val="00D12BFB"/>
    <w:rsid w:val="00D12C77"/>
    <w:rsid w:val="00D12F12"/>
    <w:rsid w:val="00D12F6D"/>
    <w:rsid w:val="00D1311F"/>
    <w:rsid w:val="00D13235"/>
    <w:rsid w:val="00D13270"/>
    <w:rsid w:val="00D13293"/>
    <w:rsid w:val="00D13483"/>
    <w:rsid w:val="00D134B0"/>
    <w:rsid w:val="00D1350C"/>
    <w:rsid w:val="00D135C6"/>
    <w:rsid w:val="00D135FD"/>
    <w:rsid w:val="00D1376B"/>
    <w:rsid w:val="00D13785"/>
    <w:rsid w:val="00D13830"/>
    <w:rsid w:val="00D13835"/>
    <w:rsid w:val="00D139CB"/>
    <w:rsid w:val="00D13B4B"/>
    <w:rsid w:val="00D13CDA"/>
    <w:rsid w:val="00D13F28"/>
    <w:rsid w:val="00D1447C"/>
    <w:rsid w:val="00D144E2"/>
    <w:rsid w:val="00D144ED"/>
    <w:rsid w:val="00D1476E"/>
    <w:rsid w:val="00D14833"/>
    <w:rsid w:val="00D14936"/>
    <w:rsid w:val="00D14B66"/>
    <w:rsid w:val="00D14BFE"/>
    <w:rsid w:val="00D14D87"/>
    <w:rsid w:val="00D14EAE"/>
    <w:rsid w:val="00D14FC2"/>
    <w:rsid w:val="00D150FE"/>
    <w:rsid w:val="00D15273"/>
    <w:rsid w:val="00D153F6"/>
    <w:rsid w:val="00D15581"/>
    <w:rsid w:val="00D155B8"/>
    <w:rsid w:val="00D15685"/>
    <w:rsid w:val="00D15C28"/>
    <w:rsid w:val="00D15C2B"/>
    <w:rsid w:val="00D15D0F"/>
    <w:rsid w:val="00D15E75"/>
    <w:rsid w:val="00D15E94"/>
    <w:rsid w:val="00D15F12"/>
    <w:rsid w:val="00D16171"/>
    <w:rsid w:val="00D161B4"/>
    <w:rsid w:val="00D161E7"/>
    <w:rsid w:val="00D16219"/>
    <w:rsid w:val="00D165D9"/>
    <w:rsid w:val="00D16660"/>
    <w:rsid w:val="00D16737"/>
    <w:rsid w:val="00D1677A"/>
    <w:rsid w:val="00D16A9F"/>
    <w:rsid w:val="00D16C15"/>
    <w:rsid w:val="00D16C5E"/>
    <w:rsid w:val="00D16DC5"/>
    <w:rsid w:val="00D16E86"/>
    <w:rsid w:val="00D17052"/>
    <w:rsid w:val="00D170D0"/>
    <w:rsid w:val="00D171D8"/>
    <w:rsid w:val="00D17310"/>
    <w:rsid w:val="00D17871"/>
    <w:rsid w:val="00D17BCA"/>
    <w:rsid w:val="00D17DB4"/>
    <w:rsid w:val="00D17DD3"/>
    <w:rsid w:val="00D17EB0"/>
    <w:rsid w:val="00D20051"/>
    <w:rsid w:val="00D202AE"/>
    <w:rsid w:val="00D204AC"/>
    <w:rsid w:val="00D2053D"/>
    <w:rsid w:val="00D206B2"/>
    <w:rsid w:val="00D206D3"/>
    <w:rsid w:val="00D2090C"/>
    <w:rsid w:val="00D20AC6"/>
    <w:rsid w:val="00D20D93"/>
    <w:rsid w:val="00D20E5B"/>
    <w:rsid w:val="00D21056"/>
    <w:rsid w:val="00D21126"/>
    <w:rsid w:val="00D21272"/>
    <w:rsid w:val="00D212A3"/>
    <w:rsid w:val="00D21C81"/>
    <w:rsid w:val="00D21DF1"/>
    <w:rsid w:val="00D21E1C"/>
    <w:rsid w:val="00D21E6C"/>
    <w:rsid w:val="00D2218F"/>
    <w:rsid w:val="00D22279"/>
    <w:rsid w:val="00D224F1"/>
    <w:rsid w:val="00D22544"/>
    <w:rsid w:val="00D225AA"/>
    <w:rsid w:val="00D22756"/>
    <w:rsid w:val="00D227F7"/>
    <w:rsid w:val="00D2290A"/>
    <w:rsid w:val="00D22A96"/>
    <w:rsid w:val="00D22B03"/>
    <w:rsid w:val="00D22E07"/>
    <w:rsid w:val="00D22E16"/>
    <w:rsid w:val="00D22E6E"/>
    <w:rsid w:val="00D2300E"/>
    <w:rsid w:val="00D23106"/>
    <w:rsid w:val="00D231C2"/>
    <w:rsid w:val="00D23915"/>
    <w:rsid w:val="00D23A66"/>
    <w:rsid w:val="00D23C22"/>
    <w:rsid w:val="00D23D5F"/>
    <w:rsid w:val="00D23E6C"/>
    <w:rsid w:val="00D24062"/>
    <w:rsid w:val="00D241E6"/>
    <w:rsid w:val="00D2457E"/>
    <w:rsid w:val="00D246AC"/>
    <w:rsid w:val="00D2479F"/>
    <w:rsid w:val="00D24AF5"/>
    <w:rsid w:val="00D24B0A"/>
    <w:rsid w:val="00D24B47"/>
    <w:rsid w:val="00D253ED"/>
    <w:rsid w:val="00D2571F"/>
    <w:rsid w:val="00D25840"/>
    <w:rsid w:val="00D2585A"/>
    <w:rsid w:val="00D25873"/>
    <w:rsid w:val="00D258A3"/>
    <w:rsid w:val="00D25A0E"/>
    <w:rsid w:val="00D25BAB"/>
    <w:rsid w:val="00D25BE1"/>
    <w:rsid w:val="00D25C11"/>
    <w:rsid w:val="00D25C75"/>
    <w:rsid w:val="00D25E0D"/>
    <w:rsid w:val="00D260B7"/>
    <w:rsid w:val="00D260E6"/>
    <w:rsid w:val="00D2614D"/>
    <w:rsid w:val="00D266F2"/>
    <w:rsid w:val="00D2673A"/>
    <w:rsid w:val="00D26BB2"/>
    <w:rsid w:val="00D26C32"/>
    <w:rsid w:val="00D26E00"/>
    <w:rsid w:val="00D26F6B"/>
    <w:rsid w:val="00D26FDE"/>
    <w:rsid w:val="00D2703F"/>
    <w:rsid w:val="00D275C8"/>
    <w:rsid w:val="00D27712"/>
    <w:rsid w:val="00D27838"/>
    <w:rsid w:val="00D27A72"/>
    <w:rsid w:val="00D27B87"/>
    <w:rsid w:val="00D27E97"/>
    <w:rsid w:val="00D27FE9"/>
    <w:rsid w:val="00D300AC"/>
    <w:rsid w:val="00D300DD"/>
    <w:rsid w:val="00D30465"/>
    <w:rsid w:val="00D304F6"/>
    <w:rsid w:val="00D30542"/>
    <w:rsid w:val="00D30713"/>
    <w:rsid w:val="00D307AD"/>
    <w:rsid w:val="00D307D0"/>
    <w:rsid w:val="00D3089B"/>
    <w:rsid w:val="00D30BF1"/>
    <w:rsid w:val="00D30E30"/>
    <w:rsid w:val="00D312F9"/>
    <w:rsid w:val="00D313FD"/>
    <w:rsid w:val="00D31462"/>
    <w:rsid w:val="00D31472"/>
    <w:rsid w:val="00D317C0"/>
    <w:rsid w:val="00D317E4"/>
    <w:rsid w:val="00D31877"/>
    <w:rsid w:val="00D318E5"/>
    <w:rsid w:val="00D318F4"/>
    <w:rsid w:val="00D31E14"/>
    <w:rsid w:val="00D31FA5"/>
    <w:rsid w:val="00D31FB0"/>
    <w:rsid w:val="00D32169"/>
    <w:rsid w:val="00D3216F"/>
    <w:rsid w:val="00D3226F"/>
    <w:rsid w:val="00D32446"/>
    <w:rsid w:val="00D3293B"/>
    <w:rsid w:val="00D3295C"/>
    <w:rsid w:val="00D3298E"/>
    <w:rsid w:val="00D329BE"/>
    <w:rsid w:val="00D32AC3"/>
    <w:rsid w:val="00D32C36"/>
    <w:rsid w:val="00D32E58"/>
    <w:rsid w:val="00D33251"/>
    <w:rsid w:val="00D33519"/>
    <w:rsid w:val="00D335BB"/>
    <w:rsid w:val="00D33610"/>
    <w:rsid w:val="00D33A49"/>
    <w:rsid w:val="00D33AD8"/>
    <w:rsid w:val="00D33BE7"/>
    <w:rsid w:val="00D33CE2"/>
    <w:rsid w:val="00D33D5F"/>
    <w:rsid w:val="00D33E89"/>
    <w:rsid w:val="00D342BE"/>
    <w:rsid w:val="00D34476"/>
    <w:rsid w:val="00D345B1"/>
    <w:rsid w:val="00D34680"/>
    <w:rsid w:val="00D34900"/>
    <w:rsid w:val="00D34D75"/>
    <w:rsid w:val="00D34F06"/>
    <w:rsid w:val="00D35292"/>
    <w:rsid w:val="00D35455"/>
    <w:rsid w:val="00D35CFF"/>
    <w:rsid w:val="00D35EEB"/>
    <w:rsid w:val="00D35F08"/>
    <w:rsid w:val="00D35F44"/>
    <w:rsid w:val="00D36153"/>
    <w:rsid w:val="00D36240"/>
    <w:rsid w:val="00D3653D"/>
    <w:rsid w:val="00D36614"/>
    <w:rsid w:val="00D36654"/>
    <w:rsid w:val="00D369F0"/>
    <w:rsid w:val="00D36A10"/>
    <w:rsid w:val="00D36D18"/>
    <w:rsid w:val="00D36DC4"/>
    <w:rsid w:val="00D372AD"/>
    <w:rsid w:val="00D377D9"/>
    <w:rsid w:val="00D37844"/>
    <w:rsid w:val="00D37912"/>
    <w:rsid w:val="00D379AB"/>
    <w:rsid w:val="00D379E4"/>
    <w:rsid w:val="00D37D1F"/>
    <w:rsid w:val="00D37D81"/>
    <w:rsid w:val="00D37EA3"/>
    <w:rsid w:val="00D37FC1"/>
    <w:rsid w:val="00D40267"/>
    <w:rsid w:val="00D4033C"/>
    <w:rsid w:val="00D40701"/>
    <w:rsid w:val="00D4088D"/>
    <w:rsid w:val="00D40FA1"/>
    <w:rsid w:val="00D4112E"/>
    <w:rsid w:val="00D411EB"/>
    <w:rsid w:val="00D41459"/>
    <w:rsid w:val="00D41775"/>
    <w:rsid w:val="00D41789"/>
    <w:rsid w:val="00D41ACC"/>
    <w:rsid w:val="00D41ADB"/>
    <w:rsid w:val="00D41B4D"/>
    <w:rsid w:val="00D41BCA"/>
    <w:rsid w:val="00D41C9A"/>
    <w:rsid w:val="00D42029"/>
    <w:rsid w:val="00D42161"/>
    <w:rsid w:val="00D42207"/>
    <w:rsid w:val="00D42535"/>
    <w:rsid w:val="00D42843"/>
    <w:rsid w:val="00D428C5"/>
    <w:rsid w:val="00D42951"/>
    <w:rsid w:val="00D429BF"/>
    <w:rsid w:val="00D42D4D"/>
    <w:rsid w:val="00D42E0B"/>
    <w:rsid w:val="00D4303D"/>
    <w:rsid w:val="00D43060"/>
    <w:rsid w:val="00D430CB"/>
    <w:rsid w:val="00D431DA"/>
    <w:rsid w:val="00D432BE"/>
    <w:rsid w:val="00D436A8"/>
    <w:rsid w:val="00D438FD"/>
    <w:rsid w:val="00D43B1B"/>
    <w:rsid w:val="00D43C48"/>
    <w:rsid w:val="00D43D7D"/>
    <w:rsid w:val="00D43DFA"/>
    <w:rsid w:val="00D43F08"/>
    <w:rsid w:val="00D43F4E"/>
    <w:rsid w:val="00D44299"/>
    <w:rsid w:val="00D4448A"/>
    <w:rsid w:val="00D4462E"/>
    <w:rsid w:val="00D44665"/>
    <w:rsid w:val="00D446AE"/>
    <w:rsid w:val="00D446ED"/>
    <w:rsid w:val="00D44840"/>
    <w:rsid w:val="00D44875"/>
    <w:rsid w:val="00D44AA9"/>
    <w:rsid w:val="00D44ABA"/>
    <w:rsid w:val="00D44BF4"/>
    <w:rsid w:val="00D44C34"/>
    <w:rsid w:val="00D44D0E"/>
    <w:rsid w:val="00D4547E"/>
    <w:rsid w:val="00D455B1"/>
    <w:rsid w:val="00D455FB"/>
    <w:rsid w:val="00D456E7"/>
    <w:rsid w:val="00D45989"/>
    <w:rsid w:val="00D459E2"/>
    <w:rsid w:val="00D45BAC"/>
    <w:rsid w:val="00D45E5B"/>
    <w:rsid w:val="00D45F27"/>
    <w:rsid w:val="00D45FCD"/>
    <w:rsid w:val="00D4623A"/>
    <w:rsid w:val="00D4637D"/>
    <w:rsid w:val="00D463DB"/>
    <w:rsid w:val="00D466C6"/>
    <w:rsid w:val="00D4695B"/>
    <w:rsid w:val="00D46A9E"/>
    <w:rsid w:val="00D46B65"/>
    <w:rsid w:val="00D46FB2"/>
    <w:rsid w:val="00D470AB"/>
    <w:rsid w:val="00D47116"/>
    <w:rsid w:val="00D472EF"/>
    <w:rsid w:val="00D476D2"/>
    <w:rsid w:val="00D47738"/>
    <w:rsid w:val="00D47781"/>
    <w:rsid w:val="00D47A9E"/>
    <w:rsid w:val="00D47B84"/>
    <w:rsid w:val="00D47E89"/>
    <w:rsid w:val="00D50115"/>
    <w:rsid w:val="00D50116"/>
    <w:rsid w:val="00D502CC"/>
    <w:rsid w:val="00D50424"/>
    <w:rsid w:val="00D504AC"/>
    <w:rsid w:val="00D50526"/>
    <w:rsid w:val="00D5056B"/>
    <w:rsid w:val="00D506B6"/>
    <w:rsid w:val="00D506E8"/>
    <w:rsid w:val="00D50880"/>
    <w:rsid w:val="00D50886"/>
    <w:rsid w:val="00D509EE"/>
    <w:rsid w:val="00D50A49"/>
    <w:rsid w:val="00D50ABD"/>
    <w:rsid w:val="00D50B96"/>
    <w:rsid w:val="00D50D2E"/>
    <w:rsid w:val="00D50F06"/>
    <w:rsid w:val="00D510AB"/>
    <w:rsid w:val="00D510F4"/>
    <w:rsid w:val="00D51283"/>
    <w:rsid w:val="00D5159F"/>
    <w:rsid w:val="00D51793"/>
    <w:rsid w:val="00D51D6B"/>
    <w:rsid w:val="00D51E89"/>
    <w:rsid w:val="00D51F3A"/>
    <w:rsid w:val="00D5218D"/>
    <w:rsid w:val="00D523E4"/>
    <w:rsid w:val="00D528EA"/>
    <w:rsid w:val="00D5292D"/>
    <w:rsid w:val="00D5296C"/>
    <w:rsid w:val="00D52A44"/>
    <w:rsid w:val="00D52AF5"/>
    <w:rsid w:val="00D52BBD"/>
    <w:rsid w:val="00D52BC9"/>
    <w:rsid w:val="00D52DC0"/>
    <w:rsid w:val="00D532C8"/>
    <w:rsid w:val="00D5334C"/>
    <w:rsid w:val="00D533B9"/>
    <w:rsid w:val="00D5382F"/>
    <w:rsid w:val="00D5389A"/>
    <w:rsid w:val="00D53E29"/>
    <w:rsid w:val="00D542A2"/>
    <w:rsid w:val="00D5455E"/>
    <w:rsid w:val="00D54631"/>
    <w:rsid w:val="00D5465D"/>
    <w:rsid w:val="00D5468E"/>
    <w:rsid w:val="00D54957"/>
    <w:rsid w:val="00D54A27"/>
    <w:rsid w:val="00D54B07"/>
    <w:rsid w:val="00D54CAA"/>
    <w:rsid w:val="00D55280"/>
    <w:rsid w:val="00D55333"/>
    <w:rsid w:val="00D55861"/>
    <w:rsid w:val="00D55889"/>
    <w:rsid w:val="00D558A2"/>
    <w:rsid w:val="00D5599A"/>
    <w:rsid w:val="00D55B24"/>
    <w:rsid w:val="00D55C89"/>
    <w:rsid w:val="00D55D73"/>
    <w:rsid w:val="00D55DC5"/>
    <w:rsid w:val="00D55F9D"/>
    <w:rsid w:val="00D56060"/>
    <w:rsid w:val="00D56787"/>
    <w:rsid w:val="00D568BC"/>
    <w:rsid w:val="00D56B2B"/>
    <w:rsid w:val="00D56B6F"/>
    <w:rsid w:val="00D56BBD"/>
    <w:rsid w:val="00D56C7B"/>
    <w:rsid w:val="00D56FD2"/>
    <w:rsid w:val="00D579AE"/>
    <w:rsid w:val="00D579CF"/>
    <w:rsid w:val="00D579FB"/>
    <w:rsid w:val="00D57B71"/>
    <w:rsid w:val="00D57DFA"/>
    <w:rsid w:val="00D6026F"/>
    <w:rsid w:val="00D607CD"/>
    <w:rsid w:val="00D60A0D"/>
    <w:rsid w:val="00D60BC8"/>
    <w:rsid w:val="00D60BD1"/>
    <w:rsid w:val="00D60CE8"/>
    <w:rsid w:val="00D60DBA"/>
    <w:rsid w:val="00D60FF5"/>
    <w:rsid w:val="00D60FF6"/>
    <w:rsid w:val="00D613C8"/>
    <w:rsid w:val="00D613D5"/>
    <w:rsid w:val="00D615AA"/>
    <w:rsid w:val="00D616C9"/>
    <w:rsid w:val="00D617E0"/>
    <w:rsid w:val="00D61802"/>
    <w:rsid w:val="00D618AB"/>
    <w:rsid w:val="00D619DF"/>
    <w:rsid w:val="00D61C6A"/>
    <w:rsid w:val="00D61F83"/>
    <w:rsid w:val="00D62066"/>
    <w:rsid w:val="00D62244"/>
    <w:rsid w:val="00D624D2"/>
    <w:rsid w:val="00D62578"/>
    <w:rsid w:val="00D62922"/>
    <w:rsid w:val="00D62D55"/>
    <w:rsid w:val="00D62EDA"/>
    <w:rsid w:val="00D62F11"/>
    <w:rsid w:val="00D62F1A"/>
    <w:rsid w:val="00D62FF9"/>
    <w:rsid w:val="00D630EF"/>
    <w:rsid w:val="00D6316F"/>
    <w:rsid w:val="00D63300"/>
    <w:rsid w:val="00D63311"/>
    <w:rsid w:val="00D6336B"/>
    <w:rsid w:val="00D636CA"/>
    <w:rsid w:val="00D6373D"/>
    <w:rsid w:val="00D63905"/>
    <w:rsid w:val="00D63B0D"/>
    <w:rsid w:val="00D63BC1"/>
    <w:rsid w:val="00D63BDB"/>
    <w:rsid w:val="00D63EE2"/>
    <w:rsid w:val="00D64087"/>
    <w:rsid w:val="00D64163"/>
    <w:rsid w:val="00D6422A"/>
    <w:rsid w:val="00D6442E"/>
    <w:rsid w:val="00D64480"/>
    <w:rsid w:val="00D64736"/>
    <w:rsid w:val="00D6492A"/>
    <w:rsid w:val="00D64AB6"/>
    <w:rsid w:val="00D64B12"/>
    <w:rsid w:val="00D64B49"/>
    <w:rsid w:val="00D64B50"/>
    <w:rsid w:val="00D64D4A"/>
    <w:rsid w:val="00D650C1"/>
    <w:rsid w:val="00D65114"/>
    <w:rsid w:val="00D65395"/>
    <w:rsid w:val="00D65788"/>
    <w:rsid w:val="00D65A90"/>
    <w:rsid w:val="00D65ACA"/>
    <w:rsid w:val="00D65DCC"/>
    <w:rsid w:val="00D65E76"/>
    <w:rsid w:val="00D65FB7"/>
    <w:rsid w:val="00D65FD6"/>
    <w:rsid w:val="00D663F3"/>
    <w:rsid w:val="00D66538"/>
    <w:rsid w:val="00D66561"/>
    <w:rsid w:val="00D6662C"/>
    <w:rsid w:val="00D667DF"/>
    <w:rsid w:val="00D66824"/>
    <w:rsid w:val="00D66845"/>
    <w:rsid w:val="00D66F3A"/>
    <w:rsid w:val="00D6701A"/>
    <w:rsid w:val="00D6717A"/>
    <w:rsid w:val="00D672A5"/>
    <w:rsid w:val="00D6748F"/>
    <w:rsid w:val="00D674B1"/>
    <w:rsid w:val="00D6751C"/>
    <w:rsid w:val="00D6790D"/>
    <w:rsid w:val="00D67ADC"/>
    <w:rsid w:val="00D67BFA"/>
    <w:rsid w:val="00D700B5"/>
    <w:rsid w:val="00D700CE"/>
    <w:rsid w:val="00D70283"/>
    <w:rsid w:val="00D7045F"/>
    <w:rsid w:val="00D704A4"/>
    <w:rsid w:val="00D7096C"/>
    <w:rsid w:val="00D70C4C"/>
    <w:rsid w:val="00D70E2F"/>
    <w:rsid w:val="00D710CF"/>
    <w:rsid w:val="00D71650"/>
    <w:rsid w:val="00D71664"/>
    <w:rsid w:val="00D716E4"/>
    <w:rsid w:val="00D71863"/>
    <w:rsid w:val="00D71866"/>
    <w:rsid w:val="00D718C4"/>
    <w:rsid w:val="00D71A7C"/>
    <w:rsid w:val="00D71C80"/>
    <w:rsid w:val="00D71D89"/>
    <w:rsid w:val="00D71DCE"/>
    <w:rsid w:val="00D71DE3"/>
    <w:rsid w:val="00D71FB4"/>
    <w:rsid w:val="00D720BB"/>
    <w:rsid w:val="00D720F0"/>
    <w:rsid w:val="00D72124"/>
    <w:rsid w:val="00D7224B"/>
    <w:rsid w:val="00D72416"/>
    <w:rsid w:val="00D7263F"/>
    <w:rsid w:val="00D72A11"/>
    <w:rsid w:val="00D72A51"/>
    <w:rsid w:val="00D72B1E"/>
    <w:rsid w:val="00D730A2"/>
    <w:rsid w:val="00D730AA"/>
    <w:rsid w:val="00D7315F"/>
    <w:rsid w:val="00D73365"/>
    <w:rsid w:val="00D73BE2"/>
    <w:rsid w:val="00D73CAC"/>
    <w:rsid w:val="00D73D71"/>
    <w:rsid w:val="00D73E44"/>
    <w:rsid w:val="00D73E55"/>
    <w:rsid w:val="00D73F5B"/>
    <w:rsid w:val="00D74122"/>
    <w:rsid w:val="00D74196"/>
    <w:rsid w:val="00D74297"/>
    <w:rsid w:val="00D74300"/>
    <w:rsid w:val="00D749C9"/>
    <w:rsid w:val="00D74B88"/>
    <w:rsid w:val="00D74BCA"/>
    <w:rsid w:val="00D74C7E"/>
    <w:rsid w:val="00D74E26"/>
    <w:rsid w:val="00D74E76"/>
    <w:rsid w:val="00D74EE0"/>
    <w:rsid w:val="00D751BC"/>
    <w:rsid w:val="00D7537A"/>
    <w:rsid w:val="00D75716"/>
    <w:rsid w:val="00D75C9A"/>
    <w:rsid w:val="00D75CD3"/>
    <w:rsid w:val="00D75DAF"/>
    <w:rsid w:val="00D7608B"/>
    <w:rsid w:val="00D760CA"/>
    <w:rsid w:val="00D7639D"/>
    <w:rsid w:val="00D76948"/>
    <w:rsid w:val="00D76A3B"/>
    <w:rsid w:val="00D76BAF"/>
    <w:rsid w:val="00D76C2A"/>
    <w:rsid w:val="00D76E00"/>
    <w:rsid w:val="00D76E2B"/>
    <w:rsid w:val="00D76F08"/>
    <w:rsid w:val="00D76F66"/>
    <w:rsid w:val="00D772D0"/>
    <w:rsid w:val="00D77435"/>
    <w:rsid w:val="00D774E9"/>
    <w:rsid w:val="00D77581"/>
    <w:rsid w:val="00D775AE"/>
    <w:rsid w:val="00D77655"/>
    <w:rsid w:val="00D779C0"/>
    <w:rsid w:val="00D77BCD"/>
    <w:rsid w:val="00D77C40"/>
    <w:rsid w:val="00D77CD2"/>
    <w:rsid w:val="00D77DCF"/>
    <w:rsid w:val="00D77FC9"/>
    <w:rsid w:val="00D77FDA"/>
    <w:rsid w:val="00D8013A"/>
    <w:rsid w:val="00D80498"/>
    <w:rsid w:val="00D80575"/>
    <w:rsid w:val="00D80772"/>
    <w:rsid w:val="00D80796"/>
    <w:rsid w:val="00D808D3"/>
    <w:rsid w:val="00D808FF"/>
    <w:rsid w:val="00D809CF"/>
    <w:rsid w:val="00D809F8"/>
    <w:rsid w:val="00D80ACE"/>
    <w:rsid w:val="00D80CF9"/>
    <w:rsid w:val="00D80D02"/>
    <w:rsid w:val="00D80ECB"/>
    <w:rsid w:val="00D81038"/>
    <w:rsid w:val="00D810D4"/>
    <w:rsid w:val="00D8121F"/>
    <w:rsid w:val="00D815F3"/>
    <w:rsid w:val="00D81AA4"/>
    <w:rsid w:val="00D81B0A"/>
    <w:rsid w:val="00D823B0"/>
    <w:rsid w:val="00D82452"/>
    <w:rsid w:val="00D824ED"/>
    <w:rsid w:val="00D825D3"/>
    <w:rsid w:val="00D82626"/>
    <w:rsid w:val="00D8268C"/>
    <w:rsid w:val="00D82736"/>
    <w:rsid w:val="00D82B2E"/>
    <w:rsid w:val="00D82B8F"/>
    <w:rsid w:val="00D82C7C"/>
    <w:rsid w:val="00D82EA8"/>
    <w:rsid w:val="00D82F24"/>
    <w:rsid w:val="00D830CA"/>
    <w:rsid w:val="00D83100"/>
    <w:rsid w:val="00D8352F"/>
    <w:rsid w:val="00D8355F"/>
    <w:rsid w:val="00D83756"/>
    <w:rsid w:val="00D8379D"/>
    <w:rsid w:val="00D837CD"/>
    <w:rsid w:val="00D83845"/>
    <w:rsid w:val="00D8387E"/>
    <w:rsid w:val="00D83CBC"/>
    <w:rsid w:val="00D83D3F"/>
    <w:rsid w:val="00D83E02"/>
    <w:rsid w:val="00D83EB5"/>
    <w:rsid w:val="00D83FC9"/>
    <w:rsid w:val="00D84299"/>
    <w:rsid w:val="00D84402"/>
    <w:rsid w:val="00D8444F"/>
    <w:rsid w:val="00D84788"/>
    <w:rsid w:val="00D84A6C"/>
    <w:rsid w:val="00D84BCF"/>
    <w:rsid w:val="00D84CED"/>
    <w:rsid w:val="00D84D45"/>
    <w:rsid w:val="00D84F8C"/>
    <w:rsid w:val="00D85179"/>
    <w:rsid w:val="00D8561C"/>
    <w:rsid w:val="00D85B76"/>
    <w:rsid w:val="00D85BC9"/>
    <w:rsid w:val="00D85BE9"/>
    <w:rsid w:val="00D85FDC"/>
    <w:rsid w:val="00D86006"/>
    <w:rsid w:val="00D86309"/>
    <w:rsid w:val="00D8630A"/>
    <w:rsid w:val="00D8661C"/>
    <w:rsid w:val="00D8667A"/>
    <w:rsid w:val="00D866F8"/>
    <w:rsid w:val="00D86760"/>
    <w:rsid w:val="00D86858"/>
    <w:rsid w:val="00D86A04"/>
    <w:rsid w:val="00D86BB9"/>
    <w:rsid w:val="00D86C5B"/>
    <w:rsid w:val="00D86C8B"/>
    <w:rsid w:val="00D86F89"/>
    <w:rsid w:val="00D8702E"/>
    <w:rsid w:val="00D87209"/>
    <w:rsid w:val="00D87329"/>
    <w:rsid w:val="00D8746F"/>
    <w:rsid w:val="00D8769D"/>
    <w:rsid w:val="00D879DB"/>
    <w:rsid w:val="00D87A74"/>
    <w:rsid w:val="00D87ECE"/>
    <w:rsid w:val="00D900E5"/>
    <w:rsid w:val="00D901B4"/>
    <w:rsid w:val="00D9025F"/>
    <w:rsid w:val="00D9051D"/>
    <w:rsid w:val="00D9064A"/>
    <w:rsid w:val="00D9068B"/>
    <w:rsid w:val="00D906A2"/>
    <w:rsid w:val="00D906FE"/>
    <w:rsid w:val="00D909B5"/>
    <w:rsid w:val="00D90BAC"/>
    <w:rsid w:val="00D90C21"/>
    <w:rsid w:val="00D90D18"/>
    <w:rsid w:val="00D9105D"/>
    <w:rsid w:val="00D91219"/>
    <w:rsid w:val="00D91235"/>
    <w:rsid w:val="00D9132A"/>
    <w:rsid w:val="00D913B1"/>
    <w:rsid w:val="00D914A0"/>
    <w:rsid w:val="00D9184F"/>
    <w:rsid w:val="00D91A3F"/>
    <w:rsid w:val="00D91B8A"/>
    <w:rsid w:val="00D91DF2"/>
    <w:rsid w:val="00D92174"/>
    <w:rsid w:val="00D921FB"/>
    <w:rsid w:val="00D923B2"/>
    <w:rsid w:val="00D926E1"/>
    <w:rsid w:val="00D9287D"/>
    <w:rsid w:val="00D92896"/>
    <w:rsid w:val="00D928E0"/>
    <w:rsid w:val="00D9291F"/>
    <w:rsid w:val="00D929B2"/>
    <w:rsid w:val="00D929B6"/>
    <w:rsid w:val="00D92EFF"/>
    <w:rsid w:val="00D9308D"/>
    <w:rsid w:val="00D93226"/>
    <w:rsid w:val="00D93348"/>
    <w:rsid w:val="00D9359A"/>
    <w:rsid w:val="00D9362A"/>
    <w:rsid w:val="00D937B5"/>
    <w:rsid w:val="00D938B5"/>
    <w:rsid w:val="00D93910"/>
    <w:rsid w:val="00D93C08"/>
    <w:rsid w:val="00D9402D"/>
    <w:rsid w:val="00D940A1"/>
    <w:rsid w:val="00D940E6"/>
    <w:rsid w:val="00D944F4"/>
    <w:rsid w:val="00D9452C"/>
    <w:rsid w:val="00D9465B"/>
    <w:rsid w:val="00D948C5"/>
    <w:rsid w:val="00D94933"/>
    <w:rsid w:val="00D949A5"/>
    <w:rsid w:val="00D94B40"/>
    <w:rsid w:val="00D94D98"/>
    <w:rsid w:val="00D94EA0"/>
    <w:rsid w:val="00D9508A"/>
    <w:rsid w:val="00D951F6"/>
    <w:rsid w:val="00D95711"/>
    <w:rsid w:val="00D957E3"/>
    <w:rsid w:val="00D9584F"/>
    <w:rsid w:val="00D95E4F"/>
    <w:rsid w:val="00D95E52"/>
    <w:rsid w:val="00D96158"/>
    <w:rsid w:val="00D9633B"/>
    <w:rsid w:val="00D963C8"/>
    <w:rsid w:val="00D965C2"/>
    <w:rsid w:val="00D966B0"/>
    <w:rsid w:val="00D966CC"/>
    <w:rsid w:val="00D967A7"/>
    <w:rsid w:val="00D968C4"/>
    <w:rsid w:val="00D96906"/>
    <w:rsid w:val="00D96927"/>
    <w:rsid w:val="00D96A36"/>
    <w:rsid w:val="00D96A3E"/>
    <w:rsid w:val="00D96C1B"/>
    <w:rsid w:val="00D96D82"/>
    <w:rsid w:val="00D97212"/>
    <w:rsid w:val="00D97220"/>
    <w:rsid w:val="00D974FF"/>
    <w:rsid w:val="00D9750E"/>
    <w:rsid w:val="00D9752E"/>
    <w:rsid w:val="00D97566"/>
    <w:rsid w:val="00D975C7"/>
    <w:rsid w:val="00D9764A"/>
    <w:rsid w:val="00D97719"/>
    <w:rsid w:val="00D9789A"/>
    <w:rsid w:val="00D97C08"/>
    <w:rsid w:val="00D97D10"/>
    <w:rsid w:val="00D97ED2"/>
    <w:rsid w:val="00DA004B"/>
    <w:rsid w:val="00DA0123"/>
    <w:rsid w:val="00DA036C"/>
    <w:rsid w:val="00DA053A"/>
    <w:rsid w:val="00DA0A9F"/>
    <w:rsid w:val="00DA0C42"/>
    <w:rsid w:val="00DA0D9D"/>
    <w:rsid w:val="00DA0E26"/>
    <w:rsid w:val="00DA1061"/>
    <w:rsid w:val="00DA1080"/>
    <w:rsid w:val="00DA1515"/>
    <w:rsid w:val="00DA1A64"/>
    <w:rsid w:val="00DA1CA1"/>
    <w:rsid w:val="00DA1DE5"/>
    <w:rsid w:val="00DA20A9"/>
    <w:rsid w:val="00DA214B"/>
    <w:rsid w:val="00DA2178"/>
    <w:rsid w:val="00DA22E5"/>
    <w:rsid w:val="00DA255C"/>
    <w:rsid w:val="00DA263B"/>
    <w:rsid w:val="00DA26D6"/>
    <w:rsid w:val="00DA270D"/>
    <w:rsid w:val="00DA277F"/>
    <w:rsid w:val="00DA2898"/>
    <w:rsid w:val="00DA2929"/>
    <w:rsid w:val="00DA2982"/>
    <w:rsid w:val="00DA2BD3"/>
    <w:rsid w:val="00DA2E60"/>
    <w:rsid w:val="00DA2EA3"/>
    <w:rsid w:val="00DA2EC5"/>
    <w:rsid w:val="00DA3199"/>
    <w:rsid w:val="00DA31FA"/>
    <w:rsid w:val="00DA329E"/>
    <w:rsid w:val="00DA33AE"/>
    <w:rsid w:val="00DA38DD"/>
    <w:rsid w:val="00DA3A6A"/>
    <w:rsid w:val="00DA3B53"/>
    <w:rsid w:val="00DA3CFE"/>
    <w:rsid w:val="00DA3DF0"/>
    <w:rsid w:val="00DA427C"/>
    <w:rsid w:val="00DA42AE"/>
    <w:rsid w:val="00DA4381"/>
    <w:rsid w:val="00DA451F"/>
    <w:rsid w:val="00DA4592"/>
    <w:rsid w:val="00DA45E8"/>
    <w:rsid w:val="00DA46A1"/>
    <w:rsid w:val="00DA4BAC"/>
    <w:rsid w:val="00DA4BC9"/>
    <w:rsid w:val="00DA4CA2"/>
    <w:rsid w:val="00DA4E5D"/>
    <w:rsid w:val="00DA4F38"/>
    <w:rsid w:val="00DA4FE1"/>
    <w:rsid w:val="00DA504C"/>
    <w:rsid w:val="00DA5099"/>
    <w:rsid w:val="00DA513F"/>
    <w:rsid w:val="00DA5358"/>
    <w:rsid w:val="00DA572A"/>
    <w:rsid w:val="00DA5898"/>
    <w:rsid w:val="00DA58D4"/>
    <w:rsid w:val="00DA59BB"/>
    <w:rsid w:val="00DA5C7C"/>
    <w:rsid w:val="00DA5C8E"/>
    <w:rsid w:val="00DA5EB7"/>
    <w:rsid w:val="00DA5F1F"/>
    <w:rsid w:val="00DA5F57"/>
    <w:rsid w:val="00DA6124"/>
    <w:rsid w:val="00DA6293"/>
    <w:rsid w:val="00DA63DD"/>
    <w:rsid w:val="00DA6A7D"/>
    <w:rsid w:val="00DA6B8C"/>
    <w:rsid w:val="00DA6D81"/>
    <w:rsid w:val="00DA6DF1"/>
    <w:rsid w:val="00DA70A4"/>
    <w:rsid w:val="00DA726D"/>
    <w:rsid w:val="00DA7459"/>
    <w:rsid w:val="00DA74AE"/>
    <w:rsid w:val="00DA76B4"/>
    <w:rsid w:val="00DA7E30"/>
    <w:rsid w:val="00DA7E35"/>
    <w:rsid w:val="00DA7EE6"/>
    <w:rsid w:val="00DA7F3E"/>
    <w:rsid w:val="00DB009C"/>
    <w:rsid w:val="00DB018F"/>
    <w:rsid w:val="00DB019B"/>
    <w:rsid w:val="00DB01CB"/>
    <w:rsid w:val="00DB04BE"/>
    <w:rsid w:val="00DB05A2"/>
    <w:rsid w:val="00DB05CE"/>
    <w:rsid w:val="00DB082B"/>
    <w:rsid w:val="00DB0A7D"/>
    <w:rsid w:val="00DB0BBF"/>
    <w:rsid w:val="00DB0DF3"/>
    <w:rsid w:val="00DB0FB1"/>
    <w:rsid w:val="00DB1119"/>
    <w:rsid w:val="00DB117B"/>
    <w:rsid w:val="00DB12A8"/>
    <w:rsid w:val="00DB1425"/>
    <w:rsid w:val="00DB1473"/>
    <w:rsid w:val="00DB16DF"/>
    <w:rsid w:val="00DB1722"/>
    <w:rsid w:val="00DB198A"/>
    <w:rsid w:val="00DB1B07"/>
    <w:rsid w:val="00DB1C5B"/>
    <w:rsid w:val="00DB1EF4"/>
    <w:rsid w:val="00DB2074"/>
    <w:rsid w:val="00DB21EF"/>
    <w:rsid w:val="00DB226D"/>
    <w:rsid w:val="00DB228D"/>
    <w:rsid w:val="00DB23C9"/>
    <w:rsid w:val="00DB26C4"/>
    <w:rsid w:val="00DB2A37"/>
    <w:rsid w:val="00DB2AAD"/>
    <w:rsid w:val="00DB2B92"/>
    <w:rsid w:val="00DB2E1C"/>
    <w:rsid w:val="00DB2EBB"/>
    <w:rsid w:val="00DB2F04"/>
    <w:rsid w:val="00DB3079"/>
    <w:rsid w:val="00DB30C5"/>
    <w:rsid w:val="00DB32B3"/>
    <w:rsid w:val="00DB34A2"/>
    <w:rsid w:val="00DB34CB"/>
    <w:rsid w:val="00DB3701"/>
    <w:rsid w:val="00DB3734"/>
    <w:rsid w:val="00DB37B8"/>
    <w:rsid w:val="00DB3984"/>
    <w:rsid w:val="00DB3C2C"/>
    <w:rsid w:val="00DB3E12"/>
    <w:rsid w:val="00DB4151"/>
    <w:rsid w:val="00DB46F4"/>
    <w:rsid w:val="00DB47AA"/>
    <w:rsid w:val="00DB496C"/>
    <w:rsid w:val="00DB4AB8"/>
    <w:rsid w:val="00DB4E8B"/>
    <w:rsid w:val="00DB4F28"/>
    <w:rsid w:val="00DB4F8A"/>
    <w:rsid w:val="00DB5479"/>
    <w:rsid w:val="00DB54E6"/>
    <w:rsid w:val="00DB5560"/>
    <w:rsid w:val="00DB5578"/>
    <w:rsid w:val="00DB5BD8"/>
    <w:rsid w:val="00DB5C1E"/>
    <w:rsid w:val="00DB5C23"/>
    <w:rsid w:val="00DB5EED"/>
    <w:rsid w:val="00DB60FC"/>
    <w:rsid w:val="00DB63FA"/>
    <w:rsid w:val="00DB640D"/>
    <w:rsid w:val="00DB64B4"/>
    <w:rsid w:val="00DB64DE"/>
    <w:rsid w:val="00DB64F3"/>
    <w:rsid w:val="00DB6605"/>
    <w:rsid w:val="00DB6756"/>
    <w:rsid w:val="00DB69AF"/>
    <w:rsid w:val="00DB69DD"/>
    <w:rsid w:val="00DB6C6C"/>
    <w:rsid w:val="00DB6DCF"/>
    <w:rsid w:val="00DB6FE8"/>
    <w:rsid w:val="00DB70A2"/>
    <w:rsid w:val="00DB70F3"/>
    <w:rsid w:val="00DB72B9"/>
    <w:rsid w:val="00DB74E6"/>
    <w:rsid w:val="00DB7597"/>
    <w:rsid w:val="00DB762E"/>
    <w:rsid w:val="00DB7C2C"/>
    <w:rsid w:val="00DB7CB6"/>
    <w:rsid w:val="00DB7E48"/>
    <w:rsid w:val="00DB7E65"/>
    <w:rsid w:val="00DC0018"/>
    <w:rsid w:val="00DC0316"/>
    <w:rsid w:val="00DC0317"/>
    <w:rsid w:val="00DC0708"/>
    <w:rsid w:val="00DC0C31"/>
    <w:rsid w:val="00DC1253"/>
    <w:rsid w:val="00DC1449"/>
    <w:rsid w:val="00DC1520"/>
    <w:rsid w:val="00DC165B"/>
    <w:rsid w:val="00DC16E9"/>
    <w:rsid w:val="00DC17DF"/>
    <w:rsid w:val="00DC1862"/>
    <w:rsid w:val="00DC1B83"/>
    <w:rsid w:val="00DC1D2F"/>
    <w:rsid w:val="00DC1D7C"/>
    <w:rsid w:val="00DC1E30"/>
    <w:rsid w:val="00DC206D"/>
    <w:rsid w:val="00DC2166"/>
    <w:rsid w:val="00DC23F9"/>
    <w:rsid w:val="00DC2400"/>
    <w:rsid w:val="00DC26BB"/>
    <w:rsid w:val="00DC272A"/>
    <w:rsid w:val="00DC298B"/>
    <w:rsid w:val="00DC2A99"/>
    <w:rsid w:val="00DC3082"/>
    <w:rsid w:val="00DC3163"/>
    <w:rsid w:val="00DC3413"/>
    <w:rsid w:val="00DC34E3"/>
    <w:rsid w:val="00DC36E4"/>
    <w:rsid w:val="00DC38D3"/>
    <w:rsid w:val="00DC3B06"/>
    <w:rsid w:val="00DC3CBE"/>
    <w:rsid w:val="00DC3CD9"/>
    <w:rsid w:val="00DC3E68"/>
    <w:rsid w:val="00DC3FFB"/>
    <w:rsid w:val="00DC4134"/>
    <w:rsid w:val="00DC4158"/>
    <w:rsid w:val="00DC41BD"/>
    <w:rsid w:val="00DC420A"/>
    <w:rsid w:val="00DC4221"/>
    <w:rsid w:val="00DC42E2"/>
    <w:rsid w:val="00DC42E3"/>
    <w:rsid w:val="00DC43FF"/>
    <w:rsid w:val="00DC47D8"/>
    <w:rsid w:val="00DC4877"/>
    <w:rsid w:val="00DC48C1"/>
    <w:rsid w:val="00DC4A17"/>
    <w:rsid w:val="00DC4B7B"/>
    <w:rsid w:val="00DC4BDF"/>
    <w:rsid w:val="00DC4DAE"/>
    <w:rsid w:val="00DC5113"/>
    <w:rsid w:val="00DC530B"/>
    <w:rsid w:val="00DC5422"/>
    <w:rsid w:val="00DC5A71"/>
    <w:rsid w:val="00DC5B4D"/>
    <w:rsid w:val="00DC5C12"/>
    <w:rsid w:val="00DC5C74"/>
    <w:rsid w:val="00DC5D21"/>
    <w:rsid w:val="00DC5EAC"/>
    <w:rsid w:val="00DC5EC9"/>
    <w:rsid w:val="00DC6147"/>
    <w:rsid w:val="00DC64C3"/>
    <w:rsid w:val="00DC6542"/>
    <w:rsid w:val="00DC659F"/>
    <w:rsid w:val="00DC6903"/>
    <w:rsid w:val="00DC6960"/>
    <w:rsid w:val="00DC6A9B"/>
    <w:rsid w:val="00DC6B7A"/>
    <w:rsid w:val="00DC6D2B"/>
    <w:rsid w:val="00DC73C0"/>
    <w:rsid w:val="00DC73EF"/>
    <w:rsid w:val="00DC77AE"/>
    <w:rsid w:val="00DC797D"/>
    <w:rsid w:val="00DC7D20"/>
    <w:rsid w:val="00DC7DA9"/>
    <w:rsid w:val="00DC7DF0"/>
    <w:rsid w:val="00DC7F27"/>
    <w:rsid w:val="00DC7F72"/>
    <w:rsid w:val="00DD0061"/>
    <w:rsid w:val="00DD0128"/>
    <w:rsid w:val="00DD01DA"/>
    <w:rsid w:val="00DD0393"/>
    <w:rsid w:val="00DD0A3B"/>
    <w:rsid w:val="00DD0B67"/>
    <w:rsid w:val="00DD0BED"/>
    <w:rsid w:val="00DD0CD7"/>
    <w:rsid w:val="00DD0FA2"/>
    <w:rsid w:val="00DD0FB9"/>
    <w:rsid w:val="00DD0FC8"/>
    <w:rsid w:val="00DD10EC"/>
    <w:rsid w:val="00DD11C3"/>
    <w:rsid w:val="00DD12C6"/>
    <w:rsid w:val="00DD1434"/>
    <w:rsid w:val="00DD15E8"/>
    <w:rsid w:val="00DD1655"/>
    <w:rsid w:val="00DD169C"/>
    <w:rsid w:val="00DD1CDF"/>
    <w:rsid w:val="00DD1E1C"/>
    <w:rsid w:val="00DD1E27"/>
    <w:rsid w:val="00DD2161"/>
    <w:rsid w:val="00DD2230"/>
    <w:rsid w:val="00DD22E7"/>
    <w:rsid w:val="00DD26C1"/>
    <w:rsid w:val="00DD2905"/>
    <w:rsid w:val="00DD2907"/>
    <w:rsid w:val="00DD298A"/>
    <w:rsid w:val="00DD29B8"/>
    <w:rsid w:val="00DD2AEB"/>
    <w:rsid w:val="00DD2CF8"/>
    <w:rsid w:val="00DD2E54"/>
    <w:rsid w:val="00DD2EF3"/>
    <w:rsid w:val="00DD3364"/>
    <w:rsid w:val="00DD33A9"/>
    <w:rsid w:val="00DD34BA"/>
    <w:rsid w:val="00DD36CF"/>
    <w:rsid w:val="00DD3BA1"/>
    <w:rsid w:val="00DD3BE6"/>
    <w:rsid w:val="00DD3D31"/>
    <w:rsid w:val="00DD3EF8"/>
    <w:rsid w:val="00DD3F84"/>
    <w:rsid w:val="00DD406F"/>
    <w:rsid w:val="00DD4105"/>
    <w:rsid w:val="00DD41DE"/>
    <w:rsid w:val="00DD44D3"/>
    <w:rsid w:val="00DD44E5"/>
    <w:rsid w:val="00DD45A3"/>
    <w:rsid w:val="00DD4655"/>
    <w:rsid w:val="00DD4B74"/>
    <w:rsid w:val="00DD4BF0"/>
    <w:rsid w:val="00DD4D6F"/>
    <w:rsid w:val="00DD4E16"/>
    <w:rsid w:val="00DD5036"/>
    <w:rsid w:val="00DD53E0"/>
    <w:rsid w:val="00DD55A6"/>
    <w:rsid w:val="00DD57A2"/>
    <w:rsid w:val="00DD5B2A"/>
    <w:rsid w:val="00DD5C08"/>
    <w:rsid w:val="00DD5C0A"/>
    <w:rsid w:val="00DD5CE6"/>
    <w:rsid w:val="00DD6038"/>
    <w:rsid w:val="00DD61CD"/>
    <w:rsid w:val="00DD639D"/>
    <w:rsid w:val="00DD63B1"/>
    <w:rsid w:val="00DD6459"/>
    <w:rsid w:val="00DD6897"/>
    <w:rsid w:val="00DD6A01"/>
    <w:rsid w:val="00DD6A31"/>
    <w:rsid w:val="00DD6B6B"/>
    <w:rsid w:val="00DD6C2B"/>
    <w:rsid w:val="00DD6D0B"/>
    <w:rsid w:val="00DD6DB8"/>
    <w:rsid w:val="00DD6DE9"/>
    <w:rsid w:val="00DD6E35"/>
    <w:rsid w:val="00DD6EC1"/>
    <w:rsid w:val="00DD6FE7"/>
    <w:rsid w:val="00DD7055"/>
    <w:rsid w:val="00DD70C7"/>
    <w:rsid w:val="00DD715B"/>
    <w:rsid w:val="00DD7304"/>
    <w:rsid w:val="00DD736C"/>
    <w:rsid w:val="00DD7399"/>
    <w:rsid w:val="00DD75BF"/>
    <w:rsid w:val="00DD75DF"/>
    <w:rsid w:val="00DD761D"/>
    <w:rsid w:val="00DD7620"/>
    <w:rsid w:val="00DD77AC"/>
    <w:rsid w:val="00DD79C8"/>
    <w:rsid w:val="00DD7B54"/>
    <w:rsid w:val="00DD7D3A"/>
    <w:rsid w:val="00DD7EAA"/>
    <w:rsid w:val="00DD7FF4"/>
    <w:rsid w:val="00DE00B3"/>
    <w:rsid w:val="00DE020D"/>
    <w:rsid w:val="00DE0219"/>
    <w:rsid w:val="00DE0252"/>
    <w:rsid w:val="00DE02BF"/>
    <w:rsid w:val="00DE05CB"/>
    <w:rsid w:val="00DE0A67"/>
    <w:rsid w:val="00DE0E60"/>
    <w:rsid w:val="00DE0EA2"/>
    <w:rsid w:val="00DE1116"/>
    <w:rsid w:val="00DE111A"/>
    <w:rsid w:val="00DE1287"/>
    <w:rsid w:val="00DE163D"/>
    <w:rsid w:val="00DE1666"/>
    <w:rsid w:val="00DE18FD"/>
    <w:rsid w:val="00DE197F"/>
    <w:rsid w:val="00DE1ABB"/>
    <w:rsid w:val="00DE1CEF"/>
    <w:rsid w:val="00DE1F3F"/>
    <w:rsid w:val="00DE211C"/>
    <w:rsid w:val="00DE2164"/>
    <w:rsid w:val="00DE21B9"/>
    <w:rsid w:val="00DE223D"/>
    <w:rsid w:val="00DE23E6"/>
    <w:rsid w:val="00DE257D"/>
    <w:rsid w:val="00DE2953"/>
    <w:rsid w:val="00DE2978"/>
    <w:rsid w:val="00DE2A81"/>
    <w:rsid w:val="00DE2BAE"/>
    <w:rsid w:val="00DE2E16"/>
    <w:rsid w:val="00DE3031"/>
    <w:rsid w:val="00DE3055"/>
    <w:rsid w:val="00DE3248"/>
    <w:rsid w:val="00DE3373"/>
    <w:rsid w:val="00DE3670"/>
    <w:rsid w:val="00DE3A39"/>
    <w:rsid w:val="00DE3A61"/>
    <w:rsid w:val="00DE3CC0"/>
    <w:rsid w:val="00DE3D8F"/>
    <w:rsid w:val="00DE3E4B"/>
    <w:rsid w:val="00DE3E57"/>
    <w:rsid w:val="00DE3E5D"/>
    <w:rsid w:val="00DE3E7D"/>
    <w:rsid w:val="00DE3FFD"/>
    <w:rsid w:val="00DE42BF"/>
    <w:rsid w:val="00DE42DA"/>
    <w:rsid w:val="00DE4401"/>
    <w:rsid w:val="00DE4444"/>
    <w:rsid w:val="00DE445E"/>
    <w:rsid w:val="00DE4874"/>
    <w:rsid w:val="00DE4C38"/>
    <w:rsid w:val="00DE4E66"/>
    <w:rsid w:val="00DE4EF2"/>
    <w:rsid w:val="00DE4FA5"/>
    <w:rsid w:val="00DE533B"/>
    <w:rsid w:val="00DE53DD"/>
    <w:rsid w:val="00DE5455"/>
    <w:rsid w:val="00DE576F"/>
    <w:rsid w:val="00DE5795"/>
    <w:rsid w:val="00DE591E"/>
    <w:rsid w:val="00DE5C14"/>
    <w:rsid w:val="00DE5C41"/>
    <w:rsid w:val="00DE5FC8"/>
    <w:rsid w:val="00DE60AA"/>
    <w:rsid w:val="00DE615E"/>
    <w:rsid w:val="00DE6367"/>
    <w:rsid w:val="00DE637F"/>
    <w:rsid w:val="00DE6A03"/>
    <w:rsid w:val="00DE6A93"/>
    <w:rsid w:val="00DE6F4B"/>
    <w:rsid w:val="00DE6FF7"/>
    <w:rsid w:val="00DE7178"/>
    <w:rsid w:val="00DE7371"/>
    <w:rsid w:val="00DE7408"/>
    <w:rsid w:val="00DE7822"/>
    <w:rsid w:val="00DE782C"/>
    <w:rsid w:val="00DE79EA"/>
    <w:rsid w:val="00DE7DE8"/>
    <w:rsid w:val="00DF034A"/>
    <w:rsid w:val="00DF06BA"/>
    <w:rsid w:val="00DF06BE"/>
    <w:rsid w:val="00DF0929"/>
    <w:rsid w:val="00DF0945"/>
    <w:rsid w:val="00DF09F5"/>
    <w:rsid w:val="00DF0AD1"/>
    <w:rsid w:val="00DF0D73"/>
    <w:rsid w:val="00DF0E4F"/>
    <w:rsid w:val="00DF0F42"/>
    <w:rsid w:val="00DF0FB5"/>
    <w:rsid w:val="00DF1043"/>
    <w:rsid w:val="00DF150B"/>
    <w:rsid w:val="00DF184B"/>
    <w:rsid w:val="00DF1988"/>
    <w:rsid w:val="00DF1A33"/>
    <w:rsid w:val="00DF1BB0"/>
    <w:rsid w:val="00DF1E8F"/>
    <w:rsid w:val="00DF202F"/>
    <w:rsid w:val="00DF21BD"/>
    <w:rsid w:val="00DF21F4"/>
    <w:rsid w:val="00DF2464"/>
    <w:rsid w:val="00DF263B"/>
    <w:rsid w:val="00DF2767"/>
    <w:rsid w:val="00DF27C0"/>
    <w:rsid w:val="00DF28D5"/>
    <w:rsid w:val="00DF2A19"/>
    <w:rsid w:val="00DF2AF7"/>
    <w:rsid w:val="00DF2B2A"/>
    <w:rsid w:val="00DF2B7F"/>
    <w:rsid w:val="00DF2DC6"/>
    <w:rsid w:val="00DF2E6D"/>
    <w:rsid w:val="00DF2EF1"/>
    <w:rsid w:val="00DF2F14"/>
    <w:rsid w:val="00DF3437"/>
    <w:rsid w:val="00DF345A"/>
    <w:rsid w:val="00DF351A"/>
    <w:rsid w:val="00DF3919"/>
    <w:rsid w:val="00DF3AD7"/>
    <w:rsid w:val="00DF3FF4"/>
    <w:rsid w:val="00DF4146"/>
    <w:rsid w:val="00DF4168"/>
    <w:rsid w:val="00DF421B"/>
    <w:rsid w:val="00DF4288"/>
    <w:rsid w:val="00DF4291"/>
    <w:rsid w:val="00DF4507"/>
    <w:rsid w:val="00DF4542"/>
    <w:rsid w:val="00DF4554"/>
    <w:rsid w:val="00DF45C0"/>
    <w:rsid w:val="00DF46DE"/>
    <w:rsid w:val="00DF487D"/>
    <w:rsid w:val="00DF4899"/>
    <w:rsid w:val="00DF49D4"/>
    <w:rsid w:val="00DF4B19"/>
    <w:rsid w:val="00DF4BA2"/>
    <w:rsid w:val="00DF5118"/>
    <w:rsid w:val="00DF51AB"/>
    <w:rsid w:val="00DF52A4"/>
    <w:rsid w:val="00DF5331"/>
    <w:rsid w:val="00DF5407"/>
    <w:rsid w:val="00DF541B"/>
    <w:rsid w:val="00DF5871"/>
    <w:rsid w:val="00DF5890"/>
    <w:rsid w:val="00DF5947"/>
    <w:rsid w:val="00DF5E41"/>
    <w:rsid w:val="00DF61BA"/>
    <w:rsid w:val="00DF63B6"/>
    <w:rsid w:val="00DF6613"/>
    <w:rsid w:val="00DF68F9"/>
    <w:rsid w:val="00DF6B16"/>
    <w:rsid w:val="00DF7086"/>
    <w:rsid w:val="00DF7653"/>
    <w:rsid w:val="00DF76D8"/>
    <w:rsid w:val="00DF77D6"/>
    <w:rsid w:val="00DF78D9"/>
    <w:rsid w:val="00DF78E2"/>
    <w:rsid w:val="00DF790A"/>
    <w:rsid w:val="00DF7A40"/>
    <w:rsid w:val="00DF7E4A"/>
    <w:rsid w:val="00DF7E4D"/>
    <w:rsid w:val="00E001C6"/>
    <w:rsid w:val="00E003C2"/>
    <w:rsid w:val="00E004F2"/>
    <w:rsid w:val="00E005FC"/>
    <w:rsid w:val="00E0064B"/>
    <w:rsid w:val="00E0073C"/>
    <w:rsid w:val="00E009D2"/>
    <w:rsid w:val="00E00B06"/>
    <w:rsid w:val="00E00B1F"/>
    <w:rsid w:val="00E00C13"/>
    <w:rsid w:val="00E00C2A"/>
    <w:rsid w:val="00E00D9F"/>
    <w:rsid w:val="00E00E01"/>
    <w:rsid w:val="00E00F73"/>
    <w:rsid w:val="00E010CF"/>
    <w:rsid w:val="00E01402"/>
    <w:rsid w:val="00E0169D"/>
    <w:rsid w:val="00E01757"/>
    <w:rsid w:val="00E01AE2"/>
    <w:rsid w:val="00E01B46"/>
    <w:rsid w:val="00E01D79"/>
    <w:rsid w:val="00E01DC6"/>
    <w:rsid w:val="00E01ECD"/>
    <w:rsid w:val="00E01F4F"/>
    <w:rsid w:val="00E020D3"/>
    <w:rsid w:val="00E02388"/>
    <w:rsid w:val="00E023B5"/>
    <w:rsid w:val="00E025C8"/>
    <w:rsid w:val="00E027C5"/>
    <w:rsid w:val="00E02936"/>
    <w:rsid w:val="00E02A75"/>
    <w:rsid w:val="00E02DB4"/>
    <w:rsid w:val="00E03112"/>
    <w:rsid w:val="00E032B0"/>
    <w:rsid w:val="00E032E6"/>
    <w:rsid w:val="00E0340B"/>
    <w:rsid w:val="00E03588"/>
    <w:rsid w:val="00E036C5"/>
    <w:rsid w:val="00E0379E"/>
    <w:rsid w:val="00E0385A"/>
    <w:rsid w:val="00E03893"/>
    <w:rsid w:val="00E03A28"/>
    <w:rsid w:val="00E03A59"/>
    <w:rsid w:val="00E03A93"/>
    <w:rsid w:val="00E03CAB"/>
    <w:rsid w:val="00E03DBA"/>
    <w:rsid w:val="00E03F53"/>
    <w:rsid w:val="00E04185"/>
    <w:rsid w:val="00E04399"/>
    <w:rsid w:val="00E04428"/>
    <w:rsid w:val="00E045C0"/>
    <w:rsid w:val="00E049A6"/>
    <w:rsid w:val="00E04B11"/>
    <w:rsid w:val="00E04B2B"/>
    <w:rsid w:val="00E04C9F"/>
    <w:rsid w:val="00E04E5B"/>
    <w:rsid w:val="00E04E82"/>
    <w:rsid w:val="00E04F7D"/>
    <w:rsid w:val="00E05266"/>
    <w:rsid w:val="00E052FB"/>
    <w:rsid w:val="00E05468"/>
    <w:rsid w:val="00E0549C"/>
    <w:rsid w:val="00E0566A"/>
    <w:rsid w:val="00E0568E"/>
    <w:rsid w:val="00E0588D"/>
    <w:rsid w:val="00E058E3"/>
    <w:rsid w:val="00E058FD"/>
    <w:rsid w:val="00E059C0"/>
    <w:rsid w:val="00E05A24"/>
    <w:rsid w:val="00E05C62"/>
    <w:rsid w:val="00E05E27"/>
    <w:rsid w:val="00E06289"/>
    <w:rsid w:val="00E06548"/>
    <w:rsid w:val="00E0660D"/>
    <w:rsid w:val="00E0665E"/>
    <w:rsid w:val="00E06AC0"/>
    <w:rsid w:val="00E06D68"/>
    <w:rsid w:val="00E06DD1"/>
    <w:rsid w:val="00E06F62"/>
    <w:rsid w:val="00E0701B"/>
    <w:rsid w:val="00E07091"/>
    <w:rsid w:val="00E070C4"/>
    <w:rsid w:val="00E07535"/>
    <w:rsid w:val="00E07543"/>
    <w:rsid w:val="00E07804"/>
    <w:rsid w:val="00E079DA"/>
    <w:rsid w:val="00E07E49"/>
    <w:rsid w:val="00E07F5D"/>
    <w:rsid w:val="00E07FC3"/>
    <w:rsid w:val="00E10008"/>
    <w:rsid w:val="00E10101"/>
    <w:rsid w:val="00E10122"/>
    <w:rsid w:val="00E1026A"/>
    <w:rsid w:val="00E102F5"/>
    <w:rsid w:val="00E103F0"/>
    <w:rsid w:val="00E1040B"/>
    <w:rsid w:val="00E10695"/>
    <w:rsid w:val="00E10D83"/>
    <w:rsid w:val="00E10E91"/>
    <w:rsid w:val="00E1110C"/>
    <w:rsid w:val="00E1158D"/>
    <w:rsid w:val="00E11975"/>
    <w:rsid w:val="00E119D8"/>
    <w:rsid w:val="00E11DCA"/>
    <w:rsid w:val="00E11ED1"/>
    <w:rsid w:val="00E12282"/>
    <w:rsid w:val="00E124CB"/>
    <w:rsid w:val="00E125B2"/>
    <w:rsid w:val="00E12FC7"/>
    <w:rsid w:val="00E12FEC"/>
    <w:rsid w:val="00E13127"/>
    <w:rsid w:val="00E13175"/>
    <w:rsid w:val="00E133AF"/>
    <w:rsid w:val="00E1376F"/>
    <w:rsid w:val="00E138E3"/>
    <w:rsid w:val="00E13941"/>
    <w:rsid w:val="00E13B4C"/>
    <w:rsid w:val="00E13B94"/>
    <w:rsid w:val="00E13B9C"/>
    <w:rsid w:val="00E13C4D"/>
    <w:rsid w:val="00E14295"/>
    <w:rsid w:val="00E1438E"/>
    <w:rsid w:val="00E14927"/>
    <w:rsid w:val="00E14AF9"/>
    <w:rsid w:val="00E14B3D"/>
    <w:rsid w:val="00E14D0E"/>
    <w:rsid w:val="00E150F4"/>
    <w:rsid w:val="00E1519F"/>
    <w:rsid w:val="00E151FD"/>
    <w:rsid w:val="00E15343"/>
    <w:rsid w:val="00E15478"/>
    <w:rsid w:val="00E1566D"/>
    <w:rsid w:val="00E15D16"/>
    <w:rsid w:val="00E15FFF"/>
    <w:rsid w:val="00E164ED"/>
    <w:rsid w:val="00E16796"/>
    <w:rsid w:val="00E16DC4"/>
    <w:rsid w:val="00E16DF6"/>
    <w:rsid w:val="00E16E80"/>
    <w:rsid w:val="00E170E4"/>
    <w:rsid w:val="00E1719D"/>
    <w:rsid w:val="00E1724E"/>
    <w:rsid w:val="00E174C6"/>
    <w:rsid w:val="00E17563"/>
    <w:rsid w:val="00E17586"/>
    <w:rsid w:val="00E1770D"/>
    <w:rsid w:val="00E177A1"/>
    <w:rsid w:val="00E1781E"/>
    <w:rsid w:val="00E17BC2"/>
    <w:rsid w:val="00E17EAE"/>
    <w:rsid w:val="00E200CB"/>
    <w:rsid w:val="00E20161"/>
    <w:rsid w:val="00E20685"/>
    <w:rsid w:val="00E206FE"/>
    <w:rsid w:val="00E20D56"/>
    <w:rsid w:val="00E20E3F"/>
    <w:rsid w:val="00E20F91"/>
    <w:rsid w:val="00E20FC5"/>
    <w:rsid w:val="00E21110"/>
    <w:rsid w:val="00E2145D"/>
    <w:rsid w:val="00E21585"/>
    <w:rsid w:val="00E21603"/>
    <w:rsid w:val="00E216A4"/>
    <w:rsid w:val="00E21E75"/>
    <w:rsid w:val="00E21F36"/>
    <w:rsid w:val="00E21F5C"/>
    <w:rsid w:val="00E21FBA"/>
    <w:rsid w:val="00E22228"/>
    <w:rsid w:val="00E22364"/>
    <w:rsid w:val="00E227F6"/>
    <w:rsid w:val="00E22921"/>
    <w:rsid w:val="00E22AA3"/>
    <w:rsid w:val="00E22AEA"/>
    <w:rsid w:val="00E22C0E"/>
    <w:rsid w:val="00E22DAE"/>
    <w:rsid w:val="00E22E39"/>
    <w:rsid w:val="00E22ED3"/>
    <w:rsid w:val="00E2332E"/>
    <w:rsid w:val="00E2364E"/>
    <w:rsid w:val="00E2389E"/>
    <w:rsid w:val="00E2395E"/>
    <w:rsid w:val="00E23B16"/>
    <w:rsid w:val="00E23D64"/>
    <w:rsid w:val="00E23DF4"/>
    <w:rsid w:val="00E2403E"/>
    <w:rsid w:val="00E240FE"/>
    <w:rsid w:val="00E24221"/>
    <w:rsid w:val="00E24575"/>
    <w:rsid w:val="00E246AA"/>
    <w:rsid w:val="00E24739"/>
    <w:rsid w:val="00E24745"/>
    <w:rsid w:val="00E247C6"/>
    <w:rsid w:val="00E24899"/>
    <w:rsid w:val="00E249D1"/>
    <w:rsid w:val="00E24A7A"/>
    <w:rsid w:val="00E25091"/>
    <w:rsid w:val="00E250F0"/>
    <w:rsid w:val="00E2516A"/>
    <w:rsid w:val="00E252A8"/>
    <w:rsid w:val="00E25308"/>
    <w:rsid w:val="00E25423"/>
    <w:rsid w:val="00E25435"/>
    <w:rsid w:val="00E254D0"/>
    <w:rsid w:val="00E256D9"/>
    <w:rsid w:val="00E257A5"/>
    <w:rsid w:val="00E2587E"/>
    <w:rsid w:val="00E258F8"/>
    <w:rsid w:val="00E25A65"/>
    <w:rsid w:val="00E25A6B"/>
    <w:rsid w:val="00E25A9F"/>
    <w:rsid w:val="00E25BA9"/>
    <w:rsid w:val="00E25BB2"/>
    <w:rsid w:val="00E25C1B"/>
    <w:rsid w:val="00E25CB0"/>
    <w:rsid w:val="00E25CC3"/>
    <w:rsid w:val="00E25D55"/>
    <w:rsid w:val="00E25D89"/>
    <w:rsid w:val="00E25E20"/>
    <w:rsid w:val="00E25EBA"/>
    <w:rsid w:val="00E261A4"/>
    <w:rsid w:val="00E26454"/>
    <w:rsid w:val="00E26476"/>
    <w:rsid w:val="00E26477"/>
    <w:rsid w:val="00E2650A"/>
    <w:rsid w:val="00E26570"/>
    <w:rsid w:val="00E26590"/>
    <w:rsid w:val="00E2685C"/>
    <w:rsid w:val="00E26A10"/>
    <w:rsid w:val="00E26C11"/>
    <w:rsid w:val="00E26D85"/>
    <w:rsid w:val="00E270D2"/>
    <w:rsid w:val="00E27222"/>
    <w:rsid w:val="00E2736E"/>
    <w:rsid w:val="00E27554"/>
    <w:rsid w:val="00E27662"/>
    <w:rsid w:val="00E27936"/>
    <w:rsid w:val="00E27A08"/>
    <w:rsid w:val="00E27B0D"/>
    <w:rsid w:val="00E27CC1"/>
    <w:rsid w:val="00E301F0"/>
    <w:rsid w:val="00E303D3"/>
    <w:rsid w:val="00E30455"/>
    <w:rsid w:val="00E3081C"/>
    <w:rsid w:val="00E30A52"/>
    <w:rsid w:val="00E30B90"/>
    <w:rsid w:val="00E30D30"/>
    <w:rsid w:val="00E30DAC"/>
    <w:rsid w:val="00E30E08"/>
    <w:rsid w:val="00E31145"/>
    <w:rsid w:val="00E3122E"/>
    <w:rsid w:val="00E31810"/>
    <w:rsid w:val="00E31838"/>
    <w:rsid w:val="00E31960"/>
    <w:rsid w:val="00E319CF"/>
    <w:rsid w:val="00E31C2F"/>
    <w:rsid w:val="00E31D7E"/>
    <w:rsid w:val="00E31E0D"/>
    <w:rsid w:val="00E32197"/>
    <w:rsid w:val="00E32413"/>
    <w:rsid w:val="00E32434"/>
    <w:rsid w:val="00E32510"/>
    <w:rsid w:val="00E32766"/>
    <w:rsid w:val="00E3276B"/>
    <w:rsid w:val="00E32788"/>
    <w:rsid w:val="00E32A04"/>
    <w:rsid w:val="00E32B1B"/>
    <w:rsid w:val="00E32C59"/>
    <w:rsid w:val="00E32D48"/>
    <w:rsid w:val="00E32EA0"/>
    <w:rsid w:val="00E32EB6"/>
    <w:rsid w:val="00E32FD0"/>
    <w:rsid w:val="00E33018"/>
    <w:rsid w:val="00E33243"/>
    <w:rsid w:val="00E33407"/>
    <w:rsid w:val="00E3340B"/>
    <w:rsid w:val="00E337DD"/>
    <w:rsid w:val="00E33876"/>
    <w:rsid w:val="00E3389C"/>
    <w:rsid w:val="00E3393C"/>
    <w:rsid w:val="00E33A15"/>
    <w:rsid w:val="00E33BD1"/>
    <w:rsid w:val="00E33E18"/>
    <w:rsid w:val="00E33E2D"/>
    <w:rsid w:val="00E33EB0"/>
    <w:rsid w:val="00E33EF5"/>
    <w:rsid w:val="00E33F7B"/>
    <w:rsid w:val="00E34406"/>
    <w:rsid w:val="00E3446A"/>
    <w:rsid w:val="00E344EE"/>
    <w:rsid w:val="00E34738"/>
    <w:rsid w:val="00E3474A"/>
    <w:rsid w:val="00E347A7"/>
    <w:rsid w:val="00E348E8"/>
    <w:rsid w:val="00E34AFD"/>
    <w:rsid w:val="00E34B1A"/>
    <w:rsid w:val="00E34B3A"/>
    <w:rsid w:val="00E34F89"/>
    <w:rsid w:val="00E34FC3"/>
    <w:rsid w:val="00E34FF4"/>
    <w:rsid w:val="00E350A7"/>
    <w:rsid w:val="00E351C4"/>
    <w:rsid w:val="00E3536B"/>
    <w:rsid w:val="00E35B2D"/>
    <w:rsid w:val="00E35F17"/>
    <w:rsid w:val="00E35F74"/>
    <w:rsid w:val="00E36573"/>
    <w:rsid w:val="00E36680"/>
    <w:rsid w:val="00E366FA"/>
    <w:rsid w:val="00E36723"/>
    <w:rsid w:val="00E3676B"/>
    <w:rsid w:val="00E368DB"/>
    <w:rsid w:val="00E36B0F"/>
    <w:rsid w:val="00E36B14"/>
    <w:rsid w:val="00E36D28"/>
    <w:rsid w:val="00E37372"/>
    <w:rsid w:val="00E373A1"/>
    <w:rsid w:val="00E37AD1"/>
    <w:rsid w:val="00E37EDB"/>
    <w:rsid w:val="00E40054"/>
    <w:rsid w:val="00E40270"/>
    <w:rsid w:val="00E40313"/>
    <w:rsid w:val="00E4045B"/>
    <w:rsid w:val="00E4048E"/>
    <w:rsid w:val="00E4062C"/>
    <w:rsid w:val="00E406A7"/>
    <w:rsid w:val="00E40B25"/>
    <w:rsid w:val="00E40C2C"/>
    <w:rsid w:val="00E40ECF"/>
    <w:rsid w:val="00E40F30"/>
    <w:rsid w:val="00E40F54"/>
    <w:rsid w:val="00E40FF8"/>
    <w:rsid w:val="00E412CF"/>
    <w:rsid w:val="00E412E1"/>
    <w:rsid w:val="00E41564"/>
    <w:rsid w:val="00E41611"/>
    <w:rsid w:val="00E41921"/>
    <w:rsid w:val="00E42245"/>
    <w:rsid w:val="00E4235C"/>
    <w:rsid w:val="00E42384"/>
    <w:rsid w:val="00E42425"/>
    <w:rsid w:val="00E425D5"/>
    <w:rsid w:val="00E42674"/>
    <w:rsid w:val="00E42676"/>
    <w:rsid w:val="00E42716"/>
    <w:rsid w:val="00E4278F"/>
    <w:rsid w:val="00E42806"/>
    <w:rsid w:val="00E428D1"/>
    <w:rsid w:val="00E4293D"/>
    <w:rsid w:val="00E429C6"/>
    <w:rsid w:val="00E42CCC"/>
    <w:rsid w:val="00E42D96"/>
    <w:rsid w:val="00E43081"/>
    <w:rsid w:val="00E430C7"/>
    <w:rsid w:val="00E43260"/>
    <w:rsid w:val="00E4331E"/>
    <w:rsid w:val="00E43334"/>
    <w:rsid w:val="00E43393"/>
    <w:rsid w:val="00E433B0"/>
    <w:rsid w:val="00E434D4"/>
    <w:rsid w:val="00E43520"/>
    <w:rsid w:val="00E435AB"/>
    <w:rsid w:val="00E43625"/>
    <w:rsid w:val="00E4364A"/>
    <w:rsid w:val="00E43838"/>
    <w:rsid w:val="00E439F9"/>
    <w:rsid w:val="00E43A01"/>
    <w:rsid w:val="00E43D67"/>
    <w:rsid w:val="00E43F68"/>
    <w:rsid w:val="00E43FFF"/>
    <w:rsid w:val="00E4448A"/>
    <w:rsid w:val="00E445EA"/>
    <w:rsid w:val="00E44694"/>
    <w:rsid w:val="00E44A56"/>
    <w:rsid w:val="00E44DD5"/>
    <w:rsid w:val="00E44EE6"/>
    <w:rsid w:val="00E4511C"/>
    <w:rsid w:val="00E45358"/>
    <w:rsid w:val="00E453D4"/>
    <w:rsid w:val="00E458B0"/>
    <w:rsid w:val="00E45966"/>
    <w:rsid w:val="00E4597A"/>
    <w:rsid w:val="00E45A63"/>
    <w:rsid w:val="00E45AF3"/>
    <w:rsid w:val="00E45C8B"/>
    <w:rsid w:val="00E45D6B"/>
    <w:rsid w:val="00E45DF2"/>
    <w:rsid w:val="00E45F2F"/>
    <w:rsid w:val="00E460AB"/>
    <w:rsid w:val="00E46495"/>
    <w:rsid w:val="00E4650D"/>
    <w:rsid w:val="00E465F5"/>
    <w:rsid w:val="00E46694"/>
    <w:rsid w:val="00E4688C"/>
    <w:rsid w:val="00E46B45"/>
    <w:rsid w:val="00E46C98"/>
    <w:rsid w:val="00E46ECD"/>
    <w:rsid w:val="00E472B7"/>
    <w:rsid w:val="00E4744C"/>
    <w:rsid w:val="00E474C7"/>
    <w:rsid w:val="00E4754A"/>
    <w:rsid w:val="00E475EC"/>
    <w:rsid w:val="00E476D5"/>
    <w:rsid w:val="00E477DD"/>
    <w:rsid w:val="00E4797E"/>
    <w:rsid w:val="00E47C54"/>
    <w:rsid w:val="00E50047"/>
    <w:rsid w:val="00E501DB"/>
    <w:rsid w:val="00E50218"/>
    <w:rsid w:val="00E50272"/>
    <w:rsid w:val="00E50428"/>
    <w:rsid w:val="00E50538"/>
    <w:rsid w:val="00E50543"/>
    <w:rsid w:val="00E5054B"/>
    <w:rsid w:val="00E505C3"/>
    <w:rsid w:val="00E506BE"/>
    <w:rsid w:val="00E507BE"/>
    <w:rsid w:val="00E5084F"/>
    <w:rsid w:val="00E50995"/>
    <w:rsid w:val="00E509C6"/>
    <w:rsid w:val="00E50BBF"/>
    <w:rsid w:val="00E50CFF"/>
    <w:rsid w:val="00E50E19"/>
    <w:rsid w:val="00E50E32"/>
    <w:rsid w:val="00E51307"/>
    <w:rsid w:val="00E5176C"/>
    <w:rsid w:val="00E517EE"/>
    <w:rsid w:val="00E51A0E"/>
    <w:rsid w:val="00E51B20"/>
    <w:rsid w:val="00E51DC9"/>
    <w:rsid w:val="00E51E1D"/>
    <w:rsid w:val="00E521E7"/>
    <w:rsid w:val="00E52208"/>
    <w:rsid w:val="00E52257"/>
    <w:rsid w:val="00E526FD"/>
    <w:rsid w:val="00E527E5"/>
    <w:rsid w:val="00E52A6B"/>
    <w:rsid w:val="00E52AE3"/>
    <w:rsid w:val="00E52AF4"/>
    <w:rsid w:val="00E52B31"/>
    <w:rsid w:val="00E52BA9"/>
    <w:rsid w:val="00E52C7A"/>
    <w:rsid w:val="00E52C9E"/>
    <w:rsid w:val="00E52CCC"/>
    <w:rsid w:val="00E52ED6"/>
    <w:rsid w:val="00E530CA"/>
    <w:rsid w:val="00E53721"/>
    <w:rsid w:val="00E53995"/>
    <w:rsid w:val="00E539E8"/>
    <w:rsid w:val="00E53CFD"/>
    <w:rsid w:val="00E53D42"/>
    <w:rsid w:val="00E53DC4"/>
    <w:rsid w:val="00E53ED2"/>
    <w:rsid w:val="00E53F81"/>
    <w:rsid w:val="00E5404A"/>
    <w:rsid w:val="00E54308"/>
    <w:rsid w:val="00E543B3"/>
    <w:rsid w:val="00E54440"/>
    <w:rsid w:val="00E54595"/>
    <w:rsid w:val="00E5470B"/>
    <w:rsid w:val="00E547F4"/>
    <w:rsid w:val="00E5480D"/>
    <w:rsid w:val="00E54863"/>
    <w:rsid w:val="00E54989"/>
    <w:rsid w:val="00E54A77"/>
    <w:rsid w:val="00E54B43"/>
    <w:rsid w:val="00E54DE1"/>
    <w:rsid w:val="00E54FB6"/>
    <w:rsid w:val="00E5501A"/>
    <w:rsid w:val="00E550A1"/>
    <w:rsid w:val="00E55940"/>
    <w:rsid w:val="00E55973"/>
    <w:rsid w:val="00E55A4D"/>
    <w:rsid w:val="00E55D31"/>
    <w:rsid w:val="00E55E63"/>
    <w:rsid w:val="00E55F83"/>
    <w:rsid w:val="00E55FDE"/>
    <w:rsid w:val="00E56254"/>
    <w:rsid w:val="00E566DF"/>
    <w:rsid w:val="00E56933"/>
    <w:rsid w:val="00E56A38"/>
    <w:rsid w:val="00E56E75"/>
    <w:rsid w:val="00E57002"/>
    <w:rsid w:val="00E5706D"/>
    <w:rsid w:val="00E573E9"/>
    <w:rsid w:val="00E57B18"/>
    <w:rsid w:val="00E57CFE"/>
    <w:rsid w:val="00E57EE7"/>
    <w:rsid w:val="00E57FEA"/>
    <w:rsid w:val="00E600A9"/>
    <w:rsid w:val="00E6010B"/>
    <w:rsid w:val="00E6016B"/>
    <w:rsid w:val="00E60254"/>
    <w:rsid w:val="00E602B9"/>
    <w:rsid w:val="00E60820"/>
    <w:rsid w:val="00E60949"/>
    <w:rsid w:val="00E60CEA"/>
    <w:rsid w:val="00E60D7A"/>
    <w:rsid w:val="00E60EEC"/>
    <w:rsid w:val="00E6101C"/>
    <w:rsid w:val="00E611F3"/>
    <w:rsid w:val="00E61236"/>
    <w:rsid w:val="00E6133E"/>
    <w:rsid w:val="00E61618"/>
    <w:rsid w:val="00E61685"/>
    <w:rsid w:val="00E61842"/>
    <w:rsid w:val="00E61A64"/>
    <w:rsid w:val="00E61AC9"/>
    <w:rsid w:val="00E61C0F"/>
    <w:rsid w:val="00E61C17"/>
    <w:rsid w:val="00E61C22"/>
    <w:rsid w:val="00E61CC9"/>
    <w:rsid w:val="00E61DE5"/>
    <w:rsid w:val="00E6219E"/>
    <w:rsid w:val="00E62371"/>
    <w:rsid w:val="00E623C9"/>
    <w:rsid w:val="00E628EA"/>
    <w:rsid w:val="00E62B03"/>
    <w:rsid w:val="00E62B20"/>
    <w:rsid w:val="00E62C2F"/>
    <w:rsid w:val="00E62C37"/>
    <w:rsid w:val="00E62D39"/>
    <w:rsid w:val="00E62E42"/>
    <w:rsid w:val="00E62E84"/>
    <w:rsid w:val="00E62EE9"/>
    <w:rsid w:val="00E63309"/>
    <w:rsid w:val="00E6339E"/>
    <w:rsid w:val="00E634DC"/>
    <w:rsid w:val="00E63694"/>
    <w:rsid w:val="00E63833"/>
    <w:rsid w:val="00E63B57"/>
    <w:rsid w:val="00E63D1A"/>
    <w:rsid w:val="00E63D6D"/>
    <w:rsid w:val="00E63DB9"/>
    <w:rsid w:val="00E63EFD"/>
    <w:rsid w:val="00E63F03"/>
    <w:rsid w:val="00E642C5"/>
    <w:rsid w:val="00E64344"/>
    <w:rsid w:val="00E64674"/>
    <w:rsid w:val="00E649FA"/>
    <w:rsid w:val="00E64AC5"/>
    <w:rsid w:val="00E64C0B"/>
    <w:rsid w:val="00E64D63"/>
    <w:rsid w:val="00E64EA8"/>
    <w:rsid w:val="00E6511A"/>
    <w:rsid w:val="00E65141"/>
    <w:rsid w:val="00E6533D"/>
    <w:rsid w:val="00E6547C"/>
    <w:rsid w:val="00E655A4"/>
    <w:rsid w:val="00E65981"/>
    <w:rsid w:val="00E65F0A"/>
    <w:rsid w:val="00E65FEF"/>
    <w:rsid w:val="00E66119"/>
    <w:rsid w:val="00E66236"/>
    <w:rsid w:val="00E66609"/>
    <w:rsid w:val="00E66667"/>
    <w:rsid w:val="00E666DB"/>
    <w:rsid w:val="00E66764"/>
    <w:rsid w:val="00E669A5"/>
    <w:rsid w:val="00E66B48"/>
    <w:rsid w:val="00E673A9"/>
    <w:rsid w:val="00E675EE"/>
    <w:rsid w:val="00E6794B"/>
    <w:rsid w:val="00E67962"/>
    <w:rsid w:val="00E679DF"/>
    <w:rsid w:val="00E67B67"/>
    <w:rsid w:val="00E67BD2"/>
    <w:rsid w:val="00E67C4C"/>
    <w:rsid w:val="00E67E0C"/>
    <w:rsid w:val="00E67FB5"/>
    <w:rsid w:val="00E700A4"/>
    <w:rsid w:val="00E704C7"/>
    <w:rsid w:val="00E705D3"/>
    <w:rsid w:val="00E706AE"/>
    <w:rsid w:val="00E706F3"/>
    <w:rsid w:val="00E709A8"/>
    <w:rsid w:val="00E70ADB"/>
    <w:rsid w:val="00E70FD5"/>
    <w:rsid w:val="00E7108F"/>
    <w:rsid w:val="00E7186F"/>
    <w:rsid w:val="00E71923"/>
    <w:rsid w:val="00E71A9B"/>
    <w:rsid w:val="00E71D65"/>
    <w:rsid w:val="00E71D7A"/>
    <w:rsid w:val="00E71E9C"/>
    <w:rsid w:val="00E71F1E"/>
    <w:rsid w:val="00E720D9"/>
    <w:rsid w:val="00E72105"/>
    <w:rsid w:val="00E721B7"/>
    <w:rsid w:val="00E7236A"/>
    <w:rsid w:val="00E7242B"/>
    <w:rsid w:val="00E724C3"/>
    <w:rsid w:val="00E72708"/>
    <w:rsid w:val="00E728EF"/>
    <w:rsid w:val="00E72953"/>
    <w:rsid w:val="00E72D71"/>
    <w:rsid w:val="00E72F2D"/>
    <w:rsid w:val="00E72F31"/>
    <w:rsid w:val="00E7304D"/>
    <w:rsid w:val="00E7393E"/>
    <w:rsid w:val="00E739F1"/>
    <w:rsid w:val="00E73D47"/>
    <w:rsid w:val="00E740D3"/>
    <w:rsid w:val="00E741C1"/>
    <w:rsid w:val="00E743F7"/>
    <w:rsid w:val="00E744DA"/>
    <w:rsid w:val="00E74542"/>
    <w:rsid w:val="00E74645"/>
    <w:rsid w:val="00E746CA"/>
    <w:rsid w:val="00E746D4"/>
    <w:rsid w:val="00E74747"/>
    <w:rsid w:val="00E747F3"/>
    <w:rsid w:val="00E74CAC"/>
    <w:rsid w:val="00E74F23"/>
    <w:rsid w:val="00E7500D"/>
    <w:rsid w:val="00E7510C"/>
    <w:rsid w:val="00E751B6"/>
    <w:rsid w:val="00E753EA"/>
    <w:rsid w:val="00E75565"/>
    <w:rsid w:val="00E75739"/>
    <w:rsid w:val="00E75836"/>
    <w:rsid w:val="00E758AE"/>
    <w:rsid w:val="00E7605E"/>
    <w:rsid w:val="00E76229"/>
    <w:rsid w:val="00E76372"/>
    <w:rsid w:val="00E76583"/>
    <w:rsid w:val="00E7675B"/>
    <w:rsid w:val="00E7675E"/>
    <w:rsid w:val="00E769A5"/>
    <w:rsid w:val="00E76B16"/>
    <w:rsid w:val="00E76BE0"/>
    <w:rsid w:val="00E76C0B"/>
    <w:rsid w:val="00E7758A"/>
    <w:rsid w:val="00E776B9"/>
    <w:rsid w:val="00E77980"/>
    <w:rsid w:val="00E779FC"/>
    <w:rsid w:val="00E77D32"/>
    <w:rsid w:val="00E77DC7"/>
    <w:rsid w:val="00E77DE5"/>
    <w:rsid w:val="00E77EFF"/>
    <w:rsid w:val="00E77F3B"/>
    <w:rsid w:val="00E80112"/>
    <w:rsid w:val="00E801D0"/>
    <w:rsid w:val="00E803A9"/>
    <w:rsid w:val="00E8064F"/>
    <w:rsid w:val="00E80979"/>
    <w:rsid w:val="00E80CC3"/>
    <w:rsid w:val="00E80D3C"/>
    <w:rsid w:val="00E810B5"/>
    <w:rsid w:val="00E81455"/>
    <w:rsid w:val="00E81810"/>
    <w:rsid w:val="00E81969"/>
    <w:rsid w:val="00E81A7B"/>
    <w:rsid w:val="00E81A98"/>
    <w:rsid w:val="00E81CE9"/>
    <w:rsid w:val="00E81DB9"/>
    <w:rsid w:val="00E81DDB"/>
    <w:rsid w:val="00E81EC3"/>
    <w:rsid w:val="00E81F89"/>
    <w:rsid w:val="00E81FB0"/>
    <w:rsid w:val="00E81FB5"/>
    <w:rsid w:val="00E82127"/>
    <w:rsid w:val="00E823F0"/>
    <w:rsid w:val="00E828F7"/>
    <w:rsid w:val="00E8293D"/>
    <w:rsid w:val="00E82A1D"/>
    <w:rsid w:val="00E82AB2"/>
    <w:rsid w:val="00E82DD5"/>
    <w:rsid w:val="00E830FB"/>
    <w:rsid w:val="00E83146"/>
    <w:rsid w:val="00E833A9"/>
    <w:rsid w:val="00E8345D"/>
    <w:rsid w:val="00E834D4"/>
    <w:rsid w:val="00E837C9"/>
    <w:rsid w:val="00E839F5"/>
    <w:rsid w:val="00E83ABD"/>
    <w:rsid w:val="00E84293"/>
    <w:rsid w:val="00E84302"/>
    <w:rsid w:val="00E8445E"/>
    <w:rsid w:val="00E8454F"/>
    <w:rsid w:val="00E845C0"/>
    <w:rsid w:val="00E845F5"/>
    <w:rsid w:val="00E84601"/>
    <w:rsid w:val="00E8480C"/>
    <w:rsid w:val="00E848DB"/>
    <w:rsid w:val="00E84A57"/>
    <w:rsid w:val="00E84B27"/>
    <w:rsid w:val="00E84B61"/>
    <w:rsid w:val="00E84B9C"/>
    <w:rsid w:val="00E84D81"/>
    <w:rsid w:val="00E84DC3"/>
    <w:rsid w:val="00E85053"/>
    <w:rsid w:val="00E853D3"/>
    <w:rsid w:val="00E854E1"/>
    <w:rsid w:val="00E855B4"/>
    <w:rsid w:val="00E85914"/>
    <w:rsid w:val="00E859A9"/>
    <w:rsid w:val="00E859F1"/>
    <w:rsid w:val="00E860BE"/>
    <w:rsid w:val="00E86230"/>
    <w:rsid w:val="00E86244"/>
    <w:rsid w:val="00E86538"/>
    <w:rsid w:val="00E86EA4"/>
    <w:rsid w:val="00E87042"/>
    <w:rsid w:val="00E8709B"/>
    <w:rsid w:val="00E8710F"/>
    <w:rsid w:val="00E87405"/>
    <w:rsid w:val="00E87868"/>
    <w:rsid w:val="00E878A5"/>
    <w:rsid w:val="00E878FB"/>
    <w:rsid w:val="00E87CFE"/>
    <w:rsid w:val="00E87E1D"/>
    <w:rsid w:val="00E87F11"/>
    <w:rsid w:val="00E87FAD"/>
    <w:rsid w:val="00E90059"/>
    <w:rsid w:val="00E90307"/>
    <w:rsid w:val="00E90334"/>
    <w:rsid w:val="00E90661"/>
    <w:rsid w:val="00E90727"/>
    <w:rsid w:val="00E90817"/>
    <w:rsid w:val="00E908BE"/>
    <w:rsid w:val="00E90B0A"/>
    <w:rsid w:val="00E90C27"/>
    <w:rsid w:val="00E90C6B"/>
    <w:rsid w:val="00E90DB3"/>
    <w:rsid w:val="00E90F12"/>
    <w:rsid w:val="00E90FBA"/>
    <w:rsid w:val="00E90FC9"/>
    <w:rsid w:val="00E91009"/>
    <w:rsid w:val="00E91216"/>
    <w:rsid w:val="00E91259"/>
    <w:rsid w:val="00E912EE"/>
    <w:rsid w:val="00E91353"/>
    <w:rsid w:val="00E91377"/>
    <w:rsid w:val="00E916A2"/>
    <w:rsid w:val="00E91846"/>
    <w:rsid w:val="00E919C1"/>
    <w:rsid w:val="00E91A38"/>
    <w:rsid w:val="00E91E3D"/>
    <w:rsid w:val="00E92141"/>
    <w:rsid w:val="00E922BA"/>
    <w:rsid w:val="00E925D1"/>
    <w:rsid w:val="00E927DF"/>
    <w:rsid w:val="00E9287F"/>
    <w:rsid w:val="00E92894"/>
    <w:rsid w:val="00E92940"/>
    <w:rsid w:val="00E929D3"/>
    <w:rsid w:val="00E92C0A"/>
    <w:rsid w:val="00E92C0E"/>
    <w:rsid w:val="00E92E09"/>
    <w:rsid w:val="00E93069"/>
    <w:rsid w:val="00E934B0"/>
    <w:rsid w:val="00E93534"/>
    <w:rsid w:val="00E935F8"/>
    <w:rsid w:val="00E9378C"/>
    <w:rsid w:val="00E93B11"/>
    <w:rsid w:val="00E93B7A"/>
    <w:rsid w:val="00E93C2E"/>
    <w:rsid w:val="00E93C56"/>
    <w:rsid w:val="00E93DCB"/>
    <w:rsid w:val="00E93EE6"/>
    <w:rsid w:val="00E94203"/>
    <w:rsid w:val="00E94219"/>
    <w:rsid w:val="00E94346"/>
    <w:rsid w:val="00E943BD"/>
    <w:rsid w:val="00E9451C"/>
    <w:rsid w:val="00E945CF"/>
    <w:rsid w:val="00E94952"/>
    <w:rsid w:val="00E9497E"/>
    <w:rsid w:val="00E949A7"/>
    <w:rsid w:val="00E94A8D"/>
    <w:rsid w:val="00E94F40"/>
    <w:rsid w:val="00E95084"/>
    <w:rsid w:val="00E95089"/>
    <w:rsid w:val="00E9522E"/>
    <w:rsid w:val="00E95463"/>
    <w:rsid w:val="00E95677"/>
    <w:rsid w:val="00E956DB"/>
    <w:rsid w:val="00E958DF"/>
    <w:rsid w:val="00E959D0"/>
    <w:rsid w:val="00E95A0E"/>
    <w:rsid w:val="00E95BA2"/>
    <w:rsid w:val="00E95E48"/>
    <w:rsid w:val="00E9610F"/>
    <w:rsid w:val="00E96433"/>
    <w:rsid w:val="00E96437"/>
    <w:rsid w:val="00E9660B"/>
    <w:rsid w:val="00E96628"/>
    <w:rsid w:val="00E966EF"/>
    <w:rsid w:val="00E96AA3"/>
    <w:rsid w:val="00E96B19"/>
    <w:rsid w:val="00E96B50"/>
    <w:rsid w:val="00E96B74"/>
    <w:rsid w:val="00E96CB2"/>
    <w:rsid w:val="00E96D12"/>
    <w:rsid w:val="00E9763E"/>
    <w:rsid w:val="00E97680"/>
    <w:rsid w:val="00E9776C"/>
    <w:rsid w:val="00E97969"/>
    <w:rsid w:val="00EA0053"/>
    <w:rsid w:val="00EA017A"/>
    <w:rsid w:val="00EA059A"/>
    <w:rsid w:val="00EA06BA"/>
    <w:rsid w:val="00EA06F2"/>
    <w:rsid w:val="00EA0720"/>
    <w:rsid w:val="00EA07A1"/>
    <w:rsid w:val="00EA0A0B"/>
    <w:rsid w:val="00EA0A30"/>
    <w:rsid w:val="00EA0AB4"/>
    <w:rsid w:val="00EA0B07"/>
    <w:rsid w:val="00EA0C36"/>
    <w:rsid w:val="00EA0C38"/>
    <w:rsid w:val="00EA0D00"/>
    <w:rsid w:val="00EA0F80"/>
    <w:rsid w:val="00EA11C4"/>
    <w:rsid w:val="00EA124B"/>
    <w:rsid w:val="00EA146A"/>
    <w:rsid w:val="00EA193E"/>
    <w:rsid w:val="00EA196E"/>
    <w:rsid w:val="00EA19EF"/>
    <w:rsid w:val="00EA1E6E"/>
    <w:rsid w:val="00EA270D"/>
    <w:rsid w:val="00EA27D1"/>
    <w:rsid w:val="00EA28B4"/>
    <w:rsid w:val="00EA28CF"/>
    <w:rsid w:val="00EA2985"/>
    <w:rsid w:val="00EA2C71"/>
    <w:rsid w:val="00EA2DED"/>
    <w:rsid w:val="00EA2F2C"/>
    <w:rsid w:val="00EA30C1"/>
    <w:rsid w:val="00EA31D4"/>
    <w:rsid w:val="00EA31FC"/>
    <w:rsid w:val="00EA344C"/>
    <w:rsid w:val="00EA383E"/>
    <w:rsid w:val="00EA3880"/>
    <w:rsid w:val="00EA395C"/>
    <w:rsid w:val="00EA3970"/>
    <w:rsid w:val="00EA3AA4"/>
    <w:rsid w:val="00EA3C06"/>
    <w:rsid w:val="00EA3C4D"/>
    <w:rsid w:val="00EA3C98"/>
    <w:rsid w:val="00EA3E3B"/>
    <w:rsid w:val="00EA3F82"/>
    <w:rsid w:val="00EA405C"/>
    <w:rsid w:val="00EA413F"/>
    <w:rsid w:val="00EA41AD"/>
    <w:rsid w:val="00EA4295"/>
    <w:rsid w:val="00EA4450"/>
    <w:rsid w:val="00EA4488"/>
    <w:rsid w:val="00EA449D"/>
    <w:rsid w:val="00EA4608"/>
    <w:rsid w:val="00EA46C3"/>
    <w:rsid w:val="00EA4804"/>
    <w:rsid w:val="00EA4B68"/>
    <w:rsid w:val="00EA4F8F"/>
    <w:rsid w:val="00EA4FBD"/>
    <w:rsid w:val="00EA5388"/>
    <w:rsid w:val="00EA5746"/>
    <w:rsid w:val="00EA5778"/>
    <w:rsid w:val="00EA5790"/>
    <w:rsid w:val="00EA5930"/>
    <w:rsid w:val="00EA5A9B"/>
    <w:rsid w:val="00EA5BA9"/>
    <w:rsid w:val="00EA5D7E"/>
    <w:rsid w:val="00EA5DFE"/>
    <w:rsid w:val="00EA60F3"/>
    <w:rsid w:val="00EA60FF"/>
    <w:rsid w:val="00EA63E1"/>
    <w:rsid w:val="00EA6612"/>
    <w:rsid w:val="00EA6B5C"/>
    <w:rsid w:val="00EA6B93"/>
    <w:rsid w:val="00EA6FCF"/>
    <w:rsid w:val="00EA730C"/>
    <w:rsid w:val="00EA75E6"/>
    <w:rsid w:val="00EA7877"/>
    <w:rsid w:val="00EA7971"/>
    <w:rsid w:val="00EA7EFB"/>
    <w:rsid w:val="00EB015A"/>
    <w:rsid w:val="00EB01D2"/>
    <w:rsid w:val="00EB0262"/>
    <w:rsid w:val="00EB0383"/>
    <w:rsid w:val="00EB06D6"/>
    <w:rsid w:val="00EB0861"/>
    <w:rsid w:val="00EB09AA"/>
    <w:rsid w:val="00EB0C07"/>
    <w:rsid w:val="00EB0CCA"/>
    <w:rsid w:val="00EB140A"/>
    <w:rsid w:val="00EB159F"/>
    <w:rsid w:val="00EB160A"/>
    <w:rsid w:val="00EB1813"/>
    <w:rsid w:val="00EB1977"/>
    <w:rsid w:val="00EB1D0E"/>
    <w:rsid w:val="00EB1EBC"/>
    <w:rsid w:val="00EB1FB2"/>
    <w:rsid w:val="00EB208D"/>
    <w:rsid w:val="00EB221E"/>
    <w:rsid w:val="00EB2277"/>
    <w:rsid w:val="00EB231C"/>
    <w:rsid w:val="00EB25C1"/>
    <w:rsid w:val="00EB263E"/>
    <w:rsid w:val="00EB2686"/>
    <w:rsid w:val="00EB27F1"/>
    <w:rsid w:val="00EB2BA3"/>
    <w:rsid w:val="00EB2BFF"/>
    <w:rsid w:val="00EB2C65"/>
    <w:rsid w:val="00EB2D06"/>
    <w:rsid w:val="00EB2D0A"/>
    <w:rsid w:val="00EB2D36"/>
    <w:rsid w:val="00EB2D91"/>
    <w:rsid w:val="00EB2DBA"/>
    <w:rsid w:val="00EB2E5C"/>
    <w:rsid w:val="00EB2FA5"/>
    <w:rsid w:val="00EB3253"/>
    <w:rsid w:val="00EB358F"/>
    <w:rsid w:val="00EB396E"/>
    <w:rsid w:val="00EB3AE1"/>
    <w:rsid w:val="00EB3C80"/>
    <w:rsid w:val="00EB3FFB"/>
    <w:rsid w:val="00EB41F2"/>
    <w:rsid w:val="00EB49E5"/>
    <w:rsid w:val="00EB4C46"/>
    <w:rsid w:val="00EB4CBB"/>
    <w:rsid w:val="00EB4E9C"/>
    <w:rsid w:val="00EB50FB"/>
    <w:rsid w:val="00EB55AC"/>
    <w:rsid w:val="00EB5659"/>
    <w:rsid w:val="00EB56AE"/>
    <w:rsid w:val="00EB5759"/>
    <w:rsid w:val="00EB58E8"/>
    <w:rsid w:val="00EB5D56"/>
    <w:rsid w:val="00EB5DD9"/>
    <w:rsid w:val="00EB60BF"/>
    <w:rsid w:val="00EB6207"/>
    <w:rsid w:val="00EB633E"/>
    <w:rsid w:val="00EB63F3"/>
    <w:rsid w:val="00EB651B"/>
    <w:rsid w:val="00EB6544"/>
    <w:rsid w:val="00EB6606"/>
    <w:rsid w:val="00EB6786"/>
    <w:rsid w:val="00EB6933"/>
    <w:rsid w:val="00EB694A"/>
    <w:rsid w:val="00EB69D1"/>
    <w:rsid w:val="00EB6AB5"/>
    <w:rsid w:val="00EB6BFE"/>
    <w:rsid w:val="00EB6FC4"/>
    <w:rsid w:val="00EB6FD6"/>
    <w:rsid w:val="00EB7340"/>
    <w:rsid w:val="00EB7458"/>
    <w:rsid w:val="00EB7528"/>
    <w:rsid w:val="00EB7538"/>
    <w:rsid w:val="00EB7646"/>
    <w:rsid w:val="00EB7789"/>
    <w:rsid w:val="00EB791C"/>
    <w:rsid w:val="00EB799C"/>
    <w:rsid w:val="00EB79B2"/>
    <w:rsid w:val="00EB7A89"/>
    <w:rsid w:val="00EB7B37"/>
    <w:rsid w:val="00EB7BBF"/>
    <w:rsid w:val="00EB7C3F"/>
    <w:rsid w:val="00EB7C87"/>
    <w:rsid w:val="00EB7E81"/>
    <w:rsid w:val="00EC008B"/>
    <w:rsid w:val="00EC0114"/>
    <w:rsid w:val="00EC0202"/>
    <w:rsid w:val="00EC04F5"/>
    <w:rsid w:val="00EC09F0"/>
    <w:rsid w:val="00EC0F39"/>
    <w:rsid w:val="00EC0FD9"/>
    <w:rsid w:val="00EC117D"/>
    <w:rsid w:val="00EC11EE"/>
    <w:rsid w:val="00EC150C"/>
    <w:rsid w:val="00EC1611"/>
    <w:rsid w:val="00EC16EF"/>
    <w:rsid w:val="00EC196C"/>
    <w:rsid w:val="00EC1B7C"/>
    <w:rsid w:val="00EC1C10"/>
    <w:rsid w:val="00EC1CE4"/>
    <w:rsid w:val="00EC1D45"/>
    <w:rsid w:val="00EC1DC3"/>
    <w:rsid w:val="00EC1F24"/>
    <w:rsid w:val="00EC211E"/>
    <w:rsid w:val="00EC218F"/>
    <w:rsid w:val="00EC21FF"/>
    <w:rsid w:val="00EC2237"/>
    <w:rsid w:val="00EC22C1"/>
    <w:rsid w:val="00EC239D"/>
    <w:rsid w:val="00EC2525"/>
    <w:rsid w:val="00EC25E8"/>
    <w:rsid w:val="00EC2684"/>
    <w:rsid w:val="00EC2705"/>
    <w:rsid w:val="00EC2A58"/>
    <w:rsid w:val="00EC2B76"/>
    <w:rsid w:val="00EC2BAE"/>
    <w:rsid w:val="00EC2BE9"/>
    <w:rsid w:val="00EC30CD"/>
    <w:rsid w:val="00EC3179"/>
    <w:rsid w:val="00EC32AF"/>
    <w:rsid w:val="00EC32F2"/>
    <w:rsid w:val="00EC3351"/>
    <w:rsid w:val="00EC39BA"/>
    <w:rsid w:val="00EC39DD"/>
    <w:rsid w:val="00EC3D16"/>
    <w:rsid w:val="00EC4325"/>
    <w:rsid w:val="00EC435F"/>
    <w:rsid w:val="00EC4584"/>
    <w:rsid w:val="00EC45E7"/>
    <w:rsid w:val="00EC4781"/>
    <w:rsid w:val="00EC4792"/>
    <w:rsid w:val="00EC47A3"/>
    <w:rsid w:val="00EC47B8"/>
    <w:rsid w:val="00EC47B9"/>
    <w:rsid w:val="00EC498B"/>
    <w:rsid w:val="00EC4CD8"/>
    <w:rsid w:val="00EC4D94"/>
    <w:rsid w:val="00EC4E8E"/>
    <w:rsid w:val="00EC4EBE"/>
    <w:rsid w:val="00EC4F09"/>
    <w:rsid w:val="00EC4FDB"/>
    <w:rsid w:val="00EC519A"/>
    <w:rsid w:val="00EC56C7"/>
    <w:rsid w:val="00EC5768"/>
    <w:rsid w:val="00EC584A"/>
    <w:rsid w:val="00EC58EC"/>
    <w:rsid w:val="00EC5A18"/>
    <w:rsid w:val="00EC5CA8"/>
    <w:rsid w:val="00EC60D3"/>
    <w:rsid w:val="00EC610D"/>
    <w:rsid w:val="00EC62A5"/>
    <w:rsid w:val="00EC6673"/>
    <w:rsid w:val="00EC6792"/>
    <w:rsid w:val="00EC6EEE"/>
    <w:rsid w:val="00EC7117"/>
    <w:rsid w:val="00EC7245"/>
    <w:rsid w:val="00EC725C"/>
    <w:rsid w:val="00EC7581"/>
    <w:rsid w:val="00EC76F6"/>
    <w:rsid w:val="00EC7BE7"/>
    <w:rsid w:val="00EC7DBB"/>
    <w:rsid w:val="00EC7E06"/>
    <w:rsid w:val="00EC7EA7"/>
    <w:rsid w:val="00ED022F"/>
    <w:rsid w:val="00ED026D"/>
    <w:rsid w:val="00ED027E"/>
    <w:rsid w:val="00ED0456"/>
    <w:rsid w:val="00ED0533"/>
    <w:rsid w:val="00ED05B2"/>
    <w:rsid w:val="00ED0733"/>
    <w:rsid w:val="00ED0760"/>
    <w:rsid w:val="00ED0821"/>
    <w:rsid w:val="00ED092D"/>
    <w:rsid w:val="00ED099E"/>
    <w:rsid w:val="00ED0CF5"/>
    <w:rsid w:val="00ED0D74"/>
    <w:rsid w:val="00ED0DF7"/>
    <w:rsid w:val="00ED1025"/>
    <w:rsid w:val="00ED1280"/>
    <w:rsid w:val="00ED141E"/>
    <w:rsid w:val="00ED1958"/>
    <w:rsid w:val="00ED19B3"/>
    <w:rsid w:val="00ED1B81"/>
    <w:rsid w:val="00ED1DE6"/>
    <w:rsid w:val="00ED1EB5"/>
    <w:rsid w:val="00ED1FAE"/>
    <w:rsid w:val="00ED213F"/>
    <w:rsid w:val="00ED2455"/>
    <w:rsid w:val="00ED2498"/>
    <w:rsid w:val="00ED25A4"/>
    <w:rsid w:val="00ED27C3"/>
    <w:rsid w:val="00ED2929"/>
    <w:rsid w:val="00ED2B75"/>
    <w:rsid w:val="00ED2D90"/>
    <w:rsid w:val="00ED2F91"/>
    <w:rsid w:val="00ED2F9E"/>
    <w:rsid w:val="00ED31E3"/>
    <w:rsid w:val="00ED3201"/>
    <w:rsid w:val="00ED3306"/>
    <w:rsid w:val="00ED336F"/>
    <w:rsid w:val="00ED3393"/>
    <w:rsid w:val="00ED33DF"/>
    <w:rsid w:val="00ED356B"/>
    <w:rsid w:val="00ED358D"/>
    <w:rsid w:val="00ED35BD"/>
    <w:rsid w:val="00ED37DF"/>
    <w:rsid w:val="00ED389B"/>
    <w:rsid w:val="00ED392C"/>
    <w:rsid w:val="00ED3AFF"/>
    <w:rsid w:val="00ED3D93"/>
    <w:rsid w:val="00ED3DFD"/>
    <w:rsid w:val="00ED42E7"/>
    <w:rsid w:val="00ED43FF"/>
    <w:rsid w:val="00ED45BD"/>
    <w:rsid w:val="00ED48E0"/>
    <w:rsid w:val="00ED48F8"/>
    <w:rsid w:val="00ED49D5"/>
    <w:rsid w:val="00ED4E3D"/>
    <w:rsid w:val="00ED4EB0"/>
    <w:rsid w:val="00ED4F5F"/>
    <w:rsid w:val="00ED5035"/>
    <w:rsid w:val="00ED5067"/>
    <w:rsid w:val="00ED5202"/>
    <w:rsid w:val="00ED5303"/>
    <w:rsid w:val="00ED54B5"/>
    <w:rsid w:val="00ED5589"/>
    <w:rsid w:val="00ED56C3"/>
    <w:rsid w:val="00ED57EC"/>
    <w:rsid w:val="00ED5A2F"/>
    <w:rsid w:val="00ED5AC5"/>
    <w:rsid w:val="00ED5B10"/>
    <w:rsid w:val="00ED5BB2"/>
    <w:rsid w:val="00ED5BC3"/>
    <w:rsid w:val="00ED5E8D"/>
    <w:rsid w:val="00ED5F49"/>
    <w:rsid w:val="00ED5FA7"/>
    <w:rsid w:val="00ED602D"/>
    <w:rsid w:val="00ED6090"/>
    <w:rsid w:val="00ED6097"/>
    <w:rsid w:val="00ED627B"/>
    <w:rsid w:val="00ED6346"/>
    <w:rsid w:val="00ED6351"/>
    <w:rsid w:val="00ED640F"/>
    <w:rsid w:val="00ED6437"/>
    <w:rsid w:val="00ED644D"/>
    <w:rsid w:val="00ED646E"/>
    <w:rsid w:val="00ED670A"/>
    <w:rsid w:val="00ED67F3"/>
    <w:rsid w:val="00ED693F"/>
    <w:rsid w:val="00ED6A3B"/>
    <w:rsid w:val="00ED6AD6"/>
    <w:rsid w:val="00ED6EC3"/>
    <w:rsid w:val="00ED6F19"/>
    <w:rsid w:val="00ED70AB"/>
    <w:rsid w:val="00ED712A"/>
    <w:rsid w:val="00ED712F"/>
    <w:rsid w:val="00ED7543"/>
    <w:rsid w:val="00ED758B"/>
    <w:rsid w:val="00ED7711"/>
    <w:rsid w:val="00ED776D"/>
    <w:rsid w:val="00ED7C89"/>
    <w:rsid w:val="00ED7CBC"/>
    <w:rsid w:val="00ED7D4F"/>
    <w:rsid w:val="00EE01F1"/>
    <w:rsid w:val="00EE02C1"/>
    <w:rsid w:val="00EE038D"/>
    <w:rsid w:val="00EE0566"/>
    <w:rsid w:val="00EE0674"/>
    <w:rsid w:val="00EE075D"/>
    <w:rsid w:val="00EE07A0"/>
    <w:rsid w:val="00EE07AD"/>
    <w:rsid w:val="00EE0810"/>
    <w:rsid w:val="00EE09CA"/>
    <w:rsid w:val="00EE0A7C"/>
    <w:rsid w:val="00EE0ACF"/>
    <w:rsid w:val="00EE0C0B"/>
    <w:rsid w:val="00EE0C25"/>
    <w:rsid w:val="00EE0E8B"/>
    <w:rsid w:val="00EE0EDB"/>
    <w:rsid w:val="00EE1032"/>
    <w:rsid w:val="00EE1472"/>
    <w:rsid w:val="00EE15EC"/>
    <w:rsid w:val="00EE17F9"/>
    <w:rsid w:val="00EE1834"/>
    <w:rsid w:val="00EE1974"/>
    <w:rsid w:val="00EE1B5F"/>
    <w:rsid w:val="00EE205A"/>
    <w:rsid w:val="00EE206E"/>
    <w:rsid w:val="00EE2403"/>
    <w:rsid w:val="00EE269F"/>
    <w:rsid w:val="00EE2B7B"/>
    <w:rsid w:val="00EE2C60"/>
    <w:rsid w:val="00EE2D0C"/>
    <w:rsid w:val="00EE2F8A"/>
    <w:rsid w:val="00EE30C4"/>
    <w:rsid w:val="00EE313A"/>
    <w:rsid w:val="00EE323E"/>
    <w:rsid w:val="00EE32CD"/>
    <w:rsid w:val="00EE33D8"/>
    <w:rsid w:val="00EE33E2"/>
    <w:rsid w:val="00EE34DC"/>
    <w:rsid w:val="00EE34F2"/>
    <w:rsid w:val="00EE360B"/>
    <w:rsid w:val="00EE36CF"/>
    <w:rsid w:val="00EE3835"/>
    <w:rsid w:val="00EE38F6"/>
    <w:rsid w:val="00EE3AD9"/>
    <w:rsid w:val="00EE3B62"/>
    <w:rsid w:val="00EE3C7D"/>
    <w:rsid w:val="00EE3D2B"/>
    <w:rsid w:val="00EE3F80"/>
    <w:rsid w:val="00EE4140"/>
    <w:rsid w:val="00EE45B8"/>
    <w:rsid w:val="00EE480C"/>
    <w:rsid w:val="00EE4896"/>
    <w:rsid w:val="00EE4969"/>
    <w:rsid w:val="00EE4BF1"/>
    <w:rsid w:val="00EE4D36"/>
    <w:rsid w:val="00EE4E40"/>
    <w:rsid w:val="00EE5092"/>
    <w:rsid w:val="00EE50C5"/>
    <w:rsid w:val="00EE5477"/>
    <w:rsid w:val="00EE54ED"/>
    <w:rsid w:val="00EE5538"/>
    <w:rsid w:val="00EE55B3"/>
    <w:rsid w:val="00EE5686"/>
    <w:rsid w:val="00EE56EA"/>
    <w:rsid w:val="00EE585D"/>
    <w:rsid w:val="00EE5876"/>
    <w:rsid w:val="00EE590B"/>
    <w:rsid w:val="00EE5A68"/>
    <w:rsid w:val="00EE5AC8"/>
    <w:rsid w:val="00EE5C62"/>
    <w:rsid w:val="00EE5C8C"/>
    <w:rsid w:val="00EE5DEC"/>
    <w:rsid w:val="00EE6134"/>
    <w:rsid w:val="00EE66E4"/>
    <w:rsid w:val="00EE67AD"/>
    <w:rsid w:val="00EE6845"/>
    <w:rsid w:val="00EE68BC"/>
    <w:rsid w:val="00EE6A91"/>
    <w:rsid w:val="00EE71B5"/>
    <w:rsid w:val="00EE71C7"/>
    <w:rsid w:val="00EE767F"/>
    <w:rsid w:val="00EE7A69"/>
    <w:rsid w:val="00EE7B99"/>
    <w:rsid w:val="00EE7C25"/>
    <w:rsid w:val="00EE7D10"/>
    <w:rsid w:val="00EE7E76"/>
    <w:rsid w:val="00EE7ED0"/>
    <w:rsid w:val="00EE7EF4"/>
    <w:rsid w:val="00EE7F6A"/>
    <w:rsid w:val="00EF001F"/>
    <w:rsid w:val="00EF01D8"/>
    <w:rsid w:val="00EF0218"/>
    <w:rsid w:val="00EF0466"/>
    <w:rsid w:val="00EF0538"/>
    <w:rsid w:val="00EF078C"/>
    <w:rsid w:val="00EF0918"/>
    <w:rsid w:val="00EF0C75"/>
    <w:rsid w:val="00EF0D04"/>
    <w:rsid w:val="00EF0F97"/>
    <w:rsid w:val="00EF1398"/>
    <w:rsid w:val="00EF1526"/>
    <w:rsid w:val="00EF15B1"/>
    <w:rsid w:val="00EF1686"/>
    <w:rsid w:val="00EF1B24"/>
    <w:rsid w:val="00EF1F66"/>
    <w:rsid w:val="00EF1FCE"/>
    <w:rsid w:val="00EF21F1"/>
    <w:rsid w:val="00EF2426"/>
    <w:rsid w:val="00EF25B9"/>
    <w:rsid w:val="00EF299F"/>
    <w:rsid w:val="00EF29AF"/>
    <w:rsid w:val="00EF2A5A"/>
    <w:rsid w:val="00EF2AE1"/>
    <w:rsid w:val="00EF2ED3"/>
    <w:rsid w:val="00EF2F26"/>
    <w:rsid w:val="00EF37B6"/>
    <w:rsid w:val="00EF383F"/>
    <w:rsid w:val="00EF38A8"/>
    <w:rsid w:val="00EF3A39"/>
    <w:rsid w:val="00EF3C23"/>
    <w:rsid w:val="00EF3EA5"/>
    <w:rsid w:val="00EF400C"/>
    <w:rsid w:val="00EF415F"/>
    <w:rsid w:val="00EF42C0"/>
    <w:rsid w:val="00EF4373"/>
    <w:rsid w:val="00EF43A6"/>
    <w:rsid w:val="00EF47E2"/>
    <w:rsid w:val="00EF4938"/>
    <w:rsid w:val="00EF49ED"/>
    <w:rsid w:val="00EF4A82"/>
    <w:rsid w:val="00EF4B8B"/>
    <w:rsid w:val="00EF4E11"/>
    <w:rsid w:val="00EF4FFF"/>
    <w:rsid w:val="00EF522C"/>
    <w:rsid w:val="00EF5303"/>
    <w:rsid w:val="00EF5305"/>
    <w:rsid w:val="00EF539D"/>
    <w:rsid w:val="00EF5496"/>
    <w:rsid w:val="00EF5648"/>
    <w:rsid w:val="00EF56DC"/>
    <w:rsid w:val="00EF58F7"/>
    <w:rsid w:val="00EF592B"/>
    <w:rsid w:val="00EF5B76"/>
    <w:rsid w:val="00EF5C9F"/>
    <w:rsid w:val="00EF5D1B"/>
    <w:rsid w:val="00EF5F14"/>
    <w:rsid w:val="00EF5F9A"/>
    <w:rsid w:val="00EF5FAC"/>
    <w:rsid w:val="00EF5FD7"/>
    <w:rsid w:val="00EF6302"/>
    <w:rsid w:val="00EF6369"/>
    <w:rsid w:val="00EF63A4"/>
    <w:rsid w:val="00EF6760"/>
    <w:rsid w:val="00EF6775"/>
    <w:rsid w:val="00EF679D"/>
    <w:rsid w:val="00EF6873"/>
    <w:rsid w:val="00EF69BF"/>
    <w:rsid w:val="00EF6A70"/>
    <w:rsid w:val="00EF6C4C"/>
    <w:rsid w:val="00EF6DF1"/>
    <w:rsid w:val="00EF6FD0"/>
    <w:rsid w:val="00EF74C4"/>
    <w:rsid w:val="00EF74D5"/>
    <w:rsid w:val="00EF7991"/>
    <w:rsid w:val="00EF7A96"/>
    <w:rsid w:val="00EF7BF6"/>
    <w:rsid w:val="00EF7F0C"/>
    <w:rsid w:val="00EF7F4F"/>
    <w:rsid w:val="00EF7F7B"/>
    <w:rsid w:val="00EF7FA8"/>
    <w:rsid w:val="00F00267"/>
    <w:rsid w:val="00F00A6D"/>
    <w:rsid w:val="00F00A82"/>
    <w:rsid w:val="00F00AFF"/>
    <w:rsid w:val="00F00BE7"/>
    <w:rsid w:val="00F00E92"/>
    <w:rsid w:val="00F01343"/>
    <w:rsid w:val="00F01497"/>
    <w:rsid w:val="00F014B8"/>
    <w:rsid w:val="00F01711"/>
    <w:rsid w:val="00F0183F"/>
    <w:rsid w:val="00F01861"/>
    <w:rsid w:val="00F01B66"/>
    <w:rsid w:val="00F0211E"/>
    <w:rsid w:val="00F02397"/>
    <w:rsid w:val="00F0253C"/>
    <w:rsid w:val="00F0281D"/>
    <w:rsid w:val="00F028E4"/>
    <w:rsid w:val="00F02914"/>
    <w:rsid w:val="00F02918"/>
    <w:rsid w:val="00F0298F"/>
    <w:rsid w:val="00F029E1"/>
    <w:rsid w:val="00F02C19"/>
    <w:rsid w:val="00F02CC9"/>
    <w:rsid w:val="00F02CF3"/>
    <w:rsid w:val="00F02DB1"/>
    <w:rsid w:val="00F03452"/>
    <w:rsid w:val="00F035DE"/>
    <w:rsid w:val="00F03651"/>
    <w:rsid w:val="00F038B2"/>
    <w:rsid w:val="00F03B90"/>
    <w:rsid w:val="00F03CCF"/>
    <w:rsid w:val="00F03D12"/>
    <w:rsid w:val="00F03DF9"/>
    <w:rsid w:val="00F03E21"/>
    <w:rsid w:val="00F04576"/>
    <w:rsid w:val="00F0472D"/>
    <w:rsid w:val="00F04B8D"/>
    <w:rsid w:val="00F04BB8"/>
    <w:rsid w:val="00F04C30"/>
    <w:rsid w:val="00F04D9A"/>
    <w:rsid w:val="00F04E0E"/>
    <w:rsid w:val="00F04E33"/>
    <w:rsid w:val="00F05023"/>
    <w:rsid w:val="00F0511D"/>
    <w:rsid w:val="00F05346"/>
    <w:rsid w:val="00F0537F"/>
    <w:rsid w:val="00F0548B"/>
    <w:rsid w:val="00F05723"/>
    <w:rsid w:val="00F058AC"/>
    <w:rsid w:val="00F05902"/>
    <w:rsid w:val="00F05C81"/>
    <w:rsid w:val="00F05C9E"/>
    <w:rsid w:val="00F05FA6"/>
    <w:rsid w:val="00F06155"/>
    <w:rsid w:val="00F06289"/>
    <w:rsid w:val="00F0641F"/>
    <w:rsid w:val="00F0653A"/>
    <w:rsid w:val="00F0671E"/>
    <w:rsid w:val="00F0696A"/>
    <w:rsid w:val="00F07037"/>
    <w:rsid w:val="00F074AD"/>
    <w:rsid w:val="00F0751C"/>
    <w:rsid w:val="00F07662"/>
    <w:rsid w:val="00F07791"/>
    <w:rsid w:val="00F07809"/>
    <w:rsid w:val="00F0783E"/>
    <w:rsid w:val="00F078C2"/>
    <w:rsid w:val="00F079F4"/>
    <w:rsid w:val="00F07B12"/>
    <w:rsid w:val="00F07E39"/>
    <w:rsid w:val="00F10134"/>
    <w:rsid w:val="00F10222"/>
    <w:rsid w:val="00F1026D"/>
    <w:rsid w:val="00F10525"/>
    <w:rsid w:val="00F10703"/>
    <w:rsid w:val="00F10945"/>
    <w:rsid w:val="00F109F0"/>
    <w:rsid w:val="00F10C80"/>
    <w:rsid w:val="00F111F8"/>
    <w:rsid w:val="00F1125B"/>
    <w:rsid w:val="00F11338"/>
    <w:rsid w:val="00F1133E"/>
    <w:rsid w:val="00F11550"/>
    <w:rsid w:val="00F11665"/>
    <w:rsid w:val="00F117EA"/>
    <w:rsid w:val="00F1180D"/>
    <w:rsid w:val="00F1187B"/>
    <w:rsid w:val="00F11BB2"/>
    <w:rsid w:val="00F11E50"/>
    <w:rsid w:val="00F1202D"/>
    <w:rsid w:val="00F12057"/>
    <w:rsid w:val="00F1240C"/>
    <w:rsid w:val="00F12418"/>
    <w:rsid w:val="00F12520"/>
    <w:rsid w:val="00F1255F"/>
    <w:rsid w:val="00F12660"/>
    <w:rsid w:val="00F12876"/>
    <w:rsid w:val="00F12E28"/>
    <w:rsid w:val="00F12E7D"/>
    <w:rsid w:val="00F12EAC"/>
    <w:rsid w:val="00F12F32"/>
    <w:rsid w:val="00F13015"/>
    <w:rsid w:val="00F1310C"/>
    <w:rsid w:val="00F13193"/>
    <w:rsid w:val="00F13256"/>
    <w:rsid w:val="00F13ACA"/>
    <w:rsid w:val="00F13B18"/>
    <w:rsid w:val="00F13B9E"/>
    <w:rsid w:val="00F13BC2"/>
    <w:rsid w:val="00F13C05"/>
    <w:rsid w:val="00F13E57"/>
    <w:rsid w:val="00F1420C"/>
    <w:rsid w:val="00F143CF"/>
    <w:rsid w:val="00F14583"/>
    <w:rsid w:val="00F148B7"/>
    <w:rsid w:val="00F14DC0"/>
    <w:rsid w:val="00F14F62"/>
    <w:rsid w:val="00F15003"/>
    <w:rsid w:val="00F15063"/>
    <w:rsid w:val="00F152BA"/>
    <w:rsid w:val="00F1585E"/>
    <w:rsid w:val="00F15E01"/>
    <w:rsid w:val="00F15F49"/>
    <w:rsid w:val="00F16016"/>
    <w:rsid w:val="00F1626B"/>
    <w:rsid w:val="00F16673"/>
    <w:rsid w:val="00F16811"/>
    <w:rsid w:val="00F16834"/>
    <w:rsid w:val="00F168A6"/>
    <w:rsid w:val="00F168D5"/>
    <w:rsid w:val="00F16920"/>
    <w:rsid w:val="00F16A89"/>
    <w:rsid w:val="00F16EDA"/>
    <w:rsid w:val="00F17247"/>
    <w:rsid w:val="00F17315"/>
    <w:rsid w:val="00F17546"/>
    <w:rsid w:val="00F1765D"/>
    <w:rsid w:val="00F1766D"/>
    <w:rsid w:val="00F1767D"/>
    <w:rsid w:val="00F17928"/>
    <w:rsid w:val="00F1796B"/>
    <w:rsid w:val="00F17A92"/>
    <w:rsid w:val="00F17C6F"/>
    <w:rsid w:val="00F17DED"/>
    <w:rsid w:val="00F17E3F"/>
    <w:rsid w:val="00F20059"/>
    <w:rsid w:val="00F201E6"/>
    <w:rsid w:val="00F2024E"/>
    <w:rsid w:val="00F20340"/>
    <w:rsid w:val="00F20572"/>
    <w:rsid w:val="00F20657"/>
    <w:rsid w:val="00F206F3"/>
    <w:rsid w:val="00F20776"/>
    <w:rsid w:val="00F2085E"/>
    <w:rsid w:val="00F20A16"/>
    <w:rsid w:val="00F20A3B"/>
    <w:rsid w:val="00F20E8B"/>
    <w:rsid w:val="00F20ECD"/>
    <w:rsid w:val="00F2104A"/>
    <w:rsid w:val="00F21713"/>
    <w:rsid w:val="00F217E5"/>
    <w:rsid w:val="00F2194A"/>
    <w:rsid w:val="00F21C37"/>
    <w:rsid w:val="00F224A6"/>
    <w:rsid w:val="00F22518"/>
    <w:rsid w:val="00F22659"/>
    <w:rsid w:val="00F22845"/>
    <w:rsid w:val="00F2286A"/>
    <w:rsid w:val="00F2299C"/>
    <w:rsid w:val="00F22C45"/>
    <w:rsid w:val="00F22EDC"/>
    <w:rsid w:val="00F23041"/>
    <w:rsid w:val="00F23412"/>
    <w:rsid w:val="00F234DA"/>
    <w:rsid w:val="00F2368C"/>
    <w:rsid w:val="00F236D4"/>
    <w:rsid w:val="00F23756"/>
    <w:rsid w:val="00F23A79"/>
    <w:rsid w:val="00F23DA9"/>
    <w:rsid w:val="00F23E94"/>
    <w:rsid w:val="00F2405F"/>
    <w:rsid w:val="00F24115"/>
    <w:rsid w:val="00F2412F"/>
    <w:rsid w:val="00F24240"/>
    <w:rsid w:val="00F24382"/>
    <w:rsid w:val="00F24675"/>
    <w:rsid w:val="00F24DE5"/>
    <w:rsid w:val="00F24DFB"/>
    <w:rsid w:val="00F25130"/>
    <w:rsid w:val="00F2520A"/>
    <w:rsid w:val="00F253FC"/>
    <w:rsid w:val="00F25493"/>
    <w:rsid w:val="00F2562B"/>
    <w:rsid w:val="00F258B8"/>
    <w:rsid w:val="00F25982"/>
    <w:rsid w:val="00F25B41"/>
    <w:rsid w:val="00F25CCB"/>
    <w:rsid w:val="00F25D9E"/>
    <w:rsid w:val="00F2602E"/>
    <w:rsid w:val="00F26488"/>
    <w:rsid w:val="00F26A9A"/>
    <w:rsid w:val="00F26C39"/>
    <w:rsid w:val="00F26C7C"/>
    <w:rsid w:val="00F26D59"/>
    <w:rsid w:val="00F26F9C"/>
    <w:rsid w:val="00F26FA3"/>
    <w:rsid w:val="00F26FBE"/>
    <w:rsid w:val="00F27033"/>
    <w:rsid w:val="00F270C2"/>
    <w:rsid w:val="00F2722A"/>
    <w:rsid w:val="00F275B7"/>
    <w:rsid w:val="00F2771D"/>
    <w:rsid w:val="00F277E4"/>
    <w:rsid w:val="00F27838"/>
    <w:rsid w:val="00F278C6"/>
    <w:rsid w:val="00F27C54"/>
    <w:rsid w:val="00F27C96"/>
    <w:rsid w:val="00F27EF8"/>
    <w:rsid w:val="00F27FB4"/>
    <w:rsid w:val="00F30075"/>
    <w:rsid w:val="00F3047F"/>
    <w:rsid w:val="00F304EB"/>
    <w:rsid w:val="00F306C8"/>
    <w:rsid w:val="00F3070F"/>
    <w:rsid w:val="00F307FA"/>
    <w:rsid w:val="00F3094B"/>
    <w:rsid w:val="00F3099D"/>
    <w:rsid w:val="00F30A70"/>
    <w:rsid w:val="00F30C07"/>
    <w:rsid w:val="00F30DDD"/>
    <w:rsid w:val="00F30F3E"/>
    <w:rsid w:val="00F31127"/>
    <w:rsid w:val="00F315FC"/>
    <w:rsid w:val="00F317EB"/>
    <w:rsid w:val="00F31858"/>
    <w:rsid w:val="00F318D7"/>
    <w:rsid w:val="00F31B4D"/>
    <w:rsid w:val="00F31D4F"/>
    <w:rsid w:val="00F31E15"/>
    <w:rsid w:val="00F31E7B"/>
    <w:rsid w:val="00F31EEF"/>
    <w:rsid w:val="00F3201E"/>
    <w:rsid w:val="00F32023"/>
    <w:rsid w:val="00F32071"/>
    <w:rsid w:val="00F321B4"/>
    <w:rsid w:val="00F32299"/>
    <w:rsid w:val="00F3232D"/>
    <w:rsid w:val="00F3241E"/>
    <w:rsid w:val="00F324F6"/>
    <w:rsid w:val="00F32713"/>
    <w:rsid w:val="00F32724"/>
    <w:rsid w:val="00F32A27"/>
    <w:rsid w:val="00F32A90"/>
    <w:rsid w:val="00F32B62"/>
    <w:rsid w:val="00F32B6B"/>
    <w:rsid w:val="00F32B6D"/>
    <w:rsid w:val="00F33295"/>
    <w:rsid w:val="00F3337B"/>
    <w:rsid w:val="00F33382"/>
    <w:rsid w:val="00F3365D"/>
    <w:rsid w:val="00F3390A"/>
    <w:rsid w:val="00F33A42"/>
    <w:rsid w:val="00F34057"/>
    <w:rsid w:val="00F34154"/>
    <w:rsid w:val="00F34272"/>
    <w:rsid w:val="00F343DD"/>
    <w:rsid w:val="00F34561"/>
    <w:rsid w:val="00F3464A"/>
    <w:rsid w:val="00F3475F"/>
    <w:rsid w:val="00F348D3"/>
    <w:rsid w:val="00F348E7"/>
    <w:rsid w:val="00F3490A"/>
    <w:rsid w:val="00F34ADA"/>
    <w:rsid w:val="00F34B7B"/>
    <w:rsid w:val="00F34B7F"/>
    <w:rsid w:val="00F34CAE"/>
    <w:rsid w:val="00F34DC3"/>
    <w:rsid w:val="00F350AE"/>
    <w:rsid w:val="00F35307"/>
    <w:rsid w:val="00F353AB"/>
    <w:rsid w:val="00F354F6"/>
    <w:rsid w:val="00F3579F"/>
    <w:rsid w:val="00F358C9"/>
    <w:rsid w:val="00F35F8E"/>
    <w:rsid w:val="00F36001"/>
    <w:rsid w:val="00F36125"/>
    <w:rsid w:val="00F36413"/>
    <w:rsid w:val="00F3644F"/>
    <w:rsid w:val="00F36662"/>
    <w:rsid w:val="00F3669E"/>
    <w:rsid w:val="00F36794"/>
    <w:rsid w:val="00F36A45"/>
    <w:rsid w:val="00F36A4A"/>
    <w:rsid w:val="00F36C36"/>
    <w:rsid w:val="00F36E5F"/>
    <w:rsid w:val="00F36F16"/>
    <w:rsid w:val="00F370B1"/>
    <w:rsid w:val="00F370F6"/>
    <w:rsid w:val="00F371A9"/>
    <w:rsid w:val="00F371D5"/>
    <w:rsid w:val="00F375A0"/>
    <w:rsid w:val="00F37698"/>
    <w:rsid w:val="00F37740"/>
    <w:rsid w:val="00F37885"/>
    <w:rsid w:val="00F3789A"/>
    <w:rsid w:val="00F3798A"/>
    <w:rsid w:val="00F37A02"/>
    <w:rsid w:val="00F37D44"/>
    <w:rsid w:val="00F37E8B"/>
    <w:rsid w:val="00F37FEB"/>
    <w:rsid w:val="00F40092"/>
    <w:rsid w:val="00F400C8"/>
    <w:rsid w:val="00F403CD"/>
    <w:rsid w:val="00F403D8"/>
    <w:rsid w:val="00F404CB"/>
    <w:rsid w:val="00F408BE"/>
    <w:rsid w:val="00F40926"/>
    <w:rsid w:val="00F40D2B"/>
    <w:rsid w:val="00F41048"/>
    <w:rsid w:val="00F412F5"/>
    <w:rsid w:val="00F4171F"/>
    <w:rsid w:val="00F4172A"/>
    <w:rsid w:val="00F41900"/>
    <w:rsid w:val="00F41BA7"/>
    <w:rsid w:val="00F41C3E"/>
    <w:rsid w:val="00F41D22"/>
    <w:rsid w:val="00F41D40"/>
    <w:rsid w:val="00F41F04"/>
    <w:rsid w:val="00F41F0D"/>
    <w:rsid w:val="00F41FF0"/>
    <w:rsid w:val="00F42058"/>
    <w:rsid w:val="00F4206E"/>
    <w:rsid w:val="00F4207B"/>
    <w:rsid w:val="00F422CA"/>
    <w:rsid w:val="00F423C8"/>
    <w:rsid w:val="00F423D2"/>
    <w:rsid w:val="00F423FC"/>
    <w:rsid w:val="00F42590"/>
    <w:rsid w:val="00F42591"/>
    <w:rsid w:val="00F426AD"/>
    <w:rsid w:val="00F42702"/>
    <w:rsid w:val="00F42BF3"/>
    <w:rsid w:val="00F42E9E"/>
    <w:rsid w:val="00F42ED4"/>
    <w:rsid w:val="00F42EDC"/>
    <w:rsid w:val="00F42EDE"/>
    <w:rsid w:val="00F432B5"/>
    <w:rsid w:val="00F43781"/>
    <w:rsid w:val="00F438F2"/>
    <w:rsid w:val="00F4394B"/>
    <w:rsid w:val="00F43982"/>
    <w:rsid w:val="00F43AB5"/>
    <w:rsid w:val="00F43B09"/>
    <w:rsid w:val="00F43C0B"/>
    <w:rsid w:val="00F43C2F"/>
    <w:rsid w:val="00F43C35"/>
    <w:rsid w:val="00F43C67"/>
    <w:rsid w:val="00F43C78"/>
    <w:rsid w:val="00F43E39"/>
    <w:rsid w:val="00F447BC"/>
    <w:rsid w:val="00F44814"/>
    <w:rsid w:val="00F44B2F"/>
    <w:rsid w:val="00F44D4A"/>
    <w:rsid w:val="00F44E0D"/>
    <w:rsid w:val="00F45021"/>
    <w:rsid w:val="00F45337"/>
    <w:rsid w:val="00F45495"/>
    <w:rsid w:val="00F458AF"/>
    <w:rsid w:val="00F45B02"/>
    <w:rsid w:val="00F45BAD"/>
    <w:rsid w:val="00F45C82"/>
    <w:rsid w:val="00F45F10"/>
    <w:rsid w:val="00F4601E"/>
    <w:rsid w:val="00F460F6"/>
    <w:rsid w:val="00F4617E"/>
    <w:rsid w:val="00F46368"/>
    <w:rsid w:val="00F4660A"/>
    <w:rsid w:val="00F46B2D"/>
    <w:rsid w:val="00F46DB1"/>
    <w:rsid w:val="00F46EA2"/>
    <w:rsid w:val="00F4708F"/>
    <w:rsid w:val="00F4718C"/>
    <w:rsid w:val="00F4737A"/>
    <w:rsid w:val="00F4737E"/>
    <w:rsid w:val="00F47489"/>
    <w:rsid w:val="00F476E5"/>
    <w:rsid w:val="00F47740"/>
    <w:rsid w:val="00F47822"/>
    <w:rsid w:val="00F47849"/>
    <w:rsid w:val="00F47B43"/>
    <w:rsid w:val="00F47CD5"/>
    <w:rsid w:val="00F5014D"/>
    <w:rsid w:val="00F50523"/>
    <w:rsid w:val="00F50781"/>
    <w:rsid w:val="00F507DA"/>
    <w:rsid w:val="00F50826"/>
    <w:rsid w:val="00F50858"/>
    <w:rsid w:val="00F508E1"/>
    <w:rsid w:val="00F50F35"/>
    <w:rsid w:val="00F5127C"/>
    <w:rsid w:val="00F51428"/>
    <w:rsid w:val="00F516BF"/>
    <w:rsid w:val="00F517A9"/>
    <w:rsid w:val="00F51ABA"/>
    <w:rsid w:val="00F51D49"/>
    <w:rsid w:val="00F51E66"/>
    <w:rsid w:val="00F51E79"/>
    <w:rsid w:val="00F51EA7"/>
    <w:rsid w:val="00F51F13"/>
    <w:rsid w:val="00F52166"/>
    <w:rsid w:val="00F52294"/>
    <w:rsid w:val="00F52348"/>
    <w:rsid w:val="00F524EC"/>
    <w:rsid w:val="00F5252C"/>
    <w:rsid w:val="00F525A0"/>
    <w:rsid w:val="00F525AB"/>
    <w:rsid w:val="00F528B5"/>
    <w:rsid w:val="00F52AC5"/>
    <w:rsid w:val="00F52AEE"/>
    <w:rsid w:val="00F52C77"/>
    <w:rsid w:val="00F533F6"/>
    <w:rsid w:val="00F537FF"/>
    <w:rsid w:val="00F539FE"/>
    <w:rsid w:val="00F53E92"/>
    <w:rsid w:val="00F54076"/>
    <w:rsid w:val="00F544FF"/>
    <w:rsid w:val="00F545AA"/>
    <w:rsid w:val="00F546E4"/>
    <w:rsid w:val="00F54779"/>
    <w:rsid w:val="00F547A8"/>
    <w:rsid w:val="00F54A87"/>
    <w:rsid w:val="00F54C35"/>
    <w:rsid w:val="00F54C7A"/>
    <w:rsid w:val="00F54D7F"/>
    <w:rsid w:val="00F54E2C"/>
    <w:rsid w:val="00F54EFF"/>
    <w:rsid w:val="00F550A4"/>
    <w:rsid w:val="00F55150"/>
    <w:rsid w:val="00F551CA"/>
    <w:rsid w:val="00F55286"/>
    <w:rsid w:val="00F55404"/>
    <w:rsid w:val="00F55457"/>
    <w:rsid w:val="00F555BF"/>
    <w:rsid w:val="00F5570B"/>
    <w:rsid w:val="00F558B7"/>
    <w:rsid w:val="00F55C1B"/>
    <w:rsid w:val="00F55D4A"/>
    <w:rsid w:val="00F55FC5"/>
    <w:rsid w:val="00F560CB"/>
    <w:rsid w:val="00F56136"/>
    <w:rsid w:val="00F563C4"/>
    <w:rsid w:val="00F56520"/>
    <w:rsid w:val="00F56563"/>
    <w:rsid w:val="00F566A3"/>
    <w:rsid w:val="00F56888"/>
    <w:rsid w:val="00F56B99"/>
    <w:rsid w:val="00F56D9E"/>
    <w:rsid w:val="00F56FCD"/>
    <w:rsid w:val="00F57011"/>
    <w:rsid w:val="00F571A9"/>
    <w:rsid w:val="00F573A8"/>
    <w:rsid w:val="00F574FE"/>
    <w:rsid w:val="00F575D4"/>
    <w:rsid w:val="00F57750"/>
    <w:rsid w:val="00F577F4"/>
    <w:rsid w:val="00F57879"/>
    <w:rsid w:val="00F579F9"/>
    <w:rsid w:val="00F57CBB"/>
    <w:rsid w:val="00F57D38"/>
    <w:rsid w:val="00F57F74"/>
    <w:rsid w:val="00F6005B"/>
    <w:rsid w:val="00F603E7"/>
    <w:rsid w:val="00F60505"/>
    <w:rsid w:val="00F606CD"/>
    <w:rsid w:val="00F609A0"/>
    <w:rsid w:val="00F60C64"/>
    <w:rsid w:val="00F61148"/>
    <w:rsid w:val="00F611D5"/>
    <w:rsid w:val="00F61339"/>
    <w:rsid w:val="00F613FA"/>
    <w:rsid w:val="00F615E3"/>
    <w:rsid w:val="00F615FA"/>
    <w:rsid w:val="00F6162D"/>
    <w:rsid w:val="00F61870"/>
    <w:rsid w:val="00F619E8"/>
    <w:rsid w:val="00F61C8D"/>
    <w:rsid w:val="00F61CAD"/>
    <w:rsid w:val="00F61E00"/>
    <w:rsid w:val="00F620CF"/>
    <w:rsid w:val="00F6218E"/>
    <w:rsid w:val="00F6249D"/>
    <w:rsid w:val="00F6268B"/>
    <w:rsid w:val="00F626DF"/>
    <w:rsid w:val="00F62BBC"/>
    <w:rsid w:val="00F62DDE"/>
    <w:rsid w:val="00F62E26"/>
    <w:rsid w:val="00F62F7E"/>
    <w:rsid w:val="00F62FE9"/>
    <w:rsid w:val="00F63255"/>
    <w:rsid w:val="00F63615"/>
    <w:rsid w:val="00F63634"/>
    <w:rsid w:val="00F63A73"/>
    <w:rsid w:val="00F63AFE"/>
    <w:rsid w:val="00F63C80"/>
    <w:rsid w:val="00F63CCF"/>
    <w:rsid w:val="00F63E01"/>
    <w:rsid w:val="00F63F9F"/>
    <w:rsid w:val="00F63FB1"/>
    <w:rsid w:val="00F6406E"/>
    <w:rsid w:val="00F6412A"/>
    <w:rsid w:val="00F643FF"/>
    <w:rsid w:val="00F6442B"/>
    <w:rsid w:val="00F644B2"/>
    <w:rsid w:val="00F6456E"/>
    <w:rsid w:val="00F64640"/>
    <w:rsid w:val="00F64787"/>
    <w:rsid w:val="00F64A68"/>
    <w:rsid w:val="00F64FC2"/>
    <w:rsid w:val="00F65226"/>
    <w:rsid w:val="00F654C6"/>
    <w:rsid w:val="00F656C8"/>
    <w:rsid w:val="00F65786"/>
    <w:rsid w:val="00F65940"/>
    <w:rsid w:val="00F65957"/>
    <w:rsid w:val="00F65C18"/>
    <w:rsid w:val="00F65F39"/>
    <w:rsid w:val="00F66392"/>
    <w:rsid w:val="00F666D7"/>
    <w:rsid w:val="00F667F5"/>
    <w:rsid w:val="00F669DA"/>
    <w:rsid w:val="00F66AAD"/>
    <w:rsid w:val="00F66AF4"/>
    <w:rsid w:val="00F66D25"/>
    <w:rsid w:val="00F66E90"/>
    <w:rsid w:val="00F67076"/>
    <w:rsid w:val="00F670C4"/>
    <w:rsid w:val="00F67256"/>
    <w:rsid w:val="00F67411"/>
    <w:rsid w:val="00F674DB"/>
    <w:rsid w:val="00F675A3"/>
    <w:rsid w:val="00F676C4"/>
    <w:rsid w:val="00F679FC"/>
    <w:rsid w:val="00F67A1E"/>
    <w:rsid w:val="00F67A8E"/>
    <w:rsid w:val="00F67C36"/>
    <w:rsid w:val="00F67C56"/>
    <w:rsid w:val="00F67D4E"/>
    <w:rsid w:val="00F67D5D"/>
    <w:rsid w:val="00F70152"/>
    <w:rsid w:val="00F70189"/>
    <w:rsid w:val="00F701EE"/>
    <w:rsid w:val="00F7030E"/>
    <w:rsid w:val="00F705A6"/>
    <w:rsid w:val="00F70A25"/>
    <w:rsid w:val="00F70B90"/>
    <w:rsid w:val="00F70D4D"/>
    <w:rsid w:val="00F70E7F"/>
    <w:rsid w:val="00F71118"/>
    <w:rsid w:val="00F711EE"/>
    <w:rsid w:val="00F71271"/>
    <w:rsid w:val="00F71272"/>
    <w:rsid w:val="00F715C4"/>
    <w:rsid w:val="00F7183B"/>
    <w:rsid w:val="00F718C4"/>
    <w:rsid w:val="00F72103"/>
    <w:rsid w:val="00F723DD"/>
    <w:rsid w:val="00F728E1"/>
    <w:rsid w:val="00F72CF7"/>
    <w:rsid w:val="00F73065"/>
    <w:rsid w:val="00F7343D"/>
    <w:rsid w:val="00F734AD"/>
    <w:rsid w:val="00F736E0"/>
    <w:rsid w:val="00F73BBF"/>
    <w:rsid w:val="00F73D82"/>
    <w:rsid w:val="00F73F87"/>
    <w:rsid w:val="00F740F1"/>
    <w:rsid w:val="00F7424D"/>
    <w:rsid w:val="00F74270"/>
    <w:rsid w:val="00F7451D"/>
    <w:rsid w:val="00F747CF"/>
    <w:rsid w:val="00F747D2"/>
    <w:rsid w:val="00F74A8A"/>
    <w:rsid w:val="00F74AC7"/>
    <w:rsid w:val="00F74B7C"/>
    <w:rsid w:val="00F74D1C"/>
    <w:rsid w:val="00F75541"/>
    <w:rsid w:val="00F755E2"/>
    <w:rsid w:val="00F75811"/>
    <w:rsid w:val="00F75C18"/>
    <w:rsid w:val="00F75E57"/>
    <w:rsid w:val="00F75F93"/>
    <w:rsid w:val="00F76527"/>
    <w:rsid w:val="00F76D14"/>
    <w:rsid w:val="00F76E65"/>
    <w:rsid w:val="00F76F89"/>
    <w:rsid w:val="00F77116"/>
    <w:rsid w:val="00F77586"/>
    <w:rsid w:val="00F776E3"/>
    <w:rsid w:val="00F77709"/>
    <w:rsid w:val="00F777A9"/>
    <w:rsid w:val="00F77826"/>
    <w:rsid w:val="00F77878"/>
    <w:rsid w:val="00F778B9"/>
    <w:rsid w:val="00F77ADD"/>
    <w:rsid w:val="00F77C35"/>
    <w:rsid w:val="00F77CB2"/>
    <w:rsid w:val="00F80268"/>
    <w:rsid w:val="00F80976"/>
    <w:rsid w:val="00F809E9"/>
    <w:rsid w:val="00F80B08"/>
    <w:rsid w:val="00F80C26"/>
    <w:rsid w:val="00F810B5"/>
    <w:rsid w:val="00F811DD"/>
    <w:rsid w:val="00F811F9"/>
    <w:rsid w:val="00F81280"/>
    <w:rsid w:val="00F816CB"/>
    <w:rsid w:val="00F818BA"/>
    <w:rsid w:val="00F818C7"/>
    <w:rsid w:val="00F818D8"/>
    <w:rsid w:val="00F8198A"/>
    <w:rsid w:val="00F81A3C"/>
    <w:rsid w:val="00F81A90"/>
    <w:rsid w:val="00F81C69"/>
    <w:rsid w:val="00F81CDC"/>
    <w:rsid w:val="00F81F0A"/>
    <w:rsid w:val="00F81F2E"/>
    <w:rsid w:val="00F82569"/>
    <w:rsid w:val="00F82642"/>
    <w:rsid w:val="00F826C2"/>
    <w:rsid w:val="00F82966"/>
    <w:rsid w:val="00F82C13"/>
    <w:rsid w:val="00F82C34"/>
    <w:rsid w:val="00F82D05"/>
    <w:rsid w:val="00F82D4C"/>
    <w:rsid w:val="00F82F5D"/>
    <w:rsid w:val="00F82F8F"/>
    <w:rsid w:val="00F830AF"/>
    <w:rsid w:val="00F83146"/>
    <w:rsid w:val="00F83174"/>
    <w:rsid w:val="00F8328E"/>
    <w:rsid w:val="00F832F6"/>
    <w:rsid w:val="00F8334B"/>
    <w:rsid w:val="00F8348D"/>
    <w:rsid w:val="00F83598"/>
    <w:rsid w:val="00F835DB"/>
    <w:rsid w:val="00F837C2"/>
    <w:rsid w:val="00F83949"/>
    <w:rsid w:val="00F83A54"/>
    <w:rsid w:val="00F83BF4"/>
    <w:rsid w:val="00F83F3D"/>
    <w:rsid w:val="00F83FA4"/>
    <w:rsid w:val="00F840E3"/>
    <w:rsid w:val="00F841C5"/>
    <w:rsid w:val="00F8458D"/>
    <w:rsid w:val="00F8473A"/>
    <w:rsid w:val="00F847A4"/>
    <w:rsid w:val="00F84831"/>
    <w:rsid w:val="00F848C0"/>
    <w:rsid w:val="00F84911"/>
    <w:rsid w:val="00F84B7C"/>
    <w:rsid w:val="00F84C07"/>
    <w:rsid w:val="00F84D24"/>
    <w:rsid w:val="00F84F48"/>
    <w:rsid w:val="00F85151"/>
    <w:rsid w:val="00F854DB"/>
    <w:rsid w:val="00F8551D"/>
    <w:rsid w:val="00F85750"/>
    <w:rsid w:val="00F85879"/>
    <w:rsid w:val="00F858CA"/>
    <w:rsid w:val="00F858CB"/>
    <w:rsid w:val="00F85A29"/>
    <w:rsid w:val="00F85A82"/>
    <w:rsid w:val="00F85B9F"/>
    <w:rsid w:val="00F85E39"/>
    <w:rsid w:val="00F85F7D"/>
    <w:rsid w:val="00F8645F"/>
    <w:rsid w:val="00F86630"/>
    <w:rsid w:val="00F867F7"/>
    <w:rsid w:val="00F869CA"/>
    <w:rsid w:val="00F86B3A"/>
    <w:rsid w:val="00F86CD3"/>
    <w:rsid w:val="00F86DB1"/>
    <w:rsid w:val="00F87193"/>
    <w:rsid w:val="00F872AD"/>
    <w:rsid w:val="00F87334"/>
    <w:rsid w:val="00F8736A"/>
    <w:rsid w:val="00F87572"/>
    <w:rsid w:val="00F875D1"/>
    <w:rsid w:val="00F87A96"/>
    <w:rsid w:val="00F87B33"/>
    <w:rsid w:val="00F87E2E"/>
    <w:rsid w:val="00F87FBF"/>
    <w:rsid w:val="00F90021"/>
    <w:rsid w:val="00F901EC"/>
    <w:rsid w:val="00F90888"/>
    <w:rsid w:val="00F908A8"/>
    <w:rsid w:val="00F90AAE"/>
    <w:rsid w:val="00F90EA5"/>
    <w:rsid w:val="00F90F41"/>
    <w:rsid w:val="00F91044"/>
    <w:rsid w:val="00F91285"/>
    <w:rsid w:val="00F912D6"/>
    <w:rsid w:val="00F91600"/>
    <w:rsid w:val="00F9171B"/>
    <w:rsid w:val="00F91A81"/>
    <w:rsid w:val="00F91E33"/>
    <w:rsid w:val="00F91E48"/>
    <w:rsid w:val="00F91F96"/>
    <w:rsid w:val="00F921A8"/>
    <w:rsid w:val="00F92387"/>
    <w:rsid w:val="00F9239F"/>
    <w:rsid w:val="00F926CE"/>
    <w:rsid w:val="00F928B9"/>
    <w:rsid w:val="00F92A77"/>
    <w:rsid w:val="00F92BF6"/>
    <w:rsid w:val="00F93231"/>
    <w:rsid w:val="00F9345C"/>
    <w:rsid w:val="00F9346F"/>
    <w:rsid w:val="00F93523"/>
    <w:rsid w:val="00F935A8"/>
    <w:rsid w:val="00F9377A"/>
    <w:rsid w:val="00F937B8"/>
    <w:rsid w:val="00F9395C"/>
    <w:rsid w:val="00F939B5"/>
    <w:rsid w:val="00F93C55"/>
    <w:rsid w:val="00F93CC9"/>
    <w:rsid w:val="00F93D67"/>
    <w:rsid w:val="00F93E4A"/>
    <w:rsid w:val="00F93EBA"/>
    <w:rsid w:val="00F9402D"/>
    <w:rsid w:val="00F94068"/>
    <w:rsid w:val="00F942EE"/>
    <w:rsid w:val="00F943F8"/>
    <w:rsid w:val="00F9450A"/>
    <w:rsid w:val="00F94620"/>
    <w:rsid w:val="00F946B0"/>
    <w:rsid w:val="00F94AB9"/>
    <w:rsid w:val="00F94CCF"/>
    <w:rsid w:val="00F94DCE"/>
    <w:rsid w:val="00F9507E"/>
    <w:rsid w:val="00F95374"/>
    <w:rsid w:val="00F95877"/>
    <w:rsid w:val="00F9595F"/>
    <w:rsid w:val="00F95983"/>
    <w:rsid w:val="00F95C5F"/>
    <w:rsid w:val="00F95C61"/>
    <w:rsid w:val="00F95E3B"/>
    <w:rsid w:val="00F95ED3"/>
    <w:rsid w:val="00F95F00"/>
    <w:rsid w:val="00F961BE"/>
    <w:rsid w:val="00F96351"/>
    <w:rsid w:val="00F96364"/>
    <w:rsid w:val="00F964E3"/>
    <w:rsid w:val="00F9666B"/>
    <w:rsid w:val="00F96947"/>
    <w:rsid w:val="00F96A7D"/>
    <w:rsid w:val="00F96BF1"/>
    <w:rsid w:val="00F96CC4"/>
    <w:rsid w:val="00F96DF1"/>
    <w:rsid w:val="00F96EC2"/>
    <w:rsid w:val="00F9703F"/>
    <w:rsid w:val="00F97182"/>
    <w:rsid w:val="00F9718A"/>
    <w:rsid w:val="00F973CA"/>
    <w:rsid w:val="00F97448"/>
    <w:rsid w:val="00F9758C"/>
    <w:rsid w:val="00F9779B"/>
    <w:rsid w:val="00F97A5D"/>
    <w:rsid w:val="00F97DE0"/>
    <w:rsid w:val="00F97DEB"/>
    <w:rsid w:val="00F97ECF"/>
    <w:rsid w:val="00F97FB4"/>
    <w:rsid w:val="00FA000A"/>
    <w:rsid w:val="00FA0112"/>
    <w:rsid w:val="00FA053C"/>
    <w:rsid w:val="00FA05D7"/>
    <w:rsid w:val="00FA05DB"/>
    <w:rsid w:val="00FA063D"/>
    <w:rsid w:val="00FA0679"/>
    <w:rsid w:val="00FA06B2"/>
    <w:rsid w:val="00FA083E"/>
    <w:rsid w:val="00FA0D47"/>
    <w:rsid w:val="00FA0EBA"/>
    <w:rsid w:val="00FA12FD"/>
    <w:rsid w:val="00FA132D"/>
    <w:rsid w:val="00FA1416"/>
    <w:rsid w:val="00FA15B9"/>
    <w:rsid w:val="00FA1659"/>
    <w:rsid w:val="00FA1B6E"/>
    <w:rsid w:val="00FA1B7D"/>
    <w:rsid w:val="00FA1C6D"/>
    <w:rsid w:val="00FA1C90"/>
    <w:rsid w:val="00FA1CB3"/>
    <w:rsid w:val="00FA1CE1"/>
    <w:rsid w:val="00FA1CEC"/>
    <w:rsid w:val="00FA1F65"/>
    <w:rsid w:val="00FA1F95"/>
    <w:rsid w:val="00FA1FF8"/>
    <w:rsid w:val="00FA207E"/>
    <w:rsid w:val="00FA21A9"/>
    <w:rsid w:val="00FA239B"/>
    <w:rsid w:val="00FA262A"/>
    <w:rsid w:val="00FA264F"/>
    <w:rsid w:val="00FA26F5"/>
    <w:rsid w:val="00FA2718"/>
    <w:rsid w:val="00FA28DA"/>
    <w:rsid w:val="00FA29FF"/>
    <w:rsid w:val="00FA2A24"/>
    <w:rsid w:val="00FA2A3A"/>
    <w:rsid w:val="00FA2B06"/>
    <w:rsid w:val="00FA2C8A"/>
    <w:rsid w:val="00FA2D2B"/>
    <w:rsid w:val="00FA2F0B"/>
    <w:rsid w:val="00FA2F4A"/>
    <w:rsid w:val="00FA2FE9"/>
    <w:rsid w:val="00FA30C2"/>
    <w:rsid w:val="00FA31E9"/>
    <w:rsid w:val="00FA339E"/>
    <w:rsid w:val="00FA33A2"/>
    <w:rsid w:val="00FA36DE"/>
    <w:rsid w:val="00FA3772"/>
    <w:rsid w:val="00FA37B6"/>
    <w:rsid w:val="00FA37BA"/>
    <w:rsid w:val="00FA3A7A"/>
    <w:rsid w:val="00FA3D25"/>
    <w:rsid w:val="00FA3D7B"/>
    <w:rsid w:val="00FA3F26"/>
    <w:rsid w:val="00FA4023"/>
    <w:rsid w:val="00FA4263"/>
    <w:rsid w:val="00FA435E"/>
    <w:rsid w:val="00FA44E9"/>
    <w:rsid w:val="00FA4A16"/>
    <w:rsid w:val="00FA4A45"/>
    <w:rsid w:val="00FA4A8A"/>
    <w:rsid w:val="00FA4BAA"/>
    <w:rsid w:val="00FA4DF2"/>
    <w:rsid w:val="00FA4E50"/>
    <w:rsid w:val="00FA4EF4"/>
    <w:rsid w:val="00FA4F2B"/>
    <w:rsid w:val="00FA4F92"/>
    <w:rsid w:val="00FA5024"/>
    <w:rsid w:val="00FA5029"/>
    <w:rsid w:val="00FA530A"/>
    <w:rsid w:val="00FA5713"/>
    <w:rsid w:val="00FA57B8"/>
    <w:rsid w:val="00FA58A3"/>
    <w:rsid w:val="00FA5C0B"/>
    <w:rsid w:val="00FA5DD2"/>
    <w:rsid w:val="00FA5E98"/>
    <w:rsid w:val="00FA619F"/>
    <w:rsid w:val="00FA6341"/>
    <w:rsid w:val="00FA66A0"/>
    <w:rsid w:val="00FA6A48"/>
    <w:rsid w:val="00FA713F"/>
    <w:rsid w:val="00FA7146"/>
    <w:rsid w:val="00FA71BD"/>
    <w:rsid w:val="00FA73FC"/>
    <w:rsid w:val="00FA7778"/>
    <w:rsid w:val="00FA7AA0"/>
    <w:rsid w:val="00FA7B47"/>
    <w:rsid w:val="00FA7BF3"/>
    <w:rsid w:val="00FA7DFE"/>
    <w:rsid w:val="00FA7F2F"/>
    <w:rsid w:val="00FA7F4A"/>
    <w:rsid w:val="00FA7FC7"/>
    <w:rsid w:val="00FB026E"/>
    <w:rsid w:val="00FB0289"/>
    <w:rsid w:val="00FB0540"/>
    <w:rsid w:val="00FB05E4"/>
    <w:rsid w:val="00FB0726"/>
    <w:rsid w:val="00FB08DF"/>
    <w:rsid w:val="00FB0C5C"/>
    <w:rsid w:val="00FB0DA4"/>
    <w:rsid w:val="00FB0E13"/>
    <w:rsid w:val="00FB1077"/>
    <w:rsid w:val="00FB10D5"/>
    <w:rsid w:val="00FB154C"/>
    <w:rsid w:val="00FB1609"/>
    <w:rsid w:val="00FB1853"/>
    <w:rsid w:val="00FB18BA"/>
    <w:rsid w:val="00FB1961"/>
    <w:rsid w:val="00FB197D"/>
    <w:rsid w:val="00FB1992"/>
    <w:rsid w:val="00FB1AE5"/>
    <w:rsid w:val="00FB1B87"/>
    <w:rsid w:val="00FB1EEE"/>
    <w:rsid w:val="00FB20F6"/>
    <w:rsid w:val="00FB222F"/>
    <w:rsid w:val="00FB22E2"/>
    <w:rsid w:val="00FB23EE"/>
    <w:rsid w:val="00FB23FF"/>
    <w:rsid w:val="00FB2404"/>
    <w:rsid w:val="00FB26F9"/>
    <w:rsid w:val="00FB27C1"/>
    <w:rsid w:val="00FB29E1"/>
    <w:rsid w:val="00FB2B51"/>
    <w:rsid w:val="00FB2CA1"/>
    <w:rsid w:val="00FB307A"/>
    <w:rsid w:val="00FB30CF"/>
    <w:rsid w:val="00FB30D9"/>
    <w:rsid w:val="00FB31D5"/>
    <w:rsid w:val="00FB32EA"/>
    <w:rsid w:val="00FB337E"/>
    <w:rsid w:val="00FB38F8"/>
    <w:rsid w:val="00FB3981"/>
    <w:rsid w:val="00FB3C4B"/>
    <w:rsid w:val="00FB3DEF"/>
    <w:rsid w:val="00FB3E92"/>
    <w:rsid w:val="00FB3ECB"/>
    <w:rsid w:val="00FB4065"/>
    <w:rsid w:val="00FB40CF"/>
    <w:rsid w:val="00FB4314"/>
    <w:rsid w:val="00FB48E4"/>
    <w:rsid w:val="00FB49FA"/>
    <w:rsid w:val="00FB4D49"/>
    <w:rsid w:val="00FB4D71"/>
    <w:rsid w:val="00FB4E71"/>
    <w:rsid w:val="00FB4F40"/>
    <w:rsid w:val="00FB4F41"/>
    <w:rsid w:val="00FB4F42"/>
    <w:rsid w:val="00FB5126"/>
    <w:rsid w:val="00FB51C9"/>
    <w:rsid w:val="00FB5384"/>
    <w:rsid w:val="00FB5718"/>
    <w:rsid w:val="00FB5796"/>
    <w:rsid w:val="00FB58C0"/>
    <w:rsid w:val="00FB6237"/>
    <w:rsid w:val="00FB6384"/>
    <w:rsid w:val="00FB6761"/>
    <w:rsid w:val="00FB6AC0"/>
    <w:rsid w:val="00FB6C42"/>
    <w:rsid w:val="00FB6DB0"/>
    <w:rsid w:val="00FB6EA5"/>
    <w:rsid w:val="00FB7275"/>
    <w:rsid w:val="00FB7384"/>
    <w:rsid w:val="00FB7457"/>
    <w:rsid w:val="00FB74BF"/>
    <w:rsid w:val="00FB7507"/>
    <w:rsid w:val="00FB7587"/>
    <w:rsid w:val="00FB7677"/>
    <w:rsid w:val="00FB77BF"/>
    <w:rsid w:val="00FB7B1E"/>
    <w:rsid w:val="00FC00DF"/>
    <w:rsid w:val="00FC02F3"/>
    <w:rsid w:val="00FC032F"/>
    <w:rsid w:val="00FC03DC"/>
    <w:rsid w:val="00FC06AC"/>
    <w:rsid w:val="00FC0740"/>
    <w:rsid w:val="00FC096E"/>
    <w:rsid w:val="00FC098E"/>
    <w:rsid w:val="00FC0A14"/>
    <w:rsid w:val="00FC0A2A"/>
    <w:rsid w:val="00FC0BD8"/>
    <w:rsid w:val="00FC0D2D"/>
    <w:rsid w:val="00FC0D5E"/>
    <w:rsid w:val="00FC0E45"/>
    <w:rsid w:val="00FC0E6E"/>
    <w:rsid w:val="00FC0EA5"/>
    <w:rsid w:val="00FC1170"/>
    <w:rsid w:val="00FC159C"/>
    <w:rsid w:val="00FC167B"/>
    <w:rsid w:val="00FC1799"/>
    <w:rsid w:val="00FC1978"/>
    <w:rsid w:val="00FC1AC1"/>
    <w:rsid w:val="00FC1BA4"/>
    <w:rsid w:val="00FC2354"/>
    <w:rsid w:val="00FC23F9"/>
    <w:rsid w:val="00FC2455"/>
    <w:rsid w:val="00FC2797"/>
    <w:rsid w:val="00FC28D8"/>
    <w:rsid w:val="00FC296F"/>
    <w:rsid w:val="00FC2AC9"/>
    <w:rsid w:val="00FC2C61"/>
    <w:rsid w:val="00FC2D18"/>
    <w:rsid w:val="00FC2D30"/>
    <w:rsid w:val="00FC2DFB"/>
    <w:rsid w:val="00FC3155"/>
    <w:rsid w:val="00FC3212"/>
    <w:rsid w:val="00FC334B"/>
    <w:rsid w:val="00FC365F"/>
    <w:rsid w:val="00FC3759"/>
    <w:rsid w:val="00FC3777"/>
    <w:rsid w:val="00FC3C96"/>
    <w:rsid w:val="00FC40A6"/>
    <w:rsid w:val="00FC41AC"/>
    <w:rsid w:val="00FC41E4"/>
    <w:rsid w:val="00FC42D3"/>
    <w:rsid w:val="00FC44EB"/>
    <w:rsid w:val="00FC4659"/>
    <w:rsid w:val="00FC48C3"/>
    <w:rsid w:val="00FC4BEB"/>
    <w:rsid w:val="00FC4E1E"/>
    <w:rsid w:val="00FC4FB4"/>
    <w:rsid w:val="00FC4FC7"/>
    <w:rsid w:val="00FC5B76"/>
    <w:rsid w:val="00FC5C8C"/>
    <w:rsid w:val="00FC5D6F"/>
    <w:rsid w:val="00FC60F0"/>
    <w:rsid w:val="00FC626D"/>
    <w:rsid w:val="00FC62B8"/>
    <w:rsid w:val="00FC6302"/>
    <w:rsid w:val="00FC64FA"/>
    <w:rsid w:val="00FC6764"/>
    <w:rsid w:val="00FC67B1"/>
    <w:rsid w:val="00FC6B40"/>
    <w:rsid w:val="00FC6C3F"/>
    <w:rsid w:val="00FC6C5D"/>
    <w:rsid w:val="00FC707C"/>
    <w:rsid w:val="00FC73BB"/>
    <w:rsid w:val="00FC77EB"/>
    <w:rsid w:val="00FC78A0"/>
    <w:rsid w:val="00FC7A17"/>
    <w:rsid w:val="00FC7A85"/>
    <w:rsid w:val="00FC7C74"/>
    <w:rsid w:val="00FC7CBC"/>
    <w:rsid w:val="00FC7DF8"/>
    <w:rsid w:val="00FC7F7C"/>
    <w:rsid w:val="00FD06FF"/>
    <w:rsid w:val="00FD0810"/>
    <w:rsid w:val="00FD086A"/>
    <w:rsid w:val="00FD088F"/>
    <w:rsid w:val="00FD0979"/>
    <w:rsid w:val="00FD0B91"/>
    <w:rsid w:val="00FD0D02"/>
    <w:rsid w:val="00FD0D2C"/>
    <w:rsid w:val="00FD0EB2"/>
    <w:rsid w:val="00FD0EE5"/>
    <w:rsid w:val="00FD10B8"/>
    <w:rsid w:val="00FD1189"/>
    <w:rsid w:val="00FD12A5"/>
    <w:rsid w:val="00FD1592"/>
    <w:rsid w:val="00FD15DA"/>
    <w:rsid w:val="00FD15F5"/>
    <w:rsid w:val="00FD1603"/>
    <w:rsid w:val="00FD1621"/>
    <w:rsid w:val="00FD18F8"/>
    <w:rsid w:val="00FD1AE1"/>
    <w:rsid w:val="00FD1B62"/>
    <w:rsid w:val="00FD1C0B"/>
    <w:rsid w:val="00FD1E6A"/>
    <w:rsid w:val="00FD1F5A"/>
    <w:rsid w:val="00FD23F5"/>
    <w:rsid w:val="00FD2818"/>
    <w:rsid w:val="00FD2C3F"/>
    <w:rsid w:val="00FD2D55"/>
    <w:rsid w:val="00FD2D6F"/>
    <w:rsid w:val="00FD2ECA"/>
    <w:rsid w:val="00FD2F00"/>
    <w:rsid w:val="00FD31E2"/>
    <w:rsid w:val="00FD32FF"/>
    <w:rsid w:val="00FD33C9"/>
    <w:rsid w:val="00FD3413"/>
    <w:rsid w:val="00FD3444"/>
    <w:rsid w:val="00FD3463"/>
    <w:rsid w:val="00FD3688"/>
    <w:rsid w:val="00FD37B4"/>
    <w:rsid w:val="00FD39C6"/>
    <w:rsid w:val="00FD4079"/>
    <w:rsid w:val="00FD4128"/>
    <w:rsid w:val="00FD4339"/>
    <w:rsid w:val="00FD470E"/>
    <w:rsid w:val="00FD4755"/>
    <w:rsid w:val="00FD47D5"/>
    <w:rsid w:val="00FD4866"/>
    <w:rsid w:val="00FD4C4B"/>
    <w:rsid w:val="00FD4E2A"/>
    <w:rsid w:val="00FD5070"/>
    <w:rsid w:val="00FD5234"/>
    <w:rsid w:val="00FD5478"/>
    <w:rsid w:val="00FD54A4"/>
    <w:rsid w:val="00FD5504"/>
    <w:rsid w:val="00FD5528"/>
    <w:rsid w:val="00FD5559"/>
    <w:rsid w:val="00FD55D8"/>
    <w:rsid w:val="00FD5629"/>
    <w:rsid w:val="00FD5647"/>
    <w:rsid w:val="00FD5924"/>
    <w:rsid w:val="00FD592C"/>
    <w:rsid w:val="00FD5A0F"/>
    <w:rsid w:val="00FD5AB2"/>
    <w:rsid w:val="00FD5E88"/>
    <w:rsid w:val="00FD60E0"/>
    <w:rsid w:val="00FD60FA"/>
    <w:rsid w:val="00FD61C0"/>
    <w:rsid w:val="00FD62D1"/>
    <w:rsid w:val="00FD6369"/>
    <w:rsid w:val="00FD638F"/>
    <w:rsid w:val="00FD674E"/>
    <w:rsid w:val="00FD67DF"/>
    <w:rsid w:val="00FD69EC"/>
    <w:rsid w:val="00FD6B10"/>
    <w:rsid w:val="00FD6B9A"/>
    <w:rsid w:val="00FD6D1B"/>
    <w:rsid w:val="00FD6EA2"/>
    <w:rsid w:val="00FD70E4"/>
    <w:rsid w:val="00FD7256"/>
    <w:rsid w:val="00FD7409"/>
    <w:rsid w:val="00FD7455"/>
    <w:rsid w:val="00FD7474"/>
    <w:rsid w:val="00FD74BC"/>
    <w:rsid w:val="00FD7512"/>
    <w:rsid w:val="00FD7A73"/>
    <w:rsid w:val="00FD7A9F"/>
    <w:rsid w:val="00FD7D6C"/>
    <w:rsid w:val="00FE01DB"/>
    <w:rsid w:val="00FE0242"/>
    <w:rsid w:val="00FE0304"/>
    <w:rsid w:val="00FE0359"/>
    <w:rsid w:val="00FE04B5"/>
    <w:rsid w:val="00FE0502"/>
    <w:rsid w:val="00FE095B"/>
    <w:rsid w:val="00FE0ABC"/>
    <w:rsid w:val="00FE0B9B"/>
    <w:rsid w:val="00FE0BDD"/>
    <w:rsid w:val="00FE0DFF"/>
    <w:rsid w:val="00FE0E82"/>
    <w:rsid w:val="00FE0EC1"/>
    <w:rsid w:val="00FE0F67"/>
    <w:rsid w:val="00FE10B5"/>
    <w:rsid w:val="00FE1199"/>
    <w:rsid w:val="00FE139C"/>
    <w:rsid w:val="00FE13A2"/>
    <w:rsid w:val="00FE1411"/>
    <w:rsid w:val="00FE152C"/>
    <w:rsid w:val="00FE159B"/>
    <w:rsid w:val="00FE174C"/>
    <w:rsid w:val="00FE1A07"/>
    <w:rsid w:val="00FE1A19"/>
    <w:rsid w:val="00FE1E4D"/>
    <w:rsid w:val="00FE1EFF"/>
    <w:rsid w:val="00FE2070"/>
    <w:rsid w:val="00FE2102"/>
    <w:rsid w:val="00FE22B3"/>
    <w:rsid w:val="00FE22B4"/>
    <w:rsid w:val="00FE22F5"/>
    <w:rsid w:val="00FE26CB"/>
    <w:rsid w:val="00FE26D9"/>
    <w:rsid w:val="00FE2A30"/>
    <w:rsid w:val="00FE2CAE"/>
    <w:rsid w:val="00FE2D0E"/>
    <w:rsid w:val="00FE2D1C"/>
    <w:rsid w:val="00FE2EC1"/>
    <w:rsid w:val="00FE2F82"/>
    <w:rsid w:val="00FE3005"/>
    <w:rsid w:val="00FE30A5"/>
    <w:rsid w:val="00FE333E"/>
    <w:rsid w:val="00FE341E"/>
    <w:rsid w:val="00FE35B3"/>
    <w:rsid w:val="00FE364C"/>
    <w:rsid w:val="00FE3685"/>
    <w:rsid w:val="00FE36D9"/>
    <w:rsid w:val="00FE376B"/>
    <w:rsid w:val="00FE3911"/>
    <w:rsid w:val="00FE3C63"/>
    <w:rsid w:val="00FE3DD9"/>
    <w:rsid w:val="00FE442F"/>
    <w:rsid w:val="00FE4437"/>
    <w:rsid w:val="00FE4473"/>
    <w:rsid w:val="00FE45B2"/>
    <w:rsid w:val="00FE48B2"/>
    <w:rsid w:val="00FE4A19"/>
    <w:rsid w:val="00FE4CDE"/>
    <w:rsid w:val="00FE4E78"/>
    <w:rsid w:val="00FE4F13"/>
    <w:rsid w:val="00FE5080"/>
    <w:rsid w:val="00FE514C"/>
    <w:rsid w:val="00FE51BE"/>
    <w:rsid w:val="00FE51ED"/>
    <w:rsid w:val="00FE5221"/>
    <w:rsid w:val="00FE5286"/>
    <w:rsid w:val="00FE5334"/>
    <w:rsid w:val="00FE5419"/>
    <w:rsid w:val="00FE5491"/>
    <w:rsid w:val="00FE56B1"/>
    <w:rsid w:val="00FE5824"/>
    <w:rsid w:val="00FE5DDF"/>
    <w:rsid w:val="00FE5E2D"/>
    <w:rsid w:val="00FE5FFC"/>
    <w:rsid w:val="00FE629C"/>
    <w:rsid w:val="00FE6392"/>
    <w:rsid w:val="00FE67D6"/>
    <w:rsid w:val="00FE6841"/>
    <w:rsid w:val="00FE6ED2"/>
    <w:rsid w:val="00FE6F97"/>
    <w:rsid w:val="00FE71EB"/>
    <w:rsid w:val="00FE7222"/>
    <w:rsid w:val="00FE7462"/>
    <w:rsid w:val="00FE7576"/>
    <w:rsid w:val="00FE76D3"/>
    <w:rsid w:val="00FE7737"/>
    <w:rsid w:val="00FE7931"/>
    <w:rsid w:val="00FE79AA"/>
    <w:rsid w:val="00FE7AD5"/>
    <w:rsid w:val="00FE7AF1"/>
    <w:rsid w:val="00FE7F78"/>
    <w:rsid w:val="00FF00BD"/>
    <w:rsid w:val="00FF00F3"/>
    <w:rsid w:val="00FF02DC"/>
    <w:rsid w:val="00FF03F9"/>
    <w:rsid w:val="00FF0557"/>
    <w:rsid w:val="00FF057B"/>
    <w:rsid w:val="00FF0908"/>
    <w:rsid w:val="00FF0919"/>
    <w:rsid w:val="00FF0988"/>
    <w:rsid w:val="00FF09BA"/>
    <w:rsid w:val="00FF0B9F"/>
    <w:rsid w:val="00FF0BD1"/>
    <w:rsid w:val="00FF0CAA"/>
    <w:rsid w:val="00FF0ECC"/>
    <w:rsid w:val="00FF0F04"/>
    <w:rsid w:val="00FF0F9A"/>
    <w:rsid w:val="00FF11AB"/>
    <w:rsid w:val="00FF1328"/>
    <w:rsid w:val="00FF141B"/>
    <w:rsid w:val="00FF163B"/>
    <w:rsid w:val="00FF16E2"/>
    <w:rsid w:val="00FF193F"/>
    <w:rsid w:val="00FF19F1"/>
    <w:rsid w:val="00FF1A40"/>
    <w:rsid w:val="00FF2361"/>
    <w:rsid w:val="00FF2549"/>
    <w:rsid w:val="00FF25CA"/>
    <w:rsid w:val="00FF2717"/>
    <w:rsid w:val="00FF2788"/>
    <w:rsid w:val="00FF28B0"/>
    <w:rsid w:val="00FF2937"/>
    <w:rsid w:val="00FF2A1D"/>
    <w:rsid w:val="00FF2CD9"/>
    <w:rsid w:val="00FF2ED5"/>
    <w:rsid w:val="00FF2FB8"/>
    <w:rsid w:val="00FF308F"/>
    <w:rsid w:val="00FF310B"/>
    <w:rsid w:val="00FF34DF"/>
    <w:rsid w:val="00FF35D1"/>
    <w:rsid w:val="00FF36C0"/>
    <w:rsid w:val="00FF372E"/>
    <w:rsid w:val="00FF37E1"/>
    <w:rsid w:val="00FF38D9"/>
    <w:rsid w:val="00FF3A5C"/>
    <w:rsid w:val="00FF3BDF"/>
    <w:rsid w:val="00FF3D9D"/>
    <w:rsid w:val="00FF40F4"/>
    <w:rsid w:val="00FF40FE"/>
    <w:rsid w:val="00FF410F"/>
    <w:rsid w:val="00FF4224"/>
    <w:rsid w:val="00FF4326"/>
    <w:rsid w:val="00FF447F"/>
    <w:rsid w:val="00FF44B8"/>
    <w:rsid w:val="00FF4502"/>
    <w:rsid w:val="00FF46B2"/>
    <w:rsid w:val="00FF46C4"/>
    <w:rsid w:val="00FF473C"/>
    <w:rsid w:val="00FF4759"/>
    <w:rsid w:val="00FF4815"/>
    <w:rsid w:val="00FF4C97"/>
    <w:rsid w:val="00FF4F06"/>
    <w:rsid w:val="00FF5100"/>
    <w:rsid w:val="00FF5200"/>
    <w:rsid w:val="00FF523B"/>
    <w:rsid w:val="00FF597A"/>
    <w:rsid w:val="00FF5D23"/>
    <w:rsid w:val="00FF5EF4"/>
    <w:rsid w:val="00FF5F70"/>
    <w:rsid w:val="00FF6284"/>
    <w:rsid w:val="00FF6286"/>
    <w:rsid w:val="00FF6287"/>
    <w:rsid w:val="00FF6298"/>
    <w:rsid w:val="00FF638F"/>
    <w:rsid w:val="00FF6603"/>
    <w:rsid w:val="00FF6625"/>
    <w:rsid w:val="00FF6734"/>
    <w:rsid w:val="00FF683C"/>
    <w:rsid w:val="00FF6907"/>
    <w:rsid w:val="00FF6917"/>
    <w:rsid w:val="00FF6A36"/>
    <w:rsid w:val="00FF6B4A"/>
    <w:rsid w:val="00FF6BDF"/>
    <w:rsid w:val="00FF6D68"/>
    <w:rsid w:val="00FF6E69"/>
    <w:rsid w:val="00FF6EA1"/>
    <w:rsid w:val="00FF7079"/>
    <w:rsid w:val="00FF720C"/>
    <w:rsid w:val="00FF7331"/>
    <w:rsid w:val="00FF73E6"/>
    <w:rsid w:val="00FF75AC"/>
    <w:rsid w:val="00FF76C6"/>
    <w:rsid w:val="00FF77A6"/>
    <w:rsid w:val="00FF77E7"/>
    <w:rsid w:val="00FF7840"/>
    <w:rsid w:val="00FF7A26"/>
    <w:rsid w:val="00FF7B2C"/>
    <w:rsid w:val="00FF7B37"/>
    <w:rsid w:val="00FF7BA4"/>
    <w:rsid w:val="03269B3F"/>
    <w:rsid w:val="0849D02C"/>
    <w:rsid w:val="0A66A4C6"/>
    <w:rsid w:val="0A827CA3"/>
    <w:rsid w:val="0DFE623E"/>
    <w:rsid w:val="0FEF039F"/>
    <w:rsid w:val="114A0517"/>
    <w:rsid w:val="1188C14C"/>
    <w:rsid w:val="1546D866"/>
    <w:rsid w:val="16E901BB"/>
    <w:rsid w:val="1727083E"/>
    <w:rsid w:val="19CC14E8"/>
    <w:rsid w:val="1BB2ED50"/>
    <w:rsid w:val="1F82E000"/>
    <w:rsid w:val="22AC53F4"/>
    <w:rsid w:val="2425DB11"/>
    <w:rsid w:val="2E6EB198"/>
    <w:rsid w:val="321379E4"/>
    <w:rsid w:val="348A974B"/>
    <w:rsid w:val="3979DC8B"/>
    <w:rsid w:val="3AB755EB"/>
    <w:rsid w:val="3D3A86C9"/>
    <w:rsid w:val="4643F862"/>
    <w:rsid w:val="4D06DBF6"/>
    <w:rsid w:val="5763240A"/>
    <w:rsid w:val="59CB2728"/>
    <w:rsid w:val="5B0E3ECF"/>
    <w:rsid w:val="5BF9F576"/>
    <w:rsid w:val="5C69738B"/>
    <w:rsid w:val="5CA9BD8E"/>
    <w:rsid w:val="5CDE3FB3"/>
    <w:rsid w:val="66455494"/>
    <w:rsid w:val="69B198D7"/>
    <w:rsid w:val="7353EDFD"/>
    <w:rsid w:val="78734919"/>
    <w:rsid w:val="7B49BDDC"/>
    <w:rsid w:val="7C844D77"/>
    <w:rsid w:val="7F0CF05F"/>
    <w:rsid w:val="7F7B20F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8B19DF"/>
  <w15:chartTrackingRefBased/>
  <w15:docId w15:val="{266FE424-3AF9-4CEB-B4D5-BEDA3CCB8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lsdException w:name="heading 7" w:semiHidden="1" w:uiPriority="9" w:unhideWhenUsed="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5" w:unhideWhenUsed="1"/>
    <w:lsdException w:name="toc 4" w:semiHidden="1" w:uiPriority="5" w:unhideWhenUsed="1"/>
    <w:lsdException w:name="toc 5" w:semiHidden="1" w:uiPriority="5" w:unhideWhenUsed="1"/>
    <w:lsdException w:name="toc 6" w:semiHidden="1" w:uiPriority="5" w:unhideWhenUsed="1"/>
    <w:lsdException w:name="toc 7" w:semiHidden="1" w:uiPriority="5" w:unhideWhenUsed="1"/>
    <w:lsdException w:name="toc 8" w:semiHidden="1" w:uiPriority="5" w:unhideWhenUsed="1"/>
    <w:lsdException w:name="toc 9" w:semiHidden="1" w:uiPriority="5" w:unhideWhenUsed="1"/>
    <w:lsdException w:name="Normal Indent" w:semiHidden="1" w:unhideWhenUsed="1"/>
    <w:lsdException w:name="footnote text" w:semiHidden="1" w:unhideWhenUsed="1"/>
    <w:lsdException w:name="annotation text" w:semiHidden="1"/>
    <w:lsdException w:name="header" w:uiPriority="7"/>
    <w:lsdException w:name="index heading" w:semiHidden="1" w:unhideWhenUsed="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
    <w:lsdException w:name="List Number" w:uiPriority="9"/>
    <w:lsdException w:name="List 2" w:semiHidden="1" w:unhideWhenUsed="1"/>
    <w:lsdException w:name="List 3" w:semiHidden="1" w:unhideWhenUsed="1"/>
    <w:lsdException w:name="List 4" w:semiHidden="1" w:unhideWhenUsed="1"/>
    <w:lsdException w:name="List 5" w:semiHidden="1" w:unhideWhenUsed="1"/>
    <w:lsdException w:name="List Bullet 2" w:uiPriority="2"/>
    <w:lsdException w:name="List Bullet 3" w:uiPriority="3"/>
    <w:lsdException w:name="List Bullet 4" w:semiHidden="1"/>
    <w:lsdException w:name="List Bullet 5" w:semiHidden="1"/>
    <w:lsdException w:name="List Number 2" w:uiPriority="9"/>
    <w:lsdException w:name="List Number 3" w:uiPriority="9"/>
    <w:lsdException w:name="List Number 4" w:semiHidden="1" w:uiPriority="9"/>
    <w:lsdException w:name="List Number 5" w:semiHidden="1" w:uiPriority="9"/>
    <w:lsdException w:name="Title" w:semiHidden="1" w:qFormat="1"/>
    <w:lsdException w:name="Closing" w:semiHidden="1"/>
    <w:lsdException w:name="Signature" w:semiHidden="1" w:unhideWhenUsed="1"/>
    <w:lsdException w:name="Default Paragraph Font" w:semiHidden="1" w:uiPriority="1" w:unhideWhenUsed="1"/>
    <w:lsdException w:name="Body Text" w:semiHidden="1" w:unhideWhenUsed="1"/>
    <w:lsdException w:name="Body Text Indent" w:semiHidden="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FollowedHyperlink" w:semiHidden="1" w:unhideWhenUsed="1"/>
    <w:lsdException w:name="Strong" w:semiHidden="1" w:qFormat="1"/>
    <w:lsdException w:name="Emphasis" w:semiHidden="1" w:uiPriority="20" w:qFormat="1"/>
    <w:lsdException w:name="Document Map" w:semiHidden="1"/>
    <w:lsdException w:name="Plain Text" w:semiHidden="1" w:unhideWhenUsed="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semiHidden="1" w:qFormat="1"/>
    <w:lsdException w:name="Bibliography" w:semiHidden="1" w:unhideWhenUsed="1"/>
    <w:lsdException w:name="TOC Heading" w:semiHidden="1" w:uiPriority="5"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9572B1"/>
    <w:pPr>
      <w:spacing w:before="120" w:after="120" w:line="264" w:lineRule="auto"/>
    </w:pPr>
    <w:rPr>
      <w:rFonts w:ascii="Arial" w:hAnsi="Arial"/>
      <w:color w:val="000000" w:themeColor="text1"/>
      <w:sz w:val="20"/>
    </w:rPr>
  </w:style>
  <w:style w:type="paragraph" w:styleId="Heading1">
    <w:name w:val="heading 1"/>
    <w:next w:val="BodyText"/>
    <w:link w:val="Heading1Char"/>
    <w:uiPriority w:val="2"/>
    <w:qFormat/>
    <w:rsid w:val="0019605E"/>
    <w:pPr>
      <w:keepNext/>
      <w:keepLines/>
      <w:numPr>
        <w:numId w:val="45"/>
      </w:numPr>
      <w:spacing w:after="240" w:line="192" w:lineRule="auto"/>
      <w:outlineLvl w:val="0"/>
    </w:pPr>
    <w:rPr>
      <w:rFonts w:ascii="KPMG Bold" w:eastAsiaTheme="majorEastAsia" w:hAnsi="KPMG Bold" w:cstheme="majorBidi"/>
      <w:color w:val="00338D" w:themeColor="text2"/>
      <w:sz w:val="72"/>
      <w:szCs w:val="32"/>
    </w:rPr>
  </w:style>
  <w:style w:type="paragraph" w:styleId="Heading2">
    <w:name w:val="heading 2"/>
    <w:next w:val="BodyText"/>
    <w:link w:val="Heading2Char"/>
    <w:uiPriority w:val="2"/>
    <w:qFormat/>
    <w:rsid w:val="001A2DC2"/>
    <w:pPr>
      <w:keepNext/>
      <w:keepLines/>
      <w:numPr>
        <w:ilvl w:val="1"/>
        <w:numId w:val="45"/>
      </w:numPr>
      <w:spacing w:before="240" w:after="0" w:line="240" w:lineRule="auto"/>
      <w:outlineLvl w:val="1"/>
    </w:pPr>
    <w:rPr>
      <w:rFonts w:ascii="Arial" w:eastAsiaTheme="majorEastAsia" w:hAnsi="Arial" w:cstheme="majorBidi"/>
      <w:b/>
      <w:color w:val="1E49E2" w:themeColor="accent1"/>
      <w:sz w:val="32"/>
      <w:szCs w:val="26"/>
    </w:rPr>
  </w:style>
  <w:style w:type="paragraph" w:styleId="Heading3">
    <w:name w:val="heading 3"/>
    <w:next w:val="BodyText"/>
    <w:link w:val="Heading3Char"/>
    <w:autoRedefine/>
    <w:uiPriority w:val="2"/>
    <w:qFormat/>
    <w:rsid w:val="007E1193"/>
    <w:pPr>
      <w:keepNext/>
      <w:keepLines/>
      <w:spacing w:before="240" w:after="120" w:line="240" w:lineRule="auto"/>
      <w:outlineLvl w:val="2"/>
    </w:pPr>
    <w:rPr>
      <w:rFonts w:ascii="Arial" w:eastAsiaTheme="majorEastAsia" w:hAnsi="Arial" w:cstheme="majorBidi"/>
      <w:b/>
      <w:color w:val="000000" w:themeColor="text1"/>
      <w:sz w:val="24"/>
      <w:szCs w:val="24"/>
    </w:rPr>
  </w:style>
  <w:style w:type="paragraph" w:styleId="Heading4">
    <w:name w:val="heading 4"/>
    <w:next w:val="BodyText"/>
    <w:link w:val="Heading4Char"/>
    <w:uiPriority w:val="2"/>
    <w:qFormat/>
    <w:rsid w:val="00F42EDE"/>
    <w:pPr>
      <w:keepNext/>
      <w:keepLines/>
      <w:spacing w:before="240" w:after="120" w:line="240" w:lineRule="auto"/>
      <w:outlineLvl w:val="3"/>
    </w:pPr>
    <w:rPr>
      <w:rFonts w:ascii="Arial" w:eastAsiaTheme="majorEastAsia" w:hAnsi="Arial" w:cstheme="majorBidi"/>
      <w:iCs/>
      <w:color w:val="00338D" w:themeColor="text2"/>
      <w:sz w:val="24"/>
    </w:rPr>
  </w:style>
  <w:style w:type="paragraph" w:styleId="Heading5">
    <w:name w:val="heading 5"/>
    <w:next w:val="BodyText"/>
    <w:link w:val="Heading5Char"/>
    <w:uiPriority w:val="2"/>
    <w:qFormat/>
    <w:rsid w:val="007E1193"/>
    <w:pPr>
      <w:keepNext/>
      <w:keepLines/>
      <w:numPr>
        <w:ilvl w:val="4"/>
        <w:numId w:val="45"/>
      </w:numPr>
      <w:spacing w:before="240" w:after="120" w:line="240" w:lineRule="auto"/>
      <w:outlineLvl w:val="4"/>
    </w:pPr>
    <w:rPr>
      <w:rFonts w:ascii="Arial" w:eastAsiaTheme="majorEastAsia" w:hAnsi="Arial" w:cstheme="majorBidi"/>
      <w:color w:val="00338D"/>
      <w:sz w:val="20"/>
    </w:rPr>
  </w:style>
  <w:style w:type="paragraph" w:styleId="Heading6">
    <w:name w:val="heading 6"/>
    <w:basedOn w:val="BodyText"/>
    <w:next w:val="BodyText"/>
    <w:link w:val="Heading6Char"/>
    <w:uiPriority w:val="99"/>
    <w:semiHidden/>
    <w:rsid w:val="00C70D96"/>
    <w:pPr>
      <w:keepNext/>
      <w:spacing w:before="240"/>
      <w:outlineLvl w:val="5"/>
    </w:pPr>
    <w:rPr>
      <w:b/>
      <w:bCs/>
      <w:iCs/>
    </w:rPr>
  </w:style>
  <w:style w:type="paragraph" w:styleId="Heading7">
    <w:name w:val="heading 7"/>
    <w:next w:val="BodyText"/>
    <w:link w:val="Heading7Char"/>
    <w:uiPriority w:val="99"/>
    <w:semiHidden/>
    <w:qFormat/>
    <w:rsid w:val="00C5628A"/>
    <w:pPr>
      <w:keepNext/>
      <w:keepLines/>
      <w:spacing w:before="40" w:after="0"/>
      <w:outlineLvl w:val="6"/>
    </w:pPr>
    <w:rPr>
      <w:rFonts w:asciiTheme="majorHAnsi" w:eastAsiaTheme="majorEastAsia" w:hAnsiTheme="majorHAnsi" w:cstheme="majorBidi"/>
      <w:i/>
      <w:iCs/>
      <w:color w:val="0E2370" w:themeColor="accent1" w:themeShade="7F"/>
      <w:sz w:val="20"/>
    </w:rPr>
  </w:style>
  <w:style w:type="paragraph" w:styleId="Heading8">
    <w:name w:val="heading 8"/>
    <w:basedOn w:val="Normal"/>
    <w:next w:val="Normal"/>
    <w:link w:val="Heading8Char"/>
    <w:uiPriority w:val="99"/>
    <w:semiHidden/>
    <w:qFormat/>
    <w:rsid w:val="00272B50"/>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272B5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99"/>
    <w:rsid w:val="00325BE2"/>
    <w:pPr>
      <w:spacing w:before="120" w:after="120" w:line="264" w:lineRule="auto"/>
    </w:pPr>
    <w:rPr>
      <w:rFonts w:ascii="Arial" w:hAnsi="Arial"/>
      <w:color w:val="000000" w:themeColor="text1"/>
      <w:sz w:val="20"/>
    </w:rPr>
  </w:style>
  <w:style w:type="character" w:customStyle="1" w:styleId="BodyTextChar">
    <w:name w:val="Body Text Char"/>
    <w:basedOn w:val="DefaultParagraphFont"/>
    <w:link w:val="BodyText"/>
    <w:uiPriority w:val="99"/>
    <w:rsid w:val="00325BE2"/>
    <w:rPr>
      <w:rFonts w:ascii="Arial" w:hAnsi="Arial"/>
      <w:color w:val="000000" w:themeColor="text1"/>
      <w:sz w:val="20"/>
    </w:rPr>
  </w:style>
  <w:style w:type="paragraph" w:styleId="ListBullet">
    <w:name w:val="List Bullet"/>
    <w:uiPriority w:val="99"/>
    <w:semiHidden/>
    <w:rsid w:val="009A1577"/>
    <w:pPr>
      <w:spacing w:before="60" w:after="60" w:line="240" w:lineRule="auto"/>
    </w:pPr>
    <w:rPr>
      <w:rFonts w:ascii="Arial" w:hAnsi="Arial"/>
      <w:color w:val="000000" w:themeColor="text1"/>
      <w:sz w:val="20"/>
    </w:rPr>
  </w:style>
  <w:style w:type="paragraph" w:styleId="ListBullet2">
    <w:name w:val="List Bullet 2"/>
    <w:uiPriority w:val="99"/>
    <w:semiHidden/>
    <w:rsid w:val="009A1577"/>
    <w:pPr>
      <w:spacing w:before="60" w:after="60" w:line="240" w:lineRule="auto"/>
    </w:pPr>
    <w:rPr>
      <w:rFonts w:ascii="Arial" w:hAnsi="Arial"/>
      <w:color w:val="000000" w:themeColor="text1"/>
      <w:sz w:val="20"/>
    </w:rPr>
  </w:style>
  <w:style w:type="paragraph" w:styleId="ListBullet3">
    <w:name w:val="List Bullet 3"/>
    <w:uiPriority w:val="99"/>
    <w:semiHidden/>
    <w:rsid w:val="009A1577"/>
    <w:pPr>
      <w:spacing w:before="60" w:after="60" w:line="240" w:lineRule="auto"/>
    </w:pPr>
    <w:rPr>
      <w:rFonts w:ascii="Arial" w:hAnsi="Arial"/>
      <w:color w:val="000000" w:themeColor="text1"/>
      <w:sz w:val="20"/>
    </w:rPr>
  </w:style>
  <w:style w:type="character" w:customStyle="1" w:styleId="Heading1Char">
    <w:name w:val="Heading 1 Char"/>
    <w:basedOn w:val="DefaultParagraphFont"/>
    <w:link w:val="Heading1"/>
    <w:uiPriority w:val="2"/>
    <w:rsid w:val="0019605E"/>
    <w:rPr>
      <w:rFonts w:ascii="KPMG Bold" w:eastAsiaTheme="majorEastAsia" w:hAnsi="KPMG Bold" w:cstheme="majorBidi"/>
      <w:color w:val="00338D" w:themeColor="text2"/>
      <w:sz w:val="72"/>
      <w:szCs w:val="32"/>
    </w:rPr>
  </w:style>
  <w:style w:type="character" w:customStyle="1" w:styleId="Heading2Char">
    <w:name w:val="Heading 2 Char"/>
    <w:basedOn w:val="DefaultParagraphFont"/>
    <w:link w:val="Heading2"/>
    <w:uiPriority w:val="2"/>
    <w:rsid w:val="001A2DC2"/>
    <w:rPr>
      <w:rFonts w:ascii="Arial" w:eastAsiaTheme="majorEastAsia" w:hAnsi="Arial" w:cstheme="majorBidi"/>
      <w:b/>
      <w:color w:val="1E49E2" w:themeColor="accent1"/>
      <w:sz w:val="32"/>
      <w:szCs w:val="26"/>
    </w:rPr>
  </w:style>
  <w:style w:type="character" w:customStyle="1" w:styleId="Heading3Char">
    <w:name w:val="Heading 3 Char"/>
    <w:basedOn w:val="DefaultParagraphFont"/>
    <w:link w:val="Heading3"/>
    <w:uiPriority w:val="2"/>
    <w:rsid w:val="007A2CBF"/>
    <w:rPr>
      <w:rFonts w:ascii="Arial" w:eastAsiaTheme="majorEastAsia" w:hAnsi="Arial" w:cstheme="majorBidi"/>
      <w:b/>
      <w:color w:val="000000" w:themeColor="text1"/>
      <w:sz w:val="24"/>
      <w:szCs w:val="24"/>
    </w:rPr>
  </w:style>
  <w:style w:type="character" w:customStyle="1" w:styleId="Heading4Char">
    <w:name w:val="Heading 4 Char"/>
    <w:basedOn w:val="DefaultParagraphFont"/>
    <w:link w:val="Heading4"/>
    <w:uiPriority w:val="2"/>
    <w:rsid w:val="00FC2455"/>
    <w:rPr>
      <w:rFonts w:ascii="Arial" w:eastAsiaTheme="majorEastAsia" w:hAnsi="Arial" w:cstheme="majorBidi"/>
      <w:iCs/>
      <w:color w:val="00338D" w:themeColor="text2"/>
      <w:sz w:val="24"/>
    </w:rPr>
  </w:style>
  <w:style w:type="character" w:customStyle="1" w:styleId="Heading5Char">
    <w:name w:val="Heading 5 Char"/>
    <w:basedOn w:val="DefaultParagraphFont"/>
    <w:link w:val="Heading5"/>
    <w:uiPriority w:val="2"/>
    <w:rsid w:val="000A505B"/>
    <w:rPr>
      <w:rFonts w:ascii="Arial" w:eastAsiaTheme="majorEastAsia" w:hAnsi="Arial" w:cstheme="majorBidi"/>
      <w:color w:val="00338D"/>
      <w:sz w:val="20"/>
    </w:rPr>
  </w:style>
  <w:style w:type="character" w:customStyle="1" w:styleId="Heading6Char">
    <w:name w:val="Heading 6 Char"/>
    <w:basedOn w:val="DefaultParagraphFont"/>
    <w:link w:val="Heading6"/>
    <w:uiPriority w:val="99"/>
    <w:semiHidden/>
    <w:rsid w:val="00DE7371"/>
    <w:rPr>
      <w:rFonts w:ascii="Arial" w:hAnsi="Arial"/>
      <w:b/>
      <w:bCs/>
      <w:iCs/>
      <w:color w:val="000000" w:themeColor="text1"/>
      <w:sz w:val="20"/>
    </w:rPr>
  </w:style>
  <w:style w:type="character" w:customStyle="1" w:styleId="Heading7Char">
    <w:name w:val="Heading 7 Char"/>
    <w:basedOn w:val="DefaultParagraphFont"/>
    <w:link w:val="Heading7"/>
    <w:uiPriority w:val="99"/>
    <w:semiHidden/>
    <w:rsid w:val="00DE7371"/>
    <w:rPr>
      <w:rFonts w:asciiTheme="majorHAnsi" w:eastAsiaTheme="majorEastAsia" w:hAnsiTheme="majorHAnsi" w:cstheme="majorBidi"/>
      <w:i/>
      <w:iCs/>
      <w:color w:val="0E2370" w:themeColor="accent1" w:themeShade="7F"/>
      <w:sz w:val="20"/>
    </w:rPr>
  </w:style>
  <w:style w:type="paragraph" w:customStyle="1" w:styleId="IntroText">
    <w:name w:val="Intro Text"/>
    <w:next w:val="BodyText"/>
    <w:uiPriority w:val="3"/>
    <w:qFormat/>
    <w:rsid w:val="008D4CD0"/>
    <w:pPr>
      <w:spacing w:before="320" w:after="240" w:line="240" w:lineRule="auto"/>
    </w:pPr>
    <w:rPr>
      <w:rFonts w:ascii="Arial" w:hAnsi="Arial"/>
      <w:color w:val="7213EA" w:themeColor="accent3"/>
      <w:sz w:val="32"/>
      <w:szCs w:val="32"/>
    </w:rPr>
  </w:style>
  <w:style w:type="paragraph" w:customStyle="1" w:styleId="CoverTitle1White">
    <w:name w:val="Cover Title 1 White"/>
    <w:basedOn w:val="BodyText"/>
    <w:next w:val="Covertitle2White"/>
    <w:uiPriority w:val="4"/>
    <w:qFormat/>
    <w:rsid w:val="00BE74C5"/>
    <w:pPr>
      <w:spacing w:after="400" w:line="1800" w:lineRule="exact"/>
    </w:pPr>
    <w:rPr>
      <w:rFonts w:ascii="KPMG Bold" w:hAnsi="KPMG Bold"/>
      <w:color w:val="FFFFFF" w:themeColor="background1"/>
      <w:sz w:val="96"/>
      <w:szCs w:val="200"/>
    </w:rPr>
  </w:style>
  <w:style w:type="paragraph" w:customStyle="1" w:styleId="Covertitle2White">
    <w:name w:val="Cover title 2 White"/>
    <w:uiPriority w:val="4"/>
    <w:qFormat/>
    <w:rsid w:val="008D4CD0"/>
    <w:pPr>
      <w:spacing w:before="120" w:after="120" w:line="240" w:lineRule="auto"/>
    </w:pPr>
    <w:rPr>
      <w:rFonts w:ascii="Arial" w:hAnsi="Arial"/>
      <w:b/>
      <w:bCs/>
      <w:color w:val="FFFFFF" w:themeColor="background1"/>
      <w:sz w:val="32"/>
      <w:szCs w:val="40"/>
    </w:rPr>
  </w:style>
  <w:style w:type="paragraph" w:customStyle="1" w:styleId="CoverTitle3White">
    <w:name w:val="Cover Title 3 White"/>
    <w:uiPriority w:val="4"/>
    <w:qFormat/>
    <w:rsid w:val="008D4CD0"/>
    <w:pPr>
      <w:spacing w:before="120" w:after="120" w:line="240" w:lineRule="auto"/>
    </w:pPr>
    <w:rPr>
      <w:rFonts w:ascii="Arial" w:hAnsi="Arial"/>
      <w:color w:val="FFFFFF" w:themeColor="background1"/>
      <w:sz w:val="32"/>
      <w:szCs w:val="32"/>
    </w:rPr>
  </w:style>
  <w:style w:type="paragraph" w:customStyle="1" w:styleId="CoverTitle4White">
    <w:name w:val="Cover Title 4 White"/>
    <w:basedOn w:val="BodyText"/>
    <w:uiPriority w:val="4"/>
    <w:qFormat/>
    <w:rsid w:val="007C5F05"/>
    <w:rPr>
      <w:color w:val="FFFFFF" w:themeColor="background1"/>
      <w:szCs w:val="24"/>
    </w:rPr>
  </w:style>
  <w:style w:type="table" w:styleId="TableGrid">
    <w:name w:val="Table Grid"/>
    <w:aliases w:val="McLL Table General Text,Basic Table,DPS Table Grid"/>
    <w:basedOn w:val="TableNormal"/>
    <w:uiPriority w:val="39"/>
    <w:rsid w:val="007C0B24"/>
    <w:pPr>
      <w:spacing w:before="120" w:after="120" w:line="240" w:lineRule="auto"/>
      <w:ind w:left="397" w:right="397"/>
      <w:jc w:val="center"/>
    </w:pPr>
    <w:rPr>
      <w:rFonts w:ascii="Arial" w:hAnsi="Arial"/>
      <w:i/>
      <w:sz w:val="20"/>
    </w:rPr>
    <w:tblPr>
      <w:tblBorders>
        <w:top w:val="single" w:sz="12" w:space="0" w:color="1E49E2" w:themeColor="accent1"/>
        <w:bottom w:val="single" w:sz="12" w:space="0" w:color="1E49E2" w:themeColor="accent1"/>
      </w:tblBorders>
    </w:tblPr>
    <w:tcPr>
      <w:vAlign w:val="center"/>
    </w:tcPr>
  </w:style>
  <w:style w:type="table" w:styleId="ListTable1Light-Accent1">
    <w:name w:val="List Table 1 Light Accent 1"/>
    <w:basedOn w:val="TableNormal"/>
    <w:uiPriority w:val="46"/>
    <w:rsid w:val="009261CA"/>
    <w:pPr>
      <w:spacing w:after="0" w:line="240" w:lineRule="auto"/>
    </w:pPr>
    <w:tblPr>
      <w:tblStyleRowBandSize w:val="1"/>
      <w:tblStyleColBandSize w:val="1"/>
    </w:tblPr>
    <w:tblStylePr w:type="firstRow">
      <w:rPr>
        <w:b/>
        <w:bCs/>
      </w:rPr>
      <w:tblPr/>
      <w:tcPr>
        <w:tcBorders>
          <w:bottom w:val="single" w:sz="4" w:space="0" w:color="7791ED" w:themeColor="accent1" w:themeTint="99"/>
        </w:tcBorders>
      </w:tcPr>
    </w:tblStylePr>
    <w:tblStylePr w:type="lastRow">
      <w:rPr>
        <w:b/>
        <w:bCs/>
      </w:rPr>
      <w:tblPr/>
      <w:tcPr>
        <w:tcBorders>
          <w:top w:val="single" w:sz="4" w:space="0" w:color="7791ED" w:themeColor="accent1" w:themeTint="99"/>
        </w:tcBorders>
      </w:tcPr>
    </w:tblStylePr>
    <w:tblStylePr w:type="firstCol">
      <w:rPr>
        <w:b/>
        <w:bCs/>
      </w:rPr>
    </w:tblStylePr>
    <w:tblStylePr w:type="lastCol">
      <w:rPr>
        <w:b/>
        <w:bCs/>
      </w:rPr>
    </w:tblStylePr>
    <w:tblStylePr w:type="band1Vert">
      <w:tblPr/>
      <w:tcPr>
        <w:shd w:val="clear" w:color="auto" w:fill="D1DAF9" w:themeFill="accent1" w:themeFillTint="33"/>
      </w:tcPr>
    </w:tblStylePr>
    <w:tblStylePr w:type="band1Horz">
      <w:tblPr/>
      <w:tcPr>
        <w:shd w:val="clear" w:color="auto" w:fill="D1DAF9" w:themeFill="accent1" w:themeFillTint="33"/>
      </w:tcPr>
    </w:tblStylePr>
  </w:style>
  <w:style w:type="table" w:styleId="GridTable3-Accent1">
    <w:name w:val="Grid Table 3 Accent 1"/>
    <w:basedOn w:val="TableNormal"/>
    <w:uiPriority w:val="48"/>
    <w:rsid w:val="009261CA"/>
    <w:pPr>
      <w:spacing w:after="0" w:line="240" w:lineRule="auto"/>
    </w:pPr>
    <w:tblPr>
      <w:tblStyleRowBandSize w:val="1"/>
      <w:tblStyleColBandSize w:val="1"/>
      <w:tblBorders>
        <w:top w:val="single" w:sz="4" w:space="0" w:color="7791ED" w:themeColor="accent1" w:themeTint="99"/>
        <w:left w:val="single" w:sz="4" w:space="0" w:color="7791ED" w:themeColor="accent1" w:themeTint="99"/>
        <w:bottom w:val="single" w:sz="4" w:space="0" w:color="7791ED" w:themeColor="accent1" w:themeTint="99"/>
        <w:right w:val="single" w:sz="4" w:space="0" w:color="7791ED" w:themeColor="accent1" w:themeTint="99"/>
        <w:insideH w:val="single" w:sz="4" w:space="0" w:color="7791ED" w:themeColor="accent1" w:themeTint="99"/>
        <w:insideV w:val="single" w:sz="4" w:space="0" w:color="7791E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DAF9" w:themeFill="accent1" w:themeFillTint="33"/>
      </w:tcPr>
    </w:tblStylePr>
    <w:tblStylePr w:type="band1Horz">
      <w:tblPr/>
      <w:tcPr>
        <w:shd w:val="clear" w:color="auto" w:fill="D1DAF9" w:themeFill="accent1" w:themeFillTint="33"/>
      </w:tcPr>
    </w:tblStylePr>
    <w:tblStylePr w:type="neCell">
      <w:tblPr/>
      <w:tcPr>
        <w:tcBorders>
          <w:bottom w:val="single" w:sz="4" w:space="0" w:color="7791ED" w:themeColor="accent1" w:themeTint="99"/>
        </w:tcBorders>
      </w:tcPr>
    </w:tblStylePr>
    <w:tblStylePr w:type="nwCell">
      <w:tblPr/>
      <w:tcPr>
        <w:tcBorders>
          <w:bottom w:val="single" w:sz="4" w:space="0" w:color="7791ED" w:themeColor="accent1" w:themeTint="99"/>
        </w:tcBorders>
      </w:tcPr>
    </w:tblStylePr>
    <w:tblStylePr w:type="seCell">
      <w:tblPr/>
      <w:tcPr>
        <w:tcBorders>
          <w:top w:val="single" w:sz="4" w:space="0" w:color="7791ED" w:themeColor="accent1" w:themeTint="99"/>
        </w:tcBorders>
      </w:tcPr>
    </w:tblStylePr>
    <w:tblStylePr w:type="swCell">
      <w:tblPr/>
      <w:tcPr>
        <w:tcBorders>
          <w:top w:val="single" w:sz="4" w:space="0" w:color="7791ED" w:themeColor="accent1" w:themeTint="99"/>
        </w:tcBorders>
      </w:tcPr>
    </w:tblStylePr>
  </w:style>
  <w:style w:type="table" w:customStyle="1" w:styleId="KPMGTable">
    <w:name w:val="KPMG Table"/>
    <w:basedOn w:val="TableNormal"/>
    <w:uiPriority w:val="99"/>
    <w:rsid w:val="00D636CA"/>
    <w:pPr>
      <w:spacing w:after="0" w:line="240" w:lineRule="auto"/>
    </w:pPr>
    <w:rPr>
      <w:rFonts w:ascii="Arial" w:hAnsi="Arial"/>
      <w:sz w:val="20"/>
    </w:rPr>
    <w:tblPr>
      <w:tblBorders>
        <w:bottom w:val="single" w:sz="4" w:space="0" w:color="BFBFBF" w:themeColor="background1" w:themeShade="BF"/>
        <w:insideH w:val="single" w:sz="4" w:space="0" w:color="BFBFBF" w:themeColor="background1" w:themeShade="BF"/>
      </w:tblBorders>
    </w:tblPr>
    <w:tblStylePr w:type="firstRow">
      <w:pPr>
        <w:jc w:val="left"/>
      </w:pPr>
      <w:rPr>
        <w:rFonts w:ascii="Arial" w:hAnsi="Arial"/>
        <w:b w:val="0"/>
        <w:i w:val="0"/>
        <w:color w:val="1E49E2" w:themeColor="accent1"/>
      </w:rPr>
      <w:tblPr/>
      <w:tcPr>
        <w:tcBorders>
          <w:bottom w:val="single" w:sz="4" w:space="0" w:color="1E49E2" w:themeColor="accent1"/>
        </w:tcBorders>
        <w:shd w:val="clear" w:color="auto" w:fill="FFFFFF" w:themeFill="background1"/>
      </w:tcPr>
    </w:tblStylePr>
    <w:tblStylePr w:type="lastRow">
      <w:tblPr/>
      <w:tcPr>
        <w:tcBorders>
          <w:bottom w:val="single" w:sz="4" w:space="0" w:color="1E49E2" w:themeColor="accent1"/>
        </w:tcBorders>
      </w:tcPr>
    </w:tblStylePr>
    <w:tblStylePr w:type="firstCol">
      <w:tblPr/>
      <w:tcPr>
        <w:shd w:val="clear" w:color="auto" w:fill="F2F2F2" w:themeFill="background1" w:themeFillShade="F2"/>
      </w:tcPr>
    </w:tblStylePr>
  </w:style>
  <w:style w:type="paragraph" w:customStyle="1" w:styleId="TableHeading">
    <w:name w:val="Table Heading"/>
    <w:basedOn w:val="BodyText"/>
    <w:uiPriority w:val="6"/>
    <w:qFormat/>
    <w:rsid w:val="00D16C15"/>
    <w:rPr>
      <w:b/>
      <w:color w:val="1E49E2" w:themeColor="accent1"/>
      <w:sz w:val="18"/>
    </w:rPr>
  </w:style>
  <w:style w:type="paragraph" w:styleId="TOC1">
    <w:name w:val="toc 1"/>
    <w:basedOn w:val="Normal"/>
    <w:next w:val="Normal"/>
    <w:autoRedefine/>
    <w:uiPriority w:val="39"/>
    <w:rsid w:val="00503D52"/>
    <w:pPr>
      <w:tabs>
        <w:tab w:val="left" w:pos="440"/>
        <w:tab w:val="right" w:leader="dot" w:pos="9060"/>
      </w:tabs>
      <w:spacing w:after="100"/>
      <w:ind w:left="426" w:hanging="426"/>
    </w:pPr>
    <w:rPr>
      <w:b/>
      <w:noProof/>
    </w:rPr>
  </w:style>
  <w:style w:type="paragraph" w:styleId="Header">
    <w:name w:val="header"/>
    <w:link w:val="HeaderChar"/>
    <w:uiPriority w:val="7"/>
    <w:rsid w:val="00FD0D02"/>
    <w:pPr>
      <w:tabs>
        <w:tab w:val="center" w:pos="4513"/>
        <w:tab w:val="right" w:pos="9026"/>
      </w:tabs>
      <w:spacing w:after="60" w:line="240" w:lineRule="auto"/>
    </w:pPr>
    <w:rPr>
      <w:rFonts w:ascii="Arial" w:hAnsi="Arial"/>
      <w:color w:val="7F7F7F" w:themeColor="text1" w:themeTint="80"/>
      <w:sz w:val="16"/>
    </w:rPr>
  </w:style>
  <w:style w:type="character" w:customStyle="1" w:styleId="HeaderChar">
    <w:name w:val="Header Char"/>
    <w:basedOn w:val="DefaultParagraphFont"/>
    <w:link w:val="Header"/>
    <w:uiPriority w:val="7"/>
    <w:rsid w:val="00FD0D02"/>
    <w:rPr>
      <w:rFonts w:ascii="Arial" w:hAnsi="Arial"/>
      <w:color w:val="7F7F7F" w:themeColor="text1" w:themeTint="80"/>
      <w:sz w:val="16"/>
    </w:rPr>
  </w:style>
  <w:style w:type="paragraph" w:styleId="Footer">
    <w:name w:val="footer"/>
    <w:link w:val="FooterChar"/>
    <w:uiPriority w:val="8"/>
    <w:rsid w:val="00FD0D02"/>
    <w:pPr>
      <w:tabs>
        <w:tab w:val="center" w:pos="4513"/>
        <w:tab w:val="right" w:pos="9026"/>
      </w:tabs>
      <w:spacing w:after="60" w:line="240" w:lineRule="auto"/>
    </w:pPr>
    <w:rPr>
      <w:rFonts w:ascii="Arial" w:hAnsi="Arial"/>
      <w:color w:val="7F7F7F" w:themeColor="text1" w:themeTint="80"/>
      <w:sz w:val="12"/>
    </w:rPr>
  </w:style>
  <w:style w:type="character" w:customStyle="1" w:styleId="FooterChar">
    <w:name w:val="Footer Char"/>
    <w:basedOn w:val="DefaultParagraphFont"/>
    <w:link w:val="Footer"/>
    <w:uiPriority w:val="8"/>
    <w:rsid w:val="008110B5"/>
    <w:rPr>
      <w:rFonts w:ascii="Arial" w:hAnsi="Arial"/>
      <w:color w:val="7F7F7F" w:themeColor="text1" w:themeTint="80"/>
      <w:sz w:val="12"/>
    </w:rPr>
  </w:style>
  <w:style w:type="character" w:styleId="Hyperlink">
    <w:name w:val="Hyperlink"/>
    <w:uiPriority w:val="99"/>
    <w:rsid w:val="004A5C0B"/>
    <w:rPr>
      <w:color w:val="auto"/>
      <w:u w:val="single"/>
    </w:rPr>
  </w:style>
  <w:style w:type="paragraph" w:styleId="ListNumber">
    <w:name w:val="List Number"/>
    <w:basedOn w:val="Normal"/>
    <w:uiPriority w:val="9"/>
    <w:rsid w:val="00BD2137"/>
    <w:pPr>
      <w:numPr>
        <w:numId w:val="1"/>
      </w:numPr>
    </w:pPr>
  </w:style>
  <w:style w:type="paragraph" w:styleId="ListNumber2">
    <w:name w:val="List Number 2"/>
    <w:basedOn w:val="Normal"/>
    <w:uiPriority w:val="9"/>
    <w:rsid w:val="00BD2137"/>
    <w:pPr>
      <w:numPr>
        <w:ilvl w:val="1"/>
        <w:numId w:val="1"/>
      </w:numPr>
    </w:pPr>
  </w:style>
  <w:style w:type="paragraph" w:styleId="ListNumber3">
    <w:name w:val="List Number 3"/>
    <w:basedOn w:val="Normal"/>
    <w:uiPriority w:val="9"/>
    <w:rsid w:val="00BD2137"/>
    <w:pPr>
      <w:numPr>
        <w:ilvl w:val="2"/>
        <w:numId w:val="1"/>
      </w:numPr>
    </w:pPr>
  </w:style>
  <w:style w:type="numbering" w:customStyle="1" w:styleId="Bullets">
    <w:name w:val="Bullets"/>
    <w:uiPriority w:val="99"/>
    <w:rsid w:val="000B471F"/>
    <w:pPr>
      <w:numPr>
        <w:numId w:val="2"/>
      </w:numPr>
    </w:pPr>
  </w:style>
  <w:style w:type="paragraph" w:customStyle="1" w:styleId="CVName">
    <w:name w:val="CV Name"/>
    <w:uiPriority w:val="10"/>
    <w:qFormat/>
    <w:rsid w:val="009B0015"/>
    <w:pPr>
      <w:spacing w:before="120" w:after="0" w:line="240" w:lineRule="auto"/>
    </w:pPr>
    <w:rPr>
      <w:rFonts w:ascii="Arial" w:hAnsi="Arial"/>
      <w:b/>
      <w:bCs/>
      <w:color w:val="1E49E2" w:themeColor="accent1"/>
      <w:sz w:val="28"/>
      <w:szCs w:val="32"/>
    </w:rPr>
  </w:style>
  <w:style w:type="paragraph" w:customStyle="1" w:styleId="CVTitle">
    <w:name w:val="CV Title"/>
    <w:next w:val="BodyText"/>
    <w:uiPriority w:val="11"/>
    <w:qFormat/>
    <w:rsid w:val="00F84B7C"/>
    <w:pPr>
      <w:spacing w:before="60" w:after="120" w:line="240" w:lineRule="auto"/>
    </w:pPr>
    <w:rPr>
      <w:rFonts w:ascii="Arial" w:hAnsi="Arial"/>
      <w:b/>
      <w:bCs/>
      <w:color w:val="000000" w:themeColor="text1"/>
      <w:sz w:val="20"/>
    </w:rPr>
  </w:style>
  <w:style w:type="paragraph" w:customStyle="1" w:styleId="CVHeading">
    <w:name w:val="CV Heading"/>
    <w:basedOn w:val="BodyText"/>
    <w:uiPriority w:val="12"/>
    <w:qFormat/>
    <w:rsid w:val="00016CC0"/>
    <w:rPr>
      <w:b/>
      <w:bCs/>
      <w:color w:val="00338D" w:themeColor="text2"/>
      <w:szCs w:val="24"/>
    </w:rPr>
  </w:style>
  <w:style w:type="paragraph" w:customStyle="1" w:styleId="Heading1TOCNoShow">
    <w:name w:val="Heading 1 TOC No Show"/>
    <w:next w:val="BodyText"/>
    <w:uiPriority w:val="2"/>
    <w:qFormat/>
    <w:rsid w:val="001C7F44"/>
    <w:pPr>
      <w:pageBreakBefore/>
      <w:spacing w:after="240" w:line="192" w:lineRule="auto"/>
    </w:pPr>
    <w:rPr>
      <w:rFonts w:ascii="KPMG Bold" w:eastAsiaTheme="majorEastAsia" w:hAnsi="KPMG Bold" w:cstheme="majorBidi"/>
      <w:color w:val="00338D" w:themeColor="text2"/>
      <w:sz w:val="96"/>
      <w:szCs w:val="32"/>
    </w:rPr>
  </w:style>
  <w:style w:type="paragraph" w:styleId="TOC2">
    <w:name w:val="toc 2"/>
    <w:basedOn w:val="Normal"/>
    <w:next w:val="Normal"/>
    <w:autoRedefine/>
    <w:uiPriority w:val="39"/>
    <w:rsid w:val="00503D52"/>
    <w:pPr>
      <w:tabs>
        <w:tab w:val="left" w:pos="993"/>
        <w:tab w:val="right" w:leader="dot" w:pos="9060"/>
      </w:tabs>
      <w:ind w:left="993" w:hanging="567"/>
    </w:pPr>
    <w:rPr>
      <w:noProof/>
    </w:rPr>
  </w:style>
  <w:style w:type="paragraph" w:customStyle="1" w:styleId="Bullet1stlevel">
    <w:name w:val="Bullet 1st level"/>
    <w:link w:val="Bullet1stlevelChar"/>
    <w:uiPriority w:val="2"/>
    <w:qFormat/>
    <w:rsid w:val="00325BE2"/>
    <w:pPr>
      <w:numPr>
        <w:numId w:val="39"/>
      </w:numPr>
      <w:spacing w:before="120" w:after="120" w:line="264" w:lineRule="auto"/>
    </w:pPr>
    <w:rPr>
      <w:rFonts w:ascii="Arial" w:hAnsi="Arial"/>
      <w:color w:val="000000" w:themeColor="text1"/>
      <w:sz w:val="20"/>
    </w:rPr>
  </w:style>
  <w:style w:type="paragraph" w:customStyle="1" w:styleId="Bullet2ndlevel">
    <w:name w:val="Bullet 2nd level"/>
    <w:link w:val="Bullet2ndlevelChar"/>
    <w:uiPriority w:val="2"/>
    <w:qFormat/>
    <w:rsid w:val="00DE7371"/>
    <w:pPr>
      <w:numPr>
        <w:numId w:val="47"/>
      </w:numPr>
      <w:spacing w:before="60" w:after="60" w:line="240" w:lineRule="auto"/>
    </w:pPr>
    <w:rPr>
      <w:rFonts w:ascii="Arial" w:hAnsi="Arial"/>
      <w:color w:val="000000" w:themeColor="text1"/>
      <w:sz w:val="20"/>
    </w:rPr>
  </w:style>
  <w:style w:type="paragraph" w:customStyle="1" w:styleId="Bullet3rdlevel">
    <w:name w:val="Bullet 3rd level"/>
    <w:uiPriority w:val="1"/>
    <w:qFormat/>
    <w:rsid w:val="000D36F7"/>
    <w:pPr>
      <w:spacing w:before="60" w:after="60" w:line="240" w:lineRule="auto"/>
    </w:pPr>
    <w:rPr>
      <w:rFonts w:ascii="Arial" w:hAnsi="Arial"/>
      <w:color w:val="000000" w:themeColor="text1"/>
      <w:sz w:val="20"/>
    </w:rPr>
  </w:style>
  <w:style w:type="character" w:styleId="UnresolvedMention">
    <w:name w:val="Unresolved Mention"/>
    <w:basedOn w:val="DefaultParagraphFont"/>
    <w:uiPriority w:val="99"/>
    <w:unhideWhenUsed/>
    <w:rsid w:val="00F94AB9"/>
    <w:rPr>
      <w:color w:val="605E5C"/>
      <w:shd w:val="clear" w:color="auto" w:fill="E1DFDD"/>
    </w:rPr>
  </w:style>
  <w:style w:type="character" w:styleId="FollowedHyperlink">
    <w:name w:val="FollowedHyperlink"/>
    <w:basedOn w:val="DefaultParagraphFont"/>
    <w:uiPriority w:val="99"/>
    <w:semiHidden/>
    <w:unhideWhenUsed/>
    <w:rsid w:val="005D48F7"/>
    <w:rPr>
      <w:color w:val="0091DA" w:themeColor="followedHyperlink"/>
      <w:u w:val="single"/>
    </w:rPr>
  </w:style>
  <w:style w:type="paragraph" w:customStyle="1" w:styleId="CredName">
    <w:name w:val="Cred Name"/>
    <w:basedOn w:val="BodyText"/>
    <w:uiPriority w:val="99"/>
    <w:qFormat/>
    <w:rsid w:val="00F05902"/>
    <w:pPr>
      <w:spacing w:after="0"/>
    </w:pPr>
    <w:rPr>
      <w:b/>
      <w:bCs/>
      <w:color w:val="FFFFFF" w:themeColor="background1"/>
      <w:sz w:val="28"/>
      <w:szCs w:val="28"/>
    </w:rPr>
  </w:style>
  <w:style w:type="paragraph" w:customStyle="1" w:styleId="CredProject">
    <w:name w:val="Cred Project"/>
    <w:basedOn w:val="CredName"/>
    <w:uiPriority w:val="99"/>
    <w:qFormat/>
    <w:rsid w:val="00FA713F"/>
    <w:pPr>
      <w:spacing w:before="0"/>
    </w:pPr>
    <w:rPr>
      <w:b w:val="0"/>
      <w:bCs w:val="0"/>
      <w:sz w:val="24"/>
      <w:szCs w:val="24"/>
    </w:rPr>
  </w:style>
  <w:style w:type="paragraph" w:customStyle="1" w:styleId="CredHeading">
    <w:name w:val="Cred Heading"/>
    <w:basedOn w:val="BodyText"/>
    <w:uiPriority w:val="99"/>
    <w:qFormat/>
    <w:rsid w:val="00FA713F"/>
    <w:rPr>
      <w:rFonts w:cs="Arial"/>
      <w:b/>
      <w:bCs/>
      <w:color w:val="1E49E2" w:themeColor="accent1"/>
      <w:kern w:val="24"/>
      <w:sz w:val="24"/>
      <w:szCs w:val="24"/>
    </w:rPr>
  </w:style>
  <w:style w:type="paragraph" w:customStyle="1" w:styleId="CVphone-email">
    <w:name w:val="CV phone - email"/>
    <w:basedOn w:val="BodyText"/>
    <w:link w:val="CVphone-emailChar"/>
    <w:uiPriority w:val="99"/>
    <w:qFormat/>
    <w:rsid w:val="00A162EC"/>
  </w:style>
  <w:style w:type="character" w:customStyle="1" w:styleId="CVphone-emailChar">
    <w:name w:val="CV phone - email Char"/>
    <w:basedOn w:val="BodyTextChar"/>
    <w:link w:val="CVphone-email"/>
    <w:uiPriority w:val="99"/>
    <w:rsid w:val="00A162EC"/>
    <w:rPr>
      <w:rFonts w:ascii="Arial" w:hAnsi="Arial"/>
      <w:color w:val="000000" w:themeColor="text1"/>
      <w:sz w:val="20"/>
    </w:rPr>
  </w:style>
  <w:style w:type="character" w:styleId="Emphasis">
    <w:name w:val="Emphasis"/>
    <w:basedOn w:val="DefaultParagraphFont"/>
    <w:uiPriority w:val="20"/>
    <w:qFormat/>
    <w:rsid w:val="002D1979"/>
    <w:rPr>
      <w:i/>
      <w:iCs/>
    </w:rPr>
  </w:style>
  <w:style w:type="paragraph" w:customStyle="1" w:styleId="Bodytext0">
    <w:name w:val="_Body text"/>
    <w:basedOn w:val="BodyText"/>
    <w:link w:val="BodytextChar0"/>
    <w:qFormat/>
    <w:rsid w:val="00632D10"/>
    <w:pPr>
      <w:spacing w:before="60" w:after="60"/>
    </w:pPr>
    <w:rPr>
      <w:color w:val="auto"/>
      <w:sz w:val="18"/>
    </w:rPr>
  </w:style>
  <w:style w:type="character" w:customStyle="1" w:styleId="BodytextChar0">
    <w:name w:val="_Body text Char"/>
    <w:link w:val="Bodytext0"/>
    <w:rsid w:val="00632D10"/>
    <w:rPr>
      <w:rFonts w:ascii="Arial" w:hAnsi="Arial"/>
      <w:sz w:val="18"/>
    </w:rPr>
  </w:style>
  <w:style w:type="paragraph" w:styleId="Caption">
    <w:name w:val="caption"/>
    <w:basedOn w:val="Normal"/>
    <w:next w:val="Normal"/>
    <w:autoRedefine/>
    <w:uiPriority w:val="35"/>
    <w:unhideWhenUsed/>
    <w:qFormat/>
    <w:rsid w:val="005D5472"/>
    <w:pPr>
      <w:keepNext/>
      <w:spacing w:before="240"/>
    </w:pPr>
    <w:rPr>
      <w:rFonts w:cs="Arial"/>
      <w:b/>
      <w:color w:val="00338D" w:themeColor="text2"/>
      <w:sz w:val="18"/>
      <w:szCs w:val="18"/>
    </w:rPr>
  </w:style>
  <w:style w:type="paragraph" w:styleId="FootnoteText">
    <w:name w:val="footnote text"/>
    <w:basedOn w:val="Normal"/>
    <w:link w:val="FootnoteTextChar"/>
    <w:uiPriority w:val="99"/>
    <w:unhideWhenUsed/>
    <w:rsid w:val="00923E2A"/>
    <w:pPr>
      <w:spacing w:before="0" w:after="0"/>
    </w:pPr>
    <w:rPr>
      <w:color w:val="auto"/>
      <w:sz w:val="14"/>
      <w:szCs w:val="20"/>
    </w:rPr>
  </w:style>
  <w:style w:type="character" w:customStyle="1" w:styleId="FootnoteTextChar">
    <w:name w:val="Footnote Text Char"/>
    <w:basedOn w:val="DefaultParagraphFont"/>
    <w:link w:val="FootnoteText"/>
    <w:uiPriority w:val="99"/>
    <w:rsid w:val="00B16FF2"/>
    <w:rPr>
      <w:rFonts w:ascii="Arial" w:hAnsi="Arial"/>
      <w:sz w:val="14"/>
      <w:szCs w:val="20"/>
    </w:rPr>
  </w:style>
  <w:style w:type="character" w:styleId="FootnoteReference">
    <w:name w:val="footnote reference"/>
    <w:basedOn w:val="DefaultParagraphFont"/>
    <w:uiPriority w:val="99"/>
    <w:unhideWhenUsed/>
    <w:rsid w:val="00B16FF2"/>
    <w:rPr>
      <w:vertAlign w:val="superscript"/>
    </w:rPr>
  </w:style>
  <w:style w:type="table" w:customStyle="1" w:styleId="TableGrid1">
    <w:name w:val="Table Grid1"/>
    <w:basedOn w:val="TableNormal"/>
    <w:next w:val="TableGrid"/>
    <w:rsid w:val="00B16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A83332"/>
    <w:rPr>
      <w:sz w:val="16"/>
      <w:szCs w:val="16"/>
    </w:rPr>
  </w:style>
  <w:style w:type="paragraph" w:styleId="CommentText">
    <w:name w:val="annotation text"/>
    <w:basedOn w:val="Normal"/>
    <w:link w:val="CommentTextChar"/>
    <w:uiPriority w:val="99"/>
    <w:rsid w:val="00A83332"/>
    <w:rPr>
      <w:szCs w:val="20"/>
    </w:rPr>
  </w:style>
  <w:style w:type="character" w:customStyle="1" w:styleId="CommentTextChar">
    <w:name w:val="Comment Text Char"/>
    <w:basedOn w:val="DefaultParagraphFont"/>
    <w:link w:val="CommentText"/>
    <w:uiPriority w:val="99"/>
    <w:rsid w:val="00A83332"/>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rsid w:val="00A83332"/>
    <w:rPr>
      <w:b/>
      <w:bCs/>
    </w:rPr>
  </w:style>
  <w:style w:type="character" w:customStyle="1" w:styleId="CommentSubjectChar">
    <w:name w:val="Comment Subject Char"/>
    <w:basedOn w:val="CommentTextChar"/>
    <w:link w:val="CommentSubject"/>
    <w:uiPriority w:val="99"/>
    <w:semiHidden/>
    <w:rsid w:val="00A83332"/>
    <w:rPr>
      <w:rFonts w:ascii="Arial" w:hAnsi="Arial"/>
      <w:b/>
      <w:bCs/>
      <w:color w:val="000000" w:themeColor="text1"/>
      <w:sz w:val="20"/>
      <w:szCs w:val="20"/>
    </w:rPr>
  </w:style>
  <w:style w:type="character" w:customStyle="1" w:styleId="Bullet1stlevelChar">
    <w:name w:val="Bullet 1st level Char"/>
    <w:basedOn w:val="DefaultParagraphFont"/>
    <w:link w:val="Bullet1stlevel"/>
    <w:uiPriority w:val="2"/>
    <w:rsid w:val="00325BE2"/>
    <w:rPr>
      <w:rFonts w:ascii="Arial" w:hAnsi="Arial"/>
      <w:color w:val="000000" w:themeColor="text1"/>
      <w:sz w:val="20"/>
    </w:rPr>
  </w:style>
  <w:style w:type="paragraph" w:styleId="ListParagraph">
    <w:name w:val="List Paragraph"/>
    <w:basedOn w:val="Normal"/>
    <w:uiPriority w:val="34"/>
    <w:qFormat/>
    <w:rsid w:val="00CF28D6"/>
    <w:pPr>
      <w:ind w:left="720"/>
      <w:contextualSpacing/>
    </w:pPr>
  </w:style>
  <w:style w:type="paragraph" w:customStyle="1" w:styleId="BodyText1">
    <w:name w:val="_Body Text"/>
    <w:basedOn w:val="BodyText"/>
    <w:link w:val="BodyTextChar1"/>
    <w:qFormat/>
    <w:rsid w:val="00632D10"/>
    <w:rPr>
      <w:color w:val="auto"/>
      <w:sz w:val="18"/>
    </w:rPr>
  </w:style>
  <w:style w:type="character" w:customStyle="1" w:styleId="BodyTextChar1">
    <w:name w:val="_Body Text Char"/>
    <w:basedOn w:val="DefaultParagraphFont"/>
    <w:link w:val="BodyText1"/>
    <w:locked/>
    <w:rsid w:val="00632D10"/>
    <w:rPr>
      <w:rFonts w:ascii="Arial" w:hAnsi="Arial"/>
      <w:sz w:val="18"/>
    </w:rPr>
  </w:style>
  <w:style w:type="character" w:styleId="Mention">
    <w:name w:val="Mention"/>
    <w:basedOn w:val="DefaultParagraphFont"/>
    <w:uiPriority w:val="99"/>
    <w:unhideWhenUsed/>
    <w:rsid w:val="0011723A"/>
    <w:rPr>
      <w:color w:val="2B579A"/>
      <w:shd w:val="clear" w:color="auto" w:fill="E1DFDD"/>
    </w:rPr>
  </w:style>
  <w:style w:type="table" w:customStyle="1" w:styleId="Style1">
    <w:name w:val="Style1"/>
    <w:basedOn w:val="TableNormal"/>
    <w:uiPriority w:val="99"/>
    <w:rsid w:val="00576229"/>
    <w:pPr>
      <w:spacing w:after="0" w:line="240" w:lineRule="auto"/>
    </w:pPr>
    <w:rPr>
      <w:sz w:val="20"/>
    </w:rPr>
    <w:tblPr>
      <w:tblBorders>
        <w:top w:val="single" w:sz="12" w:space="0" w:color="7213EA" w:themeColor="accent3"/>
        <w:bottom w:val="single" w:sz="12" w:space="0" w:color="7213EA" w:themeColor="accent3"/>
      </w:tblBorders>
    </w:tblPr>
  </w:style>
  <w:style w:type="table" w:customStyle="1" w:styleId="GridTable5Dark-Accent11">
    <w:name w:val="Grid Table 5 Dark - Accent 11"/>
    <w:basedOn w:val="TableNormal"/>
    <w:next w:val="GridTable5Dark-Accent1"/>
    <w:uiPriority w:val="50"/>
    <w:rsid w:val="007E5BB7"/>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4EB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1D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1D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1D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1DA"/>
      </w:tcPr>
    </w:tblStylePr>
    <w:tblStylePr w:type="band1Vert">
      <w:tblPr/>
      <w:tcPr>
        <w:shd w:val="clear" w:color="auto" w:fill="8AD7FF"/>
      </w:tcPr>
    </w:tblStylePr>
    <w:tblStylePr w:type="band1Horz">
      <w:tblPr/>
      <w:tcPr>
        <w:shd w:val="clear" w:color="auto" w:fill="8AD7FF"/>
      </w:tcPr>
    </w:tblStylePr>
  </w:style>
  <w:style w:type="table" w:styleId="GridTable5Dark-Accent1">
    <w:name w:val="Grid Table 5 Dark Accent 1"/>
    <w:basedOn w:val="TableNormal"/>
    <w:uiPriority w:val="50"/>
    <w:rsid w:val="007E5BB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DAF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E49E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E49E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E49E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E49E2" w:themeFill="accent1"/>
      </w:tcPr>
    </w:tblStylePr>
    <w:tblStylePr w:type="band1Vert">
      <w:tblPr/>
      <w:tcPr>
        <w:shd w:val="clear" w:color="auto" w:fill="A4B5F3" w:themeFill="accent1" w:themeFillTint="66"/>
      </w:tcPr>
    </w:tblStylePr>
    <w:tblStylePr w:type="band1Horz">
      <w:tblPr/>
      <w:tcPr>
        <w:shd w:val="clear" w:color="auto" w:fill="A4B5F3" w:themeFill="accent1" w:themeFillTint="66"/>
      </w:tcPr>
    </w:tblStylePr>
  </w:style>
  <w:style w:type="character" w:customStyle="1" w:styleId="contentpasted0">
    <w:name w:val="contentpasted0"/>
    <w:basedOn w:val="DefaultParagraphFont"/>
    <w:rsid w:val="00E90059"/>
  </w:style>
  <w:style w:type="character" w:customStyle="1" w:styleId="contentpasted1">
    <w:name w:val="contentpasted1"/>
    <w:basedOn w:val="DefaultParagraphFont"/>
    <w:rsid w:val="00E90059"/>
  </w:style>
  <w:style w:type="character" w:customStyle="1" w:styleId="contentpasted2">
    <w:name w:val="contentpasted2"/>
    <w:basedOn w:val="DefaultParagraphFont"/>
    <w:rsid w:val="00E90059"/>
  </w:style>
  <w:style w:type="character" w:customStyle="1" w:styleId="Bullet2ndlevelChar">
    <w:name w:val="Bullet 2nd level Char"/>
    <w:basedOn w:val="DefaultParagraphFont"/>
    <w:link w:val="Bullet2ndlevel"/>
    <w:uiPriority w:val="2"/>
    <w:rsid w:val="00B3584B"/>
    <w:rPr>
      <w:rFonts w:ascii="Arial" w:hAnsi="Arial"/>
      <w:color w:val="000000" w:themeColor="text1"/>
      <w:sz w:val="20"/>
    </w:rPr>
  </w:style>
  <w:style w:type="paragraph" w:styleId="Revision">
    <w:name w:val="Revision"/>
    <w:hidden/>
    <w:uiPriority w:val="99"/>
    <w:semiHidden/>
    <w:rsid w:val="004B21C2"/>
    <w:pPr>
      <w:spacing w:after="0" w:line="240" w:lineRule="auto"/>
    </w:pPr>
    <w:rPr>
      <w:rFonts w:ascii="Arial" w:hAnsi="Arial"/>
      <w:color w:val="000000" w:themeColor="text1"/>
      <w:sz w:val="20"/>
    </w:rPr>
  </w:style>
  <w:style w:type="paragraph" w:customStyle="1" w:styleId="BodyText10">
    <w:name w:val="Body Text1"/>
    <w:qFormat/>
    <w:rsid w:val="00E52257"/>
    <w:pPr>
      <w:spacing w:before="120" w:after="120" w:line="240" w:lineRule="auto"/>
    </w:pPr>
    <w:rPr>
      <w:rFonts w:ascii="Arial" w:hAnsi="Arial"/>
      <w:sz w:val="20"/>
    </w:rPr>
  </w:style>
  <w:style w:type="table" w:customStyle="1" w:styleId="KPMGTable1">
    <w:name w:val="KPMG Table1"/>
    <w:basedOn w:val="TableNormal"/>
    <w:uiPriority w:val="99"/>
    <w:rsid w:val="0020180D"/>
    <w:pPr>
      <w:spacing w:after="0" w:line="240" w:lineRule="auto"/>
    </w:pPr>
    <w:rPr>
      <w:rFonts w:ascii="Arial" w:hAnsi="Arial"/>
      <w:sz w:val="20"/>
    </w:rPr>
    <w:tblPr>
      <w:tblBorders>
        <w:bottom w:val="single" w:sz="4" w:space="0" w:color="BFBFBF" w:themeColor="background1" w:themeShade="BF"/>
        <w:insideH w:val="single" w:sz="4" w:space="0" w:color="BFBFBF" w:themeColor="background1" w:themeShade="BF"/>
      </w:tblBorders>
    </w:tblPr>
    <w:tblStylePr w:type="firstRow">
      <w:pPr>
        <w:jc w:val="left"/>
      </w:pPr>
      <w:rPr>
        <w:rFonts w:ascii="Arial" w:hAnsi="Arial"/>
        <w:b w:val="0"/>
        <w:i w:val="0"/>
        <w:color w:val="1E49E2" w:themeColor="accent1"/>
      </w:rPr>
      <w:tblPr/>
      <w:tcPr>
        <w:tcBorders>
          <w:bottom w:val="single" w:sz="4" w:space="0" w:color="1E49E2" w:themeColor="accent1"/>
        </w:tcBorders>
        <w:shd w:val="clear" w:color="auto" w:fill="FFFFFF" w:themeFill="background1"/>
      </w:tcPr>
    </w:tblStylePr>
    <w:tblStylePr w:type="lastRow">
      <w:tblPr/>
      <w:tcPr>
        <w:tcBorders>
          <w:bottom w:val="single" w:sz="4" w:space="0" w:color="1E49E2" w:themeColor="accent1"/>
        </w:tcBorders>
      </w:tcPr>
    </w:tblStylePr>
    <w:tblStylePr w:type="firstCol">
      <w:tblPr/>
      <w:tcPr>
        <w:shd w:val="clear" w:color="auto" w:fill="F2F2F2" w:themeFill="background1" w:themeFillShade="F2"/>
      </w:tcPr>
    </w:tblStylePr>
  </w:style>
  <w:style w:type="table" w:styleId="GridTable1Light-Accent1">
    <w:name w:val="Grid Table 1 Light Accent 1"/>
    <w:basedOn w:val="TableNormal"/>
    <w:uiPriority w:val="46"/>
    <w:rsid w:val="00EA19EF"/>
    <w:pPr>
      <w:spacing w:after="0" w:line="240" w:lineRule="auto"/>
    </w:pPr>
    <w:tblPr>
      <w:tblStyleRowBandSize w:val="1"/>
      <w:tblStyleColBandSize w:val="1"/>
      <w:tblBorders>
        <w:top w:val="single" w:sz="4" w:space="0" w:color="A4B5F3" w:themeColor="accent1" w:themeTint="66"/>
        <w:left w:val="single" w:sz="4" w:space="0" w:color="A4B5F3" w:themeColor="accent1" w:themeTint="66"/>
        <w:bottom w:val="single" w:sz="4" w:space="0" w:color="A4B5F3" w:themeColor="accent1" w:themeTint="66"/>
        <w:right w:val="single" w:sz="4" w:space="0" w:color="A4B5F3" w:themeColor="accent1" w:themeTint="66"/>
        <w:insideH w:val="single" w:sz="4" w:space="0" w:color="A4B5F3" w:themeColor="accent1" w:themeTint="66"/>
        <w:insideV w:val="single" w:sz="4" w:space="0" w:color="A4B5F3" w:themeColor="accent1" w:themeTint="66"/>
      </w:tblBorders>
    </w:tblPr>
    <w:tblStylePr w:type="firstRow">
      <w:rPr>
        <w:b/>
        <w:bCs/>
      </w:rPr>
      <w:tblPr/>
      <w:tcPr>
        <w:tcBorders>
          <w:bottom w:val="single" w:sz="12" w:space="0" w:color="7791ED" w:themeColor="accent1" w:themeTint="99"/>
        </w:tcBorders>
      </w:tcPr>
    </w:tblStylePr>
    <w:tblStylePr w:type="lastRow">
      <w:rPr>
        <w:b/>
        <w:bCs/>
      </w:rPr>
      <w:tblPr/>
      <w:tcPr>
        <w:tcBorders>
          <w:top w:val="double" w:sz="2" w:space="0" w:color="7791ED"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82034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dnoteText">
    <w:name w:val="endnote text"/>
    <w:basedOn w:val="Normal"/>
    <w:link w:val="EndnoteTextChar"/>
    <w:uiPriority w:val="99"/>
    <w:semiHidden/>
    <w:unhideWhenUsed/>
    <w:rsid w:val="00B776E1"/>
    <w:pPr>
      <w:spacing w:before="0" w:after="0"/>
    </w:pPr>
    <w:rPr>
      <w:szCs w:val="20"/>
    </w:rPr>
  </w:style>
  <w:style w:type="character" w:customStyle="1" w:styleId="EndnoteTextChar">
    <w:name w:val="Endnote Text Char"/>
    <w:basedOn w:val="DefaultParagraphFont"/>
    <w:link w:val="EndnoteText"/>
    <w:uiPriority w:val="99"/>
    <w:semiHidden/>
    <w:rsid w:val="00B776E1"/>
    <w:rPr>
      <w:rFonts w:ascii="Arial" w:hAnsi="Arial"/>
      <w:color w:val="000000" w:themeColor="text1"/>
      <w:sz w:val="20"/>
      <w:szCs w:val="20"/>
    </w:rPr>
  </w:style>
  <w:style w:type="character" w:styleId="EndnoteReference">
    <w:name w:val="endnote reference"/>
    <w:basedOn w:val="DefaultParagraphFont"/>
    <w:uiPriority w:val="99"/>
    <w:semiHidden/>
    <w:unhideWhenUsed/>
    <w:rsid w:val="00B776E1"/>
    <w:rPr>
      <w:vertAlign w:val="superscript"/>
    </w:rPr>
  </w:style>
  <w:style w:type="paragraph" w:customStyle="1" w:styleId="Tableheading0">
    <w:name w:val="Table heading"/>
    <w:uiPriority w:val="4"/>
    <w:qFormat/>
    <w:rsid w:val="00D9359A"/>
    <w:pPr>
      <w:spacing w:before="40" w:after="40" w:line="240" w:lineRule="auto"/>
    </w:pPr>
    <w:rPr>
      <w:rFonts w:ascii="Arial" w:hAnsi="Arial"/>
      <w:b/>
      <w:color w:val="1E49E2" w:themeColor="accent1"/>
      <w:sz w:val="18"/>
    </w:rPr>
  </w:style>
  <w:style w:type="paragraph" w:customStyle="1" w:styleId="Tabletext">
    <w:name w:val="Table text"/>
    <w:link w:val="TabletextChar"/>
    <w:qFormat/>
    <w:rsid w:val="00DF2767"/>
    <w:pPr>
      <w:spacing w:before="40" w:after="40" w:line="240" w:lineRule="auto"/>
    </w:pPr>
    <w:rPr>
      <w:rFonts w:ascii="Arial" w:hAnsi="Arial"/>
      <w:sz w:val="18"/>
    </w:rPr>
  </w:style>
  <w:style w:type="character" w:customStyle="1" w:styleId="TabletextChar">
    <w:name w:val="Table text Char"/>
    <w:aliases w:val="Body text Char,block Char,bt Char,body Char,body text Char,Body Char,t1 Char,taten_body Char,Body Text 1 Char,NoticeText-List Char,body text Char Char Char,body text Char Char Char Char Char Char,Body Text x Char,b Char,Body Text Char1"/>
    <w:link w:val="Tabletext"/>
    <w:rsid w:val="001A5A31"/>
    <w:rPr>
      <w:rFonts w:ascii="Arial" w:hAnsi="Arial"/>
      <w:sz w:val="18"/>
    </w:rPr>
  </w:style>
  <w:style w:type="paragraph" w:styleId="NormalWeb">
    <w:name w:val="Normal (Web)"/>
    <w:basedOn w:val="Normal"/>
    <w:uiPriority w:val="99"/>
    <w:semiHidden/>
    <w:unhideWhenUsed/>
    <w:rsid w:val="00BE101F"/>
    <w:pPr>
      <w:spacing w:before="100" w:beforeAutospacing="1" w:after="100" w:afterAutospacing="1"/>
    </w:pPr>
    <w:rPr>
      <w:rFonts w:ascii="Times New Roman" w:eastAsia="Times New Roman" w:hAnsi="Times New Roman" w:cs="Times New Roman"/>
      <w:color w:val="auto"/>
      <w:sz w:val="24"/>
      <w:szCs w:val="24"/>
      <w:lang w:eastAsia="en-AU"/>
    </w:rPr>
  </w:style>
  <w:style w:type="paragraph" w:customStyle="1" w:styleId="HeadingLevel1NoNumber">
    <w:name w:val="HeadingLevel1NoNumber"/>
    <w:basedOn w:val="Heading1"/>
    <w:next w:val="Bodytext0"/>
    <w:uiPriority w:val="99"/>
    <w:qFormat/>
    <w:rsid w:val="004A6BEF"/>
  </w:style>
  <w:style w:type="paragraph" w:customStyle="1" w:styleId="HeadingLevel2NoNumber">
    <w:name w:val="HeadingLevel2NoNumber"/>
    <w:basedOn w:val="Heading2"/>
    <w:next w:val="Bodytext0"/>
    <w:uiPriority w:val="99"/>
    <w:qFormat/>
    <w:rsid w:val="009C6773"/>
    <w:pPr>
      <w:numPr>
        <w:ilvl w:val="0"/>
        <w:numId w:val="0"/>
      </w:numPr>
    </w:pPr>
  </w:style>
  <w:style w:type="paragraph" w:customStyle="1" w:styleId="HeadingLevel4NoNumber">
    <w:name w:val="HeadingLevel4NoNumber"/>
    <w:basedOn w:val="Heading4"/>
    <w:uiPriority w:val="99"/>
    <w:qFormat/>
    <w:rsid w:val="00500497"/>
  </w:style>
  <w:style w:type="paragraph" w:styleId="Title">
    <w:name w:val="Title"/>
    <w:basedOn w:val="Normal"/>
    <w:next w:val="Normal"/>
    <w:link w:val="TitleChar"/>
    <w:uiPriority w:val="99"/>
    <w:semiHidden/>
    <w:qFormat/>
    <w:rsid w:val="003D7201"/>
    <w:pPr>
      <w:spacing w:before="0" w:after="0"/>
      <w:contextualSpacing/>
    </w:pPr>
    <w:rPr>
      <w:rFonts w:ascii="KPMG Bold" w:eastAsiaTheme="majorEastAsia" w:hAnsi="KPMG Bold" w:cstheme="majorBidi"/>
      <w:color w:val="FFFFFF" w:themeColor="background1"/>
      <w:spacing w:val="-10"/>
      <w:kern w:val="28"/>
      <w:sz w:val="56"/>
      <w:szCs w:val="56"/>
    </w:rPr>
  </w:style>
  <w:style w:type="character" w:customStyle="1" w:styleId="TitleChar">
    <w:name w:val="Title Char"/>
    <w:basedOn w:val="DefaultParagraphFont"/>
    <w:link w:val="Title"/>
    <w:uiPriority w:val="99"/>
    <w:semiHidden/>
    <w:rsid w:val="003D7201"/>
    <w:rPr>
      <w:rFonts w:ascii="KPMG Bold" w:eastAsiaTheme="majorEastAsia" w:hAnsi="KPMG Bold" w:cstheme="majorBidi"/>
      <w:color w:val="FFFFFF" w:themeColor="background1"/>
      <w:spacing w:val="-10"/>
      <w:kern w:val="28"/>
      <w:sz w:val="56"/>
      <w:szCs w:val="56"/>
    </w:rPr>
  </w:style>
  <w:style w:type="paragraph" w:customStyle="1" w:styleId="BodyTextkeepwithnext">
    <w:name w:val="Body Textkeepwithnext"/>
    <w:basedOn w:val="BodyText"/>
    <w:uiPriority w:val="99"/>
    <w:qFormat/>
    <w:rsid w:val="00325BE2"/>
    <w:pPr>
      <w:keepNext/>
    </w:pPr>
  </w:style>
  <w:style w:type="paragraph" w:customStyle="1" w:styleId="disclaimerbodytext">
    <w:name w:val="disclaimerbodytext"/>
    <w:basedOn w:val="BodyText"/>
    <w:uiPriority w:val="99"/>
    <w:qFormat/>
    <w:rsid w:val="00621EBD"/>
    <w:rPr>
      <w:i/>
      <w:iCs/>
      <w:sz w:val="14"/>
      <w:szCs w:val="16"/>
    </w:rPr>
  </w:style>
  <w:style w:type="paragraph" w:customStyle="1" w:styleId="Appendixheading">
    <w:name w:val="Appendix heading"/>
    <w:next w:val="Normal"/>
    <w:uiPriority w:val="2"/>
    <w:qFormat/>
    <w:rsid w:val="00994C5A"/>
    <w:pPr>
      <w:keepNext/>
      <w:keepLines/>
      <w:pageBreakBefore/>
      <w:numPr>
        <w:numId w:val="33"/>
      </w:numPr>
      <w:spacing w:before="240" w:after="240" w:line="240" w:lineRule="auto"/>
      <w:outlineLvl w:val="0"/>
    </w:pPr>
    <w:rPr>
      <w:rFonts w:ascii="KPMG Bold" w:eastAsia="Times New Roman" w:hAnsi="KPMG Bold" w:cs="Times New Roman"/>
      <w:color w:val="00338D"/>
      <w:sz w:val="72"/>
      <w:szCs w:val="18"/>
    </w:rPr>
  </w:style>
  <w:style w:type="paragraph" w:customStyle="1" w:styleId="AppendixHeading2">
    <w:name w:val="Appendix Heading 2"/>
    <w:basedOn w:val="Heading2"/>
    <w:next w:val="BodyText"/>
    <w:rsid w:val="00994C5A"/>
    <w:pPr>
      <w:keepLines w:val="0"/>
      <w:numPr>
        <w:numId w:val="33"/>
      </w:numPr>
      <w:tabs>
        <w:tab w:val="left" w:pos="964"/>
      </w:tabs>
      <w:spacing w:after="120"/>
      <w:jc w:val="both"/>
    </w:pPr>
    <w:rPr>
      <w:rFonts w:ascii="KPMG Bold" w:eastAsia="Times New Roman" w:hAnsi="KPMG Bold" w:cs="Times New Roman"/>
      <w:b w:val="0"/>
      <w:color w:val="00338D"/>
      <w:sz w:val="40"/>
      <w:szCs w:val="20"/>
    </w:rPr>
  </w:style>
  <w:style w:type="paragraph" w:customStyle="1" w:styleId="AppendixHeading3">
    <w:name w:val="Appendix Heading 3"/>
    <w:basedOn w:val="Heading3"/>
    <w:next w:val="BodyText"/>
    <w:rsid w:val="00994C5A"/>
    <w:pPr>
      <w:keepLines w:val="0"/>
      <w:numPr>
        <w:ilvl w:val="2"/>
        <w:numId w:val="33"/>
      </w:numPr>
      <w:tabs>
        <w:tab w:val="left" w:pos="357"/>
      </w:tabs>
      <w:jc w:val="both"/>
    </w:pPr>
    <w:rPr>
      <w:rFonts w:eastAsia="Times New Roman" w:cs="Times New Roman"/>
      <w:color w:val="00338D"/>
      <w:szCs w:val="20"/>
    </w:rPr>
  </w:style>
  <w:style w:type="paragraph" w:customStyle="1" w:styleId="AppendixHeading4">
    <w:name w:val="Appendix Heading 4"/>
    <w:basedOn w:val="Heading4"/>
    <w:next w:val="BodyText"/>
    <w:rsid w:val="00994C5A"/>
    <w:pPr>
      <w:keepLines w:val="0"/>
      <w:tabs>
        <w:tab w:val="num" w:pos="360"/>
        <w:tab w:val="left" w:pos="964"/>
      </w:tabs>
      <w:ind w:left="833" w:hanging="833"/>
      <w:jc w:val="both"/>
    </w:pPr>
    <w:rPr>
      <w:rFonts w:eastAsia="Times New Roman" w:cs="Times New Roman"/>
      <w:iCs w:val="0"/>
      <w:color w:val="00338D"/>
      <w:sz w:val="22"/>
      <w:szCs w:val="20"/>
    </w:rPr>
  </w:style>
  <w:style w:type="paragraph" w:customStyle="1" w:styleId="Tablebullet1BLUE">
    <w:name w:val="Table bullet1BLUE"/>
    <w:basedOn w:val="Bullet1stlevel"/>
    <w:uiPriority w:val="99"/>
    <w:qFormat/>
    <w:rsid w:val="000F0640"/>
    <w:pPr>
      <w:spacing w:before="0" w:after="0"/>
    </w:pPr>
    <w:rPr>
      <w:color w:val="00338D" w:themeColor="text2"/>
      <w:sz w:val="18"/>
      <w:szCs w:val="20"/>
    </w:rPr>
  </w:style>
  <w:style w:type="paragraph" w:customStyle="1" w:styleId="TableTextBLUE">
    <w:name w:val="Table TextBLUE"/>
    <w:basedOn w:val="BodyText"/>
    <w:uiPriority w:val="99"/>
    <w:qFormat/>
    <w:rsid w:val="000D263D"/>
    <w:pPr>
      <w:spacing w:after="0"/>
    </w:pPr>
    <w:rPr>
      <w:color w:val="00338D" w:themeColor="text2"/>
      <w:sz w:val="18"/>
      <w:szCs w:val="18"/>
    </w:rPr>
  </w:style>
  <w:style w:type="paragraph" w:customStyle="1" w:styleId="TabletextCENTRED">
    <w:name w:val="Table textCENTRED"/>
    <w:basedOn w:val="Tabletext"/>
    <w:uiPriority w:val="99"/>
    <w:qFormat/>
    <w:rsid w:val="00501CF4"/>
    <w:pPr>
      <w:jc w:val="center"/>
    </w:pPr>
  </w:style>
  <w:style w:type="paragraph" w:customStyle="1" w:styleId="TableHeadingCENTRED">
    <w:name w:val="Table HeadingCENTRED"/>
    <w:basedOn w:val="TableHeading"/>
    <w:uiPriority w:val="99"/>
    <w:qFormat/>
    <w:rsid w:val="00501CF4"/>
    <w:pPr>
      <w:jc w:val="center"/>
    </w:pPr>
  </w:style>
  <w:style w:type="paragraph" w:styleId="TableofFigures">
    <w:name w:val="table of figures"/>
    <w:basedOn w:val="Normal"/>
    <w:next w:val="Normal"/>
    <w:uiPriority w:val="99"/>
    <w:unhideWhenUsed/>
    <w:rsid w:val="00B53241"/>
    <w:pPr>
      <w:tabs>
        <w:tab w:val="right" w:leader="dot" w:pos="8787"/>
      </w:tabs>
      <w:spacing w:before="40" w:after="40"/>
      <w:ind w:right="567"/>
    </w:pPr>
    <w:rPr>
      <w:sz w:val="16"/>
    </w:rPr>
  </w:style>
  <w:style w:type="paragraph" w:customStyle="1" w:styleId="TabletextBOLD">
    <w:name w:val="Table textBOLD"/>
    <w:basedOn w:val="Tabletext"/>
    <w:uiPriority w:val="99"/>
    <w:qFormat/>
    <w:rsid w:val="009052A3"/>
    <w:rPr>
      <w:b/>
      <w:bCs/>
    </w:rPr>
  </w:style>
  <w:style w:type="paragraph" w:customStyle="1" w:styleId="Tablebullet1">
    <w:name w:val="Table bullet1"/>
    <w:basedOn w:val="ListParagraph"/>
    <w:uiPriority w:val="99"/>
    <w:qFormat/>
    <w:rsid w:val="009052A3"/>
    <w:pPr>
      <w:numPr>
        <w:numId w:val="10"/>
      </w:numPr>
      <w:spacing w:before="0" w:after="0"/>
    </w:pPr>
    <w:rPr>
      <w:rFonts w:cs="@Batang"/>
      <w:sz w:val="18"/>
      <w:szCs w:val="18"/>
    </w:rPr>
  </w:style>
  <w:style w:type="paragraph" w:customStyle="1" w:styleId="TabletextRightaligned">
    <w:name w:val="Table textRightaligned"/>
    <w:basedOn w:val="Tabletext"/>
    <w:uiPriority w:val="99"/>
    <w:qFormat/>
    <w:rsid w:val="000C3641"/>
    <w:pPr>
      <w:jc w:val="right"/>
    </w:pPr>
  </w:style>
  <w:style w:type="paragraph" w:customStyle="1" w:styleId="TableHeadingsub">
    <w:name w:val="Table Headingsub"/>
    <w:basedOn w:val="Normal"/>
    <w:uiPriority w:val="99"/>
    <w:qFormat/>
    <w:rsid w:val="000F0640"/>
    <w:pPr>
      <w:spacing w:before="0" w:after="0"/>
      <w:jc w:val="center"/>
    </w:pPr>
    <w:rPr>
      <w:rFonts w:eastAsia="@Batang" w:cs="@Batang"/>
      <w:b/>
      <w:color w:val="00338D" w:themeColor="text2"/>
      <w:sz w:val="18"/>
      <w:szCs w:val="18"/>
    </w:rPr>
  </w:style>
  <w:style w:type="paragraph" w:styleId="BalloonText">
    <w:name w:val="Balloon Text"/>
    <w:basedOn w:val="Normal"/>
    <w:link w:val="BalloonTextChar"/>
    <w:uiPriority w:val="99"/>
    <w:semiHidden/>
    <w:rsid w:val="00272B50"/>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2B50"/>
    <w:rPr>
      <w:rFonts w:ascii="Segoe UI" w:hAnsi="Segoe UI" w:cs="Segoe UI"/>
      <w:color w:val="000000" w:themeColor="text1"/>
      <w:sz w:val="18"/>
      <w:szCs w:val="18"/>
    </w:rPr>
  </w:style>
  <w:style w:type="paragraph" w:styleId="Bibliography">
    <w:name w:val="Bibliography"/>
    <w:basedOn w:val="Normal"/>
    <w:next w:val="Normal"/>
    <w:uiPriority w:val="99"/>
    <w:semiHidden/>
    <w:unhideWhenUsed/>
    <w:rsid w:val="00272B50"/>
  </w:style>
  <w:style w:type="paragraph" w:styleId="BlockText">
    <w:name w:val="Block Text"/>
    <w:basedOn w:val="Normal"/>
    <w:uiPriority w:val="99"/>
    <w:semiHidden/>
    <w:rsid w:val="00272B50"/>
    <w:pPr>
      <w:pBdr>
        <w:top w:val="single" w:sz="2" w:space="10" w:color="1E49E2" w:themeColor="accent1"/>
        <w:left w:val="single" w:sz="2" w:space="10" w:color="1E49E2" w:themeColor="accent1"/>
        <w:bottom w:val="single" w:sz="2" w:space="10" w:color="1E49E2" w:themeColor="accent1"/>
        <w:right w:val="single" w:sz="2" w:space="10" w:color="1E49E2" w:themeColor="accent1"/>
      </w:pBdr>
      <w:ind w:left="1152" w:right="1152"/>
    </w:pPr>
    <w:rPr>
      <w:rFonts w:asciiTheme="minorHAnsi" w:eastAsiaTheme="minorEastAsia" w:hAnsiTheme="minorHAnsi"/>
      <w:i/>
      <w:iCs/>
      <w:color w:val="1E49E2" w:themeColor="accent1"/>
    </w:rPr>
  </w:style>
  <w:style w:type="paragraph" w:styleId="BodyText3">
    <w:name w:val="Body Text 3"/>
    <w:basedOn w:val="Normal"/>
    <w:link w:val="BodyText3Char"/>
    <w:uiPriority w:val="99"/>
    <w:semiHidden/>
    <w:rsid w:val="00272B50"/>
    <w:rPr>
      <w:sz w:val="16"/>
      <w:szCs w:val="16"/>
    </w:rPr>
  </w:style>
  <w:style w:type="character" w:customStyle="1" w:styleId="BodyText3Char">
    <w:name w:val="Body Text 3 Char"/>
    <w:basedOn w:val="DefaultParagraphFont"/>
    <w:link w:val="BodyText3"/>
    <w:uiPriority w:val="99"/>
    <w:semiHidden/>
    <w:rsid w:val="00272B50"/>
    <w:rPr>
      <w:rFonts w:ascii="Arial" w:hAnsi="Arial"/>
      <w:color w:val="000000" w:themeColor="text1"/>
      <w:sz w:val="16"/>
      <w:szCs w:val="16"/>
    </w:rPr>
  </w:style>
  <w:style w:type="paragraph" w:styleId="BodyTextFirstIndent">
    <w:name w:val="Body Text First Indent"/>
    <w:basedOn w:val="BodyText"/>
    <w:link w:val="BodyTextFirstIndentChar"/>
    <w:uiPriority w:val="99"/>
    <w:semiHidden/>
    <w:rsid w:val="00272B50"/>
    <w:pPr>
      <w:ind w:firstLine="360"/>
    </w:pPr>
  </w:style>
  <w:style w:type="character" w:customStyle="1" w:styleId="BodyTextFirstIndentChar">
    <w:name w:val="Body Text First Indent Char"/>
    <w:basedOn w:val="BodyTextChar"/>
    <w:link w:val="BodyTextFirstIndent"/>
    <w:uiPriority w:val="99"/>
    <w:semiHidden/>
    <w:rsid w:val="00272B50"/>
    <w:rPr>
      <w:rFonts w:ascii="Arial" w:hAnsi="Arial"/>
      <w:color w:val="000000" w:themeColor="text1"/>
      <w:sz w:val="20"/>
    </w:rPr>
  </w:style>
  <w:style w:type="paragraph" w:styleId="BodyTextIndent">
    <w:name w:val="Body Text Indent"/>
    <w:basedOn w:val="Normal"/>
    <w:link w:val="BodyTextIndentChar"/>
    <w:uiPriority w:val="99"/>
    <w:semiHidden/>
    <w:rsid w:val="00272B50"/>
    <w:pPr>
      <w:ind w:left="283"/>
    </w:pPr>
  </w:style>
  <w:style w:type="character" w:customStyle="1" w:styleId="BodyTextIndentChar">
    <w:name w:val="Body Text Indent Char"/>
    <w:basedOn w:val="DefaultParagraphFont"/>
    <w:link w:val="BodyTextIndent"/>
    <w:uiPriority w:val="99"/>
    <w:semiHidden/>
    <w:rsid w:val="00272B50"/>
    <w:rPr>
      <w:rFonts w:ascii="Arial" w:hAnsi="Arial"/>
      <w:color w:val="000000" w:themeColor="text1"/>
      <w:sz w:val="20"/>
    </w:rPr>
  </w:style>
  <w:style w:type="paragraph" w:styleId="BodyTextFirstIndent2">
    <w:name w:val="Body Text First Indent 2"/>
    <w:basedOn w:val="BodyTextIndent"/>
    <w:link w:val="BodyTextFirstIndent2Char"/>
    <w:uiPriority w:val="99"/>
    <w:semiHidden/>
    <w:rsid w:val="00272B50"/>
    <w:pPr>
      <w:ind w:left="360" w:firstLine="360"/>
    </w:pPr>
  </w:style>
  <w:style w:type="character" w:customStyle="1" w:styleId="BodyTextFirstIndent2Char">
    <w:name w:val="Body Text First Indent 2 Char"/>
    <w:basedOn w:val="BodyTextIndentChar"/>
    <w:link w:val="BodyTextFirstIndent2"/>
    <w:uiPriority w:val="99"/>
    <w:semiHidden/>
    <w:rsid w:val="00272B50"/>
    <w:rPr>
      <w:rFonts w:ascii="Arial" w:hAnsi="Arial"/>
      <w:color w:val="000000" w:themeColor="text1"/>
      <w:sz w:val="20"/>
    </w:rPr>
  </w:style>
  <w:style w:type="paragraph" w:styleId="BodyTextIndent2">
    <w:name w:val="Body Text Indent 2"/>
    <w:basedOn w:val="Normal"/>
    <w:link w:val="BodyTextIndent2Char"/>
    <w:uiPriority w:val="99"/>
    <w:semiHidden/>
    <w:rsid w:val="00272B50"/>
    <w:pPr>
      <w:spacing w:line="480" w:lineRule="auto"/>
      <w:ind w:left="283"/>
    </w:pPr>
  </w:style>
  <w:style w:type="character" w:customStyle="1" w:styleId="BodyTextIndent2Char">
    <w:name w:val="Body Text Indent 2 Char"/>
    <w:basedOn w:val="DefaultParagraphFont"/>
    <w:link w:val="BodyTextIndent2"/>
    <w:uiPriority w:val="99"/>
    <w:semiHidden/>
    <w:rsid w:val="00272B50"/>
    <w:rPr>
      <w:rFonts w:ascii="Arial" w:hAnsi="Arial"/>
      <w:color w:val="000000" w:themeColor="text1"/>
      <w:sz w:val="20"/>
    </w:rPr>
  </w:style>
  <w:style w:type="paragraph" w:styleId="BodyTextIndent3">
    <w:name w:val="Body Text Indent 3"/>
    <w:basedOn w:val="Normal"/>
    <w:link w:val="BodyTextIndent3Char"/>
    <w:uiPriority w:val="99"/>
    <w:semiHidden/>
    <w:rsid w:val="00272B50"/>
    <w:pPr>
      <w:ind w:left="283"/>
    </w:pPr>
    <w:rPr>
      <w:sz w:val="16"/>
      <w:szCs w:val="16"/>
    </w:rPr>
  </w:style>
  <w:style w:type="character" w:customStyle="1" w:styleId="BodyTextIndent3Char">
    <w:name w:val="Body Text Indent 3 Char"/>
    <w:basedOn w:val="DefaultParagraphFont"/>
    <w:link w:val="BodyTextIndent3"/>
    <w:uiPriority w:val="99"/>
    <w:semiHidden/>
    <w:rsid w:val="00272B50"/>
    <w:rPr>
      <w:rFonts w:ascii="Arial" w:hAnsi="Arial"/>
      <w:color w:val="000000" w:themeColor="text1"/>
      <w:sz w:val="16"/>
      <w:szCs w:val="16"/>
    </w:rPr>
  </w:style>
  <w:style w:type="paragraph" w:styleId="Closing">
    <w:name w:val="Closing"/>
    <w:basedOn w:val="Normal"/>
    <w:link w:val="ClosingChar"/>
    <w:uiPriority w:val="99"/>
    <w:semiHidden/>
    <w:rsid w:val="00272B50"/>
    <w:pPr>
      <w:spacing w:before="0" w:after="0"/>
      <w:ind w:left="4252"/>
    </w:pPr>
  </w:style>
  <w:style w:type="character" w:customStyle="1" w:styleId="ClosingChar">
    <w:name w:val="Closing Char"/>
    <w:basedOn w:val="DefaultParagraphFont"/>
    <w:link w:val="Closing"/>
    <w:uiPriority w:val="99"/>
    <w:semiHidden/>
    <w:rsid w:val="00272B50"/>
    <w:rPr>
      <w:rFonts w:ascii="Arial" w:hAnsi="Arial"/>
      <w:color w:val="000000" w:themeColor="text1"/>
      <w:sz w:val="20"/>
    </w:rPr>
  </w:style>
  <w:style w:type="paragraph" w:styleId="Date">
    <w:name w:val="Date"/>
    <w:basedOn w:val="Normal"/>
    <w:next w:val="Normal"/>
    <w:link w:val="DateChar"/>
    <w:uiPriority w:val="99"/>
    <w:semiHidden/>
    <w:rsid w:val="00272B50"/>
  </w:style>
  <w:style w:type="character" w:customStyle="1" w:styleId="DateChar">
    <w:name w:val="Date Char"/>
    <w:basedOn w:val="DefaultParagraphFont"/>
    <w:link w:val="Date"/>
    <w:uiPriority w:val="99"/>
    <w:semiHidden/>
    <w:rsid w:val="00272B50"/>
    <w:rPr>
      <w:rFonts w:ascii="Arial" w:hAnsi="Arial"/>
      <w:color w:val="000000" w:themeColor="text1"/>
      <w:sz w:val="20"/>
    </w:rPr>
  </w:style>
  <w:style w:type="paragraph" w:styleId="DocumentMap">
    <w:name w:val="Document Map"/>
    <w:basedOn w:val="Normal"/>
    <w:link w:val="DocumentMapChar"/>
    <w:uiPriority w:val="99"/>
    <w:semiHidden/>
    <w:rsid w:val="00272B50"/>
    <w:pPr>
      <w:spacing w:before="0"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72B50"/>
    <w:rPr>
      <w:rFonts w:ascii="Segoe UI" w:hAnsi="Segoe UI" w:cs="Segoe UI"/>
      <w:color w:val="000000" w:themeColor="text1"/>
      <w:sz w:val="16"/>
      <w:szCs w:val="16"/>
    </w:rPr>
  </w:style>
  <w:style w:type="paragraph" w:styleId="E-mailSignature">
    <w:name w:val="E-mail Signature"/>
    <w:basedOn w:val="Normal"/>
    <w:link w:val="E-mailSignatureChar"/>
    <w:uiPriority w:val="99"/>
    <w:semiHidden/>
    <w:rsid w:val="00272B50"/>
    <w:pPr>
      <w:spacing w:before="0" w:after="0"/>
    </w:pPr>
  </w:style>
  <w:style w:type="character" w:customStyle="1" w:styleId="E-mailSignatureChar">
    <w:name w:val="E-mail Signature Char"/>
    <w:basedOn w:val="DefaultParagraphFont"/>
    <w:link w:val="E-mailSignature"/>
    <w:uiPriority w:val="99"/>
    <w:semiHidden/>
    <w:rsid w:val="00272B50"/>
    <w:rPr>
      <w:rFonts w:ascii="Arial" w:hAnsi="Arial"/>
      <w:color w:val="000000" w:themeColor="text1"/>
      <w:sz w:val="20"/>
    </w:rPr>
  </w:style>
  <w:style w:type="paragraph" w:styleId="EnvelopeAddress">
    <w:name w:val="envelope address"/>
    <w:basedOn w:val="Normal"/>
    <w:uiPriority w:val="99"/>
    <w:semiHidden/>
    <w:rsid w:val="00272B50"/>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272B50"/>
    <w:pPr>
      <w:spacing w:before="0" w:after="0"/>
    </w:pPr>
    <w:rPr>
      <w:rFonts w:asciiTheme="majorHAnsi" w:eastAsiaTheme="majorEastAsia" w:hAnsiTheme="majorHAnsi" w:cstheme="majorBidi"/>
      <w:szCs w:val="20"/>
    </w:rPr>
  </w:style>
  <w:style w:type="character" w:customStyle="1" w:styleId="Heading8Char">
    <w:name w:val="Heading 8 Char"/>
    <w:basedOn w:val="DefaultParagraphFont"/>
    <w:link w:val="Heading8"/>
    <w:uiPriority w:val="99"/>
    <w:semiHidden/>
    <w:rsid w:val="00272B5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272B50"/>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272B50"/>
    <w:pPr>
      <w:spacing w:before="0" w:after="0"/>
    </w:pPr>
    <w:rPr>
      <w:i/>
      <w:iCs/>
    </w:rPr>
  </w:style>
  <w:style w:type="character" w:customStyle="1" w:styleId="HTMLAddressChar">
    <w:name w:val="HTML Address Char"/>
    <w:basedOn w:val="DefaultParagraphFont"/>
    <w:link w:val="HTMLAddress"/>
    <w:uiPriority w:val="99"/>
    <w:semiHidden/>
    <w:rsid w:val="00272B50"/>
    <w:rPr>
      <w:rFonts w:ascii="Arial" w:hAnsi="Arial"/>
      <w:i/>
      <w:iCs/>
      <w:color w:val="000000" w:themeColor="text1"/>
      <w:sz w:val="20"/>
    </w:rPr>
  </w:style>
  <w:style w:type="paragraph" w:styleId="HTMLPreformatted">
    <w:name w:val="HTML Preformatted"/>
    <w:basedOn w:val="Normal"/>
    <w:link w:val="HTMLPreformattedChar"/>
    <w:uiPriority w:val="99"/>
    <w:semiHidden/>
    <w:unhideWhenUsed/>
    <w:rsid w:val="00272B50"/>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272B50"/>
    <w:rPr>
      <w:rFonts w:ascii="Consolas" w:hAnsi="Consolas"/>
      <w:color w:val="000000" w:themeColor="text1"/>
      <w:sz w:val="20"/>
      <w:szCs w:val="20"/>
    </w:rPr>
  </w:style>
  <w:style w:type="paragraph" w:styleId="Index1">
    <w:name w:val="index 1"/>
    <w:basedOn w:val="Normal"/>
    <w:next w:val="Normal"/>
    <w:autoRedefine/>
    <w:uiPriority w:val="99"/>
    <w:semiHidden/>
    <w:unhideWhenUsed/>
    <w:rsid w:val="00272B50"/>
    <w:pPr>
      <w:spacing w:before="0" w:after="0"/>
      <w:ind w:left="200" w:hanging="200"/>
    </w:pPr>
  </w:style>
  <w:style w:type="paragraph" w:styleId="Index2">
    <w:name w:val="index 2"/>
    <w:basedOn w:val="Normal"/>
    <w:next w:val="Normal"/>
    <w:autoRedefine/>
    <w:uiPriority w:val="99"/>
    <w:semiHidden/>
    <w:unhideWhenUsed/>
    <w:rsid w:val="00272B50"/>
    <w:pPr>
      <w:spacing w:before="0" w:after="0"/>
      <w:ind w:left="400" w:hanging="200"/>
    </w:pPr>
  </w:style>
  <w:style w:type="paragraph" w:styleId="Index3">
    <w:name w:val="index 3"/>
    <w:basedOn w:val="Normal"/>
    <w:next w:val="Normal"/>
    <w:autoRedefine/>
    <w:uiPriority w:val="99"/>
    <w:semiHidden/>
    <w:unhideWhenUsed/>
    <w:rsid w:val="00272B50"/>
    <w:pPr>
      <w:spacing w:before="0" w:after="0"/>
      <w:ind w:left="600" w:hanging="200"/>
    </w:pPr>
  </w:style>
  <w:style w:type="paragraph" w:styleId="Index4">
    <w:name w:val="index 4"/>
    <w:basedOn w:val="Normal"/>
    <w:next w:val="Normal"/>
    <w:autoRedefine/>
    <w:uiPriority w:val="99"/>
    <w:semiHidden/>
    <w:unhideWhenUsed/>
    <w:rsid w:val="00272B50"/>
    <w:pPr>
      <w:spacing w:before="0" w:after="0"/>
      <w:ind w:left="800" w:hanging="200"/>
    </w:pPr>
  </w:style>
  <w:style w:type="paragraph" w:styleId="Index5">
    <w:name w:val="index 5"/>
    <w:basedOn w:val="Normal"/>
    <w:next w:val="Normal"/>
    <w:autoRedefine/>
    <w:uiPriority w:val="99"/>
    <w:semiHidden/>
    <w:unhideWhenUsed/>
    <w:rsid w:val="00272B50"/>
    <w:pPr>
      <w:spacing w:before="0" w:after="0"/>
      <w:ind w:left="1000" w:hanging="200"/>
    </w:pPr>
  </w:style>
  <w:style w:type="paragraph" w:styleId="Index6">
    <w:name w:val="index 6"/>
    <w:basedOn w:val="Normal"/>
    <w:next w:val="Normal"/>
    <w:autoRedefine/>
    <w:uiPriority w:val="99"/>
    <w:semiHidden/>
    <w:unhideWhenUsed/>
    <w:rsid w:val="00272B50"/>
    <w:pPr>
      <w:spacing w:before="0" w:after="0"/>
      <w:ind w:left="1200" w:hanging="200"/>
    </w:pPr>
  </w:style>
  <w:style w:type="paragraph" w:styleId="Index7">
    <w:name w:val="index 7"/>
    <w:basedOn w:val="Normal"/>
    <w:next w:val="Normal"/>
    <w:autoRedefine/>
    <w:uiPriority w:val="99"/>
    <w:semiHidden/>
    <w:unhideWhenUsed/>
    <w:rsid w:val="00272B50"/>
    <w:pPr>
      <w:spacing w:before="0" w:after="0"/>
      <w:ind w:left="1400" w:hanging="200"/>
    </w:pPr>
  </w:style>
  <w:style w:type="paragraph" w:styleId="Index8">
    <w:name w:val="index 8"/>
    <w:basedOn w:val="Normal"/>
    <w:next w:val="Normal"/>
    <w:autoRedefine/>
    <w:uiPriority w:val="99"/>
    <w:semiHidden/>
    <w:unhideWhenUsed/>
    <w:rsid w:val="00272B50"/>
    <w:pPr>
      <w:spacing w:before="0" w:after="0"/>
      <w:ind w:left="1600" w:hanging="200"/>
    </w:pPr>
  </w:style>
  <w:style w:type="paragraph" w:styleId="Index9">
    <w:name w:val="index 9"/>
    <w:basedOn w:val="Normal"/>
    <w:next w:val="Normal"/>
    <w:autoRedefine/>
    <w:uiPriority w:val="99"/>
    <w:semiHidden/>
    <w:unhideWhenUsed/>
    <w:rsid w:val="00272B50"/>
    <w:pPr>
      <w:spacing w:before="0" w:after="0"/>
      <w:ind w:left="1800" w:hanging="200"/>
    </w:pPr>
  </w:style>
  <w:style w:type="paragraph" w:styleId="IndexHeading">
    <w:name w:val="index heading"/>
    <w:basedOn w:val="Normal"/>
    <w:next w:val="Index1"/>
    <w:uiPriority w:val="99"/>
    <w:unhideWhenUsed/>
    <w:rsid w:val="00272B50"/>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272B50"/>
    <w:pPr>
      <w:pBdr>
        <w:top w:val="single" w:sz="4" w:space="10" w:color="1E49E2" w:themeColor="accent1"/>
        <w:bottom w:val="single" w:sz="4" w:space="10" w:color="1E49E2" w:themeColor="accent1"/>
      </w:pBdr>
      <w:spacing w:before="360" w:after="360"/>
      <w:ind w:left="864" w:right="864"/>
      <w:jc w:val="center"/>
    </w:pPr>
    <w:rPr>
      <w:i/>
      <w:iCs/>
      <w:color w:val="1E49E2" w:themeColor="accent1"/>
    </w:rPr>
  </w:style>
  <w:style w:type="character" w:customStyle="1" w:styleId="IntenseQuoteChar">
    <w:name w:val="Intense Quote Char"/>
    <w:basedOn w:val="DefaultParagraphFont"/>
    <w:link w:val="IntenseQuote"/>
    <w:uiPriority w:val="99"/>
    <w:semiHidden/>
    <w:rsid w:val="00272B50"/>
    <w:rPr>
      <w:rFonts w:ascii="Arial" w:hAnsi="Arial"/>
      <w:i/>
      <w:iCs/>
      <w:color w:val="1E49E2" w:themeColor="accent1"/>
      <w:sz w:val="20"/>
    </w:rPr>
  </w:style>
  <w:style w:type="paragraph" w:styleId="List">
    <w:name w:val="List"/>
    <w:basedOn w:val="Normal"/>
    <w:uiPriority w:val="99"/>
    <w:semiHidden/>
    <w:unhideWhenUsed/>
    <w:rsid w:val="00272B50"/>
    <w:pPr>
      <w:ind w:left="283" w:hanging="283"/>
      <w:contextualSpacing/>
    </w:pPr>
  </w:style>
  <w:style w:type="paragraph" w:styleId="List2">
    <w:name w:val="List 2"/>
    <w:basedOn w:val="Normal"/>
    <w:uiPriority w:val="99"/>
    <w:semiHidden/>
    <w:unhideWhenUsed/>
    <w:rsid w:val="00272B50"/>
    <w:pPr>
      <w:ind w:left="566" w:hanging="283"/>
      <w:contextualSpacing/>
    </w:pPr>
  </w:style>
  <w:style w:type="paragraph" w:styleId="List3">
    <w:name w:val="List 3"/>
    <w:basedOn w:val="Normal"/>
    <w:uiPriority w:val="99"/>
    <w:semiHidden/>
    <w:unhideWhenUsed/>
    <w:rsid w:val="00272B50"/>
    <w:pPr>
      <w:ind w:left="849" w:hanging="283"/>
      <w:contextualSpacing/>
    </w:pPr>
  </w:style>
  <w:style w:type="paragraph" w:styleId="List4">
    <w:name w:val="List 4"/>
    <w:basedOn w:val="Normal"/>
    <w:uiPriority w:val="99"/>
    <w:semiHidden/>
    <w:unhideWhenUsed/>
    <w:rsid w:val="00272B50"/>
    <w:pPr>
      <w:ind w:left="1132" w:hanging="283"/>
      <w:contextualSpacing/>
    </w:pPr>
  </w:style>
  <w:style w:type="paragraph" w:styleId="List5">
    <w:name w:val="List 5"/>
    <w:basedOn w:val="Normal"/>
    <w:uiPriority w:val="99"/>
    <w:semiHidden/>
    <w:unhideWhenUsed/>
    <w:rsid w:val="00272B50"/>
    <w:pPr>
      <w:ind w:left="1415" w:hanging="283"/>
      <w:contextualSpacing/>
    </w:pPr>
  </w:style>
  <w:style w:type="paragraph" w:styleId="ListBullet4">
    <w:name w:val="List Bullet 4"/>
    <w:basedOn w:val="Normal"/>
    <w:uiPriority w:val="99"/>
    <w:semiHidden/>
    <w:rsid w:val="00272B50"/>
    <w:pPr>
      <w:numPr>
        <w:numId w:val="28"/>
      </w:numPr>
      <w:tabs>
        <w:tab w:val="num" w:pos="360"/>
      </w:tabs>
      <w:ind w:left="0" w:firstLine="0"/>
      <w:contextualSpacing/>
    </w:pPr>
  </w:style>
  <w:style w:type="paragraph" w:styleId="ListBullet5">
    <w:name w:val="List Bullet 5"/>
    <w:basedOn w:val="Normal"/>
    <w:uiPriority w:val="99"/>
    <w:semiHidden/>
    <w:rsid w:val="00272B50"/>
    <w:pPr>
      <w:numPr>
        <w:numId w:val="29"/>
      </w:numPr>
      <w:tabs>
        <w:tab w:val="num" w:pos="360"/>
      </w:tabs>
      <w:ind w:left="0" w:firstLine="0"/>
      <w:contextualSpacing/>
    </w:pPr>
  </w:style>
  <w:style w:type="paragraph" w:styleId="ListContinue">
    <w:name w:val="List Continue"/>
    <w:basedOn w:val="Normal"/>
    <w:uiPriority w:val="99"/>
    <w:semiHidden/>
    <w:unhideWhenUsed/>
    <w:rsid w:val="00272B50"/>
    <w:pPr>
      <w:ind w:left="283"/>
      <w:contextualSpacing/>
    </w:pPr>
  </w:style>
  <w:style w:type="paragraph" w:styleId="ListContinue2">
    <w:name w:val="List Continue 2"/>
    <w:basedOn w:val="Normal"/>
    <w:uiPriority w:val="99"/>
    <w:semiHidden/>
    <w:unhideWhenUsed/>
    <w:rsid w:val="00272B50"/>
    <w:pPr>
      <w:ind w:left="566"/>
      <w:contextualSpacing/>
    </w:pPr>
  </w:style>
  <w:style w:type="paragraph" w:styleId="ListContinue3">
    <w:name w:val="List Continue 3"/>
    <w:basedOn w:val="Normal"/>
    <w:uiPriority w:val="99"/>
    <w:semiHidden/>
    <w:unhideWhenUsed/>
    <w:rsid w:val="00272B50"/>
    <w:pPr>
      <w:ind w:left="849"/>
      <w:contextualSpacing/>
    </w:pPr>
  </w:style>
  <w:style w:type="paragraph" w:styleId="ListContinue4">
    <w:name w:val="List Continue 4"/>
    <w:basedOn w:val="Normal"/>
    <w:uiPriority w:val="99"/>
    <w:semiHidden/>
    <w:unhideWhenUsed/>
    <w:rsid w:val="00272B50"/>
    <w:pPr>
      <w:ind w:left="1132"/>
      <w:contextualSpacing/>
    </w:pPr>
  </w:style>
  <w:style w:type="paragraph" w:styleId="ListContinue5">
    <w:name w:val="List Continue 5"/>
    <w:basedOn w:val="Normal"/>
    <w:uiPriority w:val="99"/>
    <w:semiHidden/>
    <w:unhideWhenUsed/>
    <w:rsid w:val="00272B50"/>
    <w:pPr>
      <w:ind w:left="1415"/>
      <w:contextualSpacing/>
    </w:pPr>
  </w:style>
  <w:style w:type="paragraph" w:styleId="ListNumber4">
    <w:name w:val="List Number 4"/>
    <w:basedOn w:val="Normal"/>
    <w:uiPriority w:val="9"/>
    <w:semiHidden/>
    <w:rsid w:val="00272B50"/>
    <w:pPr>
      <w:numPr>
        <w:numId w:val="30"/>
      </w:numPr>
      <w:tabs>
        <w:tab w:val="num" w:pos="360"/>
      </w:tabs>
      <w:ind w:left="0" w:firstLine="0"/>
      <w:contextualSpacing/>
    </w:pPr>
  </w:style>
  <w:style w:type="paragraph" w:styleId="ListNumber5">
    <w:name w:val="List Number 5"/>
    <w:basedOn w:val="Normal"/>
    <w:uiPriority w:val="9"/>
    <w:semiHidden/>
    <w:rsid w:val="00272B50"/>
    <w:pPr>
      <w:numPr>
        <w:numId w:val="31"/>
      </w:numPr>
      <w:tabs>
        <w:tab w:val="num" w:pos="360"/>
      </w:tabs>
      <w:ind w:left="0" w:firstLine="0"/>
      <w:contextualSpacing/>
    </w:pPr>
  </w:style>
  <w:style w:type="paragraph" w:styleId="MacroText">
    <w:name w:val="macro"/>
    <w:link w:val="MacroTextChar"/>
    <w:uiPriority w:val="99"/>
    <w:semiHidden/>
    <w:unhideWhenUsed/>
    <w:rsid w:val="00272B50"/>
    <w:pPr>
      <w:tabs>
        <w:tab w:val="left" w:pos="480"/>
        <w:tab w:val="left" w:pos="960"/>
        <w:tab w:val="left" w:pos="1440"/>
        <w:tab w:val="left" w:pos="1920"/>
        <w:tab w:val="left" w:pos="2400"/>
        <w:tab w:val="left" w:pos="2880"/>
        <w:tab w:val="left" w:pos="3360"/>
        <w:tab w:val="left" w:pos="3840"/>
        <w:tab w:val="left" w:pos="4320"/>
      </w:tabs>
      <w:spacing w:before="120" w:after="0" w:line="240" w:lineRule="auto"/>
    </w:pPr>
    <w:rPr>
      <w:rFonts w:ascii="Consolas" w:hAnsi="Consolas"/>
      <w:color w:val="000000" w:themeColor="text1"/>
      <w:sz w:val="20"/>
      <w:szCs w:val="20"/>
    </w:rPr>
  </w:style>
  <w:style w:type="character" w:customStyle="1" w:styleId="MacroTextChar">
    <w:name w:val="Macro Text Char"/>
    <w:basedOn w:val="DefaultParagraphFont"/>
    <w:link w:val="MacroText"/>
    <w:uiPriority w:val="99"/>
    <w:semiHidden/>
    <w:rsid w:val="00272B50"/>
    <w:rPr>
      <w:rFonts w:ascii="Consolas" w:hAnsi="Consolas"/>
      <w:color w:val="000000" w:themeColor="text1"/>
      <w:sz w:val="20"/>
      <w:szCs w:val="20"/>
    </w:rPr>
  </w:style>
  <w:style w:type="paragraph" w:styleId="MessageHeader">
    <w:name w:val="Message Header"/>
    <w:basedOn w:val="Normal"/>
    <w:link w:val="MessageHeaderChar"/>
    <w:uiPriority w:val="99"/>
    <w:semiHidden/>
    <w:unhideWhenUsed/>
    <w:rsid w:val="00272B50"/>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72B50"/>
    <w:rPr>
      <w:rFonts w:asciiTheme="majorHAnsi" w:eastAsiaTheme="majorEastAsia" w:hAnsiTheme="majorHAnsi" w:cstheme="majorBidi"/>
      <w:color w:val="000000" w:themeColor="text1"/>
      <w:sz w:val="24"/>
      <w:szCs w:val="24"/>
      <w:shd w:val="pct20" w:color="auto" w:fill="auto"/>
    </w:rPr>
  </w:style>
  <w:style w:type="paragraph" w:styleId="NoSpacing">
    <w:name w:val="No Spacing"/>
    <w:uiPriority w:val="99"/>
    <w:semiHidden/>
    <w:qFormat/>
    <w:rsid w:val="00272B50"/>
    <w:pPr>
      <w:spacing w:after="0" w:line="240" w:lineRule="auto"/>
    </w:pPr>
    <w:rPr>
      <w:rFonts w:ascii="Arial" w:hAnsi="Arial"/>
      <w:color w:val="000000" w:themeColor="text1"/>
      <w:sz w:val="20"/>
    </w:rPr>
  </w:style>
  <w:style w:type="paragraph" w:styleId="NormalIndent">
    <w:name w:val="Normal Indent"/>
    <w:basedOn w:val="Normal"/>
    <w:uiPriority w:val="99"/>
    <w:semiHidden/>
    <w:unhideWhenUsed/>
    <w:rsid w:val="00272B50"/>
    <w:pPr>
      <w:ind w:left="720"/>
    </w:pPr>
  </w:style>
  <w:style w:type="paragraph" w:styleId="NoteHeading">
    <w:name w:val="Note Heading"/>
    <w:basedOn w:val="Normal"/>
    <w:next w:val="Normal"/>
    <w:link w:val="NoteHeadingChar"/>
    <w:uiPriority w:val="99"/>
    <w:semiHidden/>
    <w:unhideWhenUsed/>
    <w:rsid w:val="00272B50"/>
    <w:pPr>
      <w:spacing w:before="0" w:after="0"/>
    </w:pPr>
  </w:style>
  <w:style w:type="character" w:customStyle="1" w:styleId="NoteHeadingChar">
    <w:name w:val="Note Heading Char"/>
    <w:basedOn w:val="DefaultParagraphFont"/>
    <w:link w:val="NoteHeading"/>
    <w:uiPriority w:val="99"/>
    <w:semiHidden/>
    <w:rsid w:val="00272B50"/>
    <w:rPr>
      <w:rFonts w:ascii="Arial" w:hAnsi="Arial"/>
      <w:color w:val="000000" w:themeColor="text1"/>
      <w:sz w:val="20"/>
    </w:rPr>
  </w:style>
  <w:style w:type="paragraph" w:styleId="PlainText">
    <w:name w:val="Plain Text"/>
    <w:basedOn w:val="Normal"/>
    <w:link w:val="PlainTextChar"/>
    <w:uiPriority w:val="99"/>
    <w:semiHidden/>
    <w:unhideWhenUsed/>
    <w:rsid w:val="00272B50"/>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272B50"/>
    <w:rPr>
      <w:rFonts w:ascii="Consolas" w:hAnsi="Consolas"/>
      <w:color w:val="000000" w:themeColor="text1"/>
      <w:sz w:val="21"/>
      <w:szCs w:val="21"/>
    </w:rPr>
  </w:style>
  <w:style w:type="paragraph" w:styleId="Quote">
    <w:name w:val="Quote"/>
    <w:basedOn w:val="Normal"/>
    <w:next w:val="Normal"/>
    <w:link w:val="QuoteChar"/>
    <w:uiPriority w:val="99"/>
    <w:semiHidden/>
    <w:qFormat/>
    <w:rsid w:val="00272B5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99"/>
    <w:semiHidden/>
    <w:rsid w:val="00272B50"/>
    <w:rPr>
      <w:rFonts w:ascii="Arial" w:hAnsi="Arial"/>
      <w:i/>
      <w:iCs/>
      <w:color w:val="404040" w:themeColor="text1" w:themeTint="BF"/>
      <w:sz w:val="20"/>
    </w:rPr>
  </w:style>
  <w:style w:type="paragraph" w:styleId="Salutation">
    <w:name w:val="Salutation"/>
    <w:basedOn w:val="Normal"/>
    <w:next w:val="Normal"/>
    <w:link w:val="SalutationChar"/>
    <w:uiPriority w:val="99"/>
    <w:semiHidden/>
    <w:unhideWhenUsed/>
    <w:rsid w:val="00272B50"/>
  </w:style>
  <w:style w:type="character" w:customStyle="1" w:styleId="SalutationChar">
    <w:name w:val="Salutation Char"/>
    <w:basedOn w:val="DefaultParagraphFont"/>
    <w:link w:val="Salutation"/>
    <w:uiPriority w:val="99"/>
    <w:semiHidden/>
    <w:rsid w:val="00272B50"/>
    <w:rPr>
      <w:rFonts w:ascii="Arial" w:hAnsi="Arial"/>
      <w:color w:val="000000" w:themeColor="text1"/>
      <w:sz w:val="20"/>
    </w:rPr>
  </w:style>
  <w:style w:type="paragraph" w:styleId="Signature">
    <w:name w:val="Signature"/>
    <w:basedOn w:val="Normal"/>
    <w:link w:val="SignatureChar"/>
    <w:uiPriority w:val="99"/>
    <w:semiHidden/>
    <w:unhideWhenUsed/>
    <w:rsid w:val="00272B50"/>
    <w:pPr>
      <w:spacing w:before="0" w:after="0"/>
      <w:ind w:left="4252"/>
    </w:pPr>
  </w:style>
  <w:style w:type="character" w:customStyle="1" w:styleId="SignatureChar">
    <w:name w:val="Signature Char"/>
    <w:basedOn w:val="DefaultParagraphFont"/>
    <w:link w:val="Signature"/>
    <w:uiPriority w:val="99"/>
    <w:semiHidden/>
    <w:rsid w:val="00272B50"/>
    <w:rPr>
      <w:rFonts w:ascii="Arial" w:hAnsi="Arial"/>
      <w:color w:val="000000" w:themeColor="text1"/>
      <w:sz w:val="20"/>
    </w:rPr>
  </w:style>
  <w:style w:type="paragraph" w:styleId="Subtitle">
    <w:name w:val="Subtitle"/>
    <w:basedOn w:val="Normal"/>
    <w:next w:val="Normal"/>
    <w:link w:val="SubtitleChar"/>
    <w:uiPriority w:val="99"/>
    <w:semiHidden/>
    <w:qFormat/>
    <w:rsid w:val="00272B50"/>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99"/>
    <w:semiHidden/>
    <w:rsid w:val="00272B50"/>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272B50"/>
    <w:pPr>
      <w:spacing w:after="0"/>
      <w:ind w:left="200" w:hanging="200"/>
    </w:pPr>
  </w:style>
  <w:style w:type="paragraph" w:styleId="TOAHeading">
    <w:name w:val="toa heading"/>
    <w:basedOn w:val="Normal"/>
    <w:next w:val="Normal"/>
    <w:uiPriority w:val="99"/>
    <w:semiHidden/>
    <w:unhideWhenUsed/>
    <w:rsid w:val="00272B50"/>
    <w:rPr>
      <w:rFonts w:asciiTheme="majorHAnsi" w:eastAsiaTheme="majorEastAsia" w:hAnsiTheme="majorHAnsi" w:cstheme="majorBidi"/>
      <w:b/>
      <w:bCs/>
      <w:sz w:val="24"/>
      <w:szCs w:val="24"/>
    </w:rPr>
  </w:style>
  <w:style w:type="paragraph" w:styleId="TOC3">
    <w:name w:val="toc 3"/>
    <w:basedOn w:val="Normal"/>
    <w:next w:val="Normal"/>
    <w:autoRedefine/>
    <w:uiPriority w:val="5"/>
    <w:semiHidden/>
    <w:unhideWhenUsed/>
    <w:rsid w:val="00272B50"/>
    <w:pPr>
      <w:spacing w:after="100"/>
      <w:ind w:left="400"/>
    </w:pPr>
  </w:style>
  <w:style w:type="paragraph" w:styleId="TOC4">
    <w:name w:val="toc 4"/>
    <w:basedOn w:val="Normal"/>
    <w:next w:val="Normal"/>
    <w:autoRedefine/>
    <w:uiPriority w:val="5"/>
    <w:semiHidden/>
    <w:unhideWhenUsed/>
    <w:rsid w:val="00272B50"/>
    <w:pPr>
      <w:spacing w:after="100"/>
      <w:ind w:left="600"/>
    </w:pPr>
  </w:style>
  <w:style w:type="paragraph" w:styleId="TOC5">
    <w:name w:val="toc 5"/>
    <w:basedOn w:val="Normal"/>
    <w:next w:val="Normal"/>
    <w:autoRedefine/>
    <w:uiPriority w:val="5"/>
    <w:semiHidden/>
    <w:unhideWhenUsed/>
    <w:rsid w:val="00272B50"/>
    <w:pPr>
      <w:spacing w:after="100"/>
      <w:ind w:left="800"/>
    </w:pPr>
  </w:style>
  <w:style w:type="paragraph" w:styleId="TOC6">
    <w:name w:val="toc 6"/>
    <w:basedOn w:val="Normal"/>
    <w:next w:val="Normal"/>
    <w:autoRedefine/>
    <w:uiPriority w:val="5"/>
    <w:semiHidden/>
    <w:unhideWhenUsed/>
    <w:rsid w:val="00272B50"/>
    <w:pPr>
      <w:spacing w:after="100"/>
      <w:ind w:left="1000"/>
    </w:pPr>
  </w:style>
  <w:style w:type="paragraph" w:styleId="TOC7">
    <w:name w:val="toc 7"/>
    <w:basedOn w:val="Normal"/>
    <w:next w:val="Normal"/>
    <w:autoRedefine/>
    <w:uiPriority w:val="5"/>
    <w:semiHidden/>
    <w:unhideWhenUsed/>
    <w:rsid w:val="00272B50"/>
    <w:pPr>
      <w:spacing w:after="100"/>
      <w:ind w:left="1200"/>
    </w:pPr>
  </w:style>
  <w:style w:type="paragraph" w:styleId="TOC8">
    <w:name w:val="toc 8"/>
    <w:basedOn w:val="Normal"/>
    <w:next w:val="Normal"/>
    <w:autoRedefine/>
    <w:uiPriority w:val="5"/>
    <w:semiHidden/>
    <w:unhideWhenUsed/>
    <w:rsid w:val="00272B50"/>
    <w:pPr>
      <w:spacing w:after="100"/>
      <w:ind w:left="1400"/>
    </w:pPr>
  </w:style>
  <w:style w:type="paragraph" w:styleId="TOC9">
    <w:name w:val="toc 9"/>
    <w:basedOn w:val="Normal"/>
    <w:next w:val="Normal"/>
    <w:autoRedefine/>
    <w:uiPriority w:val="5"/>
    <w:semiHidden/>
    <w:unhideWhenUsed/>
    <w:rsid w:val="00272B50"/>
    <w:pPr>
      <w:spacing w:after="100"/>
      <w:ind w:left="1600"/>
    </w:pPr>
  </w:style>
  <w:style w:type="paragraph" w:styleId="TOCHeading">
    <w:name w:val="TOC Heading"/>
    <w:basedOn w:val="Heading1"/>
    <w:next w:val="Normal"/>
    <w:uiPriority w:val="5"/>
    <w:semiHidden/>
    <w:unhideWhenUsed/>
    <w:qFormat/>
    <w:rsid w:val="00272B50"/>
    <w:pPr>
      <w:numPr>
        <w:numId w:val="0"/>
      </w:numPr>
      <w:spacing w:before="240" w:after="0" w:line="240" w:lineRule="auto"/>
      <w:outlineLvl w:val="9"/>
    </w:pPr>
    <w:rPr>
      <w:rFonts w:asciiTheme="majorHAnsi" w:hAnsiTheme="majorHAnsi"/>
      <w:color w:val="1635A9" w:themeColor="accent1" w:themeShade="BF"/>
      <w:sz w:val="32"/>
    </w:rPr>
  </w:style>
  <w:style w:type="paragraph" w:customStyle="1" w:styleId="TabletextItalic">
    <w:name w:val="Table textItalic"/>
    <w:basedOn w:val="Tabletext"/>
    <w:uiPriority w:val="99"/>
    <w:qFormat/>
    <w:rsid w:val="00825C42"/>
    <w:rPr>
      <w:i/>
      <w:iCs/>
    </w:rPr>
  </w:style>
  <w:style w:type="character" w:styleId="BookTitle">
    <w:name w:val="Book Title"/>
    <w:basedOn w:val="DefaultParagraphFont"/>
    <w:uiPriority w:val="99"/>
    <w:semiHidden/>
    <w:qFormat/>
    <w:rsid w:val="00825C42"/>
    <w:rPr>
      <w:b/>
      <w:bCs/>
      <w:i/>
      <w:iCs/>
      <w:spacing w:val="5"/>
    </w:rPr>
  </w:style>
  <w:style w:type="character" w:styleId="IntenseEmphasis">
    <w:name w:val="Intense Emphasis"/>
    <w:basedOn w:val="DefaultParagraphFont"/>
    <w:uiPriority w:val="99"/>
    <w:semiHidden/>
    <w:qFormat/>
    <w:rsid w:val="00A20A19"/>
    <w:rPr>
      <w:color w:val="00338D" w:themeColor="text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044559">
      <w:bodyDiv w:val="1"/>
      <w:marLeft w:val="0"/>
      <w:marRight w:val="0"/>
      <w:marTop w:val="0"/>
      <w:marBottom w:val="0"/>
      <w:divBdr>
        <w:top w:val="none" w:sz="0" w:space="0" w:color="auto"/>
        <w:left w:val="none" w:sz="0" w:space="0" w:color="auto"/>
        <w:bottom w:val="none" w:sz="0" w:space="0" w:color="auto"/>
        <w:right w:val="none" w:sz="0" w:space="0" w:color="auto"/>
      </w:divBdr>
      <w:divsChild>
        <w:div w:id="1826313796">
          <w:marLeft w:val="446"/>
          <w:marRight w:val="0"/>
          <w:marTop w:val="0"/>
          <w:marBottom w:val="120"/>
          <w:divBdr>
            <w:top w:val="none" w:sz="0" w:space="0" w:color="auto"/>
            <w:left w:val="none" w:sz="0" w:space="0" w:color="auto"/>
            <w:bottom w:val="none" w:sz="0" w:space="0" w:color="auto"/>
            <w:right w:val="none" w:sz="0" w:space="0" w:color="auto"/>
          </w:divBdr>
        </w:div>
      </w:divsChild>
    </w:div>
    <w:div w:id="22439944">
      <w:bodyDiv w:val="1"/>
      <w:marLeft w:val="0"/>
      <w:marRight w:val="0"/>
      <w:marTop w:val="0"/>
      <w:marBottom w:val="0"/>
      <w:divBdr>
        <w:top w:val="none" w:sz="0" w:space="0" w:color="auto"/>
        <w:left w:val="none" w:sz="0" w:space="0" w:color="auto"/>
        <w:bottom w:val="none" w:sz="0" w:space="0" w:color="auto"/>
        <w:right w:val="none" w:sz="0" w:space="0" w:color="auto"/>
      </w:divBdr>
    </w:div>
    <w:div w:id="44068474">
      <w:bodyDiv w:val="1"/>
      <w:marLeft w:val="0"/>
      <w:marRight w:val="0"/>
      <w:marTop w:val="0"/>
      <w:marBottom w:val="0"/>
      <w:divBdr>
        <w:top w:val="none" w:sz="0" w:space="0" w:color="auto"/>
        <w:left w:val="none" w:sz="0" w:space="0" w:color="auto"/>
        <w:bottom w:val="none" w:sz="0" w:space="0" w:color="auto"/>
        <w:right w:val="none" w:sz="0" w:space="0" w:color="auto"/>
      </w:divBdr>
    </w:div>
    <w:div w:id="46730543">
      <w:bodyDiv w:val="1"/>
      <w:marLeft w:val="0"/>
      <w:marRight w:val="0"/>
      <w:marTop w:val="0"/>
      <w:marBottom w:val="0"/>
      <w:divBdr>
        <w:top w:val="none" w:sz="0" w:space="0" w:color="auto"/>
        <w:left w:val="none" w:sz="0" w:space="0" w:color="auto"/>
        <w:bottom w:val="none" w:sz="0" w:space="0" w:color="auto"/>
        <w:right w:val="none" w:sz="0" w:space="0" w:color="auto"/>
      </w:divBdr>
      <w:divsChild>
        <w:div w:id="988630985">
          <w:marLeft w:val="446"/>
          <w:marRight w:val="0"/>
          <w:marTop w:val="0"/>
          <w:marBottom w:val="120"/>
          <w:divBdr>
            <w:top w:val="none" w:sz="0" w:space="0" w:color="auto"/>
            <w:left w:val="none" w:sz="0" w:space="0" w:color="auto"/>
            <w:bottom w:val="none" w:sz="0" w:space="0" w:color="auto"/>
            <w:right w:val="none" w:sz="0" w:space="0" w:color="auto"/>
          </w:divBdr>
        </w:div>
      </w:divsChild>
    </w:div>
    <w:div w:id="53361305">
      <w:bodyDiv w:val="1"/>
      <w:marLeft w:val="0"/>
      <w:marRight w:val="0"/>
      <w:marTop w:val="0"/>
      <w:marBottom w:val="0"/>
      <w:divBdr>
        <w:top w:val="none" w:sz="0" w:space="0" w:color="auto"/>
        <w:left w:val="none" w:sz="0" w:space="0" w:color="auto"/>
        <w:bottom w:val="none" w:sz="0" w:space="0" w:color="auto"/>
        <w:right w:val="none" w:sz="0" w:space="0" w:color="auto"/>
      </w:divBdr>
    </w:div>
    <w:div w:id="57360944">
      <w:bodyDiv w:val="1"/>
      <w:marLeft w:val="0"/>
      <w:marRight w:val="0"/>
      <w:marTop w:val="0"/>
      <w:marBottom w:val="0"/>
      <w:divBdr>
        <w:top w:val="none" w:sz="0" w:space="0" w:color="auto"/>
        <w:left w:val="none" w:sz="0" w:space="0" w:color="auto"/>
        <w:bottom w:val="none" w:sz="0" w:space="0" w:color="auto"/>
        <w:right w:val="none" w:sz="0" w:space="0" w:color="auto"/>
      </w:divBdr>
    </w:div>
    <w:div w:id="65735774">
      <w:bodyDiv w:val="1"/>
      <w:marLeft w:val="0"/>
      <w:marRight w:val="0"/>
      <w:marTop w:val="0"/>
      <w:marBottom w:val="0"/>
      <w:divBdr>
        <w:top w:val="none" w:sz="0" w:space="0" w:color="auto"/>
        <w:left w:val="none" w:sz="0" w:space="0" w:color="auto"/>
        <w:bottom w:val="none" w:sz="0" w:space="0" w:color="auto"/>
        <w:right w:val="none" w:sz="0" w:space="0" w:color="auto"/>
      </w:divBdr>
    </w:div>
    <w:div w:id="93792069">
      <w:bodyDiv w:val="1"/>
      <w:marLeft w:val="0"/>
      <w:marRight w:val="0"/>
      <w:marTop w:val="0"/>
      <w:marBottom w:val="0"/>
      <w:divBdr>
        <w:top w:val="none" w:sz="0" w:space="0" w:color="auto"/>
        <w:left w:val="none" w:sz="0" w:space="0" w:color="auto"/>
        <w:bottom w:val="none" w:sz="0" w:space="0" w:color="auto"/>
        <w:right w:val="none" w:sz="0" w:space="0" w:color="auto"/>
      </w:divBdr>
    </w:div>
    <w:div w:id="159078082">
      <w:bodyDiv w:val="1"/>
      <w:marLeft w:val="0"/>
      <w:marRight w:val="0"/>
      <w:marTop w:val="0"/>
      <w:marBottom w:val="0"/>
      <w:divBdr>
        <w:top w:val="none" w:sz="0" w:space="0" w:color="auto"/>
        <w:left w:val="none" w:sz="0" w:space="0" w:color="auto"/>
        <w:bottom w:val="none" w:sz="0" w:space="0" w:color="auto"/>
        <w:right w:val="none" w:sz="0" w:space="0" w:color="auto"/>
      </w:divBdr>
    </w:div>
    <w:div w:id="179974334">
      <w:bodyDiv w:val="1"/>
      <w:marLeft w:val="0"/>
      <w:marRight w:val="0"/>
      <w:marTop w:val="0"/>
      <w:marBottom w:val="0"/>
      <w:divBdr>
        <w:top w:val="none" w:sz="0" w:space="0" w:color="auto"/>
        <w:left w:val="none" w:sz="0" w:space="0" w:color="auto"/>
        <w:bottom w:val="none" w:sz="0" w:space="0" w:color="auto"/>
        <w:right w:val="none" w:sz="0" w:space="0" w:color="auto"/>
      </w:divBdr>
    </w:div>
    <w:div w:id="229535516">
      <w:bodyDiv w:val="1"/>
      <w:marLeft w:val="0"/>
      <w:marRight w:val="0"/>
      <w:marTop w:val="0"/>
      <w:marBottom w:val="0"/>
      <w:divBdr>
        <w:top w:val="none" w:sz="0" w:space="0" w:color="auto"/>
        <w:left w:val="none" w:sz="0" w:space="0" w:color="auto"/>
        <w:bottom w:val="none" w:sz="0" w:space="0" w:color="auto"/>
        <w:right w:val="none" w:sz="0" w:space="0" w:color="auto"/>
      </w:divBdr>
    </w:div>
    <w:div w:id="239994471">
      <w:bodyDiv w:val="1"/>
      <w:marLeft w:val="0"/>
      <w:marRight w:val="0"/>
      <w:marTop w:val="0"/>
      <w:marBottom w:val="0"/>
      <w:divBdr>
        <w:top w:val="none" w:sz="0" w:space="0" w:color="auto"/>
        <w:left w:val="none" w:sz="0" w:space="0" w:color="auto"/>
        <w:bottom w:val="none" w:sz="0" w:space="0" w:color="auto"/>
        <w:right w:val="none" w:sz="0" w:space="0" w:color="auto"/>
      </w:divBdr>
    </w:div>
    <w:div w:id="286011891">
      <w:bodyDiv w:val="1"/>
      <w:marLeft w:val="0"/>
      <w:marRight w:val="0"/>
      <w:marTop w:val="0"/>
      <w:marBottom w:val="0"/>
      <w:divBdr>
        <w:top w:val="none" w:sz="0" w:space="0" w:color="auto"/>
        <w:left w:val="none" w:sz="0" w:space="0" w:color="auto"/>
        <w:bottom w:val="none" w:sz="0" w:space="0" w:color="auto"/>
        <w:right w:val="none" w:sz="0" w:space="0" w:color="auto"/>
      </w:divBdr>
    </w:div>
    <w:div w:id="286012944">
      <w:bodyDiv w:val="1"/>
      <w:marLeft w:val="0"/>
      <w:marRight w:val="0"/>
      <w:marTop w:val="0"/>
      <w:marBottom w:val="0"/>
      <w:divBdr>
        <w:top w:val="none" w:sz="0" w:space="0" w:color="auto"/>
        <w:left w:val="none" w:sz="0" w:space="0" w:color="auto"/>
        <w:bottom w:val="none" w:sz="0" w:space="0" w:color="auto"/>
        <w:right w:val="none" w:sz="0" w:space="0" w:color="auto"/>
      </w:divBdr>
      <w:divsChild>
        <w:div w:id="2065324072">
          <w:marLeft w:val="446"/>
          <w:marRight w:val="0"/>
          <w:marTop w:val="0"/>
          <w:marBottom w:val="120"/>
          <w:divBdr>
            <w:top w:val="none" w:sz="0" w:space="0" w:color="auto"/>
            <w:left w:val="none" w:sz="0" w:space="0" w:color="auto"/>
            <w:bottom w:val="none" w:sz="0" w:space="0" w:color="auto"/>
            <w:right w:val="none" w:sz="0" w:space="0" w:color="auto"/>
          </w:divBdr>
        </w:div>
      </w:divsChild>
    </w:div>
    <w:div w:id="291835044">
      <w:bodyDiv w:val="1"/>
      <w:marLeft w:val="0"/>
      <w:marRight w:val="0"/>
      <w:marTop w:val="0"/>
      <w:marBottom w:val="0"/>
      <w:divBdr>
        <w:top w:val="none" w:sz="0" w:space="0" w:color="auto"/>
        <w:left w:val="none" w:sz="0" w:space="0" w:color="auto"/>
        <w:bottom w:val="none" w:sz="0" w:space="0" w:color="auto"/>
        <w:right w:val="none" w:sz="0" w:space="0" w:color="auto"/>
      </w:divBdr>
      <w:divsChild>
        <w:div w:id="1842969569">
          <w:marLeft w:val="274"/>
          <w:marRight w:val="0"/>
          <w:marTop w:val="0"/>
          <w:marBottom w:val="120"/>
          <w:divBdr>
            <w:top w:val="none" w:sz="0" w:space="0" w:color="auto"/>
            <w:left w:val="none" w:sz="0" w:space="0" w:color="auto"/>
            <w:bottom w:val="none" w:sz="0" w:space="0" w:color="auto"/>
            <w:right w:val="none" w:sz="0" w:space="0" w:color="auto"/>
          </w:divBdr>
        </w:div>
        <w:div w:id="1965034806">
          <w:marLeft w:val="274"/>
          <w:marRight w:val="0"/>
          <w:marTop w:val="0"/>
          <w:marBottom w:val="120"/>
          <w:divBdr>
            <w:top w:val="none" w:sz="0" w:space="0" w:color="auto"/>
            <w:left w:val="none" w:sz="0" w:space="0" w:color="auto"/>
            <w:bottom w:val="none" w:sz="0" w:space="0" w:color="auto"/>
            <w:right w:val="none" w:sz="0" w:space="0" w:color="auto"/>
          </w:divBdr>
        </w:div>
        <w:div w:id="890263585">
          <w:marLeft w:val="274"/>
          <w:marRight w:val="0"/>
          <w:marTop w:val="0"/>
          <w:marBottom w:val="120"/>
          <w:divBdr>
            <w:top w:val="none" w:sz="0" w:space="0" w:color="auto"/>
            <w:left w:val="none" w:sz="0" w:space="0" w:color="auto"/>
            <w:bottom w:val="none" w:sz="0" w:space="0" w:color="auto"/>
            <w:right w:val="none" w:sz="0" w:space="0" w:color="auto"/>
          </w:divBdr>
        </w:div>
      </w:divsChild>
    </w:div>
    <w:div w:id="295069374">
      <w:bodyDiv w:val="1"/>
      <w:marLeft w:val="0"/>
      <w:marRight w:val="0"/>
      <w:marTop w:val="0"/>
      <w:marBottom w:val="0"/>
      <w:divBdr>
        <w:top w:val="none" w:sz="0" w:space="0" w:color="auto"/>
        <w:left w:val="none" w:sz="0" w:space="0" w:color="auto"/>
        <w:bottom w:val="none" w:sz="0" w:space="0" w:color="auto"/>
        <w:right w:val="none" w:sz="0" w:space="0" w:color="auto"/>
      </w:divBdr>
    </w:div>
    <w:div w:id="312953876">
      <w:bodyDiv w:val="1"/>
      <w:marLeft w:val="0"/>
      <w:marRight w:val="0"/>
      <w:marTop w:val="0"/>
      <w:marBottom w:val="0"/>
      <w:divBdr>
        <w:top w:val="none" w:sz="0" w:space="0" w:color="auto"/>
        <w:left w:val="none" w:sz="0" w:space="0" w:color="auto"/>
        <w:bottom w:val="none" w:sz="0" w:space="0" w:color="auto"/>
        <w:right w:val="none" w:sz="0" w:space="0" w:color="auto"/>
      </w:divBdr>
      <w:divsChild>
        <w:div w:id="334110223">
          <w:marLeft w:val="0"/>
          <w:marRight w:val="0"/>
          <w:marTop w:val="0"/>
          <w:marBottom w:val="0"/>
          <w:divBdr>
            <w:top w:val="none" w:sz="0" w:space="0" w:color="auto"/>
            <w:left w:val="none" w:sz="0" w:space="0" w:color="auto"/>
            <w:bottom w:val="none" w:sz="0" w:space="0" w:color="auto"/>
            <w:right w:val="none" w:sz="0" w:space="0" w:color="auto"/>
          </w:divBdr>
          <w:divsChild>
            <w:div w:id="508451587">
              <w:marLeft w:val="0"/>
              <w:marRight w:val="0"/>
              <w:marTop w:val="0"/>
              <w:marBottom w:val="0"/>
              <w:divBdr>
                <w:top w:val="none" w:sz="0" w:space="0" w:color="auto"/>
                <w:left w:val="none" w:sz="0" w:space="0" w:color="auto"/>
                <w:bottom w:val="none" w:sz="0" w:space="0" w:color="auto"/>
                <w:right w:val="none" w:sz="0" w:space="0" w:color="auto"/>
              </w:divBdr>
              <w:divsChild>
                <w:div w:id="424114658">
                  <w:marLeft w:val="0"/>
                  <w:marRight w:val="0"/>
                  <w:marTop w:val="0"/>
                  <w:marBottom w:val="0"/>
                  <w:divBdr>
                    <w:top w:val="none" w:sz="0" w:space="0" w:color="auto"/>
                    <w:left w:val="none" w:sz="0" w:space="0" w:color="auto"/>
                    <w:bottom w:val="none" w:sz="0" w:space="0" w:color="auto"/>
                    <w:right w:val="none" w:sz="0" w:space="0" w:color="auto"/>
                  </w:divBdr>
                  <w:divsChild>
                    <w:div w:id="35207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526985">
      <w:bodyDiv w:val="1"/>
      <w:marLeft w:val="0"/>
      <w:marRight w:val="0"/>
      <w:marTop w:val="0"/>
      <w:marBottom w:val="0"/>
      <w:divBdr>
        <w:top w:val="none" w:sz="0" w:space="0" w:color="auto"/>
        <w:left w:val="none" w:sz="0" w:space="0" w:color="auto"/>
        <w:bottom w:val="none" w:sz="0" w:space="0" w:color="auto"/>
        <w:right w:val="none" w:sz="0" w:space="0" w:color="auto"/>
      </w:divBdr>
    </w:div>
    <w:div w:id="351689668">
      <w:bodyDiv w:val="1"/>
      <w:marLeft w:val="0"/>
      <w:marRight w:val="0"/>
      <w:marTop w:val="0"/>
      <w:marBottom w:val="0"/>
      <w:divBdr>
        <w:top w:val="none" w:sz="0" w:space="0" w:color="auto"/>
        <w:left w:val="none" w:sz="0" w:space="0" w:color="auto"/>
        <w:bottom w:val="none" w:sz="0" w:space="0" w:color="auto"/>
        <w:right w:val="none" w:sz="0" w:space="0" w:color="auto"/>
      </w:divBdr>
    </w:div>
    <w:div w:id="378020894">
      <w:bodyDiv w:val="1"/>
      <w:marLeft w:val="0"/>
      <w:marRight w:val="0"/>
      <w:marTop w:val="0"/>
      <w:marBottom w:val="0"/>
      <w:divBdr>
        <w:top w:val="none" w:sz="0" w:space="0" w:color="auto"/>
        <w:left w:val="none" w:sz="0" w:space="0" w:color="auto"/>
        <w:bottom w:val="none" w:sz="0" w:space="0" w:color="auto"/>
        <w:right w:val="none" w:sz="0" w:space="0" w:color="auto"/>
      </w:divBdr>
    </w:div>
    <w:div w:id="397174079">
      <w:bodyDiv w:val="1"/>
      <w:marLeft w:val="0"/>
      <w:marRight w:val="0"/>
      <w:marTop w:val="0"/>
      <w:marBottom w:val="0"/>
      <w:divBdr>
        <w:top w:val="none" w:sz="0" w:space="0" w:color="auto"/>
        <w:left w:val="none" w:sz="0" w:space="0" w:color="auto"/>
        <w:bottom w:val="none" w:sz="0" w:space="0" w:color="auto"/>
        <w:right w:val="none" w:sz="0" w:space="0" w:color="auto"/>
      </w:divBdr>
    </w:div>
    <w:div w:id="399133821">
      <w:bodyDiv w:val="1"/>
      <w:marLeft w:val="0"/>
      <w:marRight w:val="0"/>
      <w:marTop w:val="0"/>
      <w:marBottom w:val="0"/>
      <w:divBdr>
        <w:top w:val="none" w:sz="0" w:space="0" w:color="auto"/>
        <w:left w:val="none" w:sz="0" w:space="0" w:color="auto"/>
        <w:bottom w:val="none" w:sz="0" w:space="0" w:color="auto"/>
        <w:right w:val="none" w:sz="0" w:space="0" w:color="auto"/>
      </w:divBdr>
      <w:divsChild>
        <w:div w:id="1681203596">
          <w:marLeft w:val="0"/>
          <w:marRight w:val="0"/>
          <w:marTop w:val="0"/>
          <w:marBottom w:val="0"/>
          <w:divBdr>
            <w:top w:val="none" w:sz="0" w:space="0" w:color="auto"/>
            <w:left w:val="none" w:sz="0" w:space="0" w:color="auto"/>
            <w:bottom w:val="none" w:sz="0" w:space="0" w:color="auto"/>
            <w:right w:val="none" w:sz="0" w:space="0" w:color="auto"/>
          </w:divBdr>
        </w:div>
      </w:divsChild>
    </w:div>
    <w:div w:id="411199193">
      <w:bodyDiv w:val="1"/>
      <w:marLeft w:val="0"/>
      <w:marRight w:val="0"/>
      <w:marTop w:val="0"/>
      <w:marBottom w:val="0"/>
      <w:divBdr>
        <w:top w:val="none" w:sz="0" w:space="0" w:color="auto"/>
        <w:left w:val="none" w:sz="0" w:space="0" w:color="auto"/>
        <w:bottom w:val="none" w:sz="0" w:space="0" w:color="auto"/>
        <w:right w:val="none" w:sz="0" w:space="0" w:color="auto"/>
      </w:divBdr>
    </w:div>
    <w:div w:id="440150873">
      <w:bodyDiv w:val="1"/>
      <w:marLeft w:val="0"/>
      <w:marRight w:val="0"/>
      <w:marTop w:val="0"/>
      <w:marBottom w:val="0"/>
      <w:divBdr>
        <w:top w:val="none" w:sz="0" w:space="0" w:color="auto"/>
        <w:left w:val="none" w:sz="0" w:space="0" w:color="auto"/>
        <w:bottom w:val="none" w:sz="0" w:space="0" w:color="auto"/>
        <w:right w:val="none" w:sz="0" w:space="0" w:color="auto"/>
      </w:divBdr>
    </w:div>
    <w:div w:id="449399866">
      <w:bodyDiv w:val="1"/>
      <w:marLeft w:val="0"/>
      <w:marRight w:val="0"/>
      <w:marTop w:val="0"/>
      <w:marBottom w:val="0"/>
      <w:divBdr>
        <w:top w:val="none" w:sz="0" w:space="0" w:color="auto"/>
        <w:left w:val="none" w:sz="0" w:space="0" w:color="auto"/>
        <w:bottom w:val="none" w:sz="0" w:space="0" w:color="auto"/>
        <w:right w:val="none" w:sz="0" w:space="0" w:color="auto"/>
      </w:divBdr>
    </w:div>
    <w:div w:id="451822256">
      <w:bodyDiv w:val="1"/>
      <w:marLeft w:val="0"/>
      <w:marRight w:val="0"/>
      <w:marTop w:val="0"/>
      <w:marBottom w:val="0"/>
      <w:divBdr>
        <w:top w:val="none" w:sz="0" w:space="0" w:color="auto"/>
        <w:left w:val="none" w:sz="0" w:space="0" w:color="auto"/>
        <w:bottom w:val="none" w:sz="0" w:space="0" w:color="auto"/>
        <w:right w:val="none" w:sz="0" w:space="0" w:color="auto"/>
      </w:divBdr>
      <w:divsChild>
        <w:div w:id="1514222017">
          <w:marLeft w:val="274"/>
          <w:marRight w:val="0"/>
          <w:marTop w:val="0"/>
          <w:marBottom w:val="120"/>
          <w:divBdr>
            <w:top w:val="none" w:sz="0" w:space="0" w:color="auto"/>
            <w:left w:val="none" w:sz="0" w:space="0" w:color="auto"/>
            <w:bottom w:val="none" w:sz="0" w:space="0" w:color="auto"/>
            <w:right w:val="none" w:sz="0" w:space="0" w:color="auto"/>
          </w:divBdr>
        </w:div>
        <w:div w:id="327757116">
          <w:marLeft w:val="274"/>
          <w:marRight w:val="0"/>
          <w:marTop w:val="0"/>
          <w:marBottom w:val="120"/>
          <w:divBdr>
            <w:top w:val="none" w:sz="0" w:space="0" w:color="auto"/>
            <w:left w:val="none" w:sz="0" w:space="0" w:color="auto"/>
            <w:bottom w:val="none" w:sz="0" w:space="0" w:color="auto"/>
            <w:right w:val="none" w:sz="0" w:space="0" w:color="auto"/>
          </w:divBdr>
        </w:div>
        <w:div w:id="1327393777">
          <w:marLeft w:val="274"/>
          <w:marRight w:val="0"/>
          <w:marTop w:val="0"/>
          <w:marBottom w:val="120"/>
          <w:divBdr>
            <w:top w:val="none" w:sz="0" w:space="0" w:color="auto"/>
            <w:left w:val="none" w:sz="0" w:space="0" w:color="auto"/>
            <w:bottom w:val="none" w:sz="0" w:space="0" w:color="auto"/>
            <w:right w:val="none" w:sz="0" w:space="0" w:color="auto"/>
          </w:divBdr>
        </w:div>
      </w:divsChild>
    </w:div>
    <w:div w:id="461507482">
      <w:bodyDiv w:val="1"/>
      <w:marLeft w:val="0"/>
      <w:marRight w:val="0"/>
      <w:marTop w:val="0"/>
      <w:marBottom w:val="0"/>
      <w:divBdr>
        <w:top w:val="none" w:sz="0" w:space="0" w:color="auto"/>
        <w:left w:val="none" w:sz="0" w:space="0" w:color="auto"/>
        <w:bottom w:val="none" w:sz="0" w:space="0" w:color="auto"/>
        <w:right w:val="none" w:sz="0" w:space="0" w:color="auto"/>
      </w:divBdr>
    </w:div>
    <w:div w:id="475534056">
      <w:bodyDiv w:val="1"/>
      <w:marLeft w:val="0"/>
      <w:marRight w:val="0"/>
      <w:marTop w:val="0"/>
      <w:marBottom w:val="0"/>
      <w:divBdr>
        <w:top w:val="none" w:sz="0" w:space="0" w:color="auto"/>
        <w:left w:val="none" w:sz="0" w:space="0" w:color="auto"/>
        <w:bottom w:val="none" w:sz="0" w:space="0" w:color="auto"/>
        <w:right w:val="none" w:sz="0" w:space="0" w:color="auto"/>
      </w:divBdr>
    </w:div>
    <w:div w:id="477579616">
      <w:bodyDiv w:val="1"/>
      <w:marLeft w:val="0"/>
      <w:marRight w:val="0"/>
      <w:marTop w:val="0"/>
      <w:marBottom w:val="0"/>
      <w:divBdr>
        <w:top w:val="none" w:sz="0" w:space="0" w:color="auto"/>
        <w:left w:val="none" w:sz="0" w:space="0" w:color="auto"/>
        <w:bottom w:val="none" w:sz="0" w:space="0" w:color="auto"/>
        <w:right w:val="none" w:sz="0" w:space="0" w:color="auto"/>
      </w:divBdr>
    </w:div>
    <w:div w:id="498354006">
      <w:bodyDiv w:val="1"/>
      <w:marLeft w:val="0"/>
      <w:marRight w:val="0"/>
      <w:marTop w:val="0"/>
      <w:marBottom w:val="0"/>
      <w:divBdr>
        <w:top w:val="none" w:sz="0" w:space="0" w:color="auto"/>
        <w:left w:val="none" w:sz="0" w:space="0" w:color="auto"/>
        <w:bottom w:val="none" w:sz="0" w:space="0" w:color="auto"/>
        <w:right w:val="none" w:sz="0" w:space="0" w:color="auto"/>
      </w:divBdr>
    </w:div>
    <w:div w:id="510144071">
      <w:bodyDiv w:val="1"/>
      <w:marLeft w:val="0"/>
      <w:marRight w:val="0"/>
      <w:marTop w:val="0"/>
      <w:marBottom w:val="0"/>
      <w:divBdr>
        <w:top w:val="none" w:sz="0" w:space="0" w:color="auto"/>
        <w:left w:val="none" w:sz="0" w:space="0" w:color="auto"/>
        <w:bottom w:val="none" w:sz="0" w:space="0" w:color="auto"/>
        <w:right w:val="none" w:sz="0" w:space="0" w:color="auto"/>
      </w:divBdr>
      <w:divsChild>
        <w:div w:id="274407362">
          <w:marLeft w:val="1886"/>
          <w:marRight w:val="0"/>
          <w:marTop w:val="0"/>
          <w:marBottom w:val="0"/>
          <w:divBdr>
            <w:top w:val="none" w:sz="0" w:space="0" w:color="auto"/>
            <w:left w:val="none" w:sz="0" w:space="0" w:color="auto"/>
            <w:bottom w:val="none" w:sz="0" w:space="0" w:color="auto"/>
            <w:right w:val="none" w:sz="0" w:space="0" w:color="auto"/>
          </w:divBdr>
        </w:div>
        <w:div w:id="432750445">
          <w:marLeft w:val="1886"/>
          <w:marRight w:val="0"/>
          <w:marTop w:val="0"/>
          <w:marBottom w:val="0"/>
          <w:divBdr>
            <w:top w:val="none" w:sz="0" w:space="0" w:color="auto"/>
            <w:left w:val="none" w:sz="0" w:space="0" w:color="auto"/>
            <w:bottom w:val="none" w:sz="0" w:space="0" w:color="auto"/>
            <w:right w:val="none" w:sz="0" w:space="0" w:color="auto"/>
          </w:divBdr>
        </w:div>
        <w:div w:id="475996926">
          <w:marLeft w:val="1886"/>
          <w:marRight w:val="0"/>
          <w:marTop w:val="0"/>
          <w:marBottom w:val="0"/>
          <w:divBdr>
            <w:top w:val="none" w:sz="0" w:space="0" w:color="auto"/>
            <w:left w:val="none" w:sz="0" w:space="0" w:color="auto"/>
            <w:bottom w:val="none" w:sz="0" w:space="0" w:color="auto"/>
            <w:right w:val="none" w:sz="0" w:space="0" w:color="auto"/>
          </w:divBdr>
        </w:div>
        <w:div w:id="488863149">
          <w:marLeft w:val="1080"/>
          <w:marRight w:val="0"/>
          <w:marTop w:val="0"/>
          <w:marBottom w:val="0"/>
          <w:divBdr>
            <w:top w:val="none" w:sz="0" w:space="0" w:color="auto"/>
            <w:left w:val="none" w:sz="0" w:space="0" w:color="auto"/>
            <w:bottom w:val="none" w:sz="0" w:space="0" w:color="auto"/>
            <w:right w:val="none" w:sz="0" w:space="0" w:color="auto"/>
          </w:divBdr>
        </w:div>
        <w:div w:id="684483744">
          <w:marLeft w:val="1080"/>
          <w:marRight w:val="0"/>
          <w:marTop w:val="0"/>
          <w:marBottom w:val="0"/>
          <w:divBdr>
            <w:top w:val="none" w:sz="0" w:space="0" w:color="auto"/>
            <w:left w:val="none" w:sz="0" w:space="0" w:color="auto"/>
            <w:bottom w:val="none" w:sz="0" w:space="0" w:color="auto"/>
            <w:right w:val="none" w:sz="0" w:space="0" w:color="auto"/>
          </w:divBdr>
        </w:div>
        <w:div w:id="734014021">
          <w:marLeft w:val="1886"/>
          <w:marRight w:val="0"/>
          <w:marTop w:val="0"/>
          <w:marBottom w:val="0"/>
          <w:divBdr>
            <w:top w:val="none" w:sz="0" w:space="0" w:color="auto"/>
            <w:left w:val="none" w:sz="0" w:space="0" w:color="auto"/>
            <w:bottom w:val="none" w:sz="0" w:space="0" w:color="auto"/>
            <w:right w:val="none" w:sz="0" w:space="0" w:color="auto"/>
          </w:divBdr>
        </w:div>
        <w:div w:id="775561180">
          <w:marLeft w:val="1886"/>
          <w:marRight w:val="0"/>
          <w:marTop w:val="0"/>
          <w:marBottom w:val="0"/>
          <w:divBdr>
            <w:top w:val="none" w:sz="0" w:space="0" w:color="auto"/>
            <w:left w:val="none" w:sz="0" w:space="0" w:color="auto"/>
            <w:bottom w:val="none" w:sz="0" w:space="0" w:color="auto"/>
            <w:right w:val="none" w:sz="0" w:space="0" w:color="auto"/>
          </w:divBdr>
        </w:div>
        <w:div w:id="1059786207">
          <w:marLeft w:val="1886"/>
          <w:marRight w:val="0"/>
          <w:marTop w:val="0"/>
          <w:marBottom w:val="0"/>
          <w:divBdr>
            <w:top w:val="none" w:sz="0" w:space="0" w:color="auto"/>
            <w:left w:val="none" w:sz="0" w:space="0" w:color="auto"/>
            <w:bottom w:val="none" w:sz="0" w:space="0" w:color="auto"/>
            <w:right w:val="none" w:sz="0" w:space="0" w:color="auto"/>
          </w:divBdr>
        </w:div>
        <w:div w:id="1380739265">
          <w:marLeft w:val="1886"/>
          <w:marRight w:val="0"/>
          <w:marTop w:val="0"/>
          <w:marBottom w:val="0"/>
          <w:divBdr>
            <w:top w:val="none" w:sz="0" w:space="0" w:color="auto"/>
            <w:left w:val="none" w:sz="0" w:space="0" w:color="auto"/>
            <w:bottom w:val="none" w:sz="0" w:space="0" w:color="auto"/>
            <w:right w:val="none" w:sz="0" w:space="0" w:color="auto"/>
          </w:divBdr>
        </w:div>
        <w:div w:id="1447768820">
          <w:marLeft w:val="1886"/>
          <w:marRight w:val="0"/>
          <w:marTop w:val="0"/>
          <w:marBottom w:val="0"/>
          <w:divBdr>
            <w:top w:val="none" w:sz="0" w:space="0" w:color="auto"/>
            <w:left w:val="none" w:sz="0" w:space="0" w:color="auto"/>
            <w:bottom w:val="none" w:sz="0" w:space="0" w:color="auto"/>
            <w:right w:val="none" w:sz="0" w:space="0" w:color="auto"/>
          </w:divBdr>
        </w:div>
        <w:div w:id="1449814464">
          <w:marLeft w:val="1080"/>
          <w:marRight w:val="0"/>
          <w:marTop w:val="0"/>
          <w:marBottom w:val="0"/>
          <w:divBdr>
            <w:top w:val="none" w:sz="0" w:space="0" w:color="auto"/>
            <w:left w:val="none" w:sz="0" w:space="0" w:color="auto"/>
            <w:bottom w:val="none" w:sz="0" w:space="0" w:color="auto"/>
            <w:right w:val="none" w:sz="0" w:space="0" w:color="auto"/>
          </w:divBdr>
        </w:div>
        <w:div w:id="1469124014">
          <w:marLeft w:val="1886"/>
          <w:marRight w:val="0"/>
          <w:marTop w:val="0"/>
          <w:marBottom w:val="0"/>
          <w:divBdr>
            <w:top w:val="none" w:sz="0" w:space="0" w:color="auto"/>
            <w:left w:val="none" w:sz="0" w:space="0" w:color="auto"/>
            <w:bottom w:val="none" w:sz="0" w:space="0" w:color="auto"/>
            <w:right w:val="none" w:sz="0" w:space="0" w:color="auto"/>
          </w:divBdr>
        </w:div>
        <w:div w:id="1790124324">
          <w:marLeft w:val="1080"/>
          <w:marRight w:val="0"/>
          <w:marTop w:val="0"/>
          <w:marBottom w:val="0"/>
          <w:divBdr>
            <w:top w:val="none" w:sz="0" w:space="0" w:color="auto"/>
            <w:left w:val="none" w:sz="0" w:space="0" w:color="auto"/>
            <w:bottom w:val="none" w:sz="0" w:space="0" w:color="auto"/>
            <w:right w:val="none" w:sz="0" w:space="0" w:color="auto"/>
          </w:divBdr>
        </w:div>
        <w:div w:id="1835300567">
          <w:marLeft w:val="1886"/>
          <w:marRight w:val="0"/>
          <w:marTop w:val="0"/>
          <w:marBottom w:val="0"/>
          <w:divBdr>
            <w:top w:val="none" w:sz="0" w:space="0" w:color="auto"/>
            <w:left w:val="none" w:sz="0" w:space="0" w:color="auto"/>
            <w:bottom w:val="none" w:sz="0" w:space="0" w:color="auto"/>
            <w:right w:val="none" w:sz="0" w:space="0" w:color="auto"/>
          </w:divBdr>
        </w:div>
        <w:div w:id="1841385887">
          <w:marLeft w:val="1886"/>
          <w:marRight w:val="0"/>
          <w:marTop w:val="0"/>
          <w:marBottom w:val="0"/>
          <w:divBdr>
            <w:top w:val="none" w:sz="0" w:space="0" w:color="auto"/>
            <w:left w:val="none" w:sz="0" w:space="0" w:color="auto"/>
            <w:bottom w:val="none" w:sz="0" w:space="0" w:color="auto"/>
            <w:right w:val="none" w:sz="0" w:space="0" w:color="auto"/>
          </w:divBdr>
        </w:div>
      </w:divsChild>
    </w:div>
    <w:div w:id="584801535">
      <w:bodyDiv w:val="1"/>
      <w:marLeft w:val="0"/>
      <w:marRight w:val="0"/>
      <w:marTop w:val="0"/>
      <w:marBottom w:val="0"/>
      <w:divBdr>
        <w:top w:val="none" w:sz="0" w:space="0" w:color="auto"/>
        <w:left w:val="none" w:sz="0" w:space="0" w:color="auto"/>
        <w:bottom w:val="none" w:sz="0" w:space="0" w:color="auto"/>
        <w:right w:val="none" w:sz="0" w:space="0" w:color="auto"/>
      </w:divBdr>
    </w:div>
    <w:div w:id="625505378">
      <w:bodyDiv w:val="1"/>
      <w:marLeft w:val="0"/>
      <w:marRight w:val="0"/>
      <w:marTop w:val="0"/>
      <w:marBottom w:val="0"/>
      <w:divBdr>
        <w:top w:val="none" w:sz="0" w:space="0" w:color="auto"/>
        <w:left w:val="none" w:sz="0" w:space="0" w:color="auto"/>
        <w:bottom w:val="none" w:sz="0" w:space="0" w:color="auto"/>
        <w:right w:val="none" w:sz="0" w:space="0" w:color="auto"/>
      </w:divBdr>
      <w:divsChild>
        <w:div w:id="425854535">
          <w:marLeft w:val="562"/>
          <w:marRight w:val="0"/>
          <w:marTop w:val="0"/>
          <w:marBottom w:val="60"/>
          <w:divBdr>
            <w:top w:val="none" w:sz="0" w:space="0" w:color="auto"/>
            <w:left w:val="none" w:sz="0" w:space="0" w:color="auto"/>
            <w:bottom w:val="none" w:sz="0" w:space="0" w:color="auto"/>
            <w:right w:val="none" w:sz="0" w:space="0" w:color="auto"/>
          </w:divBdr>
        </w:div>
        <w:div w:id="545063130">
          <w:marLeft w:val="562"/>
          <w:marRight w:val="0"/>
          <w:marTop w:val="0"/>
          <w:marBottom w:val="60"/>
          <w:divBdr>
            <w:top w:val="none" w:sz="0" w:space="0" w:color="auto"/>
            <w:left w:val="none" w:sz="0" w:space="0" w:color="auto"/>
            <w:bottom w:val="none" w:sz="0" w:space="0" w:color="auto"/>
            <w:right w:val="none" w:sz="0" w:space="0" w:color="auto"/>
          </w:divBdr>
        </w:div>
        <w:div w:id="1535583460">
          <w:marLeft w:val="274"/>
          <w:marRight w:val="0"/>
          <w:marTop w:val="0"/>
          <w:marBottom w:val="60"/>
          <w:divBdr>
            <w:top w:val="none" w:sz="0" w:space="0" w:color="auto"/>
            <w:left w:val="none" w:sz="0" w:space="0" w:color="auto"/>
            <w:bottom w:val="none" w:sz="0" w:space="0" w:color="auto"/>
            <w:right w:val="none" w:sz="0" w:space="0" w:color="auto"/>
          </w:divBdr>
        </w:div>
        <w:div w:id="1564369004">
          <w:marLeft w:val="274"/>
          <w:marRight w:val="0"/>
          <w:marTop w:val="0"/>
          <w:marBottom w:val="60"/>
          <w:divBdr>
            <w:top w:val="none" w:sz="0" w:space="0" w:color="auto"/>
            <w:left w:val="none" w:sz="0" w:space="0" w:color="auto"/>
            <w:bottom w:val="none" w:sz="0" w:space="0" w:color="auto"/>
            <w:right w:val="none" w:sz="0" w:space="0" w:color="auto"/>
          </w:divBdr>
        </w:div>
        <w:div w:id="1985894619">
          <w:marLeft w:val="274"/>
          <w:marRight w:val="0"/>
          <w:marTop w:val="0"/>
          <w:marBottom w:val="60"/>
          <w:divBdr>
            <w:top w:val="none" w:sz="0" w:space="0" w:color="auto"/>
            <w:left w:val="none" w:sz="0" w:space="0" w:color="auto"/>
            <w:bottom w:val="none" w:sz="0" w:space="0" w:color="auto"/>
            <w:right w:val="none" w:sz="0" w:space="0" w:color="auto"/>
          </w:divBdr>
        </w:div>
      </w:divsChild>
    </w:div>
    <w:div w:id="627662927">
      <w:bodyDiv w:val="1"/>
      <w:marLeft w:val="0"/>
      <w:marRight w:val="0"/>
      <w:marTop w:val="0"/>
      <w:marBottom w:val="0"/>
      <w:divBdr>
        <w:top w:val="none" w:sz="0" w:space="0" w:color="auto"/>
        <w:left w:val="none" w:sz="0" w:space="0" w:color="auto"/>
        <w:bottom w:val="none" w:sz="0" w:space="0" w:color="auto"/>
        <w:right w:val="none" w:sz="0" w:space="0" w:color="auto"/>
      </w:divBdr>
    </w:div>
    <w:div w:id="627980170">
      <w:bodyDiv w:val="1"/>
      <w:marLeft w:val="0"/>
      <w:marRight w:val="0"/>
      <w:marTop w:val="0"/>
      <w:marBottom w:val="0"/>
      <w:divBdr>
        <w:top w:val="none" w:sz="0" w:space="0" w:color="auto"/>
        <w:left w:val="none" w:sz="0" w:space="0" w:color="auto"/>
        <w:bottom w:val="none" w:sz="0" w:space="0" w:color="auto"/>
        <w:right w:val="none" w:sz="0" w:space="0" w:color="auto"/>
      </w:divBdr>
    </w:div>
    <w:div w:id="666321022">
      <w:bodyDiv w:val="1"/>
      <w:marLeft w:val="0"/>
      <w:marRight w:val="0"/>
      <w:marTop w:val="0"/>
      <w:marBottom w:val="0"/>
      <w:divBdr>
        <w:top w:val="none" w:sz="0" w:space="0" w:color="auto"/>
        <w:left w:val="none" w:sz="0" w:space="0" w:color="auto"/>
        <w:bottom w:val="none" w:sz="0" w:space="0" w:color="auto"/>
        <w:right w:val="none" w:sz="0" w:space="0" w:color="auto"/>
      </w:divBdr>
      <w:divsChild>
        <w:div w:id="1590195679">
          <w:marLeft w:val="446"/>
          <w:marRight w:val="0"/>
          <w:marTop w:val="0"/>
          <w:marBottom w:val="120"/>
          <w:divBdr>
            <w:top w:val="none" w:sz="0" w:space="0" w:color="auto"/>
            <w:left w:val="none" w:sz="0" w:space="0" w:color="auto"/>
            <w:bottom w:val="none" w:sz="0" w:space="0" w:color="auto"/>
            <w:right w:val="none" w:sz="0" w:space="0" w:color="auto"/>
          </w:divBdr>
        </w:div>
      </w:divsChild>
    </w:div>
    <w:div w:id="699739877">
      <w:bodyDiv w:val="1"/>
      <w:marLeft w:val="0"/>
      <w:marRight w:val="0"/>
      <w:marTop w:val="0"/>
      <w:marBottom w:val="0"/>
      <w:divBdr>
        <w:top w:val="none" w:sz="0" w:space="0" w:color="auto"/>
        <w:left w:val="none" w:sz="0" w:space="0" w:color="auto"/>
        <w:bottom w:val="none" w:sz="0" w:space="0" w:color="auto"/>
        <w:right w:val="none" w:sz="0" w:space="0" w:color="auto"/>
      </w:divBdr>
      <w:divsChild>
        <w:div w:id="1206871942">
          <w:marLeft w:val="1109"/>
          <w:marRight w:val="0"/>
          <w:marTop w:val="0"/>
          <w:marBottom w:val="120"/>
          <w:divBdr>
            <w:top w:val="none" w:sz="0" w:space="0" w:color="auto"/>
            <w:left w:val="none" w:sz="0" w:space="0" w:color="auto"/>
            <w:bottom w:val="none" w:sz="0" w:space="0" w:color="auto"/>
            <w:right w:val="none" w:sz="0" w:space="0" w:color="auto"/>
          </w:divBdr>
        </w:div>
      </w:divsChild>
    </w:div>
    <w:div w:id="726802506">
      <w:bodyDiv w:val="1"/>
      <w:marLeft w:val="0"/>
      <w:marRight w:val="0"/>
      <w:marTop w:val="0"/>
      <w:marBottom w:val="0"/>
      <w:divBdr>
        <w:top w:val="none" w:sz="0" w:space="0" w:color="auto"/>
        <w:left w:val="none" w:sz="0" w:space="0" w:color="auto"/>
        <w:bottom w:val="none" w:sz="0" w:space="0" w:color="auto"/>
        <w:right w:val="none" w:sz="0" w:space="0" w:color="auto"/>
      </w:divBdr>
    </w:div>
    <w:div w:id="730351026">
      <w:bodyDiv w:val="1"/>
      <w:marLeft w:val="0"/>
      <w:marRight w:val="0"/>
      <w:marTop w:val="0"/>
      <w:marBottom w:val="0"/>
      <w:divBdr>
        <w:top w:val="none" w:sz="0" w:space="0" w:color="auto"/>
        <w:left w:val="none" w:sz="0" w:space="0" w:color="auto"/>
        <w:bottom w:val="none" w:sz="0" w:space="0" w:color="auto"/>
        <w:right w:val="none" w:sz="0" w:space="0" w:color="auto"/>
      </w:divBdr>
    </w:div>
    <w:div w:id="767195350">
      <w:bodyDiv w:val="1"/>
      <w:marLeft w:val="0"/>
      <w:marRight w:val="0"/>
      <w:marTop w:val="0"/>
      <w:marBottom w:val="0"/>
      <w:divBdr>
        <w:top w:val="none" w:sz="0" w:space="0" w:color="auto"/>
        <w:left w:val="none" w:sz="0" w:space="0" w:color="auto"/>
        <w:bottom w:val="none" w:sz="0" w:space="0" w:color="auto"/>
        <w:right w:val="none" w:sz="0" w:space="0" w:color="auto"/>
      </w:divBdr>
      <w:divsChild>
        <w:div w:id="1280256841">
          <w:marLeft w:val="1109"/>
          <w:marRight w:val="0"/>
          <w:marTop w:val="0"/>
          <w:marBottom w:val="120"/>
          <w:divBdr>
            <w:top w:val="none" w:sz="0" w:space="0" w:color="auto"/>
            <w:left w:val="none" w:sz="0" w:space="0" w:color="auto"/>
            <w:bottom w:val="none" w:sz="0" w:space="0" w:color="auto"/>
            <w:right w:val="none" w:sz="0" w:space="0" w:color="auto"/>
          </w:divBdr>
        </w:div>
      </w:divsChild>
    </w:div>
    <w:div w:id="787360550">
      <w:bodyDiv w:val="1"/>
      <w:marLeft w:val="0"/>
      <w:marRight w:val="0"/>
      <w:marTop w:val="0"/>
      <w:marBottom w:val="0"/>
      <w:divBdr>
        <w:top w:val="none" w:sz="0" w:space="0" w:color="auto"/>
        <w:left w:val="none" w:sz="0" w:space="0" w:color="auto"/>
        <w:bottom w:val="none" w:sz="0" w:space="0" w:color="auto"/>
        <w:right w:val="none" w:sz="0" w:space="0" w:color="auto"/>
      </w:divBdr>
    </w:div>
    <w:div w:id="809829408">
      <w:bodyDiv w:val="1"/>
      <w:marLeft w:val="0"/>
      <w:marRight w:val="0"/>
      <w:marTop w:val="0"/>
      <w:marBottom w:val="0"/>
      <w:divBdr>
        <w:top w:val="none" w:sz="0" w:space="0" w:color="auto"/>
        <w:left w:val="none" w:sz="0" w:space="0" w:color="auto"/>
        <w:bottom w:val="none" w:sz="0" w:space="0" w:color="auto"/>
        <w:right w:val="none" w:sz="0" w:space="0" w:color="auto"/>
      </w:divBdr>
      <w:divsChild>
        <w:div w:id="39943221">
          <w:marLeft w:val="446"/>
          <w:marRight w:val="0"/>
          <w:marTop w:val="0"/>
          <w:marBottom w:val="120"/>
          <w:divBdr>
            <w:top w:val="none" w:sz="0" w:space="0" w:color="auto"/>
            <w:left w:val="none" w:sz="0" w:space="0" w:color="auto"/>
            <w:bottom w:val="none" w:sz="0" w:space="0" w:color="auto"/>
            <w:right w:val="none" w:sz="0" w:space="0" w:color="auto"/>
          </w:divBdr>
        </w:div>
      </w:divsChild>
    </w:div>
    <w:div w:id="819539468">
      <w:bodyDiv w:val="1"/>
      <w:marLeft w:val="0"/>
      <w:marRight w:val="0"/>
      <w:marTop w:val="0"/>
      <w:marBottom w:val="0"/>
      <w:divBdr>
        <w:top w:val="none" w:sz="0" w:space="0" w:color="auto"/>
        <w:left w:val="none" w:sz="0" w:space="0" w:color="auto"/>
        <w:bottom w:val="none" w:sz="0" w:space="0" w:color="auto"/>
        <w:right w:val="none" w:sz="0" w:space="0" w:color="auto"/>
      </w:divBdr>
    </w:div>
    <w:div w:id="849877565">
      <w:bodyDiv w:val="1"/>
      <w:marLeft w:val="0"/>
      <w:marRight w:val="0"/>
      <w:marTop w:val="0"/>
      <w:marBottom w:val="0"/>
      <w:divBdr>
        <w:top w:val="none" w:sz="0" w:space="0" w:color="auto"/>
        <w:left w:val="none" w:sz="0" w:space="0" w:color="auto"/>
        <w:bottom w:val="none" w:sz="0" w:space="0" w:color="auto"/>
        <w:right w:val="none" w:sz="0" w:space="0" w:color="auto"/>
      </w:divBdr>
      <w:divsChild>
        <w:div w:id="342703330">
          <w:marLeft w:val="446"/>
          <w:marRight w:val="0"/>
          <w:marTop w:val="0"/>
          <w:marBottom w:val="120"/>
          <w:divBdr>
            <w:top w:val="none" w:sz="0" w:space="0" w:color="auto"/>
            <w:left w:val="none" w:sz="0" w:space="0" w:color="auto"/>
            <w:bottom w:val="none" w:sz="0" w:space="0" w:color="auto"/>
            <w:right w:val="none" w:sz="0" w:space="0" w:color="auto"/>
          </w:divBdr>
        </w:div>
      </w:divsChild>
    </w:div>
    <w:div w:id="861208819">
      <w:bodyDiv w:val="1"/>
      <w:marLeft w:val="0"/>
      <w:marRight w:val="0"/>
      <w:marTop w:val="0"/>
      <w:marBottom w:val="0"/>
      <w:divBdr>
        <w:top w:val="none" w:sz="0" w:space="0" w:color="auto"/>
        <w:left w:val="none" w:sz="0" w:space="0" w:color="auto"/>
        <w:bottom w:val="none" w:sz="0" w:space="0" w:color="auto"/>
        <w:right w:val="none" w:sz="0" w:space="0" w:color="auto"/>
      </w:divBdr>
    </w:div>
    <w:div w:id="977219877">
      <w:bodyDiv w:val="1"/>
      <w:marLeft w:val="0"/>
      <w:marRight w:val="0"/>
      <w:marTop w:val="0"/>
      <w:marBottom w:val="0"/>
      <w:divBdr>
        <w:top w:val="none" w:sz="0" w:space="0" w:color="auto"/>
        <w:left w:val="none" w:sz="0" w:space="0" w:color="auto"/>
        <w:bottom w:val="none" w:sz="0" w:space="0" w:color="auto"/>
        <w:right w:val="none" w:sz="0" w:space="0" w:color="auto"/>
      </w:divBdr>
    </w:div>
    <w:div w:id="981927179">
      <w:bodyDiv w:val="1"/>
      <w:marLeft w:val="0"/>
      <w:marRight w:val="0"/>
      <w:marTop w:val="0"/>
      <w:marBottom w:val="0"/>
      <w:divBdr>
        <w:top w:val="none" w:sz="0" w:space="0" w:color="auto"/>
        <w:left w:val="none" w:sz="0" w:space="0" w:color="auto"/>
        <w:bottom w:val="none" w:sz="0" w:space="0" w:color="auto"/>
        <w:right w:val="none" w:sz="0" w:space="0" w:color="auto"/>
      </w:divBdr>
    </w:div>
    <w:div w:id="996032016">
      <w:bodyDiv w:val="1"/>
      <w:marLeft w:val="0"/>
      <w:marRight w:val="0"/>
      <w:marTop w:val="0"/>
      <w:marBottom w:val="0"/>
      <w:divBdr>
        <w:top w:val="none" w:sz="0" w:space="0" w:color="auto"/>
        <w:left w:val="none" w:sz="0" w:space="0" w:color="auto"/>
        <w:bottom w:val="none" w:sz="0" w:space="0" w:color="auto"/>
        <w:right w:val="none" w:sz="0" w:space="0" w:color="auto"/>
      </w:divBdr>
      <w:divsChild>
        <w:div w:id="117144956">
          <w:marLeft w:val="446"/>
          <w:marRight w:val="0"/>
          <w:marTop w:val="120"/>
          <w:marBottom w:val="0"/>
          <w:divBdr>
            <w:top w:val="none" w:sz="0" w:space="0" w:color="auto"/>
            <w:left w:val="none" w:sz="0" w:space="0" w:color="auto"/>
            <w:bottom w:val="none" w:sz="0" w:space="0" w:color="auto"/>
            <w:right w:val="none" w:sz="0" w:space="0" w:color="auto"/>
          </w:divBdr>
        </w:div>
        <w:div w:id="573315509">
          <w:marLeft w:val="1109"/>
          <w:marRight w:val="0"/>
          <w:marTop w:val="120"/>
          <w:marBottom w:val="0"/>
          <w:divBdr>
            <w:top w:val="none" w:sz="0" w:space="0" w:color="auto"/>
            <w:left w:val="none" w:sz="0" w:space="0" w:color="auto"/>
            <w:bottom w:val="none" w:sz="0" w:space="0" w:color="auto"/>
            <w:right w:val="none" w:sz="0" w:space="0" w:color="auto"/>
          </w:divBdr>
        </w:div>
        <w:div w:id="934679277">
          <w:marLeft w:val="446"/>
          <w:marRight w:val="0"/>
          <w:marTop w:val="120"/>
          <w:marBottom w:val="0"/>
          <w:divBdr>
            <w:top w:val="none" w:sz="0" w:space="0" w:color="auto"/>
            <w:left w:val="none" w:sz="0" w:space="0" w:color="auto"/>
            <w:bottom w:val="none" w:sz="0" w:space="0" w:color="auto"/>
            <w:right w:val="none" w:sz="0" w:space="0" w:color="auto"/>
          </w:divBdr>
        </w:div>
        <w:div w:id="976300230">
          <w:marLeft w:val="446"/>
          <w:marRight w:val="0"/>
          <w:marTop w:val="120"/>
          <w:marBottom w:val="0"/>
          <w:divBdr>
            <w:top w:val="none" w:sz="0" w:space="0" w:color="auto"/>
            <w:left w:val="none" w:sz="0" w:space="0" w:color="auto"/>
            <w:bottom w:val="none" w:sz="0" w:space="0" w:color="auto"/>
            <w:right w:val="none" w:sz="0" w:space="0" w:color="auto"/>
          </w:divBdr>
        </w:div>
        <w:div w:id="1790782748">
          <w:marLeft w:val="446"/>
          <w:marRight w:val="0"/>
          <w:marTop w:val="120"/>
          <w:marBottom w:val="0"/>
          <w:divBdr>
            <w:top w:val="none" w:sz="0" w:space="0" w:color="auto"/>
            <w:left w:val="none" w:sz="0" w:space="0" w:color="auto"/>
            <w:bottom w:val="none" w:sz="0" w:space="0" w:color="auto"/>
            <w:right w:val="none" w:sz="0" w:space="0" w:color="auto"/>
          </w:divBdr>
        </w:div>
      </w:divsChild>
    </w:div>
    <w:div w:id="1016544981">
      <w:bodyDiv w:val="1"/>
      <w:marLeft w:val="0"/>
      <w:marRight w:val="0"/>
      <w:marTop w:val="0"/>
      <w:marBottom w:val="0"/>
      <w:divBdr>
        <w:top w:val="none" w:sz="0" w:space="0" w:color="auto"/>
        <w:left w:val="none" w:sz="0" w:space="0" w:color="auto"/>
        <w:bottom w:val="none" w:sz="0" w:space="0" w:color="auto"/>
        <w:right w:val="none" w:sz="0" w:space="0" w:color="auto"/>
      </w:divBdr>
    </w:div>
    <w:div w:id="1019428497">
      <w:bodyDiv w:val="1"/>
      <w:marLeft w:val="0"/>
      <w:marRight w:val="0"/>
      <w:marTop w:val="0"/>
      <w:marBottom w:val="0"/>
      <w:divBdr>
        <w:top w:val="none" w:sz="0" w:space="0" w:color="auto"/>
        <w:left w:val="none" w:sz="0" w:space="0" w:color="auto"/>
        <w:bottom w:val="none" w:sz="0" w:space="0" w:color="auto"/>
        <w:right w:val="none" w:sz="0" w:space="0" w:color="auto"/>
      </w:divBdr>
    </w:div>
    <w:div w:id="1021277715">
      <w:bodyDiv w:val="1"/>
      <w:marLeft w:val="0"/>
      <w:marRight w:val="0"/>
      <w:marTop w:val="0"/>
      <w:marBottom w:val="0"/>
      <w:divBdr>
        <w:top w:val="none" w:sz="0" w:space="0" w:color="auto"/>
        <w:left w:val="none" w:sz="0" w:space="0" w:color="auto"/>
        <w:bottom w:val="none" w:sz="0" w:space="0" w:color="auto"/>
        <w:right w:val="none" w:sz="0" w:space="0" w:color="auto"/>
      </w:divBdr>
    </w:div>
    <w:div w:id="1039010990">
      <w:bodyDiv w:val="1"/>
      <w:marLeft w:val="0"/>
      <w:marRight w:val="0"/>
      <w:marTop w:val="0"/>
      <w:marBottom w:val="0"/>
      <w:divBdr>
        <w:top w:val="none" w:sz="0" w:space="0" w:color="auto"/>
        <w:left w:val="none" w:sz="0" w:space="0" w:color="auto"/>
        <w:bottom w:val="none" w:sz="0" w:space="0" w:color="auto"/>
        <w:right w:val="none" w:sz="0" w:space="0" w:color="auto"/>
      </w:divBdr>
    </w:div>
    <w:div w:id="1057899929">
      <w:bodyDiv w:val="1"/>
      <w:marLeft w:val="0"/>
      <w:marRight w:val="0"/>
      <w:marTop w:val="0"/>
      <w:marBottom w:val="0"/>
      <w:divBdr>
        <w:top w:val="none" w:sz="0" w:space="0" w:color="auto"/>
        <w:left w:val="none" w:sz="0" w:space="0" w:color="auto"/>
        <w:bottom w:val="none" w:sz="0" w:space="0" w:color="auto"/>
        <w:right w:val="none" w:sz="0" w:space="0" w:color="auto"/>
      </w:divBdr>
      <w:divsChild>
        <w:div w:id="148057847">
          <w:marLeft w:val="274"/>
          <w:marRight w:val="0"/>
          <w:marTop w:val="40"/>
          <w:marBottom w:val="40"/>
          <w:divBdr>
            <w:top w:val="none" w:sz="0" w:space="0" w:color="auto"/>
            <w:left w:val="none" w:sz="0" w:space="0" w:color="auto"/>
            <w:bottom w:val="none" w:sz="0" w:space="0" w:color="auto"/>
            <w:right w:val="none" w:sz="0" w:space="0" w:color="auto"/>
          </w:divBdr>
        </w:div>
        <w:div w:id="153883668">
          <w:marLeft w:val="274"/>
          <w:marRight w:val="0"/>
          <w:marTop w:val="40"/>
          <w:marBottom w:val="40"/>
          <w:divBdr>
            <w:top w:val="none" w:sz="0" w:space="0" w:color="auto"/>
            <w:left w:val="none" w:sz="0" w:space="0" w:color="auto"/>
            <w:bottom w:val="none" w:sz="0" w:space="0" w:color="auto"/>
            <w:right w:val="none" w:sz="0" w:space="0" w:color="auto"/>
          </w:divBdr>
        </w:div>
        <w:div w:id="1807773740">
          <w:marLeft w:val="706"/>
          <w:marRight w:val="0"/>
          <w:marTop w:val="40"/>
          <w:marBottom w:val="40"/>
          <w:divBdr>
            <w:top w:val="none" w:sz="0" w:space="0" w:color="auto"/>
            <w:left w:val="none" w:sz="0" w:space="0" w:color="auto"/>
            <w:bottom w:val="none" w:sz="0" w:space="0" w:color="auto"/>
            <w:right w:val="none" w:sz="0" w:space="0" w:color="auto"/>
          </w:divBdr>
        </w:div>
        <w:div w:id="1855142692">
          <w:marLeft w:val="274"/>
          <w:marRight w:val="0"/>
          <w:marTop w:val="40"/>
          <w:marBottom w:val="40"/>
          <w:divBdr>
            <w:top w:val="none" w:sz="0" w:space="0" w:color="auto"/>
            <w:left w:val="none" w:sz="0" w:space="0" w:color="auto"/>
            <w:bottom w:val="none" w:sz="0" w:space="0" w:color="auto"/>
            <w:right w:val="none" w:sz="0" w:space="0" w:color="auto"/>
          </w:divBdr>
        </w:div>
        <w:div w:id="1861115117">
          <w:marLeft w:val="274"/>
          <w:marRight w:val="0"/>
          <w:marTop w:val="40"/>
          <w:marBottom w:val="40"/>
          <w:divBdr>
            <w:top w:val="none" w:sz="0" w:space="0" w:color="auto"/>
            <w:left w:val="none" w:sz="0" w:space="0" w:color="auto"/>
            <w:bottom w:val="none" w:sz="0" w:space="0" w:color="auto"/>
            <w:right w:val="none" w:sz="0" w:space="0" w:color="auto"/>
          </w:divBdr>
        </w:div>
        <w:div w:id="2029790849">
          <w:marLeft w:val="706"/>
          <w:marRight w:val="0"/>
          <w:marTop w:val="40"/>
          <w:marBottom w:val="40"/>
          <w:divBdr>
            <w:top w:val="none" w:sz="0" w:space="0" w:color="auto"/>
            <w:left w:val="none" w:sz="0" w:space="0" w:color="auto"/>
            <w:bottom w:val="none" w:sz="0" w:space="0" w:color="auto"/>
            <w:right w:val="none" w:sz="0" w:space="0" w:color="auto"/>
          </w:divBdr>
        </w:div>
        <w:div w:id="2135903205">
          <w:marLeft w:val="706"/>
          <w:marRight w:val="0"/>
          <w:marTop w:val="40"/>
          <w:marBottom w:val="40"/>
          <w:divBdr>
            <w:top w:val="none" w:sz="0" w:space="0" w:color="auto"/>
            <w:left w:val="none" w:sz="0" w:space="0" w:color="auto"/>
            <w:bottom w:val="none" w:sz="0" w:space="0" w:color="auto"/>
            <w:right w:val="none" w:sz="0" w:space="0" w:color="auto"/>
          </w:divBdr>
        </w:div>
      </w:divsChild>
    </w:div>
    <w:div w:id="1058479288">
      <w:bodyDiv w:val="1"/>
      <w:marLeft w:val="0"/>
      <w:marRight w:val="0"/>
      <w:marTop w:val="0"/>
      <w:marBottom w:val="0"/>
      <w:divBdr>
        <w:top w:val="none" w:sz="0" w:space="0" w:color="auto"/>
        <w:left w:val="none" w:sz="0" w:space="0" w:color="auto"/>
        <w:bottom w:val="none" w:sz="0" w:space="0" w:color="auto"/>
        <w:right w:val="none" w:sz="0" w:space="0" w:color="auto"/>
      </w:divBdr>
    </w:div>
    <w:div w:id="1084453709">
      <w:bodyDiv w:val="1"/>
      <w:marLeft w:val="0"/>
      <w:marRight w:val="0"/>
      <w:marTop w:val="0"/>
      <w:marBottom w:val="0"/>
      <w:divBdr>
        <w:top w:val="none" w:sz="0" w:space="0" w:color="auto"/>
        <w:left w:val="none" w:sz="0" w:space="0" w:color="auto"/>
        <w:bottom w:val="none" w:sz="0" w:space="0" w:color="auto"/>
        <w:right w:val="none" w:sz="0" w:space="0" w:color="auto"/>
      </w:divBdr>
      <w:divsChild>
        <w:div w:id="665397886">
          <w:marLeft w:val="274"/>
          <w:marRight w:val="0"/>
          <w:marTop w:val="0"/>
          <w:marBottom w:val="120"/>
          <w:divBdr>
            <w:top w:val="none" w:sz="0" w:space="0" w:color="auto"/>
            <w:left w:val="none" w:sz="0" w:space="0" w:color="auto"/>
            <w:bottom w:val="none" w:sz="0" w:space="0" w:color="auto"/>
            <w:right w:val="none" w:sz="0" w:space="0" w:color="auto"/>
          </w:divBdr>
        </w:div>
        <w:div w:id="949698146">
          <w:marLeft w:val="274"/>
          <w:marRight w:val="0"/>
          <w:marTop w:val="0"/>
          <w:marBottom w:val="120"/>
          <w:divBdr>
            <w:top w:val="none" w:sz="0" w:space="0" w:color="auto"/>
            <w:left w:val="none" w:sz="0" w:space="0" w:color="auto"/>
            <w:bottom w:val="none" w:sz="0" w:space="0" w:color="auto"/>
            <w:right w:val="none" w:sz="0" w:space="0" w:color="auto"/>
          </w:divBdr>
        </w:div>
        <w:div w:id="342129401">
          <w:marLeft w:val="274"/>
          <w:marRight w:val="0"/>
          <w:marTop w:val="0"/>
          <w:marBottom w:val="120"/>
          <w:divBdr>
            <w:top w:val="none" w:sz="0" w:space="0" w:color="auto"/>
            <w:left w:val="none" w:sz="0" w:space="0" w:color="auto"/>
            <w:bottom w:val="none" w:sz="0" w:space="0" w:color="auto"/>
            <w:right w:val="none" w:sz="0" w:space="0" w:color="auto"/>
          </w:divBdr>
        </w:div>
      </w:divsChild>
    </w:div>
    <w:div w:id="1089036111">
      <w:bodyDiv w:val="1"/>
      <w:marLeft w:val="0"/>
      <w:marRight w:val="0"/>
      <w:marTop w:val="0"/>
      <w:marBottom w:val="0"/>
      <w:divBdr>
        <w:top w:val="none" w:sz="0" w:space="0" w:color="auto"/>
        <w:left w:val="none" w:sz="0" w:space="0" w:color="auto"/>
        <w:bottom w:val="none" w:sz="0" w:space="0" w:color="auto"/>
        <w:right w:val="none" w:sz="0" w:space="0" w:color="auto"/>
      </w:divBdr>
      <w:divsChild>
        <w:div w:id="852034672">
          <w:marLeft w:val="446"/>
          <w:marRight w:val="0"/>
          <w:marTop w:val="0"/>
          <w:marBottom w:val="120"/>
          <w:divBdr>
            <w:top w:val="none" w:sz="0" w:space="0" w:color="auto"/>
            <w:left w:val="none" w:sz="0" w:space="0" w:color="auto"/>
            <w:bottom w:val="none" w:sz="0" w:space="0" w:color="auto"/>
            <w:right w:val="none" w:sz="0" w:space="0" w:color="auto"/>
          </w:divBdr>
        </w:div>
      </w:divsChild>
    </w:div>
    <w:div w:id="1122074560">
      <w:bodyDiv w:val="1"/>
      <w:marLeft w:val="0"/>
      <w:marRight w:val="0"/>
      <w:marTop w:val="0"/>
      <w:marBottom w:val="0"/>
      <w:divBdr>
        <w:top w:val="none" w:sz="0" w:space="0" w:color="auto"/>
        <w:left w:val="none" w:sz="0" w:space="0" w:color="auto"/>
        <w:bottom w:val="none" w:sz="0" w:space="0" w:color="auto"/>
        <w:right w:val="none" w:sz="0" w:space="0" w:color="auto"/>
      </w:divBdr>
    </w:div>
    <w:div w:id="1122922035">
      <w:bodyDiv w:val="1"/>
      <w:marLeft w:val="0"/>
      <w:marRight w:val="0"/>
      <w:marTop w:val="0"/>
      <w:marBottom w:val="0"/>
      <w:divBdr>
        <w:top w:val="none" w:sz="0" w:space="0" w:color="auto"/>
        <w:left w:val="none" w:sz="0" w:space="0" w:color="auto"/>
        <w:bottom w:val="none" w:sz="0" w:space="0" w:color="auto"/>
        <w:right w:val="none" w:sz="0" w:space="0" w:color="auto"/>
      </w:divBdr>
    </w:div>
    <w:div w:id="1135491972">
      <w:bodyDiv w:val="1"/>
      <w:marLeft w:val="0"/>
      <w:marRight w:val="0"/>
      <w:marTop w:val="0"/>
      <w:marBottom w:val="0"/>
      <w:divBdr>
        <w:top w:val="none" w:sz="0" w:space="0" w:color="auto"/>
        <w:left w:val="none" w:sz="0" w:space="0" w:color="auto"/>
        <w:bottom w:val="none" w:sz="0" w:space="0" w:color="auto"/>
        <w:right w:val="none" w:sz="0" w:space="0" w:color="auto"/>
      </w:divBdr>
    </w:div>
    <w:div w:id="1137256302">
      <w:bodyDiv w:val="1"/>
      <w:marLeft w:val="0"/>
      <w:marRight w:val="0"/>
      <w:marTop w:val="0"/>
      <w:marBottom w:val="0"/>
      <w:divBdr>
        <w:top w:val="none" w:sz="0" w:space="0" w:color="auto"/>
        <w:left w:val="none" w:sz="0" w:space="0" w:color="auto"/>
        <w:bottom w:val="none" w:sz="0" w:space="0" w:color="auto"/>
        <w:right w:val="none" w:sz="0" w:space="0" w:color="auto"/>
      </w:divBdr>
    </w:div>
    <w:div w:id="1180317740">
      <w:bodyDiv w:val="1"/>
      <w:marLeft w:val="0"/>
      <w:marRight w:val="0"/>
      <w:marTop w:val="0"/>
      <w:marBottom w:val="0"/>
      <w:divBdr>
        <w:top w:val="none" w:sz="0" w:space="0" w:color="auto"/>
        <w:left w:val="none" w:sz="0" w:space="0" w:color="auto"/>
        <w:bottom w:val="none" w:sz="0" w:space="0" w:color="auto"/>
        <w:right w:val="none" w:sz="0" w:space="0" w:color="auto"/>
      </w:divBdr>
    </w:div>
    <w:div w:id="1183470701">
      <w:bodyDiv w:val="1"/>
      <w:marLeft w:val="0"/>
      <w:marRight w:val="0"/>
      <w:marTop w:val="0"/>
      <w:marBottom w:val="0"/>
      <w:divBdr>
        <w:top w:val="none" w:sz="0" w:space="0" w:color="auto"/>
        <w:left w:val="none" w:sz="0" w:space="0" w:color="auto"/>
        <w:bottom w:val="none" w:sz="0" w:space="0" w:color="auto"/>
        <w:right w:val="none" w:sz="0" w:space="0" w:color="auto"/>
      </w:divBdr>
      <w:divsChild>
        <w:div w:id="1469934408">
          <w:marLeft w:val="1109"/>
          <w:marRight w:val="0"/>
          <w:marTop w:val="0"/>
          <w:marBottom w:val="120"/>
          <w:divBdr>
            <w:top w:val="none" w:sz="0" w:space="0" w:color="auto"/>
            <w:left w:val="none" w:sz="0" w:space="0" w:color="auto"/>
            <w:bottom w:val="none" w:sz="0" w:space="0" w:color="auto"/>
            <w:right w:val="none" w:sz="0" w:space="0" w:color="auto"/>
          </w:divBdr>
        </w:div>
      </w:divsChild>
    </w:div>
    <w:div w:id="1191185000">
      <w:bodyDiv w:val="1"/>
      <w:marLeft w:val="0"/>
      <w:marRight w:val="0"/>
      <w:marTop w:val="0"/>
      <w:marBottom w:val="0"/>
      <w:divBdr>
        <w:top w:val="none" w:sz="0" w:space="0" w:color="auto"/>
        <w:left w:val="none" w:sz="0" w:space="0" w:color="auto"/>
        <w:bottom w:val="none" w:sz="0" w:space="0" w:color="auto"/>
        <w:right w:val="none" w:sz="0" w:space="0" w:color="auto"/>
      </w:divBdr>
    </w:div>
    <w:div w:id="1193806014">
      <w:bodyDiv w:val="1"/>
      <w:marLeft w:val="0"/>
      <w:marRight w:val="0"/>
      <w:marTop w:val="0"/>
      <w:marBottom w:val="0"/>
      <w:divBdr>
        <w:top w:val="none" w:sz="0" w:space="0" w:color="auto"/>
        <w:left w:val="none" w:sz="0" w:space="0" w:color="auto"/>
        <w:bottom w:val="none" w:sz="0" w:space="0" w:color="auto"/>
        <w:right w:val="none" w:sz="0" w:space="0" w:color="auto"/>
      </w:divBdr>
      <w:divsChild>
        <w:div w:id="1051226642">
          <w:marLeft w:val="446"/>
          <w:marRight w:val="0"/>
          <w:marTop w:val="0"/>
          <w:marBottom w:val="120"/>
          <w:divBdr>
            <w:top w:val="none" w:sz="0" w:space="0" w:color="auto"/>
            <w:left w:val="none" w:sz="0" w:space="0" w:color="auto"/>
            <w:bottom w:val="none" w:sz="0" w:space="0" w:color="auto"/>
            <w:right w:val="none" w:sz="0" w:space="0" w:color="auto"/>
          </w:divBdr>
        </w:div>
      </w:divsChild>
    </w:div>
    <w:div w:id="1202748636">
      <w:bodyDiv w:val="1"/>
      <w:marLeft w:val="0"/>
      <w:marRight w:val="0"/>
      <w:marTop w:val="0"/>
      <w:marBottom w:val="0"/>
      <w:divBdr>
        <w:top w:val="none" w:sz="0" w:space="0" w:color="auto"/>
        <w:left w:val="none" w:sz="0" w:space="0" w:color="auto"/>
        <w:bottom w:val="none" w:sz="0" w:space="0" w:color="auto"/>
        <w:right w:val="none" w:sz="0" w:space="0" w:color="auto"/>
      </w:divBdr>
      <w:divsChild>
        <w:div w:id="17705605">
          <w:marLeft w:val="274"/>
          <w:marRight w:val="0"/>
          <w:marTop w:val="0"/>
          <w:marBottom w:val="120"/>
          <w:divBdr>
            <w:top w:val="none" w:sz="0" w:space="0" w:color="auto"/>
            <w:left w:val="none" w:sz="0" w:space="0" w:color="auto"/>
            <w:bottom w:val="none" w:sz="0" w:space="0" w:color="auto"/>
            <w:right w:val="none" w:sz="0" w:space="0" w:color="auto"/>
          </w:divBdr>
        </w:div>
        <w:div w:id="2105417328">
          <w:marLeft w:val="274"/>
          <w:marRight w:val="0"/>
          <w:marTop w:val="0"/>
          <w:marBottom w:val="120"/>
          <w:divBdr>
            <w:top w:val="none" w:sz="0" w:space="0" w:color="auto"/>
            <w:left w:val="none" w:sz="0" w:space="0" w:color="auto"/>
            <w:bottom w:val="none" w:sz="0" w:space="0" w:color="auto"/>
            <w:right w:val="none" w:sz="0" w:space="0" w:color="auto"/>
          </w:divBdr>
        </w:div>
        <w:div w:id="754278595">
          <w:marLeft w:val="274"/>
          <w:marRight w:val="0"/>
          <w:marTop w:val="0"/>
          <w:marBottom w:val="120"/>
          <w:divBdr>
            <w:top w:val="none" w:sz="0" w:space="0" w:color="auto"/>
            <w:left w:val="none" w:sz="0" w:space="0" w:color="auto"/>
            <w:bottom w:val="none" w:sz="0" w:space="0" w:color="auto"/>
            <w:right w:val="none" w:sz="0" w:space="0" w:color="auto"/>
          </w:divBdr>
        </w:div>
      </w:divsChild>
    </w:div>
    <w:div w:id="1217475787">
      <w:bodyDiv w:val="1"/>
      <w:marLeft w:val="0"/>
      <w:marRight w:val="0"/>
      <w:marTop w:val="0"/>
      <w:marBottom w:val="0"/>
      <w:divBdr>
        <w:top w:val="none" w:sz="0" w:space="0" w:color="auto"/>
        <w:left w:val="none" w:sz="0" w:space="0" w:color="auto"/>
        <w:bottom w:val="none" w:sz="0" w:space="0" w:color="auto"/>
        <w:right w:val="none" w:sz="0" w:space="0" w:color="auto"/>
      </w:divBdr>
      <w:divsChild>
        <w:div w:id="340788066">
          <w:marLeft w:val="446"/>
          <w:marRight w:val="0"/>
          <w:marTop w:val="0"/>
          <w:marBottom w:val="120"/>
          <w:divBdr>
            <w:top w:val="none" w:sz="0" w:space="0" w:color="auto"/>
            <w:left w:val="none" w:sz="0" w:space="0" w:color="auto"/>
            <w:bottom w:val="none" w:sz="0" w:space="0" w:color="auto"/>
            <w:right w:val="none" w:sz="0" w:space="0" w:color="auto"/>
          </w:divBdr>
        </w:div>
      </w:divsChild>
    </w:div>
    <w:div w:id="1221408589">
      <w:bodyDiv w:val="1"/>
      <w:marLeft w:val="0"/>
      <w:marRight w:val="0"/>
      <w:marTop w:val="0"/>
      <w:marBottom w:val="0"/>
      <w:divBdr>
        <w:top w:val="none" w:sz="0" w:space="0" w:color="auto"/>
        <w:left w:val="none" w:sz="0" w:space="0" w:color="auto"/>
        <w:bottom w:val="none" w:sz="0" w:space="0" w:color="auto"/>
        <w:right w:val="none" w:sz="0" w:space="0" w:color="auto"/>
      </w:divBdr>
      <w:divsChild>
        <w:div w:id="1048843320">
          <w:marLeft w:val="446"/>
          <w:marRight w:val="0"/>
          <w:marTop w:val="0"/>
          <w:marBottom w:val="120"/>
          <w:divBdr>
            <w:top w:val="none" w:sz="0" w:space="0" w:color="auto"/>
            <w:left w:val="none" w:sz="0" w:space="0" w:color="auto"/>
            <w:bottom w:val="none" w:sz="0" w:space="0" w:color="auto"/>
            <w:right w:val="none" w:sz="0" w:space="0" w:color="auto"/>
          </w:divBdr>
        </w:div>
      </w:divsChild>
    </w:div>
    <w:div w:id="1225292699">
      <w:bodyDiv w:val="1"/>
      <w:marLeft w:val="0"/>
      <w:marRight w:val="0"/>
      <w:marTop w:val="0"/>
      <w:marBottom w:val="0"/>
      <w:divBdr>
        <w:top w:val="none" w:sz="0" w:space="0" w:color="auto"/>
        <w:left w:val="none" w:sz="0" w:space="0" w:color="auto"/>
        <w:bottom w:val="none" w:sz="0" w:space="0" w:color="auto"/>
        <w:right w:val="none" w:sz="0" w:space="0" w:color="auto"/>
      </w:divBdr>
    </w:div>
    <w:div w:id="1238326624">
      <w:bodyDiv w:val="1"/>
      <w:marLeft w:val="0"/>
      <w:marRight w:val="0"/>
      <w:marTop w:val="0"/>
      <w:marBottom w:val="0"/>
      <w:divBdr>
        <w:top w:val="none" w:sz="0" w:space="0" w:color="auto"/>
        <w:left w:val="none" w:sz="0" w:space="0" w:color="auto"/>
        <w:bottom w:val="none" w:sz="0" w:space="0" w:color="auto"/>
        <w:right w:val="none" w:sz="0" w:space="0" w:color="auto"/>
      </w:divBdr>
    </w:div>
    <w:div w:id="1276785533">
      <w:bodyDiv w:val="1"/>
      <w:marLeft w:val="0"/>
      <w:marRight w:val="0"/>
      <w:marTop w:val="0"/>
      <w:marBottom w:val="0"/>
      <w:divBdr>
        <w:top w:val="none" w:sz="0" w:space="0" w:color="auto"/>
        <w:left w:val="none" w:sz="0" w:space="0" w:color="auto"/>
        <w:bottom w:val="none" w:sz="0" w:space="0" w:color="auto"/>
        <w:right w:val="none" w:sz="0" w:space="0" w:color="auto"/>
      </w:divBdr>
    </w:div>
    <w:div w:id="1281573457">
      <w:bodyDiv w:val="1"/>
      <w:marLeft w:val="0"/>
      <w:marRight w:val="0"/>
      <w:marTop w:val="0"/>
      <w:marBottom w:val="0"/>
      <w:divBdr>
        <w:top w:val="none" w:sz="0" w:space="0" w:color="auto"/>
        <w:left w:val="none" w:sz="0" w:space="0" w:color="auto"/>
        <w:bottom w:val="none" w:sz="0" w:space="0" w:color="auto"/>
        <w:right w:val="none" w:sz="0" w:space="0" w:color="auto"/>
      </w:divBdr>
      <w:divsChild>
        <w:div w:id="955794665">
          <w:marLeft w:val="1109"/>
          <w:marRight w:val="0"/>
          <w:marTop w:val="0"/>
          <w:marBottom w:val="120"/>
          <w:divBdr>
            <w:top w:val="none" w:sz="0" w:space="0" w:color="auto"/>
            <w:left w:val="none" w:sz="0" w:space="0" w:color="auto"/>
            <w:bottom w:val="none" w:sz="0" w:space="0" w:color="auto"/>
            <w:right w:val="none" w:sz="0" w:space="0" w:color="auto"/>
          </w:divBdr>
        </w:div>
      </w:divsChild>
    </w:div>
    <w:div w:id="1313021929">
      <w:bodyDiv w:val="1"/>
      <w:marLeft w:val="0"/>
      <w:marRight w:val="0"/>
      <w:marTop w:val="0"/>
      <w:marBottom w:val="0"/>
      <w:divBdr>
        <w:top w:val="none" w:sz="0" w:space="0" w:color="auto"/>
        <w:left w:val="none" w:sz="0" w:space="0" w:color="auto"/>
        <w:bottom w:val="none" w:sz="0" w:space="0" w:color="auto"/>
        <w:right w:val="none" w:sz="0" w:space="0" w:color="auto"/>
      </w:divBdr>
      <w:divsChild>
        <w:div w:id="1959680328">
          <w:marLeft w:val="0"/>
          <w:marRight w:val="0"/>
          <w:marTop w:val="0"/>
          <w:marBottom w:val="0"/>
          <w:divBdr>
            <w:top w:val="none" w:sz="0" w:space="0" w:color="auto"/>
            <w:left w:val="none" w:sz="0" w:space="0" w:color="auto"/>
            <w:bottom w:val="none" w:sz="0" w:space="0" w:color="auto"/>
            <w:right w:val="none" w:sz="0" w:space="0" w:color="auto"/>
          </w:divBdr>
        </w:div>
      </w:divsChild>
    </w:div>
    <w:div w:id="1314138572">
      <w:bodyDiv w:val="1"/>
      <w:marLeft w:val="0"/>
      <w:marRight w:val="0"/>
      <w:marTop w:val="0"/>
      <w:marBottom w:val="0"/>
      <w:divBdr>
        <w:top w:val="none" w:sz="0" w:space="0" w:color="auto"/>
        <w:left w:val="none" w:sz="0" w:space="0" w:color="auto"/>
        <w:bottom w:val="none" w:sz="0" w:space="0" w:color="auto"/>
        <w:right w:val="none" w:sz="0" w:space="0" w:color="auto"/>
      </w:divBdr>
    </w:div>
    <w:div w:id="1327129074">
      <w:bodyDiv w:val="1"/>
      <w:marLeft w:val="0"/>
      <w:marRight w:val="0"/>
      <w:marTop w:val="0"/>
      <w:marBottom w:val="0"/>
      <w:divBdr>
        <w:top w:val="none" w:sz="0" w:space="0" w:color="auto"/>
        <w:left w:val="none" w:sz="0" w:space="0" w:color="auto"/>
        <w:bottom w:val="none" w:sz="0" w:space="0" w:color="auto"/>
        <w:right w:val="none" w:sz="0" w:space="0" w:color="auto"/>
      </w:divBdr>
      <w:divsChild>
        <w:div w:id="1149132575">
          <w:marLeft w:val="446"/>
          <w:marRight w:val="0"/>
          <w:marTop w:val="0"/>
          <w:marBottom w:val="120"/>
          <w:divBdr>
            <w:top w:val="none" w:sz="0" w:space="0" w:color="auto"/>
            <w:left w:val="none" w:sz="0" w:space="0" w:color="auto"/>
            <w:bottom w:val="none" w:sz="0" w:space="0" w:color="auto"/>
            <w:right w:val="none" w:sz="0" w:space="0" w:color="auto"/>
          </w:divBdr>
        </w:div>
      </w:divsChild>
    </w:div>
    <w:div w:id="1368870908">
      <w:bodyDiv w:val="1"/>
      <w:marLeft w:val="0"/>
      <w:marRight w:val="0"/>
      <w:marTop w:val="0"/>
      <w:marBottom w:val="0"/>
      <w:divBdr>
        <w:top w:val="none" w:sz="0" w:space="0" w:color="auto"/>
        <w:left w:val="none" w:sz="0" w:space="0" w:color="auto"/>
        <w:bottom w:val="none" w:sz="0" w:space="0" w:color="auto"/>
        <w:right w:val="none" w:sz="0" w:space="0" w:color="auto"/>
      </w:divBdr>
    </w:div>
    <w:div w:id="1387988452">
      <w:bodyDiv w:val="1"/>
      <w:marLeft w:val="0"/>
      <w:marRight w:val="0"/>
      <w:marTop w:val="0"/>
      <w:marBottom w:val="0"/>
      <w:divBdr>
        <w:top w:val="none" w:sz="0" w:space="0" w:color="auto"/>
        <w:left w:val="none" w:sz="0" w:space="0" w:color="auto"/>
        <w:bottom w:val="none" w:sz="0" w:space="0" w:color="auto"/>
        <w:right w:val="none" w:sz="0" w:space="0" w:color="auto"/>
      </w:divBdr>
    </w:div>
    <w:div w:id="1395469138">
      <w:bodyDiv w:val="1"/>
      <w:marLeft w:val="0"/>
      <w:marRight w:val="0"/>
      <w:marTop w:val="0"/>
      <w:marBottom w:val="0"/>
      <w:divBdr>
        <w:top w:val="none" w:sz="0" w:space="0" w:color="auto"/>
        <w:left w:val="none" w:sz="0" w:space="0" w:color="auto"/>
        <w:bottom w:val="none" w:sz="0" w:space="0" w:color="auto"/>
        <w:right w:val="none" w:sz="0" w:space="0" w:color="auto"/>
      </w:divBdr>
    </w:div>
    <w:div w:id="1407414554">
      <w:bodyDiv w:val="1"/>
      <w:marLeft w:val="0"/>
      <w:marRight w:val="0"/>
      <w:marTop w:val="0"/>
      <w:marBottom w:val="0"/>
      <w:divBdr>
        <w:top w:val="none" w:sz="0" w:space="0" w:color="auto"/>
        <w:left w:val="none" w:sz="0" w:space="0" w:color="auto"/>
        <w:bottom w:val="none" w:sz="0" w:space="0" w:color="auto"/>
        <w:right w:val="none" w:sz="0" w:space="0" w:color="auto"/>
      </w:divBdr>
      <w:divsChild>
        <w:div w:id="1531843414">
          <w:marLeft w:val="1109"/>
          <w:marRight w:val="0"/>
          <w:marTop w:val="0"/>
          <w:marBottom w:val="120"/>
          <w:divBdr>
            <w:top w:val="none" w:sz="0" w:space="0" w:color="auto"/>
            <w:left w:val="none" w:sz="0" w:space="0" w:color="auto"/>
            <w:bottom w:val="none" w:sz="0" w:space="0" w:color="auto"/>
            <w:right w:val="none" w:sz="0" w:space="0" w:color="auto"/>
          </w:divBdr>
        </w:div>
      </w:divsChild>
    </w:div>
    <w:div w:id="1408574144">
      <w:bodyDiv w:val="1"/>
      <w:marLeft w:val="0"/>
      <w:marRight w:val="0"/>
      <w:marTop w:val="0"/>
      <w:marBottom w:val="0"/>
      <w:divBdr>
        <w:top w:val="none" w:sz="0" w:space="0" w:color="auto"/>
        <w:left w:val="none" w:sz="0" w:space="0" w:color="auto"/>
        <w:bottom w:val="none" w:sz="0" w:space="0" w:color="auto"/>
        <w:right w:val="none" w:sz="0" w:space="0" w:color="auto"/>
      </w:divBdr>
    </w:div>
    <w:div w:id="1415664043">
      <w:bodyDiv w:val="1"/>
      <w:marLeft w:val="0"/>
      <w:marRight w:val="0"/>
      <w:marTop w:val="0"/>
      <w:marBottom w:val="0"/>
      <w:divBdr>
        <w:top w:val="none" w:sz="0" w:space="0" w:color="auto"/>
        <w:left w:val="none" w:sz="0" w:space="0" w:color="auto"/>
        <w:bottom w:val="none" w:sz="0" w:space="0" w:color="auto"/>
        <w:right w:val="none" w:sz="0" w:space="0" w:color="auto"/>
      </w:divBdr>
      <w:divsChild>
        <w:div w:id="1547448479">
          <w:marLeft w:val="0"/>
          <w:marRight w:val="0"/>
          <w:marTop w:val="0"/>
          <w:marBottom w:val="0"/>
          <w:divBdr>
            <w:top w:val="none" w:sz="0" w:space="0" w:color="auto"/>
            <w:left w:val="none" w:sz="0" w:space="0" w:color="auto"/>
            <w:bottom w:val="none" w:sz="0" w:space="0" w:color="auto"/>
            <w:right w:val="none" w:sz="0" w:space="0" w:color="auto"/>
          </w:divBdr>
        </w:div>
      </w:divsChild>
    </w:div>
    <w:div w:id="1448890209">
      <w:bodyDiv w:val="1"/>
      <w:marLeft w:val="0"/>
      <w:marRight w:val="0"/>
      <w:marTop w:val="0"/>
      <w:marBottom w:val="0"/>
      <w:divBdr>
        <w:top w:val="none" w:sz="0" w:space="0" w:color="auto"/>
        <w:left w:val="none" w:sz="0" w:space="0" w:color="auto"/>
        <w:bottom w:val="none" w:sz="0" w:space="0" w:color="auto"/>
        <w:right w:val="none" w:sz="0" w:space="0" w:color="auto"/>
      </w:divBdr>
      <w:divsChild>
        <w:div w:id="922495890">
          <w:marLeft w:val="274"/>
          <w:marRight w:val="0"/>
          <w:marTop w:val="0"/>
          <w:marBottom w:val="120"/>
          <w:divBdr>
            <w:top w:val="none" w:sz="0" w:space="0" w:color="auto"/>
            <w:left w:val="none" w:sz="0" w:space="0" w:color="auto"/>
            <w:bottom w:val="none" w:sz="0" w:space="0" w:color="auto"/>
            <w:right w:val="none" w:sz="0" w:space="0" w:color="auto"/>
          </w:divBdr>
        </w:div>
        <w:div w:id="511456209">
          <w:marLeft w:val="274"/>
          <w:marRight w:val="0"/>
          <w:marTop w:val="0"/>
          <w:marBottom w:val="120"/>
          <w:divBdr>
            <w:top w:val="none" w:sz="0" w:space="0" w:color="auto"/>
            <w:left w:val="none" w:sz="0" w:space="0" w:color="auto"/>
            <w:bottom w:val="none" w:sz="0" w:space="0" w:color="auto"/>
            <w:right w:val="none" w:sz="0" w:space="0" w:color="auto"/>
          </w:divBdr>
        </w:div>
        <w:div w:id="1805465199">
          <w:marLeft w:val="274"/>
          <w:marRight w:val="0"/>
          <w:marTop w:val="0"/>
          <w:marBottom w:val="120"/>
          <w:divBdr>
            <w:top w:val="none" w:sz="0" w:space="0" w:color="auto"/>
            <w:left w:val="none" w:sz="0" w:space="0" w:color="auto"/>
            <w:bottom w:val="none" w:sz="0" w:space="0" w:color="auto"/>
            <w:right w:val="none" w:sz="0" w:space="0" w:color="auto"/>
          </w:divBdr>
        </w:div>
      </w:divsChild>
    </w:div>
    <w:div w:id="1461413659">
      <w:bodyDiv w:val="1"/>
      <w:marLeft w:val="0"/>
      <w:marRight w:val="0"/>
      <w:marTop w:val="0"/>
      <w:marBottom w:val="0"/>
      <w:divBdr>
        <w:top w:val="none" w:sz="0" w:space="0" w:color="auto"/>
        <w:left w:val="none" w:sz="0" w:space="0" w:color="auto"/>
        <w:bottom w:val="none" w:sz="0" w:space="0" w:color="auto"/>
        <w:right w:val="none" w:sz="0" w:space="0" w:color="auto"/>
      </w:divBdr>
    </w:div>
    <w:div w:id="1469281267">
      <w:bodyDiv w:val="1"/>
      <w:marLeft w:val="0"/>
      <w:marRight w:val="0"/>
      <w:marTop w:val="0"/>
      <w:marBottom w:val="0"/>
      <w:divBdr>
        <w:top w:val="none" w:sz="0" w:space="0" w:color="auto"/>
        <w:left w:val="none" w:sz="0" w:space="0" w:color="auto"/>
        <w:bottom w:val="none" w:sz="0" w:space="0" w:color="auto"/>
        <w:right w:val="none" w:sz="0" w:space="0" w:color="auto"/>
      </w:divBdr>
    </w:div>
    <w:div w:id="1495805624">
      <w:bodyDiv w:val="1"/>
      <w:marLeft w:val="0"/>
      <w:marRight w:val="0"/>
      <w:marTop w:val="0"/>
      <w:marBottom w:val="0"/>
      <w:divBdr>
        <w:top w:val="none" w:sz="0" w:space="0" w:color="auto"/>
        <w:left w:val="none" w:sz="0" w:space="0" w:color="auto"/>
        <w:bottom w:val="none" w:sz="0" w:space="0" w:color="auto"/>
        <w:right w:val="none" w:sz="0" w:space="0" w:color="auto"/>
      </w:divBdr>
      <w:divsChild>
        <w:div w:id="195772035">
          <w:marLeft w:val="0"/>
          <w:marRight w:val="0"/>
          <w:marTop w:val="0"/>
          <w:marBottom w:val="0"/>
          <w:divBdr>
            <w:top w:val="none" w:sz="0" w:space="0" w:color="auto"/>
            <w:left w:val="none" w:sz="0" w:space="0" w:color="auto"/>
            <w:bottom w:val="none" w:sz="0" w:space="0" w:color="auto"/>
            <w:right w:val="none" w:sz="0" w:space="0" w:color="auto"/>
          </w:divBdr>
        </w:div>
        <w:div w:id="522524900">
          <w:marLeft w:val="0"/>
          <w:marRight w:val="0"/>
          <w:marTop w:val="0"/>
          <w:marBottom w:val="0"/>
          <w:divBdr>
            <w:top w:val="none" w:sz="0" w:space="0" w:color="auto"/>
            <w:left w:val="none" w:sz="0" w:space="0" w:color="auto"/>
            <w:bottom w:val="none" w:sz="0" w:space="0" w:color="auto"/>
            <w:right w:val="none" w:sz="0" w:space="0" w:color="auto"/>
          </w:divBdr>
        </w:div>
        <w:div w:id="835922368">
          <w:marLeft w:val="0"/>
          <w:marRight w:val="0"/>
          <w:marTop w:val="0"/>
          <w:marBottom w:val="0"/>
          <w:divBdr>
            <w:top w:val="none" w:sz="0" w:space="0" w:color="auto"/>
            <w:left w:val="none" w:sz="0" w:space="0" w:color="auto"/>
            <w:bottom w:val="none" w:sz="0" w:space="0" w:color="auto"/>
            <w:right w:val="none" w:sz="0" w:space="0" w:color="auto"/>
          </w:divBdr>
        </w:div>
        <w:div w:id="967005245">
          <w:marLeft w:val="0"/>
          <w:marRight w:val="0"/>
          <w:marTop w:val="0"/>
          <w:marBottom w:val="0"/>
          <w:divBdr>
            <w:top w:val="none" w:sz="0" w:space="0" w:color="auto"/>
            <w:left w:val="none" w:sz="0" w:space="0" w:color="auto"/>
            <w:bottom w:val="none" w:sz="0" w:space="0" w:color="auto"/>
            <w:right w:val="none" w:sz="0" w:space="0" w:color="auto"/>
          </w:divBdr>
        </w:div>
        <w:div w:id="975338097">
          <w:marLeft w:val="0"/>
          <w:marRight w:val="0"/>
          <w:marTop w:val="0"/>
          <w:marBottom w:val="0"/>
          <w:divBdr>
            <w:top w:val="none" w:sz="0" w:space="0" w:color="auto"/>
            <w:left w:val="none" w:sz="0" w:space="0" w:color="auto"/>
            <w:bottom w:val="none" w:sz="0" w:space="0" w:color="auto"/>
            <w:right w:val="none" w:sz="0" w:space="0" w:color="auto"/>
          </w:divBdr>
        </w:div>
        <w:div w:id="1844126757">
          <w:marLeft w:val="0"/>
          <w:marRight w:val="0"/>
          <w:marTop w:val="0"/>
          <w:marBottom w:val="0"/>
          <w:divBdr>
            <w:top w:val="none" w:sz="0" w:space="0" w:color="auto"/>
            <w:left w:val="none" w:sz="0" w:space="0" w:color="auto"/>
            <w:bottom w:val="none" w:sz="0" w:space="0" w:color="auto"/>
            <w:right w:val="none" w:sz="0" w:space="0" w:color="auto"/>
          </w:divBdr>
        </w:div>
        <w:div w:id="1889143339">
          <w:marLeft w:val="0"/>
          <w:marRight w:val="0"/>
          <w:marTop w:val="0"/>
          <w:marBottom w:val="0"/>
          <w:divBdr>
            <w:top w:val="none" w:sz="0" w:space="0" w:color="auto"/>
            <w:left w:val="none" w:sz="0" w:space="0" w:color="auto"/>
            <w:bottom w:val="none" w:sz="0" w:space="0" w:color="auto"/>
            <w:right w:val="none" w:sz="0" w:space="0" w:color="auto"/>
          </w:divBdr>
        </w:div>
        <w:div w:id="2043627656">
          <w:marLeft w:val="0"/>
          <w:marRight w:val="0"/>
          <w:marTop w:val="0"/>
          <w:marBottom w:val="0"/>
          <w:divBdr>
            <w:top w:val="none" w:sz="0" w:space="0" w:color="auto"/>
            <w:left w:val="none" w:sz="0" w:space="0" w:color="auto"/>
            <w:bottom w:val="none" w:sz="0" w:space="0" w:color="auto"/>
            <w:right w:val="none" w:sz="0" w:space="0" w:color="auto"/>
          </w:divBdr>
        </w:div>
      </w:divsChild>
    </w:div>
    <w:div w:id="1505317935">
      <w:bodyDiv w:val="1"/>
      <w:marLeft w:val="0"/>
      <w:marRight w:val="0"/>
      <w:marTop w:val="0"/>
      <w:marBottom w:val="0"/>
      <w:divBdr>
        <w:top w:val="none" w:sz="0" w:space="0" w:color="auto"/>
        <w:left w:val="none" w:sz="0" w:space="0" w:color="auto"/>
        <w:bottom w:val="none" w:sz="0" w:space="0" w:color="auto"/>
        <w:right w:val="none" w:sz="0" w:space="0" w:color="auto"/>
      </w:divBdr>
    </w:div>
    <w:div w:id="1587228903">
      <w:bodyDiv w:val="1"/>
      <w:marLeft w:val="0"/>
      <w:marRight w:val="0"/>
      <w:marTop w:val="0"/>
      <w:marBottom w:val="0"/>
      <w:divBdr>
        <w:top w:val="none" w:sz="0" w:space="0" w:color="auto"/>
        <w:left w:val="none" w:sz="0" w:space="0" w:color="auto"/>
        <w:bottom w:val="none" w:sz="0" w:space="0" w:color="auto"/>
        <w:right w:val="none" w:sz="0" w:space="0" w:color="auto"/>
      </w:divBdr>
    </w:div>
    <w:div w:id="1594128734">
      <w:bodyDiv w:val="1"/>
      <w:marLeft w:val="0"/>
      <w:marRight w:val="0"/>
      <w:marTop w:val="0"/>
      <w:marBottom w:val="0"/>
      <w:divBdr>
        <w:top w:val="none" w:sz="0" w:space="0" w:color="auto"/>
        <w:left w:val="none" w:sz="0" w:space="0" w:color="auto"/>
        <w:bottom w:val="none" w:sz="0" w:space="0" w:color="auto"/>
        <w:right w:val="none" w:sz="0" w:space="0" w:color="auto"/>
      </w:divBdr>
    </w:div>
    <w:div w:id="1607808508">
      <w:bodyDiv w:val="1"/>
      <w:marLeft w:val="0"/>
      <w:marRight w:val="0"/>
      <w:marTop w:val="0"/>
      <w:marBottom w:val="0"/>
      <w:divBdr>
        <w:top w:val="none" w:sz="0" w:space="0" w:color="auto"/>
        <w:left w:val="none" w:sz="0" w:space="0" w:color="auto"/>
        <w:bottom w:val="none" w:sz="0" w:space="0" w:color="auto"/>
        <w:right w:val="none" w:sz="0" w:space="0" w:color="auto"/>
      </w:divBdr>
    </w:div>
    <w:div w:id="1623271495">
      <w:bodyDiv w:val="1"/>
      <w:marLeft w:val="0"/>
      <w:marRight w:val="0"/>
      <w:marTop w:val="0"/>
      <w:marBottom w:val="0"/>
      <w:divBdr>
        <w:top w:val="none" w:sz="0" w:space="0" w:color="auto"/>
        <w:left w:val="none" w:sz="0" w:space="0" w:color="auto"/>
        <w:bottom w:val="none" w:sz="0" w:space="0" w:color="auto"/>
        <w:right w:val="none" w:sz="0" w:space="0" w:color="auto"/>
      </w:divBdr>
    </w:div>
    <w:div w:id="1664360502">
      <w:bodyDiv w:val="1"/>
      <w:marLeft w:val="0"/>
      <w:marRight w:val="0"/>
      <w:marTop w:val="0"/>
      <w:marBottom w:val="0"/>
      <w:divBdr>
        <w:top w:val="none" w:sz="0" w:space="0" w:color="auto"/>
        <w:left w:val="none" w:sz="0" w:space="0" w:color="auto"/>
        <w:bottom w:val="none" w:sz="0" w:space="0" w:color="auto"/>
        <w:right w:val="none" w:sz="0" w:space="0" w:color="auto"/>
      </w:divBdr>
      <w:divsChild>
        <w:div w:id="211238866">
          <w:marLeft w:val="446"/>
          <w:marRight w:val="0"/>
          <w:marTop w:val="0"/>
          <w:marBottom w:val="120"/>
          <w:divBdr>
            <w:top w:val="none" w:sz="0" w:space="0" w:color="auto"/>
            <w:left w:val="none" w:sz="0" w:space="0" w:color="auto"/>
            <w:bottom w:val="none" w:sz="0" w:space="0" w:color="auto"/>
            <w:right w:val="none" w:sz="0" w:space="0" w:color="auto"/>
          </w:divBdr>
        </w:div>
      </w:divsChild>
    </w:div>
    <w:div w:id="1673950061">
      <w:bodyDiv w:val="1"/>
      <w:marLeft w:val="0"/>
      <w:marRight w:val="0"/>
      <w:marTop w:val="0"/>
      <w:marBottom w:val="0"/>
      <w:divBdr>
        <w:top w:val="none" w:sz="0" w:space="0" w:color="auto"/>
        <w:left w:val="none" w:sz="0" w:space="0" w:color="auto"/>
        <w:bottom w:val="none" w:sz="0" w:space="0" w:color="auto"/>
        <w:right w:val="none" w:sz="0" w:space="0" w:color="auto"/>
      </w:divBdr>
    </w:div>
    <w:div w:id="1682318350">
      <w:bodyDiv w:val="1"/>
      <w:marLeft w:val="0"/>
      <w:marRight w:val="0"/>
      <w:marTop w:val="0"/>
      <w:marBottom w:val="0"/>
      <w:divBdr>
        <w:top w:val="none" w:sz="0" w:space="0" w:color="auto"/>
        <w:left w:val="none" w:sz="0" w:space="0" w:color="auto"/>
        <w:bottom w:val="none" w:sz="0" w:space="0" w:color="auto"/>
        <w:right w:val="none" w:sz="0" w:space="0" w:color="auto"/>
      </w:divBdr>
    </w:div>
    <w:div w:id="1704860652">
      <w:bodyDiv w:val="1"/>
      <w:marLeft w:val="0"/>
      <w:marRight w:val="0"/>
      <w:marTop w:val="0"/>
      <w:marBottom w:val="0"/>
      <w:divBdr>
        <w:top w:val="none" w:sz="0" w:space="0" w:color="auto"/>
        <w:left w:val="none" w:sz="0" w:space="0" w:color="auto"/>
        <w:bottom w:val="none" w:sz="0" w:space="0" w:color="auto"/>
        <w:right w:val="none" w:sz="0" w:space="0" w:color="auto"/>
      </w:divBdr>
    </w:div>
    <w:div w:id="1754547562">
      <w:bodyDiv w:val="1"/>
      <w:marLeft w:val="0"/>
      <w:marRight w:val="0"/>
      <w:marTop w:val="0"/>
      <w:marBottom w:val="0"/>
      <w:divBdr>
        <w:top w:val="none" w:sz="0" w:space="0" w:color="auto"/>
        <w:left w:val="none" w:sz="0" w:space="0" w:color="auto"/>
        <w:bottom w:val="none" w:sz="0" w:space="0" w:color="auto"/>
        <w:right w:val="none" w:sz="0" w:space="0" w:color="auto"/>
      </w:divBdr>
    </w:div>
    <w:div w:id="1760521132">
      <w:bodyDiv w:val="1"/>
      <w:marLeft w:val="0"/>
      <w:marRight w:val="0"/>
      <w:marTop w:val="0"/>
      <w:marBottom w:val="0"/>
      <w:divBdr>
        <w:top w:val="none" w:sz="0" w:space="0" w:color="auto"/>
        <w:left w:val="none" w:sz="0" w:space="0" w:color="auto"/>
        <w:bottom w:val="none" w:sz="0" w:space="0" w:color="auto"/>
        <w:right w:val="none" w:sz="0" w:space="0" w:color="auto"/>
      </w:divBdr>
    </w:div>
    <w:div w:id="1768112454">
      <w:bodyDiv w:val="1"/>
      <w:marLeft w:val="0"/>
      <w:marRight w:val="0"/>
      <w:marTop w:val="0"/>
      <w:marBottom w:val="0"/>
      <w:divBdr>
        <w:top w:val="none" w:sz="0" w:space="0" w:color="auto"/>
        <w:left w:val="none" w:sz="0" w:space="0" w:color="auto"/>
        <w:bottom w:val="none" w:sz="0" w:space="0" w:color="auto"/>
        <w:right w:val="none" w:sz="0" w:space="0" w:color="auto"/>
      </w:divBdr>
      <w:divsChild>
        <w:div w:id="1061948099">
          <w:marLeft w:val="706"/>
          <w:marRight w:val="0"/>
          <w:marTop w:val="40"/>
          <w:marBottom w:val="40"/>
          <w:divBdr>
            <w:top w:val="none" w:sz="0" w:space="0" w:color="auto"/>
            <w:left w:val="none" w:sz="0" w:space="0" w:color="auto"/>
            <w:bottom w:val="none" w:sz="0" w:space="0" w:color="auto"/>
            <w:right w:val="none" w:sz="0" w:space="0" w:color="auto"/>
          </w:divBdr>
        </w:div>
        <w:div w:id="1189486700">
          <w:marLeft w:val="706"/>
          <w:marRight w:val="0"/>
          <w:marTop w:val="40"/>
          <w:marBottom w:val="40"/>
          <w:divBdr>
            <w:top w:val="none" w:sz="0" w:space="0" w:color="auto"/>
            <w:left w:val="none" w:sz="0" w:space="0" w:color="auto"/>
            <w:bottom w:val="none" w:sz="0" w:space="0" w:color="auto"/>
            <w:right w:val="none" w:sz="0" w:space="0" w:color="auto"/>
          </w:divBdr>
        </w:div>
        <w:div w:id="1310867890">
          <w:marLeft w:val="706"/>
          <w:marRight w:val="0"/>
          <w:marTop w:val="40"/>
          <w:marBottom w:val="40"/>
          <w:divBdr>
            <w:top w:val="none" w:sz="0" w:space="0" w:color="auto"/>
            <w:left w:val="none" w:sz="0" w:space="0" w:color="auto"/>
            <w:bottom w:val="none" w:sz="0" w:space="0" w:color="auto"/>
            <w:right w:val="none" w:sz="0" w:space="0" w:color="auto"/>
          </w:divBdr>
        </w:div>
        <w:div w:id="1666590437">
          <w:marLeft w:val="706"/>
          <w:marRight w:val="0"/>
          <w:marTop w:val="40"/>
          <w:marBottom w:val="40"/>
          <w:divBdr>
            <w:top w:val="none" w:sz="0" w:space="0" w:color="auto"/>
            <w:left w:val="none" w:sz="0" w:space="0" w:color="auto"/>
            <w:bottom w:val="none" w:sz="0" w:space="0" w:color="auto"/>
            <w:right w:val="none" w:sz="0" w:space="0" w:color="auto"/>
          </w:divBdr>
        </w:div>
        <w:div w:id="1767648338">
          <w:marLeft w:val="274"/>
          <w:marRight w:val="0"/>
          <w:marTop w:val="40"/>
          <w:marBottom w:val="40"/>
          <w:divBdr>
            <w:top w:val="none" w:sz="0" w:space="0" w:color="auto"/>
            <w:left w:val="none" w:sz="0" w:space="0" w:color="auto"/>
            <w:bottom w:val="none" w:sz="0" w:space="0" w:color="auto"/>
            <w:right w:val="none" w:sz="0" w:space="0" w:color="auto"/>
          </w:divBdr>
        </w:div>
        <w:div w:id="1987930929">
          <w:marLeft w:val="274"/>
          <w:marRight w:val="0"/>
          <w:marTop w:val="40"/>
          <w:marBottom w:val="40"/>
          <w:divBdr>
            <w:top w:val="none" w:sz="0" w:space="0" w:color="auto"/>
            <w:left w:val="none" w:sz="0" w:space="0" w:color="auto"/>
            <w:bottom w:val="none" w:sz="0" w:space="0" w:color="auto"/>
            <w:right w:val="none" w:sz="0" w:space="0" w:color="auto"/>
          </w:divBdr>
        </w:div>
        <w:div w:id="2049407287">
          <w:marLeft w:val="274"/>
          <w:marRight w:val="0"/>
          <w:marTop w:val="40"/>
          <w:marBottom w:val="40"/>
          <w:divBdr>
            <w:top w:val="none" w:sz="0" w:space="0" w:color="auto"/>
            <w:left w:val="none" w:sz="0" w:space="0" w:color="auto"/>
            <w:bottom w:val="none" w:sz="0" w:space="0" w:color="auto"/>
            <w:right w:val="none" w:sz="0" w:space="0" w:color="auto"/>
          </w:divBdr>
        </w:div>
        <w:div w:id="2075856726">
          <w:marLeft w:val="274"/>
          <w:marRight w:val="0"/>
          <w:marTop w:val="40"/>
          <w:marBottom w:val="40"/>
          <w:divBdr>
            <w:top w:val="none" w:sz="0" w:space="0" w:color="auto"/>
            <w:left w:val="none" w:sz="0" w:space="0" w:color="auto"/>
            <w:bottom w:val="none" w:sz="0" w:space="0" w:color="auto"/>
            <w:right w:val="none" w:sz="0" w:space="0" w:color="auto"/>
          </w:divBdr>
        </w:div>
      </w:divsChild>
    </w:div>
    <w:div w:id="1785147733">
      <w:bodyDiv w:val="1"/>
      <w:marLeft w:val="0"/>
      <w:marRight w:val="0"/>
      <w:marTop w:val="0"/>
      <w:marBottom w:val="0"/>
      <w:divBdr>
        <w:top w:val="none" w:sz="0" w:space="0" w:color="auto"/>
        <w:left w:val="none" w:sz="0" w:space="0" w:color="auto"/>
        <w:bottom w:val="none" w:sz="0" w:space="0" w:color="auto"/>
        <w:right w:val="none" w:sz="0" w:space="0" w:color="auto"/>
      </w:divBdr>
    </w:div>
    <w:div w:id="1812091777">
      <w:bodyDiv w:val="1"/>
      <w:marLeft w:val="0"/>
      <w:marRight w:val="0"/>
      <w:marTop w:val="0"/>
      <w:marBottom w:val="0"/>
      <w:divBdr>
        <w:top w:val="none" w:sz="0" w:space="0" w:color="auto"/>
        <w:left w:val="none" w:sz="0" w:space="0" w:color="auto"/>
        <w:bottom w:val="none" w:sz="0" w:space="0" w:color="auto"/>
        <w:right w:val="none" w:sz="0" w:space="0" w:color="auto"/>
      </w:divBdr>
    </w:div>
    <w:div w:id="1865751694">
      <w:bodyDiv w:val="1"/>
      <w:marLeft w:val="0"/>
      <w:marRight w:val="0"/>
      <w:marTop w:val="0"/>
      <w:marBottom w:val="0"/>
      <w:divBdr>
        <w:top w:val="none" w:sz="0" w:space="0" w:color="auto"/>
        <w:left w:val="none" w:sz="0" w:space="0" w:color="auto"/>
        <w:bottom w:val="none" w:sz="0" w:space="0" w:color="auto"/>
        <w:right w:val="none" w:sz="0" w:space="0" w:color="auto"/>
      </w:divBdr>
    </w:div>
    <w:div w:id="1882327364">
      <w:bodyDiv w:val="1"/>
      <w:marLeft w:val="0"/>
      <w:marRight w:val="0"/>
      <w:marTop w:val="0"/>
      <w:marBottom w:val="0"/>
      <w:divBdr>
        <w:top w:val="none" w:sz="0" w:space="0" w:color="auto"/>
        <w:left w:val="none" w:sz="0" w:space="0" w:color="auto"/>
        <w:bottom w:val="none" w:sz="0" w:space="0" w:color="auto"/>
        <w:right w:val="none" w:sz="0" w:space="0" w:color="auto"/>
      </w:divBdr>
    </w:div>
    <w:div w:id="1892691425">
      <w:bodyDiv w:val="1"/>
      <w:marLeft w:val="0"/>
      <w:marRight w:val="0"/>
      <w:marTop w:val="0"/>
      <w:marBottom w:val="0"/>
      <w:divBdr>
        <w:top w:val="none" w:sz="0" w:space="0" w:color="auto"/>
        <w:left w:val="none" w:sz="0" w:space="0" w:color="auto"/>
        <w:bottom w:val="none" w:sz="0" w:space="0" w:color="auto"/>
        <w:right w:val="none" w:sz="0" w:space="0" w:color="auto"/>
      </w:divBdr>
    </w:div>
    <w:div w:id="1894733456">
      <w:bodyDiv w:val="1"/>
      <w:marLeft w:val="0"/>
      <w:marRight w:val="0"/>
      <w:marTop w:val="0"/>
      <w:marBottom w:val="0"/>
      <w:divBdr>
        <w:top w:val="none" w:sz="0" w:space="0" w:color="auto"/>
        <w:left w:val="none" w:sz="0" w:space="0" w:color="auto"/>
        <w:bottom w:val="none" w:sz="0" w:space="0" w:color="auto"/>
        <w:right w:val="none" w:sz="0" w:space="0" w:color="auto"/>
      </w:divBdr>
    </w:div>
    <w:div w:id="1896045769">
      <w:bodyDiv w:val="1"/>
      <w:marLeft w:val="0"/>
      <w:marRight w:val="0"/>
      <w:marTop w:val="0"/>
      <w:marBottom w:val="0"/>
      <w:divBdr>
        <w:top w:val="none" w:sz="0" w:space="0" w:color="auto"/>
        <w:left w:val="none" w:sz="0" w:space="0" w:color="auto"/>
        <w:bottom w:val="none" w:sz="0" w:space="0" w:color="auto"/>
        <w:right w:val="none" w:sz="0" w:space="0" w:color="auto"/>
      </w:divBdr>
    </w:div>
    <w:div w:id="1905944720">
      <w:bodyDiv w:val="1"/>
      <w:marLeft w:val="0"/>
      <w:marRight w:val="0"/>
      <w:marTop w:val="0"/>
      <w:marBottom w:val="0"/>
      <w:divBdr>
        <w:top w:val="none" w:sz="0" w:space="0" w:color="auto"/>
        <w:left w:val="none" w:sz="0" w:space="0" w:color="auto"/>
        <w:bottom w:val="none" w:sz="0" w:space="0" w:color="auto"/>
        <w:right w:val="none" w:sz="0" w:space="0" w:color="auto"/>
      </w:divBdr>
    </w:div>
    <w:div w:id="1931154187">
      <w:bodyDiv w:val="1"/>
      <w:marLeft w:val="0"/>
      <w:marRight w:val="0"/>
      <w:marTop w:val="0"/>
      <w:marBottom w:val="0"/>
      <w:divBdr>
        <w:top w:val="none" w:sz="0" w:space="0" w:color="auto"/>
        <w:left w:val="none" w:sz="0" w:space="0" w:color="auto"/>
        <w:bottom w:val="none" w:sz="0" w:space="0" w:color="auto"/>
        <w:right w:val="none" w:sz="0" w:space="0" w:color="auto"/>
      </w:divBdr>
    </w:div>
    <w:div w:id="1953437203">
      <w:bodyDiv w:val="1"/>
      <w:marLeft w:val="0"/>
      <w:marRight w:val="0"/>
      <w:marTop w:val="0"/>
      <w:marBottom w:val="0"/>
      <w:divBdr>
        <w:top w:val="none" w:sz="0" w:space="0" w:color="auto"/>
        <w:left w:val="none" w:sz="0" w:space="0" w:color="auto"/>
        <w:bottom w:val="none" w:sz="0" w:space="0" w:color="auto"/>
        <w:right w:val="none" w:sz="0" w:space="0" w:color="auto"/>
      </w:divBdr>
    </w:div>
    <w:div w:id="1976982193">
      <w:bodyDiv w:val="1"/>
      <w:marLeft w:val="0"/>
      <w:marRight w:val="0"/>
      <w:marTop w:val="0"/>
      <w:marBottom w:val="0"/>
      <w:divBdr>
        <w:top w:val="none" w:sz="0" w:space="0" w:color="auto"/>
        <w:left w:val="none" w:sz="0" w:space="0" w:color="auto"/>
        <w:bottom w:val="none" w:sz="0" w:space="0" w:color="auto"/>
        <w:right w:val="none" w:sz="0" w:space="0" w:color="auto"/>
      </w:divBdr>
    </w:div>
    <w:div w:id="1997806710">
      <w:bodyDiv w:val="1"/>
      <w:marLeft w:val="0"/>
      <w:marRight w:val="0"/>
      <w:marTop w:val="0"/>
      <w:marBottom w:val="0"/>
      <w:divBdr>
        <w:top w:val="none" w:sz="0" w:space="0" w:color="auto"/>
        <w:left w:val="none" w:sz="0" w:space="0" w:color="auto"/>
        <w:bottom w:val="none" w:sz="0" w:space="0" w:color="auto"/>
        <w:right w:val="none" w:sz="0" w:space="0" w:color="auto"/>
      </w:divBdr>
      <w:divsChild>
        <w:div w:id="194465075">
          <w:marLeft w:val="274"/>
          <w:marRight w:val="0"/>
          <w:marTop w:val="40"/>
          <w:marBottom w:val="40"/>
          <w:divBdr>
            <w:top w:val="none" w:sz="0" w:space="0" w:color="auto"/>
            <w:left w:val="none" w:sz="0" w:space="0" w:color="auto"/>
            <w:bottom w:val="none" w:sz="0" w:space="0" w:color="auto"/>
            <w:right w:val="none" w:sz="0" w:space="0" w:color="auto"/>
          </w:divBdr>
        </w:div>
        <w:div w:id="366218906">
          <w:marLeft w:val="274"/>
          <w:marRight w:val="0"/>
          <w:marTop w:val="40"/>
          <w:marBottom w:val="40"/>
          <w:divBdr>
            <w:top w:val="none" w:sz="0" w:space="0" w:color="auto"/>
            <w:left w:val="none" w:sz="0" w:space="0" w:color="auto"/>
            <w:bottom w:val="none" w:sz="0" w:space="0" w:color="auto"/>
            <w:right w:val="none" w:sz="0" w:space="0" w:color="auto"/>
          </w:divBdr>
        </w:div>
        <w:div w:id="773599120">
          <w:marLeft w:val="274"/>
          <w:marRight w:val="0"/>
          <w:marTop w:val="40"/>
          <w:marBottom w:val="40"/>
          <w:divBdr>
            <w:top w:val="none" w:sz="0" w:space="0" w:color="auto"/>
            <w:left w:val="none" w:sz="0" w:space="0" w:color="auto"/>
            <w:bottom w:val="none" w:sz="0" w:space="0" w:color="auto"/>
            <w:right w:val="none" w:sz="0" w:space="0" w:color="auto"/>
          </w:divBdr>
        </w:div>
        <w:div w:id="890190456">
          <w:marLeft w:val="274"/>
          <w:marRight w:val="0"/>
          <w:marTop w:val="40"/>
          <w:marBottom w:val="40"/>
          <w:divBdr>
            <w:top w:val="none" w:sz="0" w:space="0" w:color="auto"/>
            <w:left w:val="none" w:sz="0" w:space="0" w:color="auto"/>
            <w:bottom w:val="none" w:sz="0" w:space="0" w:color="auto"/>
            <w:right w:val="none" w:sz="0" w:space="0" w:color="auto"/>
          </w:divBdr>
        </w:div>
        <w:div w:id="1381242137">
          <w:marLeft w:val="706"/>
          <w:marRight w:val="0"/>
          <w:marTop w:val="40"/>
          <w:marBottom w:val="40"/>
          <w:divBdr>
            <w:top w:val="none" w:sz="0" w:space="0" w:color="auto"/>
            <w:left w:val="none" w:sz="0" w:space="0" w:color="auto"/>
            <w:bottom w:val="none" w:sz="0" w:space="0" w:color="auto"/>
            <w:right w:val="none" w:sz="0" w:space="0" w:color="auto"/>
          </w:divBdr>
        </w:div>
        <w:div w:id="1460565317">
          <w:marLeft w:val="706"/>
          <w:marRight w:val="0"/>
          <w:marTop w:val="40"/>
          <w:marBottom w:val="40"/>
          <w:divBdr>
            <w:top w:val="none" w:sz="0" w:space="0" w:color="auto"/>
            <w:left w:val="none" w:sz="0" w:space="0" w:color="auto"/>
            <w:bottom w:val="none" w:sz="0" w:space="0" w:color="auto"/>
            <w:right w:val="none" w:sz="0" w:space="0" w:color="auto"/>
          </w:divBdr>
        </w:div>
        <w:div w:id="1685547048">
          <w:marLeft w:val="706"/>
          <w:marRight w:val="0"/>
          <w:marTop w:val="40"/>
          <w:marBottom w:val="40"/>
          <w:divBdr>
            <w:top w:val="none" w:sz="0" w:space="0" w:color="auto"/>
            <w:left w:val="none" w:sz="0" w:space="0" w:color="auto"/>
            <w:bottom w:val="none" w:sz="0" w:space="0" w:color="auto"/>
            <w:right w:val="none" w:sz="0" w:space="0" w:color="auto"/>
          </w:divBdr>
        </w:div>
        <w:div w:id="1860971631">
          <w:marLeft w:val="706"/>
          <w:marRight w:val="0"/>
          <w:marTop w:val="40"/>
          <w:marBottom w:val="40"/>
          <w:divBdr>
            <w:top w:val="none" w:sz="0" w:space="0" w:color="auto"/>
            <w:left w:val="none" w:sz="0" w:space="0" w:color="auto"/>
            <w:bottom w:val="none" w:sz="0" w:space="0" w:color="auto"/>
            <w:right w:val="none" w:sz="0" w:space="0" w:color="auto"/>
          </w:divBdr>
        </w:div>
      </w:divsChild>
    </w:div>
    <w:div w:id="1997952785">
      <w:bodyDiv w:val="1"/>
      <w:marLeft w:val="0"/>
      <w:marRight w:val="0"/>
      <w:marTop w:val="0"/>
      <w:marBottom w:val="0"/>
      <w:divBdr>
        <w:top w:val="none" w:sz="0" w:space="0" w:color="auto"/>
        <w:left w:val="none" w:sz="0" w:space="0" w:color="auto"/>
        <w:bottom w:val="none" w:sz="0" w:space="0" w:color="auto"/>
        <w:right w:val="none" w:sz="0" w:space="0" w:color="auto"/>
      </w:divBdr>
    </w:div>
    <w:div w:id="2023244755">
      <w:bodyDiv w:val="1"/>
      <w:marLeft w:val="0"/>
      <w:marRight w:val="0"/>
      <w:marTop w:val="0"/>
      <w:marBottom w:val="0"/>
      <w:divBdr>
        <w:top w:val="none" w:sz="0" w:space="0" w:color="auto"/>
        <w:left w:val="none" w:sz="0" w:space="0" w:color="auto"/>
        <w:bottom w:val="none" w:sz="0" w:space="0" w:color="auto"/>
        <w:right w:val="none" w:sz="0" w:space="0" w:color="auto"/>
      </w:divBdr>
      <w:divsChild>
        <w:div w:id="571700144">
          <w:marLeft w:val="274"/>
          <w:marRight w:val="0"/>
          <w:marTop w:val="0"/>
          <w:marBottom w:val="120"/>
          <w:divBdr>
            <w:top w:val="none" w:sz="0" w:space="0" w:color="auto"/>
            <w:left w:val="none" w:sz="0" w:space="0" w:color="auto"/>
            <w:bottom w:val="none" w:sz="0" w:space="0" w:color="auto"/>
            <w:right w:val="none" w:sz="0" w:space="0" w:color="auto"/>
          </w:divBdr>
        </w:div>
        <w:div w:id="1051536637">
          <w:marLeft w:val="274"/>
          <w:marRight w:val="0"/>
          <w:marTop w:val="0"/>
          <w:marBottom w:val="120"/>
          <w:divBdr>
            <w:top w:val="none" w:sz="0" w:space="0" w:color="auto"/>
            <w:left w:val="none" w:sz="0" w:space="0" w:color="auto"/>
            <w:bottom w:val="none" w:sz="0" w:space="0" w:color="auto"/>
            <w:right w:val="none" w:sz="0" w:space="0" w:color="auto"/>
          </w:divBdr>
        </w:div>
      </w:divsChild>
    </w:div>
    <w:div w:id="2026664768">
      <w:bodyDiv w:val="1"/>
      <w:marLeft w:val="0"/>
      <w:marRight w:val="0"/>
      <w:marTop w:val="0"/>
      <w:marBottom w:val="0"/>
      <w:divBdr>
        <w:top w:val="none" w:sz="0" w:space="0" w:color="auto"/>
        <w:left w:val="none" w:sz="0" w:space="0" w:color="auto"/>
        <w:bottom w:val="none" w:sz="0" w:space="0" w:color="auto"/>
        <w:right w:val="none" w:sz="0" w:space="0" w:color="auto"/>
      </w:divBdr>
    </w:div>
    <w:div w:id="2041081442">
      <w:bodyDiv w:val="1"/>
      <w:marLeft w:val="0"/>
      <w:marRight w:val="0"/>
      <w:marTop w:val="0"/>
      <w:marBottom w:val="0"/>
      <w:divBdr>
        <w:top w:val="none" w:sz="0" w:space="0" w:color="auto"/>
        <w:left w:val="none" w:sz="0" w:space="0" w:color="auto"/>
        <w:bottom w:val="none" w:sz="0" w:space="0" w:color="auto"/>
        <w:right w:val="none" w:sz="0" w:space="0" w:color="auto"/>
      </w:divBdr>
    </w:div>
    <w:div w:id="2095778780">
      <w:bodyDiv w:val="1"/>
      <w:marLeft w:val="0"/>
      <w:marRight w:val="0"/>
      <w:marTop w:val="0"/>
      <w:marBottom w:val="0"/>
      <w:divBdr>
        <w:top w:val="none" w:sz="0" w:space="0" w:color="auto"/>
        <w:left w:val="none" w:sz="0" w:space="0" w:color="auto"/>
        <w:bottom w:val="none" w:sz="0" w:space="0" w:color="auto"/>
        <w:right w:val="none" w:sz="0" w:space="0" w:color="auto"/>
      </w:divBdr>
      <w:divsChild>
        <w:div w:id="1535120635">
          <w:marLeft w:val="1109"/>
          <w:marRight w:val="0"/>
          <w:marTop w:val="0"/>
          <w:marBottom w:val="120"/>
          <w:divBdr>
            <w:top w:val="none" w:sz="0" w:space="0" w:color="auto"/>
            <w:left w:val="none" w:sz="0" w:space="0" w:color="auto"/>
            <w:bottom w:val="none" w:sz="0" w:space="0" w:color="auto"/>
            <w:right w:val="none" w:sz="0" w:space="0" w:color="auto"/>
          </w:divBdr>
        </w:div>
      </w:divsChild>
    </w:div>
    <w:div w:id="2146654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eader" Target="header3.xml"/><Relationship Id="rId26" Type="http://schemas.openxmlformats.org/officeDocument/2006/relationships/footer" Target="footer6.xml"/><Relationship Id="rId39" Type="http://schemas.openxmlformats.org/officeDocument/2006/relationships/footer" Target="footer12.xml"/><Relationship Id="rId21" Type="http://schemas.openxmlformats.org/officeDocument/2006/relationships/header" Target="header4.xml"/><Relationship Id="rId34" Type="http://schemas.openxmlformats.org/officeDocument/2006/relationships/header" Target="header10.xml"/><Relationship Id="rId42" Type="http://schemas.openxmlformats.org/officeDocument/2006/relationships/chart" Target="charts/chart1.xml"/><Relationship Id="rId47"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footer" Target="footer13.xml"/><Relationship Id="rId63" Type="http://schemas.openxmlformats.org/officeDocument/2006/relationships/header" Target="header18.xml"/><Relationship Id="rId68" Type="http://schemas.openxmlformats.org/officeDocument/2006/relationships/footer" Target="footer20.xml"/><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yperlink" Target="mailto:olilvercrane@kpmg.com.au" TargetMode="Externa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eader" Target="header8.xml"/><Relationship Id="rId11" Type="http://schemas.openxmlformats.org/officeDocument/2006/relationships/endnotes" Target="endnotes.xml"/><Relationship Id="rId24" Type="http://schemas.openxmlformats.org/officeDocument/2006/relationships/footer" Target="footer5.xml"/><Relationship Id="rId32" Type="http://schemas.openxmlformats.org/officeDocument/2006/relationships/header" Target="header9.xml"/><Relationship Id="rId37" Type="http://schemas.openxmlformats.org/officeDocument/2006/relationships/footer" Target="footer11.xml"/><Relationship Id="rId40" Type="http://schemas.openxmlformats.org/officeDocument/2006/relationships/image" Target="media/image5.png"/><Relationship Id="rId45" Type="http://schemas.openxmlformats.org/officeDocument/2006/relationships/chart" Target="charts/chart4.xml"/><Relationship Id="rId53" Type="http://schemas.openxmlformats.org/officeDocument/2006/relationships/header" Target="header13.xml"/><Relationship Id="rId58" Type="http://schemas.openxmlformats.org/officeDocument/2006/relationships/footer" Target="footer15.xml"/><Relationship Id="rId66" Type="http://schemas.openxmlformats.org/officeDocument/2006/relationships/header" Target="header20.xml"/><Relationship Id="rId74" Type="http://schemas.openxmlformats.org/officeDocument/2006/relationships/footer" Target="footer23.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header" Target="header7.xml"/><Relationship Id="rId36" Type="http://schemas.openxmlformats.org/officeDocument/2006/relationships/footer" Target="footer10.xml"/><Relationship Id="rId49" Type="http://schemas.openxmlformats.org/officeDocument/2006/relationships/chart" Target="charts/chart8.xml"/><Relationship Id="rId57" Type="http://schemas.openxmlformats.org/officeDocument/2006/relationships/header" Target="header15.xml"/><Relationship Id="rId61" Type="http://schemas.openxmlformats.org/officeDocument/2006/relationships/footer" Target="footer16.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footer" Target="footer8.xml"/><Relationship Id="rId44" Type="http://schemas.openxmlformats.org/officeDocument/2006/relationships/chart" Target="charts/chart3.xml"/><Relationship Id="rId52" Type="http://schemas.openxmlformats.org/officeDocument/2006/relationships/image" Target="media/image7.jpeg"/><Relationship Id="rId60" Type="http://schemas.openxmlformats.org/officeDocument/2006/relationships/header" Target="header17.xml"/><Relationship Id="rId65" Type="http://schemas.openxmlformats.org/officeDocument/2006/relationships/header" Target="header19.xml"/><Relationship Id="rId73" Type="http://schemas.openxmlformats.org/officeDocument/2006/relationships/footer" Target="footer2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image" Target="media/image4.emf"/><Relationship Id="rId30" Type="http://schemas.openxmlformats.org/officeDocument/2006/relationships/footer" Target="footer7.xml"/><Relationship Id="rId35" Type="http://schemas.openxmlformats.org/officeDocument/2006/relationships/header" Target="header11.xml"/><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footer" Target="footer14.xml"/><Relationship Id="rId64" Type="http://schemas.openxmlformats.org/officeDocument/2006/relationships/footer" Target="footer18.xml"/><Relationship Id="rId69" Type="http://schemas.openxmlformats.org/officeDocument/2006/relationships/header" Target="header21.xm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chart" Target="charts/chart10.xml"/><Relationship Id="rId72" Type="http://schemas.openxmlformats.org/officeDocument/2006/relationships/hyperlink" Target="mailto:cstone2@kpmg.com"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2.xml"/><Relationship Id="rId25" Type="http://schemas.openxmlformats.org/officeDocument/2006/relationships/header" Target="header6.xml"/><Relationship Id="rId33" Type="http://schemas.openxmlformats.org/officeDocument/2006/relationships/footer" Target="footer9.xml"/><Relationship Id="rId38" Type="http://schemas.openxmlformats.org/officeDocument/2006/relationships/header" Target="header12.xml"/><Relationship Id="rId46" Type="http://schemas.openxmlformats.org/officeDocument/2006/relationships/chart" Target="charts/chart5.xml"/><Relationship Id="rId59" Type="http://schemas.openxmlformats.org/officeDocument/2006/relationships/header" Target="header16.xml"/><Relationship Id="rId67" Type="http://schemas.openxmlformats.org/officeDocument/2006/relationships/footer" Target="footer19.xml"/><Relationship Id="rId20" Type="http://schemas.openxmlformats.org/officeDocument/2006/relationships/image" Target="media/image3.emf"/><Relationship Id="rId41" Type="http://schemas.openxmlformats.org/officeDocument/2006/relationships/image" Target="media/image6.png"/><Relationship Id="rId54" Type="http://schemas.openxmlformats.org/officeDocument/2006/relationships/header" Target="header14.xml"/><Relationship Id="rId62" Type="http://schemas.openxmlformats.org/officeDocument/2006/relationships/footer" Target="footer17.xml"/><Relationship Id="rId70" Type="http://schemas.openxmlformats.org/officeDocument/2006/relationships/footer" Target="footer21.xml"/><Relationship Id="rId75" Type="http://schemas.openxmlformats.org/officeDocument/2006/relationships/footer" Target="footer24.xml"/><Relationship Id="rId1" Type="http://schemas.openxmlformats.org/officeDocument/2006/relationships/customXml" Target="../customXml/item1.xml"/><Relationship Id="rId6" Type="http://schemas.openxmlformats.org/officeDocument/2006/relationships/numbering" Target="numbering.xml"/></Relationships>
</file>

<file path=word/_rels/footnotes.xml.rels><?xml version="1.0" encoding="UTF-8" standalone="yes"?>
<Relationships xmlns="http://schemas.openxmlformats.org/package/2006/relationships"><Relationship Id="rId3" Type="http://schemas.openxmlformats.org/officeDocument/2006/relationships/hyperlink" Target="https://new.parliament.vic.gov.au/4a80e1/contentassets/c0fced4491df40e5a8e95c27aa7350c3/lsic_58-11_phrp_text_web.pdf" TargetMode="External"/><Relationship Id="rId2" Type="http://schemas.openxmlformats.org/officeDocument/2006/relationships/hyperlink" Target="https://www.sacredheartmission.org/service/housing-support/journey-to-social-inclusion/" TargetMode="External"/><Relationship Id="rId1" Type="http://schemas.openxmlformats.org/officeDocument/2006/relationships/hyperlink" Target="https://www.sacredheartmission.org/service/housing-support/journey-to-social-inclusion/" TargetMode="External"/><Relationship Id="rId6" Type="http://schemas.openxmlformats.org/officeDocument/2006/relationships/hyperlink" Target="https://www.dtf.vic.gov.au/funds-programs-and-policies/early-intervention-investment-framework" TargetMode="External"/><Relationship Id="rId5" Type="http://schemas.openxmlformats.org/officeDocument/2006/relationships/hyperlink" Target="https://www.dtf.vic.gov.au/funds-programs-and-policies/partnerships-addressing-disadvantage" TargetMode="External"/><Relationship Id="rId4" Type="http://schemas.openxmlformats.org/officeDocument/2006/relationships/hyperlink" Target="https://www.homes.vic.gov.au/applications-victorian-housing-register-vhr"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2022_projects\%5e855565313MKT%20Brand%20Guidelines%202022%20Update\Templates%20updated\V1\Proposal%20templates\%5ePhil\02_WORD%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Health!$B$85</c:f>
              <c:strCache>
                <c:ptCount val="1"/>
                <c:pt idx="0">
                  <c:v>To what extent does where you currently live meet your needs?</c:v>
                </c:pt>
              </c:strCache>
            </c:strRef>
          </c:tx>
          <c:spPr>
            <a:ln w="28575" cap="rnd">
              <a:solidFill>
                <a:schemeClr val="accent1"/>
              </a:solidFill>
              <a:round/>
            </a:ln>
            <a:effectLst/>
          </c:spPr>
          <c:marker>
            <c:symbol val="none"/>
          </c:marker>
          <c:cat>
            <c:strRef>
              <c:f>Health!$A$86:$A$92</c:f>
              <c:strCache>
                <c:ptCount val="7"/>
                <c:pt idx="0">
                  <c:v>INITIAL</c:v>
                </c:pt>
                <c:pt idx="1">
                  <c:v>R01</c:v>
                </c:pt>
                <c:pt idx="2">
                  <c:v>R02</c:v>
                </c:pt>
                <c:pt idx="3">
                  <c:v>R03</c:v>
                </c:pt>
                <c:pt idx="4">
                  <c:v>R04</c:v>
                </c:pt>
                <c:pt idx="5">
                  <c:v>R05</c:v>
                </c:pt>
                <c:pt idx="6">
                  <c:v>EXIT</c:v>
                </c:pt>
              </c:strCache>
            </c:strRef>
          </c:cat>
          <c:val>
            <c:numRef>
              <c:f>Health!$B$86:$B$92</c:f>
              <c:numCache>
                <c:formatCode>0.00</c:formatCode>
                <c:ptCount val="7"/>
                <c:pt idx="0">
                  <c:v>3.3195876288659796</c:v>
                </c:pt>
                <c:pt idx="1">
                  <c:v>3.696629213483146</c:v>
                </c:pt>
                <c:pt idx="2">
                  <c:v>3.7211538461538463</c:v>
                </c:pt>
                <c:pt idx="3">
                  <c:v>3.8805970149253732</c:v>
                </c:pt>
                <c:pt idx="4">
                  <c:v>3.7428571428571429</c:v>
                </c:pt>
                <c:pt idx="5">
                  <c:v>3.5466666666666669</c:v>
                </c:pt>
                <c:pt idx="6">
                  <c:v>3.9583333333333335</c:v>
                </c:pt>
              </c:numCache>
            </c:numRef>
          </c:val>
          <c:smooth val="0"/>
          <c:extLst>
            <c:ext xmlns:c16="http://schemas.microsoft.com/office/drawing/2014/chart" uri="{C3380CC4-5D6E-409C-BE32-E72D297353CC}">
              <c16:uniqueId val="{00000000-40F7-41DA-8E4C-0D4F59CDC7C6}"/>
            </c:ext>
          </c:extLst>
        </c:ser>
        <c:ser>
          <c:idx val="1"/>
          <c:order val="1"/>
          <c:tx>
            <c:strRef>
              <c:f>Health!$C$85</c:f>
              <c:strCache>
                <c:ptCount val="1"/>
                <c:pt idx="0">
                  <c:v>How often do you feel safe where you currently live?</c:v>
                </c:pt>
              </c:strCache>
            </c:strRef>
          </c:tx>
          <c:spPr>
            <a:ln w="28575" cap="rnd">
              <a:solidFill>
                <a:schemeClr val="accent2"/>
              </a:solidFill>
              <a:prstDash val="solid"/>
              <a:round/>
            </a:ln>
            <a:effectLst/>
          </c:spPr>
          <c:marker>
            <c:symbol val="none"/>
          </c:marker>
          <c:cat>
            <c:strRef>
              <c:f>Health!$A$86:$A$92</c:f>
              <c:strCache>
                <c:ptCount val="7"/>
                <c:pt idx="0">
                  <c:v>INITIAL</c:v>
                </c:pt>
                <c:pt idx="1">
                  <c:v>R01</c:v>
                </c:pt>
                <c:pt idx="2">
                  <c:v>R02</c:v>
                </c:pt>
                <c:pt idx="3">
                  <c:v>R03</c:v>
                </c:pt>
                <c:pt idx="4">
                  <c:v>R04</c:v>
                </c:pt>
                <c:pt idx="5">
                  <c:v>R05</c:v>
                </c:pt>
                <c:pt idx="6">
                  <c:v>EXIT</c:v>
                </c:pt>
              </c:strCache>
            </c:strRef>
          </c:cat>
          <c:val>
            <c:numRef>
              <c:f>Health!$C$86:$C$92</c:f>
              <c:numCache>
                <c:formatCode>0.00</c:formatCode>
                <c:ptCount val="7"/>
                <c:pt idx="0">
                  <c:v>3.892156862745098</c:v>
                </c:pt>
                <c:pt idx="1">
                  <c:v>4.0879120879120876</c:v>
                </c:pt>
                <c:pt idx="2">
                  <c:v>4</c:v>
                </c:pt>
                <c:pt idx="3">
                  <c:v>3.9850746268656718</c:v>
                </c:pt>
                <c:pt idx="4">
                  <c:v>3.8714285714285714</c:v>
                </c:pt>
                <c:pt idx="5">
                  <c:v>3.7866666666666666</c:v>
                </c:pt>
                <c:pt idx="6">
                  <c:v>4.15625</c:v>
                </c:pt>
              </c:numCache>
            </c:numRef>
          </c:val>
          <c:smooth val="0"/>
          <c:extLst>
            <c:ext xmlns:c16="http://schemas.microsoft.com/office/drawing/2014/chart" uri="{C3380CC4-5D6E-409C-BE32-E72D297353CC}">
              <c16:uniqueId val="{00000001-40F7-41DA-8E4C-0D4F59CDC7C6}"/>
            </c:ext>
          </c:extLst>
        </c:ser>
        <c:ser>
          <c:idx val="2"/>
          <c:order val="2"/>
          <c:tx>
            <c:strRef>
              <c:f>Health!$D$85</c:f>
              <c:strCache>
                <c:ptCount val="1"/>
                <c:pt idx="0">
                  <c:v>How satisfied are you with where you currently live?</c:v>
                </c:pt>
              </c:strCache>
            </c:strRef>
          </c:tx>
          <c:spPr>
            <a:ln w="28575" cap="rnd">
              <a:solidFill>
                <a:schemeClr val="accent3"/>
              </a:solidFill>
              <a:prstDash val="solid"/>
              <a:round/>
            </a:ln>
            <a:effectLst/>
          </c:spPr>
          <c:marker>
            <c:symbol val="none"/>
          </c:marker>
          <c:cat>
            <c:strRef>
              <c:f>Health!$A$86:$A$92</c:f>
              <c:strCache>
                <c:ptCount val="7"/>
                <c:pt idx="0">
                  <c:v>INITIAL</c:v>
                </c:pt>
                <c:pt idx="1">
                  <c:v>R01</c:v>
                </c:pt>
                <c:pt idx="2">
                  <c:v>R02</c:v>
                </c:pt>
                <c:pt idx="3">
                  <c:v>R03</c:v>
                </c:pt>
                <c:pt idx="4">
                  <c:v>R04</c:v>
                </c:pt>
                <c:pt idx="5">
                  <c:v>R05</c:v>
                </c:pt>
                <c:pt idx="6">
                  <c:v>EXIT</c:v>
                </c:pt>
              </c:strCache>
            </c:strRef>
          </c:cat>
          <c:val>
            <c:numRef>
              <c:f>Health!$D$86:$D$92</c:f>
              <c:numCache>
                <c:formatCode>0.00</c:formatCode>
                <c:ptCount val="7"/>
                <c:pt idx="0">
                  <c:v>3.3235294117647061</c:v>
                </c:pt>
                <c:pt idx="1">
                  <c:v>3.8367346938775508</c:v>
                </c:pt>
                <c:pt idx="2">
                  <c:v>3.9017857142857144</c:v>
                </c:pt>
                <c:pt idx="3">
                  <c:v>3.716417910447761</c:v>
                </c:pt>
                <c:pt idx="4">
                  <c:v>3.7142857142857144</c:v>
                </c:pt>
                <c:pt idx="5">
                  <c:v>3.6</c:v>
                </c:pt>
                <c:pt idx="6">
                  <c:v>3.75</c:v>
                </c:pt>
              </c:numCache>
            </c:numRef>
          </c:val>
          <c:smooth val="0"/>
          <c:extLst>
            <c:ext xmlns:c16="http://schemas.microsoft.com/office/drawing/2014/chart" uri="{C3380CC4-5D6E-409C-BE32-E72D297353CC}">
              <c16:uniqueId val="{00000002-40F7-41DA-8E4C-0D4F59CDC7C6}"/>
            </c:ext>
          </c:extLst>
        </c:ser>
        <c:ser>
          <c:idx val="3"/>
          <c:order val="3"/>
          <c:tx>
            <c:strRef>
              <c:f>Health!$E$85</c:f>
              <c:strCache>
                <c:ptCount val="1"/>
                <c:pt idx="0">
                  <c:v>How often do you need to manage issues with your housing?</c:v>
                </c:pt>
              </c:strCache>
            </c:strRef>
          </c:tx>
          <c:spPr>
            <a:ln w="28575" cap="rnd">
              <a:solidFill>
                <a:schemeClr val="accent4"/>
              </a:solidFill>
              <a:prstDash val="solid"/>
              <a:round/>
            </a:ln>
            <a:effectLst/>
          </c:spPr>
          <c:marker>
            <c:symbol val="none"/>
          </c:marker>
          <c:cat>
            <c:strRef>
              <c:f>Health!$A$86:$A$92</c:f>
              <c:strCache>
                <c:ptCount val="7"/>
                <c:pt idx="0">
                  <c:v>INITIAL</c:v>
                </c:pt>
                <c:pt idx="1">
                  <c:v>R01</c:v>
                </c:pt>
                <c:pt idx="2">
                  <c:v>R02</c:v>
                </c:pt>
                <c:pt idx="3">
                  <c:v>R03</c:v>
                </c:pt>
                <c:pt idx="4">
                  <c:v>R04</c:v>
                </c:pt>
                <c:pt idx="5">
                  <c:v>R05</c:v>
                </c:pt>
                <c:pt idx="6">
                  <c:v>EXIT</c:v>
                </c:pt>
              </c:strCache>
            </c:strRef>
          </c:cat>
          <c:val>
            <c:numRef>
              <c:f>Health!$E$86:$E$92</c:f>
              <c:numCache>
                <c:formatCode>0.00</c:formatCode>
                <c:ptCount val="7"/>
                <c:pt idx="0">
                  <c:v>2.7674418604651163</c:v>
                </c:pt>
                <c:pt idx="1">
                  <c:v>2.8241758241758244</c:v>
                </c:pt>
                <c:pt idx="2">
                  <c:v>3.0392156862745097</c:v>
                </c:pt>
                <c:pt idx="3">
                  <c:v>3.2686567164179103</c:v>
                </c:pt>
                <c:pt idx="4">
                  <c:v>3.3857142857142857</c:v>
                </c:pt>
                <c:pt idx="5">
                  <c:v>3.4054054054054053</c:v>
                </c:pt>
                <c:pt idx="6">
                  <c:v>3.4631578947368422</c:v>
                </c:pt>
              </c:numCache>
            </c:numRef>
          </c:val>
          <c:smooth val="0"/>
          <c:extLst>
            <c:ext xmlns:c16="http://schemas.microsoft.com/office/drawing/2014/chart" uri="{C3380CC4-5D6E-409C-BE32-E72D297353CC}">
              <c16:uniqueId val="{00000003-40F7-41DA-8E4C-0D4F59CDC7C6}"/>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Average</a:t>
                </a:r>
                <a:r>
                  <a:rPr lang="en-AU" baseline="0"/>
                  <a:t> survey response score </a:t>
                </a:r>
                <a:br>
                  <a:rPr lang="en-AU" baseline="0"/>
                </a:br>
                <a:r>
                  <a:rPr lang="en-AU" baseline="0"/>
                  <a:t>(1=nagative 5=positive)</a:t>
                </a:r>
                <a:endParaRPr lang="en-AU"/>
              </a:p>
            </c:rich>
          </c:tx>
          <c:layout>
            <c:manualLayout>
              <c:xMode val="edge"/>
              <c:yMode val="edge"/>
              <c:x val="1.7073170731707318E-2"/>
              <c:y val="0.24013117269854029"/>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328314798439857E-2"/>
          <c:y val="5.7651991614255764E-2"/>
          <c:w val="0.71808076129521259"/>
          <c:h val="0.78796282540154183"/>
        </c:manualLayout>
      </c:layout>
      <c:lineChart>
        <c:grouping val="standard"/>
        <c:varyColors val="0"/>
        <c:ser>
          <c:idx val="0"/>
          <c:order val="0"/>
          <c:tx>
            <c:strRef>
              <c:f>Sheet1!$AY$14</c:f>
              <c:strCache>
                <c:ptCount val="1"/>
                <c:pt idx="0">
                  <c:v>Total</c:v>
                </c:pt>
              </c:strCache>
            </c:strRef>
          </c:tx>
          <c:spPr>
            <a:ln w="28575" cap="rnd">
              <a:solidFill>
                <a:schemeClr val="accent1"/>
              </a:solidFill>
              <a:round/>
            </a:ln>
            <a:effectLst/>
          </c:spPr>
          <c:marker>
            <c:symbol val="none"/>
          </c:marker>
          <c:cat>
            <c:strRef>
              <c:f>Sheet1!$AX$15:$AX$21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Sheet1!$AY$15:$AY$21</c:f>
              <c:numCache>
                <c:formatCode>0.00</c:formatCode>
                <c:ptCount val="7"/>
                <c:pt idx="0">
                  <c:v>1.4729890000000001</c:v>
                </c:pt>
                <c:pt idx="1">
                  <c:v>0.61826919999999996</c:v>
                </c:pt>
                <c:pt idx="2">
                  <c:v>0.57792840000000001</c:v>
                </c:pt>
                <c:pt idx="3">
                  <c:v>0.30769229999999997</c:v>
                </c:pt>
                <c:pt idx="4">
                  <c:v>0.13913909999999999</c:v>
                </c:pt>
                <c:pt idx="5">
                  <c:v>0.30011070000000001</c:v>
                </c:pt>
              </c:numCache>
            </c:numRef>
          </c:val>
          <c:smooth val="0"/>
          <c:extLst>
            <c:ext xmlns:c16="http://schemas.microsoft.com/office/drawing/2014/chart" uri="{C3380CC4-5D6E-409C-BE32-E72D297353CC}">
              <c16:uniqueId val="{00000000-EE9B-4C4B-9330-49E4301635E6}"/>
            </c:ext>
          </c:extLst>
        </c:ser>
        <c:ser>
          <c:idx val="1"/>
          <c:order val="1"/>
          <c:tx>
            <c:strRef>
              <c:f>Sheet1!$AZ$14</c:f>
              <c:strCache>
                <c:ptCount val="1"/>
                <c:pt idx="0">
                  <c:v>Cohot 1</c:v>
                </c:pt>
              </c:strCache>
            </c:strRef>
          </c:tx>
          <c:spPr>
            <a:ln w="28575" cap="rnd">
              <a:solidFill>
                <a:schemeClr val="accent2"/>
              </a:solidFill>
              <a:prstDash val="dash"/>
              <a:round/>
            </a:ln>
            <a:effectLst/>
          </c:spPr>
          <c:marker>
            <c:symbol val="none"/>
          </c:marker>
          <c:cat>
            <c:strRef>
              <c:f>Sheet1!$AX$15:$AX$21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Sheet1!$AZ$15:$AZ$21</c:f>
              <c:numCache>
                <c:formatCode>0.00</c:formatCode>
                <c:ptCount val="7"/>
                <c:pt idx="0">
                  <c:v>0.84644810000000004</c:v>
                </c:pt>
                <c:pt idx="1">
                  <c:v>0.74033150000000003</c:v>
                </c:pt>
                <c:pt idx="2">
                  <c:v>0.38333329999999999</c:v>
                </c:pt>
                <c:pt idx="3">
                  <c:v>0.30362119999999998</c:v>
                </c:pt>
                <c:pt idx="4">
                  <c:v>0</c:v>
                </c:pt>
                <c:pt idx="5">
                  <c:v>0.70553940000000004</c:v>
                </c:pt>
                <c:pt idx="6">
                  <c:v>0.68699189999999999</c:v>
                </c:pt>
              </c:numCache>
            </c:numRef>
          </c:val>
          <c:smooth val="0"/>
          <c:extLst>
            <c:ext xmlns:c16="http://schemas.microsoft.com/office/drawing/2014/chart" uri="{C3380CC4-5D6E-409C-BE32-E72D297353CC}">
              <c16:uniqueId val="{00000001-EE9B-4C4B-9330-49E4301635E6}"/>
            </c:ext>
          </c:extLst>
        </c:ser>
        <c:ser>
          <c:idx val="2"/>
          <c:order val="2"/>
          <c:tx>
            <c:strRef>
              <c:f>Sheet1!$BA$14</c:f>
              <c:strCache>
                <c:ptCount val="1"/>
                <c:pt idx="0">
                  <c:v>Cohort 2</c:v>
                </c:pt>
              </c:strCache>
            </c:strRef>
          </c:tx>
          <c:spPr>
            <a:ln w="28575" cap="rnd">
              <a:solidFill>
                <a:schemeClr val="accent3"/>
              </a:solidFill>
              <a:prstDash val="dash"/>
              <a:round/>
            </a:ln>
            <a:effectLst/>
          </c:spPr>
          <c:marker>
            <c:symbol val="none"/>
          </c:marker>
          <c:cat>
            <c:strRef>
              <c:f>Sheet1!$AX$15:$AX$21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Sheet1!$BA$15:$BA$21</c:f>
              <c:numCache>
                <c:formatCode>0.00</c:formatCode>
                <c:ptCount val="7"/>
                <c:pt idx="0">
                  <c:v>2.1327780000000001</c:v>
                </c:pt>
                <c:pt idx="1">
                  <c:v>0.53055560000000002</c:v>
                </c:pt>
                <c:pt idx="2">
                  <c:v>0.19436619999999999</c:v>
                </c:pt>
                <c:pt idx="3">
                  <c:v>0.13841809999999999</c:v>
                </c:pt>
                <c:pt idx="4">
                  <c:v>0.28366760000000002</c:v>
                </c:pt>
                <c:pt idx="5">
                  <c:v>0.84548100000000004</c:v>
                </c:pt>
                <c:pt idx="6">
                  <c:v>0.33200000000000002</c:v>
                </c:pt>
              </c:numCache>
            </c:numRef>
          </c:val>
          <c:smooth val="0"/>
          <c:extLst>
            <c:ext xmlns:c16="http://schemas.microsoft.com/office/drawing/2014/chart" uri="{C3380CC4-5D6E-409C-BE32-E72D297353CC}">
              <c16:uniqueId val="{00000002-EE9B-4C4B-9330-49E4301635E6}"/>
            </c:ext>
          </c:extLst>
        </c:ser>
        <c:ser>
          <c:idx val="3"/>
          <c:order val="3"/>
          <c:tx>
            <c:strRef>
              <c:f>Sheet1!$BB$14</c:f>
              <c:strCache>
                <c:ptCount val="1"/>
                <c:pt idx="0">
                  <c:v>Cohort 3</c:v>
                </c:pt>
              </c:strCache>
            </c:strRef>
          </c:tx>
          <c:spPr>
            <a:ln w="28575" cap="rnd">
              <a:solidFill>
                <a:schemeClr val="accent4"/>
              </a:solidFill>
              <a:prstDash val="dash"/>
              <a:round/>
            </a:ln>
            <a:effectLst/>
          </c:spPr>
          <c:marker>
            <c:symbol val="none"/>
          </c:marker>
          <c:cat>
            <c:strRef>
              <c:f>Sheet1!$AX$15:$AX$21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Sheet1!$BB$15:$BB$21</c:f>
              <c:numCache>
                <c:formatCode>0.00</c:formatCode>
                <c:ptCount val="7"/>
                <c:pt idx="0">
                  <c:v>1.4471700000000001</c:v>
                </c:pt>
                <c:pt idx="1">
                  <c:v>0.57861640000000003</c:v>
                </c:pt>
                <c:pt idx="2">
                  <c:v>1.226415</c:v>
                </c:pt>
                <c:pt idx="3">
                  <c:v>0.50318470000000004</c:v>
                </c:pt>
                <c:pt idx="4">
                  <c:v>0.13245029999999999</c:v>
                </c:pt>
                <c:pt idx="5">
                  <c:v>0</c:v>
                </c:pt>
              </c:numCache>
            </c:numRef>
          </c:val>
          <c:smooth val="0"/>
          <c:extLst>
            <c:ext xmlns:c16="http://schemas.microsoft.com/office/drawing/2014/chart" uri="{C3380CC4-5D6E-409C-BE32-E72D297353CC}">
              <c16:uniqueId val="{00000003-EE9B-4C4B-9330-49E4301635E6}"/>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3.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a:t>Average days per month per client</a:t>
                </a:r>
              </a:p>
            </c:rich>
          </c:tx>
          <c:layout>
            <c:manualLayout>
              <c:xMode val="edge"/>
              <c:yMode val="edge"/>
              <c:x val="3.9611804317686667E-3"/>
              <c:y val="0.1165440994404001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'OF PIVOTS'!$K$79</c:f>
              <c:strCache>
                <c:ptCount val="1"/>
                <c:pt idx="0">
                  <c:v>How often do physical, mental and/or AOD related health issues get in the way of what you want to do?</c:v>
                </c:pt>
              </c:strCache>
            </c:strRef>
          </c:tx>
          <c:spPr>
            <a:ln w="28575" cap="rnd">
              <a:solidFill>
                <a:schemeClr val="accent1"/>
              </a:solidFill>
              <a:round/>
            </a:ln>
            <a:effectLst/>
          </c:spPr>
          <c:marker>
            <c:symbol val="none"/>
          </c:marker>
          <c:cat>
            <c:strRef>
              <c:f>'OF PIVOTS'!$J$80:$J$86</c:f>
              <c:strCache>
                <c:ptCount val="7"/>
                <c:pt idx="0">
                  <c:v>INITIAL</c:v>
                </c:pt>
                <c:pt idx="1">
                  <c:v>R01</c:v>
                </c:pt>
                <c:pt idx="2">
                  <c:v>R02</c:v>
                </c:pt>
                <c:pt idx="3">
                  <c:v>R03</c:v>
                </c:pt>
                <c:pt idx="4">
                  <c:v>R04</c:v>
                </c:pt>
                <c:pt idx="5">
                  <c:v>R05</c:v>
                </c:pt>
                <c:pt idx="6">
                  <c:v>EXIT</c:v>
                </c:pt>
              </c:strCache>
            </c:strRef>
          </c:cat>
          <c:val>
            <c:numRef>
              <c:f>'OF PIVOTS'!$K$80:$K$86</c:f>
              <c:numCache>
                <c:formatCode>0.00</c:formatCode>
                <c:ptCount val="7"/>
                <c:pt idx="0">
                  <c:v>3.2807017543859649</c:v>
                </c:pt>
                <c:pt idx="1">
                  <c:v>3.2692307692307692</c:v>
                </c:pt>
                <c:pt idx="2">
                  <c:v>3.348993288590604</c:v>
                </c:pt>
                <c:pt idx="3">
                  <c:v>3.27</c:v>
                </c:pt>
                <c:pt idx="4">
                  <c:v>3.3952380952380952</c:v>
                </c:pt>
                <c:pt idx="5">
                  <c:v>3.48</c:v>
                </c:pt>
                <c:pt idx="6">
                  <c:v>3.4479166666666665</c:v>
                </c:pt>
              </c:numCache>
            </c:numRef>
          </c:val>
          <c:smooth val="0"/>
          <c:extLst>
            <c:ext xmlns:c16="http://schemas.microsoft.com/office/drawing/2014/chart" uri="{C3380CC4-5D6E-409C-BE32-E72D297353CC}">
              <c16:uniqueId val="{00000000-DAB2-4AEB-ABB3-45680A2E51C4}"/>
            </c:ext>
          </c:extLst>
        </c:ser>
        <c:ser>
          <c:idx val="1"/>
          <c:order val="1"/>
          <c:tx>
            <c:strRef>
              <c:f>'OF PIVOTS'!$L$79</c:f>
              <c:strCache>
                <c:ptCount val="1"/>
                <c:pt idx="0">
                  <c:v>Are you accessing treatment when you need it?</c:v>
                </c:pt>
              </c:strCache>
            </c:strRef>
          </c:tx>
          <c:spPr>
            <a:ln w="28575" cap="rnd">
              <a:solidFill>
                <a:schemeClr val="accent2"/>
              </a:solidFill>
              <a:round/>
            </a:ln>
            <a:effectLst/>
          </c:spPr>
          <c:marker>
            <c:symbol val="none"/>
          </c:marker>
          <c:cat>
            <c:strRef>
              <c:f>'OF PIVOTS'!$J$80:$J$86</c:f>
              <c:strCache>
                <c:ptCount val="7"/>
                <c:pt idx="0">
                  <c:v>INITIAL</c:v>
                </c:pt>
                <c:pt idx="1">
                  <c:v>R01</c:v>
                </c:pt>
                <c:pt idx="2">
                  <c:v>R02</c:v>
                </c:pt>
                <c:pt idx="3">
                  <c:v>R03</c:v>
                </c:pt>
                <c:pt idx="4">
                  <c:v>R04</c:v>
                </c:pt>
                <c:pt idx="5">
                  <c:v>R05</c:v>
                </c:pt>
                <c:pt idx="6">
                  <c:v>EXIT</c:v>
                </c:pt>
              </c:strCache>
            </c:strRef>
          </c:cat>
          <c:val>
            <c:numRef>
              <c:f>'OF PIVOTS'!$L$80:$L$86</c:f>
              <c:numCache>
                <c:formatCode>0.00</c:formatCode>
                <c:ptCount val="7"/>
                <c:pt idx="0">
                  <c:v>3.3367088607594937</c:v>
                </c:pt>
                <c:pt idx="1">
                  <c:v>3.5362318840579712</c:v>
                </c:pt>
                <c:pt idx="2">
                  <c:v>3.6370192307692308</c:v>
                </c:pt>
                <c:pt idx="3">
                  <c:v>3.8052434456928839</c:v>
                </c:pt>
                <c:pt idx="4">
                  <c:v>3.8142857142857145</c:v>
                </c:pt>
                <c:pt idx="5">
                  <c:v>3.8666666666666667</c:v>
                </c:pt>
                <c:pt idx="6">
                  <c:v>3.90625</c:v>
                </c:pt>
              </c:numCache>
            </c:numRef>
          </c:val>
          <c:smooth val="0"/>
          <c:extLst>
            <c:ext xmlns:c16="http://schemas.microsoft.com/office/drawing/2014/chart" uri="{C3380CC4-5D6E-409C-BE32-E72D297353CC}">
              <c16:uniqueId val="{00000001-DAB2-4AEB-ABB3-45680A2E51C4}"/>
            </c:ext>
          </c:extLst>
        </c:ser>
        <c:ser>
          <c:idx val="2"/>
          <c:order val="2"/>
          <c:tx>
            <c:strRef>
              <c:f>'OF PIVOTS'!$M$79</c:f>
              <c:strCache>
                <c:ptCount val="1"/>
                <c:pt idx="0">
                  <c:v>How satisfied are you with the treatment you are receiving?</c:v>
                </c:pt>
              </c:strCache>
            </c:strRef>
          </c:tx>
          <c:spPr>
            <a:ln w="28575" cap="rnd">
              <a:solidFill>
                <a:schemeClr val="accent3"/>
              </a:solidFill>
              <a:round/>
            </a:ln>
            <a:effectLst/>
          </c:spPr>
          <c:marker>
            <c:symbol val="none"/>
          </c:marker>
          <c:cat>
            <c:strRef>
              <c:f>'OF PIVOTS'!$J$80:$J$86</c:f>
              <c:strCache>
                <c:ptCount val="7"/>
                <c:pt idx="0">
                  <c:v>INITIAL</c:v>
                </c:pt>
                <c:pt idx="1">
                  <c:v>R01</c:v>
                </c:pt>
                <c:pt idx="2">
                  <c:v>R02</c:v>
                </c:pt>
                <c:pt idx="3">
                  <c:v>R03</c:v>
                </c:pt>
                <c:pt idx="4">
                  <c:v>R04</c:v>
                </c:pt>
                <c:pt idx="5">
                  <c:v>R05</c:v>
                </c:pt>
                <c:pt idx="6">
                  <c:v>EXIT</c:v>
                </c:pt>
              </c:strCache>
            </c:strRef>
          </c:cat>
          <c:val>
            <c:numRef>
              <c:f>'OF PIVOTS'!$M$80:$M$86</c:f>
              <c:numCache>
                <c:formatCode>0.00</c:formatCode>
                <c:ptCount val="7"/>
                <c:pt idx="0">
                  <c:v>3.9147286821705425</c:v>
                </c:pt>
                <c:pt idx="1">
                  <c:v>4.0083333333333337</c:v>
                </c:pt>
                <c:pt idx="2">
                  <c:v>3.9494949494949494</c:v>
                </c:pt>
                <c:pt idx="3">
                  <c:v>3.9751243781094527</c:v>
                </c:pt>
                <c:pt idx="4">
                  <c:v>4.019047619047619</c:v>
                </c:pt>
                <c:pt idx="5">
                  <c:v>4.1288888888888886</c:v>
                </c:pt>
                <c:pt idx="6">
                  <c:v>4.0868055555555554</c:v>
                </c:pt>
              </c:numCache>
            </c:numRef>
          </c:val>
          <c:smooth val="0"/>
          <c:extLst>
            <c:ext xmlns:c16="http://schemas.microsoft.com/office/drawing/2014/chart" uri="{C3380CC4-5D6E-409C-BE32-E72D297353CC}">
              <c16:uniqueId val="{00000002-DAB2-4AEB-ABB3-45680A2E51C4}"/>
            </c:ext>
          </c:extLst>
        </c:ser>
        <c:dLbls>
          <c:showLegendKey val="0"/>
          <c:showVal val="0"/>
          <c:showCatName val="0"/>
          <c:showSerName val="0"/>
          <c:showPercent val="0"/>
          <c:showBubbleSize val="0"/>
        </c:dLbls>
        <c:smooth val="0"/>
        <c:axId val="174116063"/>
        <c:axId val="174105247"/>
      </c:lineChart>
      <c:catAx>
        <c:axId val="174116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4105247"/>
        <c:crosses val="autoZero"/>
        <c:auto val="1"/>
        <c:lblAlgn val="ctr"/>
        <c:lblOffset val="100"/>
        <c:noMultiLvlLbl val="0"/>
      </c:catAx>
      <c:valAx>
        <c:axId val="174105247"/>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700" b="0" i="0" u="none" strike="noStrike" baseline="0">
                    <a:effectLst/>
                  </a:rPr>
                  <a:t>Average client response score</a:t>
                </a:r>
                <a:br>
                  <a:rPr lang="en-AU" sz="700" b="0" i="0" u="none" strike="noStrike" baseline="0">
                    <a:effectLst/>
                  </a:rPr>
                </a:br>
                <a:r>
                  <a:rPr lang="en-AU" sz="700" b="0" i="0" u="none" strike="noStrike" baseline="0">
                    <a:effectLst/>
                  </a:rPr>
                  <a:t>(1=negative 5=positive)</a:t>
                </a:r>
                <a:endParaRPr lang="en-AU" sz="700"/>
              </a:p>
            </c:rich>
          </c:tx>
          <c:layout>
            <c:manualLayout>
              <c:xMode val="edge"/>
              <c:yMode val="edge"/>
              <c:x val="8.4362204724409452E-3"/>
              <c:y val="0.208399353926913"/>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4116063"/>
        <c:crosses val="autoZero"/>
        <c:crossBetween val="between"/>
      </c:valAx>
      <c:spPr>
        <a:noFill/>
        <a:ln>
          <a:noFill/>
        </a:ln>
        <a:effectLst/>
      </c:spPr>
    </c:plotArea>
    <c:legend>
      <c:legendPos val="r"/>
      <c:layout>
        <c:manualLayout>
          <c:xMode val="edge"/>
          <c:yMode val="edge"/>
          <c:x val="0.63870341125799546"/>
          <c:y val="7.1639705365264941E-2"/>
          <c:w val="0.34154119585940951"/>
          <c:h val="0.8168219597550305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'OF PIVOTS'!$K$187</c:f>
              <c:strCache>
                <c:ptCount val="1"/>
                <c:pt idx="0">
                  <c:v>Are you accessing treatment for your alcohol and/or drug use when you need it?</c:v>
                </c:pt>
              </c:strCache>
            </c:strRef>
          </c:tx>
          <c:spPr>
            <a:ln w="28575" cap="rnd">
              <a:solidFill>
                <a:schemeClr val="accent1"/>
              </a:solidFill>
              <a:round/>
            </a:ln>
            <a:effectLst/>
          </c:spPr>
          <c:marker>
            <c:symbol val="none"/>
          </c:marker>
          <c:cat>
            <c:strRef>
              <c:f>'OF PIVOTS'!$J$188:$J$194</c:f>
              <c:strCache>
                <c:ptCount val="7"/>
                <c:pt idx="0">
                  <c:v>INITIAL</c:v>
                </c:pt>
                <c:pt idx="1">
                  <c:v>R01</c:v>
                </c:pt>
                <c:pt idx="2">
                  <c:v>R02</c:v>
                </c:pt>
                <c:pt idx="3">
                  <c:v>R03</c:v>
                </c:pt>
                <c:pt idx="4">
                  <c:v>R04</c:v>
                </c:pt>
                <c:pt idx="5">
                  <c:v>R05</c:v>
                </c:pt>
                <c:pt idx="6">
                  <c:v>EXIT</c:v>
                </c:pt>
              </c:strCache>
            </c:strRef>
          </c:cat>
          <c:val>
            <c:numRef>
              <c:f>'OF PIVOTS'!$K$188:$K$194</c:f>
              <c:numCache>
                <c:formatCode>0.00</c:formatCode>
                <c:ptCount val="7"/>
                <c:pt idx="0">
                  <c:v>3.4141414141414139</c:v>
                </c:pt>
                <c:pt idx="1">
                  <c:v>3.6219512195121952</c:v>
                </c:pt>
                <c:pt idx="2">
                  <c:v>3.5757575757575757</c:v>
                </c:pt>
                <c:pt idx="3">
                  <c:v>3.9242424242424243</c:v>
                </c:pt>
                <c:pt idx="4">
                  <c:v>3.842857142857143</c:v>
                </c:pt>
                <c:pt idx="5">
                  <c:v>4.04</c:v>
                </c:pt>
                <c:pt idx="6">
                  <c:v>4.104166666666667</c:v>
                </c:pt>
              </c:numCache>
            </c:numRef>
          </c:val>
          <c:smooth val="0"/>
          <c:extLst>
            <c:ext xmlns:c16="http://schemas.microsoft.com/office/drawing/2014/chart" uri="{C3380CC4-5D6E-409C-BE32-E72D297353CC}">
              <c16:uniqueId val="{00000000-1353-45AD-A472-AF8CE8AFB5FB}"/>
            </c:ext>
          </c:extLst>
        </c:ser>
        <c:ser>
          <c:idx val="1"/>
          <c:order val="1"/>
          <c:tx>
            <c:strRef>
              <c:f>'OF PIVOTS'!$L$187</c:f>
              <c:strCache>
                <c:ptCount val="1"/>
                <c:pt idx="0">
                  <c:v>Are you accessing treatment for your mental health when you need it?</c:v>
                </c:pt>
              </c:strCache>
            </c:strRef>
          </c:tx>
          <c:spPr>
            <a:ln w="28575" cap="rnd">
              <a:solidFill>
                <a:schemeClr val="accent2"/>
              </a:solidFill>
              <a:round/>
            </a:ln>
            <a:effectLst/>
          </c:spPr>
          <c:marker>
            <c:symbol val="none"/>
          </c:marker>
          <c:cat>
            <c:strRef>
              <c:f>'OF PIVOTS'!$J$188:$J$194</c:f>
              <c:strCache>
                <c:ptCount val="7"/>
                <c:pt idx="0">
                  <c:v>INITIAL</c:v>
                </c:pt>
                <c:pt idx="1">
                  <c:v>R01</c:v>
                </c:pt>
                <c:pt idx="2">
                  <c:v>R02</c:v>
                </c:pt>
                <c:pt idx="3">
                  <c:v>R03</c:v>
                </c:pt>
                <c:pt idx="4">
                  <c:v>R04</c:v>
                </c:pt>
                <c:pt idx="5">
                  <c:v>R05</c:v>
                </c:pt>
                <c:pt idx="6">
                  <c:v>EXIT</c:v>
                </c:pt>
              </c:strCache>
            </c:strRef>
          </c:cat>
          <c:val>
            <c:numRef>
              <c:f>'OF PIVOTS'!$L$188:$L$194</c:f>
              <c:numCache>
                <c:formatCode>0.00</c:formatCode>
                <c:ptCount val="7"/>
                <c:pt idx="0">
                  <c:v>3.1485148514851486</c:v>
                </c:pt>
                <c:pt idx="1">
                  <c:v>3.3483146067415732</c:v>
                </c:pt>
                <c:pt idx="2">
                  <c:v>3.5196078431372548</c:v>
                </c:pt>
                <c:pt idx="3">
                  <c:v>3.7014925373134329</c:v>
                </c:pt>
                <c:pt idx="4">
                  <c:v>3.7142857142857144</c:v>
                </c:pt>
                <c:pt idx="5">
                  <c:v>3.84</c:v>
                </c:pt>
                <c:pt idx="6">
                  <c:v>3.8229166666666665</c:v>
                </c:pt>
              </c:numCache>
            </c:numRef>
          </c:val>
          <c:smooth val="0"/>
          <c:extLst>
            <c:ext xmlns:c16="http://schemas.microsoft.com/office/drawing/2014/chart" uri="{C3380CC4-5D6E-409C-BE32-E72D297353CC}">
              <c16:uniqueId val="{00000001-1353-45AD-A472-AF8CE8AFB5FB}"/>
            </c:ext>
          </c:extLst>
        </c:ser>
        <c:ser>
          <c:idx val="2"/>
          <c:order val="2"/>
          <c:tx>
            <c:strRef>
              <c:f>'OF PIVOTS'!$M$187</c:f>
              <c:strCache>
                <c:ptCount val="1"/>
                <c:pt idx="0">
                  <c:v>Are you accessing treatment for your physical health when you need it?</c:v>
                </c:pt>
              </c:strCache>
            </c:strRef>
          </c:tx>
          <c:spPr>
            <a:ln w="28575" cap="rnd">
              <a:solidFill>
                <a:schemeClr val="accent3"/>
              </a:solidFill>
              <a:round/>
            </a:ln>
            <a:effectLst/>
          </c:spPr>
          <c:marker>
            <c:symbol val="none"/>
          </c:marker>
          <c:cat>
            <c:strRef>
              <c:f>'OF PIVOTS'!$J$188:$J$194</c:f>
              <c:strCache>
                <c:ptCount val="7"/>
                <c:pt idx="0">
                  <c:v>INITIAL</c:v>
                </c:pt>
                <c:pt idx="1">
                  <c:v>R01</c:v>
                </c:pt>
                <c:pt idx="2">
                  <c:v>R02</c:v>
                </c:pt>
                <c:pt idx="3">
                  <c:v>R03</c:v>
                </c:pt>
                <c:pt idx="4">
                  <c:v>R04</c:v>
                </c:pt>
                <c:pt idx="5">
                  <c:v>R05</c:v>
                </c:pt>
                <c:pt idx="6">
                  <c:v>EXIT</c:v>
                </c:pt>
              </c:strCache>
            </c:strRef>
          </c:cat>
          <c:val>
            <c:numRef>
              <c:f>'OF PIVOTS'!$M$188:$M$194</c:f>
              <c:numCache>
                <c:formatCode>0.00</c:formatCode>
                <c:ptCount val="7"/>
                <c:pt idx="0">
                  <c:v>3.4842105263157896</c:v>
                </c:pt>
                <c:pt idx="1">
                  <c:v>3.6190476190476191</c:v>
                </c:pt>
                <c:pt idx="2">
                  <c:v>3.7706422018348622</c:v>
                </c:pt>
                <c:pt idx="3">
                  <c:v>3.8059701492537314</c:v>
                </c:pt>
                <c:pt idx="4">
                  <c:v>3.9285714285714284</c:v>
                </c:pt>
                <c:pt idx="5">
                  <c:v>3.9466666666666668</c:v>
                </c:pt>
                <c:pt idx="6">
                  <c:v>3.875</c:v>
                </c:pt>
              </c:numCache>
            </c:numRef>
          </c:val>
          <c:smooth val="0"/>
          <c:extLst>
            <c:ext xmlns:c16="http://schemas.microsoft.com/office/drawing/2014/chart" uri="{C3380CC4-5D6E-409C-BE32-E72D297353CC}">
              <c16:uniqueId val="{00000002-1353-45AD-A472-AF8CE8AFB5FB}"/>
            </c:ext>
          </c:extLst>
        </c:ser>
        <c:ser>
          <c:idx val="3"/>
          <c:order val="3"/>
          <c:tx>
            <c:strRef>
              <c:f>'OF PIVOTS'!$N$187</c:f>
              <c:strCache>
                <c:ptCount val="1"/>
                <c:pt idx="0">
                  <c:v>How often do you access a GP when you need to?</c:v>
                </c:pt>
              </c:strCache>
            </c:strRef>
          </c:tx>
          <c:spPr>
            <a:ln w="28575" cap="rnd">
              <a:solidFill>
                <a:schemeClr val="accent4"/>
              </a:solidFill>
              <a:round/>
            </a:ln>
            <a:effectLst/>
          </c:spPr>
          <c:marker>
            <c:symbol val="none"/>
          </c:marker>
          <c:cat>
            <c:strRef>
              <c:f>'OF PIVOTS'!$J$188:$J$194</c:f>
              <c:strCache>
                <c:ptCount val="7"/>
                <c:pt idx="0">
                  <c:v>INITIAL</c:v>
                </c:pt>
                <c:pt idx="1">
                  <c:v>R01</c:v>
                </c:pt>
                <c:pt idx="2">
                  <c:v>R02</c:v>
                </c:pt>
                <c:pt idx="3">
                  <c:v>R03</c:v>
                </c:pt>
                <c:pt idx="4">
                  <c:v>R04</c:v>
                </c:pt>
                <c:pt idx="5">
                  <c:v>R05</c:v>
                </c:pt>
                <c:pt idx="6">
                  <c:v>EXIT</c:v>
                </c:pt>
              </c:strCache>
            </c:strRef>
          </c:cat>
          <c:val>
            <c:numRef>
              <c:f>'OF PIVOTS'!$N$188:$N$194</c:f>
              <c:numCache>
                <c:formatCode>0.00</c:formatCode>
                <c:ptCount val="7"/>
                <c:pt idx="0">
                  <c:v>3.31</c:v>
                </c:pt>
                <c:pt idx="1">
                  <c:v>3.5666666666666669</c:v>
                </c:pt>
                <c:pt idx="2">
                  <c:v>3.6698113207547172</c:v>
                </c:pt>
                <c:pt idx="3">
                  <c:v>3.7910447761194028</c:v>
                </c:pt>
                <c:pt idx="4">
                  <c:v>3.7714285714285714</c:v>
                </c:pt>
                <c:pt idx="5">
                  <c:v>3.64</c:v>
                </c:pt>
                <c:pt idx="6">
                  <c:v>3.8229166666666665</c:v>
                </c:pt>
              </c:numCache>
            </c:numRef>
          </c:val>
          <c:smooth val="0"/>
          <c:extLst>
            <c:ext xmlns:c16="http://schemas.microsoft.com/office/drawing/2014/chart" uri="{C3380CC4-5D6E-409C-BE32-E72D297353CC}">
              <c16:uniqueId val="{00000003-1353-45AD-A472-AF8CE8AFB5FB}"/>
            </c:ext>
          </c:extLst>
        </c:ser>
        <c:dLbls>
          <c:showLegendKey val="0"/>
          <c:showVal val="0"/>
          <c:showCatName val="0"/>
          <c:showSerName val="0"/>
          <c:showPercent val="0"/>
          <c:showBubbleSize val="0"/>
        </c:dLbls>
        <c:smooth val="0"/>
        <c:axId val="1677421728"/>
        <c:axId val="1677431296"/>
      </c:lineChart>
      <c:catAx>
        <c:axId val="167742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677431296"/>
        <c:crosses val="autoZero"/>
        <c:auto val="1"/>
        <c:lblAlgn val="ctr"/>
        <c:lblOffset val="100"/>
        <c:noMultiLvlLbl val="0"/>
      </c:catAx>
      <c:valAx>
        <c:axId val="1677431296"/>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r>
                  <a:rPr lang="en-AU" sz="800"/>
                  <a:t>Average client response scores</a:t>
                </a:r>
                <a:br>
                  <a:rPr lang="en-AU" sz="800"/>
                </a:br>
                <a:r>
                  <a:rPr lang="en-AU" sz="800"/>
                  <a:t>1=negative 5=positive</a:t>
                </a:r>
              </a:p>
            </c:rich>
          </c:tx>
          <c:layout>
            <c:manualLayout>
              <c:xMode val="edge"/>
              <c:yMode val="edge"/>
              <c:x val="2.6041666666666665E-3"/>
              <c:y val="0.1985681667840300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6774217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chemeClr val="tx1"/>
          </a:solidFill>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873575585660495E-2"/>
          <c:y val="4.9228015215931974E-2"/>
          <c:w val="0.75477285787646109"/>
          <c:h val="0.81894520960668682"/>
        </c:manualLayout>
      </c:layout>
      <c:lineChart>
        <c:grouping val="standard"/>
        <c:varyColors val="0"/>
        <c:ser>
          <c:idx val="0"/>
          <c:order val="0"/>
          <c:tx>
            <c:strRef>
              <c:f>Sheet1!$C$14</c:f>
              <c:strCache>
                <c:ptCount val="1"/>
                <c:pt idx="0">
                  <c:v>Total </c:v>
                </c:pt>
              </c:strCache>
            </c:strRef>
          </c:tx>
          <c:spPr>
            <a:ln w="28575" cap="rnd">
              <a:solidFill>
                <a:schemeClr val="accent1"/>
              </a:solidFill>
              <a:round/>
            </a:ln>
            <a:effectLst/>
          </c:spPr>
          <c:marker>
            <c:symbol val="none"/>
          </c:marker>
          <c:cat>
            <c:strRef>
              <c:f>Sheet1!$B$15:$B$21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Sheet1!$C$15:$C$21</c:f>
              <c:numCache>
                <c:formatCode>0.000</c:formatCode>
                <c:ptCount val="7"/>
                <c:pt idx="0">
                  <c:v>0.29827589999999998</c:v>
                </c:pt>
                <c:pt idx="1">
                  <c:v>0.2817308</c:v>
                </c:pt>
                <c:pt idx="2">
                  <c:v>0.26524690000000001</c:v>
                </c:pt>
                <c:pt idx="3">
                  <c:v>0.26095420000000003</c:v>
                </c:pt>
                <c:pt idx="4">
                  <c:v>0.1581582</c:v>
                </c:pt>
                <c:pt idx="5">
                  <c:v>0.13732</c:v>
                </c:pt>
              </c:numCache>
            </c:numRef>
          </c:val>
          <c:smooth val="0"/>
          <c:extLst>
            <c:ext xmlns:c16="http://schemas.microsoft.com/office/drawing/2014/chart" uri="{C3380CC4-5D6E-409C-BE32-E72D297353CC}">
              <c16:uniqueId val="{00000000-99E6-4135-9251-8F2AEB81B826}"/>
            </c:ext>
          </c:extLst>
        </c:ser>
        <c:ser>
          <c:idx val="1"/>
          <c:order val="1"/>
          <c:tx>
            <c:strRef>
              <c:f>Sheet1!$D$14</c:f>
              <c:strCache>
                <c:ptCount val="1"/>
                <c:pt idx="0">
                  <c:v>Cohot 1</c:v>
                </c:pt>
              </c:strCache>
            </c:strRef>
          </c:tx>
          <c:spPr>
            <a:ln w="28575" cap="rnd">
              <a:solidFill>
                <a:schemeClr val="accent2"/>
              </a:solidFill>
              <a:prstDash val="dash"/>
              <a:round/>
            </a:ln>
            <a:effectLst/>
          </c:spPr>
          <c:marker>
            <c:symbol val="none"/>
          </c:marker>
          <c:cat>
            <c:strRef>
              <c:f>Sheet1!$B$15:$B$21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Sheet1!$D$15:$D$21</c:f>
              <c:numCache>
                <c:formatCode>0.000</c:formatCode>
                <c:ptCount val="7"/>
                <c:pt idx="0">
                  <c:v>0.30273220000000001</c:v>
                </c:pt>
                <c:pt idx="1">
                  <c:v>0.2348066</c:v>
                </c:pt>
                <c:pt idx="2">
                  <c:v>0.2305556</c:v>
                </c:pt>
                <c:pt idx="3">
                  <c:v>0.17827299999999999</c:v>
                </c:pt>
                <c:pt idx="4">
                  <c:v>0.15229889999999999</c:v>
                </c:pt>
                <c:pt idx="5">
                  <c:v>0.18367349999999999</c:v>
                </c:pt>
                <c:pt idx="6">
                  <c:v>0.1341463</c:v>
                </c:pt>
              </c:numCache>
            </c:numRef>
          </c:val>
          <c:smooth val="0"/>
          <c:extLst>
            <c:ext xmlns:c16="http://schemas.microsoft.com/office/drawing/2014/chart" uri="{C3380CC4-5D6E-409C-BE32-E72D297353CC}">
              <c16:uniqueId val="{00000001-99E6-4135-9251-8F2AEB81B826}"/>
            </c:ext>
          </c:extLst>
        </c:ser>
        <c:ser>
          <c:idx val="2"/>
          <c:order val="2"/>
          <c:tx>
            <c:strRef>
              <c:f>Sheet1!$E$14</c:f>
              <c:strCache>
                <c:ptCount val="1"/>
                <c:pt idx="0">
                  <c:v>Cohort 2</c:v>
                </c:pt>
              </c:strCache>
            </c:strRef>
          </c:tx>
          <c:spPr>
            <a:ln w="28575" cap="rnd">
              <a:solidFill>
                <a:schemeClr val="accent3"/>
              </a:solidFill>
              <a:prstDash val="dash"/>
              <a:round/>
            </a:ln>
            <a:effectLst/>
          </c:spPr>
          <c:marker>
            <c:symbol val="none"/>
          </c:marker>
          <c:cat>
            <c:strRef>
              <c:f>Sheet1!$B$15:$B$21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Sheet1!$E$15:$E$21</c:f>
              <c:numCache>
                <c:formatCode>0.000</c:formatCode>
                <c:ptCount val="7"/>
                <c:pt idx="0">
                  <c:v>0.34666669999999999</c:v>
                </c:pt>
                <c:pt idx="1">
                  <c:v>0.3333333</c:v>
                </c:pt>
                <c:pt idx="2">
                  <c:v>0.27323940000000002</c:v>
                </c:pt>
                <c:pt idx="3">
                  <c:v>0.3418079</c:v>
                </c:pt>
                <c:pt idx="4">
                  <c:v>0.1948424</c:v>
                </c:pt>
                <c:pt idx="5">
                  <c:v>0.1632653</c:v>
                </c:pt>
                <c:pt idx="6">
                  <c:v>8.7999999999999995E-2</c:v>
                </c:pt>
              </c:numCache>
            </c:numRef>
          </c:val>
          <c:smooth val="0"/>
          <c:extLst>
            <c:ext xmlns:c16="http://schemas.microsoft.com/office/drawing/2014/chart" uri="{C3380CC4-5D6E-409C-BE32-E72D297353CC}">
              <c16:uniqueId val="{00000002-99E6-4135-9251-8F2AEB81B826}"/>
            </c:ext>
          </c:extLst>
        </c:ser>
        <c:ser>
          <c:idx val="3"/>
          <c:order val="3"/>
          <c:tx>
            <c:strRef>
              <c:f>Sheet1!$F$14</c:f>
              <c:strCache>
                <c:ptCount val="1"/>
                <c:pt idx="0">
                  <c:v>Cohort 3</c:v>
                </c:pt>
              </c:strCache>
            </c:strRef>
          </c:tx>
          <c:spPr>
            <a:ln w="28575" cap="rnd">
              <a:solidFill>
                <a:schemeClr val="accent4"/>
              </a:solidFill>
              <a:prstDash val="dash"/>
              <a:round/>
            </a:ln>
            <a:effectLst/>
          </c:spPr>
          <c:marker>
            <c:symbol val="none"/>
          </c:marker>
          <c:cat>
            <c:strRef>
              <c:f>Sheet1!$B$15:$B$21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Sheet1!$F$15:$F$21</c:f>
              <c:numCache>
                <c:formatCode>0.000</c:formatCode>
                <c:ptCount val="7"/>
                <c:pt idx="0">
                  <c:v>0.23836479999999999</c:v>
                </c:pt>
                <c:pt idx="1">
                  <c:v>0.27672960000000002</c:v>
                </c:pt>
                <c:pt idx="2">
                  <c:v>0.29559750000000001</c:v>
                </c:pt>
                <c:pt idx="3">
                  <c:v>0.26433119999999999</c:v>
                </c:pt>
                <c:pt idx="4">
                  <c:v>0.1225166</c:v>
                </c:pt>
                <c:pt idx="5">
                  <c:v>2.3041499999999999E-2</c:v>
                </c:pt>
              </c:numCache>
            </c:numRef>
          </c:val>
          <c:smooth val="0"/>
          <c:extLst>
            <c:ext xmlns:c16="http://schemas.microsoft.com/office/drawing/2014/chart" uri="{C3380CC4-5D6E-409C-BE32-E72D297353CC}">
              <c16:uniqueId val="{00000003-99E6-4135-9251-8F2AEB81B826}"/>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a:t>Average presentations per</a:t>
                </a:r>
                <a:r>
                  <a:rPr lang="en-AU" sz="800" baseline="0"/>
                  <a:t> month per client</a:t>
                </a:r>
                <a:endParaRPr lang="en-AU" sz="800"/>
              </a:p>
            </c:rich>
          </c:tx>
          <c:layout>
            <c:manualLayout>
              <c:xMode val="edge"/>
              <c:yMode val="edge"/>
              <c:x val="0"/>
              <c:y val="0.1093006415146864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80147246937093E-2"/>
          <c:y val="4.6413103366507898E-2"/>
          <c:w val="0.72871533500172947"/>
          <c:h val="0.81775972221981796"/>
        </c:manualLayout>
      </c:layout>
      <c:lineChart>
        <c:grouping val="standard"/>
        <c:varyColors val="0"/>
        <c:ser>
          <c:idx val="0"/>
          <c:order val="0"/>
          <c:tx>
            <c:strRef>
              <c:f>Sheet1!$BG$14</c:f>
              <c:strCache>
                <c:ptCount val="1"/>
                <c:pt idx="0">
                  <c:v>Total</c:v>
                </c:pt>
              </c:strCache>
            </c:strRef>
          </c:tx>
          <c:spPr>
            <a:ln w="28575" cap="rnd">
              <a:solidFill>
                <a:schemeClr val="accent1"/>
              </a:solidFill>
              <a:round/>
            </a:ln>
            <a:effectLst/>
          </c:spPr>
          <c:marker>
            <c:symbol val="none"/>
          </c:marker>
          <c:cat>
            <c:strRef>
              <c:f>Sheet1!$BF$15:$BF$21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Sheet1!$BG$15:$BG$21</c:f>
              <c:numCache>
                <c:formatCode>0.000</c:formatCode>
                <c:ptCount val="7"/>
                <c:pt idx="0">
                  <c:v>2.2736300000000001E-2</c:v>
                </c:pt>
                <c:pt idx="1">
                  <c:v>8.4118600000000002E-2</c:v>
                </c:pt>
                <c:pt idx="2">
                  <c:v>0.12181350000000001</c:v>
                </c:pt>
                <c:pt idx="3">
                  <c:v>0.11416750000000001</c:v>
                </c:pt>
                <c:pt idx="4">
                  <c:v>6.5982600000000002E-2</c:v>
                </c:pt>
                <c:pt idx="5">
                  <c:v>8.0970799999999996E-2</c:v>
                </c:pt>
              </c:numCache>
            </c:numRef>
          </c:val>
          <c:smooth val="0"/>
          <c:extLst>
            <c:ext xmlns:c16="http://schemas.microsoft.com/office/drawing/2014/chart" uri="{C3380CC4-5D6E-409C-BE32-E72D297353CC}">
              <c16:uniqueId val="{00000000-0189-434A-A128-68047A9B70E0}"/>
            </c:ext>
          </c:extLst>
        </c:ser>
        <c:ser>
          <c:idx val="1"/>
          <c:order val="1"/>
          <c:tx>
            <c:strRef>
              <c:f>Sheet1!$BH$14</c:f>
              <c:strCache>
                <c:ptCount val="1"/>
                <c:pt idx="0">
                  <c:v>Cohot 1</c:v>
                </c:pt>
              </c:strCache>
            </c:strRef>
          </c:tx>
          <c:spPr>
            <a:ln w="28575" cap="rnd">
              <a:solidFill>
                <a:schemeClr val="accent2"/>
              </a:solidFill>
              <a:prstDash val="dash"/>
              <a:round/>
            </a:ln>
            <a:effectLst/>
          </c:spPr>
          <c:marker>
            <c:symbol val="none"/>
          </c:marker>
          <c:cat>
            <c:strRef>
              <c:f>Sheet1!$BF$15:$BF$21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Sheet1!$BH$15:$BH$21</c:f>
              <c:numCache>
                <c:formatCode>0.000</c:formatCode>
                <c:ptCount val="7"/>
                <c:pt idx="0">
                  <c:v>1.5847E-2</c:v>
                </c:pt>
                <c:pt idx="1">
                  <c:v>8.9502799999999993E-2</c:v>
                </c:pt>
                <c:pt idx="2">
                  <c:v>4.79167E-2</c:v>
                </c:pt>
                <c:pt idx="3">
                  <c:v>0.1095636</c:v>
                </c:pt>
                <c:pt idx="4">
                  <c:v>5.6034500000000001E-2</c:v>
                </c:pt>
                <c:pt idx="5">
                  <c:v>4.10593E-2</c:v>
                </c:pt>
                <c:pt idx="6">
                  <c:v>1.65989E-2</c:v>
                </c:pt>
              </c:numCache>
            </c:numRef>
          </c:val>
          <c:smooth val="0"/>
          <c:extLst>
            <c:ext xmlns:c16="http://schemas.microsoft.com/office/drawing/2014/chart" uri="{C3380CC4-5D6E-409C-BE32-E72D297353CC}">
              <c16:uniqueId val="{00000001-0189-434A-A128-68047A9B70E0}"/>
            </c:ext>
          </c:extLst>
        </c:ser>
        <c:ser>
          <c:idx val="2"/>
          <c:order val="2"/>
          <c:tx>
            <c:strRef>
              <c:f>Sheet1!$BI$14</c:f>
              <c:strCache>
                <c:ptCount val="1"/>
                <c:pt idx="0">
                  <c:v>Cohort 2</c:v>
                </c:pt>
              </c:strCache>
            </c:strRef>
          </c:tx>
          <c:spPr>
            <a:ln w="28575" cap="rnd">
              <a:solidFill>
                <a:schemeClr val="accent3"/>
              </a:solidFill>
              <a:prstDash val="dash"/>
              <a:round/>
            </a:ln>
            <a:effectLst/>
          </c:spPr>
          <c:marker>
            <c:symbol val="none"/>
          </c:marker>
          <c:cat>
            <c:strRef>
              <c:f>Sheet1!$BF$15:$BF$21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Sheet1!$BI$15:$BI$21</c:f>
              <c:numCache>
                <c:formatCode>0.000</c:formatCode>
                <c:ptCount val="7"/>
                <c:pt idx="0">
                  <c:v>2.32407E-2</c:v>
                </c:pt>
                <c:pt idx="1">
                  <c:v>6.9444400000000003E-2</c:v>
                </c:pt>
                <c:pt idx="2">
                  <c:v>0.1028169</c:v>
                </c:pt>
                <c:pt idx="3">
                  <c:v>8.3568699999999996E-2</c:v>
                </c:pt>
                <c:pt idx="4">
                  <c:v>3.1279800000000003E-2</c:v>
                </c:pt>
                <c:pt idx="5">
                  <c:v>6.0009699999999999E-2</c:v>
                </c:pt>
                <c:pt idx="6">
                  <c:v>1.6333299999999999E-2</c:v>
                </c:pt>
              </c:numCache>
            </c:numRef>
          </c:val>
          <c:smooth val="0"/>
          <c:extLst>
            <c:ext xmlns:c16="http://schemas.microsoft.com/office/drawing/2014/chart" uri="{C3380CC4-5D6E-409C-BE32-E72D297353CC}">
              <c16:uniqueId val="{00000002-0189-434A-A128-68047A9B70E0}"/>
            </c:ext>
          </c:extLst>
        </c:ser>
        <c:ser>
          <c:idx val="3"/>
          <c:order val="3"/>
          <c:tx>
            <c:strRef>
              <c:f>Sheet1!$BJ$14</c:f>
              <c:strCache>
                <c:ptCount val="1"/>
                <c:pt idx="0">
                  <c:v>Cohort 3</c:v>
                </c:pt>
              </c:strCache>
            </c:strRef>
          </c:tx>
          <c:spPr>
            <a:ln w="28575" cap="rnd">
              <a:solidFill>
                <a:schemeClr val="accent4"/>
              </a:solidFill>
              <a:prstDash val="dash"/>
              <a:round/>
            </a:ln>
            <a:effectLst/>
          </c:spPr>
          <c:marker>
            <c:symbol val="none"/>
          </c:marker>
          <c:cat>
            <c:strRef>
              <c:f>Sheet1!$BF$15:$BF$21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Sheet1!$BJ$15:$BJ$21</c:f>
              <c:numCache>
                <c:formatCode>0.000</c:formatCode>
                <c:ptCount val="7"/>
                <c:pt idx="0">
                  <c:v>3.0094300000000001E-2</c:v>
                </c:pt>
                <c:pt idx="1">
                  <c:v>9.4601699999999997E-2</c:v>
                </c:pt>
                <c:pt idx="2">
                  <c:v>0.22667709999999999</c:v>
                </c:pt>
                <c:pt idx="3">
                  <c:v>0.1539278</c:v>
                </c:pt>
                <c:pt idx="4">
                  <c:v>0.11754969999999999</c:v>
                </c:pt>
                <c:pt idx="5">
                  <c:v>0.17718890000000001</c:v>
                </c:pt>
              </c:numCache>
            </c:numRef>
          </c:val>
          <c:smooth val="0"/>
          <c:extLst>
            <c:ext xmlns:c16="http://schemas.microsoft.com/office/drawing/2014/chart" uri="{C3380CC4-5D6E-409C-BE32-E72D297353CC}">
              <c16:uniqueId val="{00000003-0189-434A-A128-68047A9B70E0}"/>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a:t>Average community health hours per</a:t>
                </a:r>
                <a:r>
                  <a:rPr lang="en-AU" sz="800" baseline="0"/>
                  <a:t> month per client</a:t>
                </a:r>
                <a:endParaRPr lang="en-AU" sz="800"/>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layout>
        <c:manualLayout>
          <c:xMode val="edge"/>
          <c:yMode val="edge"/>
          <c:x val="0.8340503465947624"/>
          <c:y val="0.3782833390290341"/>
          <c:w val="0.16594966326883559"/>
          <c:h val="0.2416673734644457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Health!$T$82</c:f>
              <c:strCache>
                <c:ptCount val="1"/>
                <c:pt idx="0">
                  <c:v>I am able to carry out day-to-day tasks without support</c:v>
                </c:pt>
              </c:strCache>
            </c:strRef>
          </c:tx>
          <c:spPr>
            <a:ln w="28575" cap="rnd">
              <a:solidFill>
                <a:schemeClr val="accent1"/>
              </a:solidFill>
              <a:round/>
            </a:ln>
            <a:effectLst/>
          </c:spPr>
          <c:marker>
            <c:symbol val="none"/>
          </c:marker>
          <c:cat>
            <c:strRef>
              <c:f>Health!$S$83:$S$89</c:f>
              <c:strCache>
                <c:ptCount val="7"/>
                <c:pt idx="0">
                  <c:v>INITIAL</c:v>
                </c:pt>
                <c:pt idx="1">
                  <c:v>R01</c:v>
                </c:pt>
                <c:pt idx="2">
                  <c:v>R02</c:v>
                </c:pt>
                <c:pt idx="3">
                  <c:v>R03</c:v>
                </c:pt>
                <c:pt idx="4">
                  <c:v>R04</c:v>
                </c:pt>
                <c:pt idx="5">
                  <c:v>R05</c:v>
                </c:pt>
                <c:pt idx="6">
                  <c:v>EXIT</c:v>
                </c:pt>
              </c:strCache>
            </c:strRef>
          </c:cat>
          <c:val>
            <c:numRef>
              <c:f>Health!$T$83:$T$89</c:f>
              <c:numCache>
                <c:formatCode>0.00</c:formatCode>
                <c:ptCount val="7"/>
                <c:pt idx="0">
                  <c:v>3.9900990099009901</c:v>
                </c:pt>
                <c:pt idx="1">
                  <c:v>3.8876404494382024</c:v>
                </c:pt>
                <c:pt idx="2">
                  <c:v>4.0642201834862384</c:v>
                </c:pt>
                <c:pt idx="3">
                  <c:v>4.0606060606060606</c:v>
                </c:pt>
                <c:pt idx="4">
                  <c:v>3.9855072463768115</c:v>
                </c:pt>
                <c:pt idx="5">
                  <c:v>3.9333333333333331</c:v>
                </c:pt>
                <c:pt idx="6">
                  <c:v>3.9895833333333335</c:v>
                </c:pt>
              </c:numCache>
            </c:numRef>
          </c:val>
          <c:smooth val="0"/>
          <c:extLst>
            <c:ext xmlns:c16="http://schemas.microsoft.com/office/drawing/2014/chart" uri="{C3380CC4-5D6E-409C-BE32-E72D297353CC}">
              <c16:uniqueId val="{00000000-40F7-41DA-8E4C-0D4F59CDC7C6}"/>
            </c:ext>
          </c:extLst>
        </c:ser>
        <c:ser>
          <c:idx val="1"/>
          <c:order val="1"/>
          <c:tx>
            <c:strRef>
              <c:f>Health!$U$82</c:f>
              <c:strCache>
                <c:ptCount val="1"/>
                <c:pt idx="0">
                  <c:v>I am confident in making decisions that are right for me</c:v>
                </c:pt>
              </c:strCache>
            </c:strRef>
          </c:tx>
          <c:spPr>
            <a:ln w="28575" cap="rnd">
              <a:solidFill>
                <a:schemeClr val="accent2"/>
              </a:solidFill>
              <a:prstDash val="solid"/>
              <a:round/>
            </a:ln>
            <a:effectLst/>
          </c:spPr>
          <c:marker>
            <c:symbol val="none"/>
          </c:marker>
          <c:cat>
            <c:strRef>
              <c:f>Health!$S$83:$S$89</c:f>
              <c:strCache>
                <c:ptCount val="7"/>
                <c:pt idx="0">
                  <c:v>INITIAL</c:v>
                </c:pt>
                <c:pt idx="1">
                  <c:v>R01</c:v>
                </c:pt>
                <c:pt idx="2">
                  <c:v>R02</c:v>
                </c:pt>
                <c:pt idx="3">
                  <c:v>R03</c:v>
                </c:pt>
                <c:pt idx="4">
                  <c:v>R04</c:v>
                </c:pt>
                <c:pt idx="5">
                  <c:v>R05</c:v>
                </c:pt>
                <c:pt idx="6">
                  <c:v>EXIT</c:v>
                </c:pt>
              </c:strCache>
            </c:strRef>
          </c:cat>
          <c:val>
            <c:numRef>
              <c:f>Health!$U$83:$U$89</c:f>
              <c:numCache>
                <c:formatCode>0.00</c:formatCode>
                <c:ptCount val="7"/>
                <c:pt idx="0">
                  <c:v>3.59</c:v>
                </c:pt>
                <c:pt idx="1">
                  <c:v>3.4666666666666668</c:v>
                </c:pt>
                <c:pt idx="2">
                  <c:v>3.8365384615384617</c:v>
                </c:pt>
                <c:pt idx="3">
                  <c:v>3.8333333333333335</c:v>
                </c:pt>
                <c:pt idx="4">
                  <c:v>3.9420289855072466</c:v>
                </c:pt>
                <c:pt idx="5">
                  <c:v>4.08</c:v>
                </c:pt>
                <c:pt idx="6">
                  <c:v>4.020833333333333</c:v>
                </c:pt>
              </c:numCache>
            </c:numRef>
          </c:val>
          <c:smooth val="0"/>
          <c:extLst>
            <c:ext xmlns:c16="http://schemas.microsoft.com/office/drawing/2014/chart" uri="{C3380CC4-5D6E-409C-BE32-E72D297353CC}">
              <c16:uniqueId val="{00000001-40F7-41DA-8E4C-0D4F59CDC7C6}"/>
            </c:ext>
          </c:extLst>
        </c:ser>
        <c:ser>
          <c:idx val="2"/>
          <c:order val="2"/>
          <c:tx>
            <c:strRef>
              <c:f>Health!$V$82</c:f>
              <c:strCache>
                <c:ptCount val="1"/>
                <c:pt idx="0">
                  <c:v>I can find and get the help I need by myself </c:v>
                </c:pt>
              </c:strCache>
            </c:strRef>
          </c:tx>
          <c:spPr>
            <a:ln w="28575" cap="rnd">
              <a:solidFill>
                <a:schemeClr val="accent3"/>
              </a:solidFill>
              <a:prstDash val="solid"/>
              <a:round/>
            </a:ln>
            <a:effectLst/>
          </c:spPr>
          <c:marker>
            <c:symbol val="none"/>
          </c:marker>
          <c:cat>
            <c:strRef>
              <c:f>Health!$S$83:$S$89</c:f>
              <c:strCache>
                <c:ptCount val="7"/>
                <c:pt idx="0">
                  <c:v>INITIAL</c:v>
                </c:pt>
                <c:pt idx="1">
                  <c:v>R01</c:v>
                </c:pt>
                <c:pt idx="2">
                  <c:v>R02</c:v>
                </c:pt>
                <c:pt idx="3">
                  <c:v>R03</c:v>
                </c:pt>
                <c:pt idx="4">
                  <c:v>R04</c:v>
                </c:pt>
                <c:pt idx="5">
                  <c:v>R05</c:v>
                </c:pt>
                <c:pt idx="6">
                  <c:v>EXIT</c:v>
                </c:pt>
              </c:strCache>
            </c:strRef>
          </c:cat>
          <c:val>
            <c:numRef>
              <c:f>Health!$V$83:$V$89</c:f>
              <c:numCache>
                <c:formatCode>0.00</c:formatCode>
                <c:ptCount val="7"/>
                <c:pt idx="0">
                  <c:v>3.5304347826086957</c:v>
                </c:pt>
                <c:pt idx="1">
                  <c:v>3.5934065934065935</c:v>
                </c:pt>
                <c:pt idx="2">
                  <c:v>3.6</c:v>
                </c:pt>
                <c:pt idx="3">
                  <c:v>3.5909090909090908</c:v>
                </c:pt>
                <c:pt idx="4">
                  <c:v>3.8285714285714287</c:v>
                </c:pt>
                <c:pt idx="5">
                  <c:v>3.68</c:v>
                </c:pt>
                <c:pt idx="6">
                  <c:v>3.8229166666666665</c:v>
                </c:pt>
              </c:numCache>
            </c:numRef>
          </c:val>
          <c:smooth val="0"/>
          <c:extLst>
            <c:ext xmlns:c16="http://schemas.microsoft.com/office/drawing/2014/chart" uri="{C3380CC4-5D6E-409C-BE32-E72D297353CC}">
              <c16:uniqueId val="{00000002-40F7-41DA-8E4C-0D4F59CDC7C6}"/>
            </c:ext>
          </c:extLst>
        </c:ser>
        <c:ser>
          <c:idx val="3"/>
          <c:order val="3"/>
          <c:tx>
            <c:strRef>
              <c:f>Health!$W$82</c:f>
              <c:strCache>
                <c:ptCount val="1"/>
                <c:pt idx="0">
                  <c:v>I feel that I have choice and control in my life</c:v>
                </c:pt>
              </c:strCache>
            </c:strRef>
          </c:tx>
          <c:spPr>
            <a:ln w="28575" cap="rnd">
              <a:solidFill>
                <a:schemeClr val="accent4"/>
              </a:solidFill>
              <a:prstDash val="solid"/>
              <a:round/>
            </a:ln>
            <a:effectLst/>
          </c:spPr>
          <c:marker>
            <c:symbol val="none"/>
          </c:marker>
          <c:cat>
            <c:strRef>
              <c:f>Health!$S$83:$S$89</c:f>
              <c:strCache>
                <c:ptCount val="7"/>
                <c:pt idx="0">
                  <c:v>INITIAL</c:v>
                </c:pt>
                <c:pt idx="1">
                  <c:v>R01</c:v>
                </c:pt>
                <c:pt idx="2">
                  <c:v>R02</c:v>
                </c:pt>
                <c:pt idx="3">
                  <c:v>R03</c:v>
                </c:pt>
                <c:pt idx="4">
                  <c:v>R04</c:v>
                </c:pt>
                <c:pt idx="5">
                  <c:v>R05</c:v>
                </c:pt>
                <c:pt idx="6">
                  <c:v>EXIT</c:v>
                </c:pt>
              </c:strCache>
            </c:strRef>
          </c:cat>
          <c:val>
            <c:numRef>
              <c:f>Health!$W$83:$W$89</c:f>
              <c:numCache>
                <c:formatCode>0.00</c:formatCode>
                <c:ptCount val="7"/>
                <c:pt idx="0">
                  <c:v>3.42</c:v>
                </c:pt>
                <c:pt idx="1">
                  <c:v>3.6666666666666665</c:v>
                </c:pt>
                <c:pt idx="2">
                  <c:v>3.5865384615384617</c:v>
                </c:pt>
                <c:pt idx="3">
                  <c:v>3.606060606060606</c:v>
                </c:pt>
                <c:pt idx="4">
                  <c:v>3.7246376811594204</c:v>
                </c:pt>
                <c:pt idx="5">
                  <c:v>4.0266666666666664</c:v>
                </c:pt>
                <c:pt idx="6">
                  <c:v>3.875</c:v>
                </c:pt>
              </c:numCache>
            </c:numRef>
          </c:val>
          <c:smooth val="0"/>
          <c:extLst>
            <c:ext xmlns:c16="http://schemas.microsoft.com/office/drawing/2014/chart" uri="{C3380CC4-5D6E-409C-BE32-E72D297353CC}">
              <c16:uniqueId val="{00000003-40F7-41DA-8E4C-0D4F59CDC7C6}"/>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a:t>Average client response scores</a:t>
                </a:r>
                <a:br>
                  <a:rPr lang="en-AU" sz="800"/>
                </a:br>
                <a:r>
                  <a:rPr lang="en-AU" sz="800"/>
                  <a:t>1=negative 5=positive</a:t>
                </a:r>
              </a:p>
            </c:rich>
          </c:tx>
          <c:layout>
            <c:manualLayout>
              <c:xMode val="edge"/>
              <c:yMode val="edge"/>
              <c:x val="1.0015022533800702E-2"/>
              <c:y val="0.2250224346184168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13418706254391"/>
          <c:y val="5.9363194819212088E-2"/>
          <c:w val="0.52613918877630939"/>
          <c:h val="0.83129167003072268"/>
        </c:manualLayout>
      </c:layout>
      <c:lineChart>
        <c:grouping val="standard"/>
        <c:varyColors val="0"/>
        <c:ser>
          <c:idx val="0"/>
          <c:order val="0"/>
          <c:tx>
            <c:strRef>
              <c:f>Health!$AD$96</c:f>
              <c:strCache>
                <c:ptCount val="1"/>
                <c:pt idx="0">
                  <c:v>How satisfied are you with your involvement in work, training, or volunteering?</c:v>
                </c:pt>
              </c:strCache>
            </c:strRef>
          </c:tx>
          <c:spPr>
            <a:ln w="28575" cap="rnd">
              <a:solidFill>
                <a:schemeClr val="accent1"/>
              </a:solidFill>
              <a:round/>
            </a:ln>
            <a:effectLst/>
          </c:spPr>
          <c:marker>
            <c:symbol val="none"/>
          </c:marker>
          <c:cat>
            <c:strRef>
              <c:f>Health!$AC$97:$AC$103</c:f>
              <c:strCache>
                <c:ptCount val="7"/>
                <c:pt idx="0">
                  <c:v>INITIAL</c:v>
                </c:pt>
                <c:pt idx="1">
                  <c:v>R01</c:v>
                </c:pt>
                <c:pt idx="2">
                  <c:v>R02</c:v>
                </c:pt>
                <c:pt idx="3">
                  <c:v>R03</c:v>
                </c:pt>
                <c:pt idx="4">
                  <c:v>R04</c:v>
                </c:pt>
                <c:pt idx="5">
                  <c:v>R05</c:v>
                </c:pt>
                <c:pt idx="6">
                  <c:v>EXIT</c:v>
                </c:pt>
              </c:strCache>
            </c:strRef>
          </c:cat>
          <c:val>
            <c:numRef>
              <c:f>Health!$AD$97:$AD$103</c:f>
              <c:numCache>
                <c:formatCode>0.00</c:formatCode>
                <c:ptCount val="7"/>
                <c:pt idx="0">
                  <c:v>2.7432432432432434</c:v>
                </c:pt>
                <c:pt idx="1">
                  <c:v>2.9253731343283582</c:v>
                </c:pt>
                <c:pt idx="2">
                  <c:v>3.1617647058823528</c:v>
                </c:pt>
                <c:pt idx="3">
                  <c:v>3.4571428571428573</c:v>
                </c:pt>
                <c:pt idx="4">
                  <c:v>3.189189189189189</c:v>
                </c:pt>
                <c:pt idx="5">
                  <c:v>3.0697674418604652</c:v>
                </c:pt>
                <c:pt idx="6">
                  <c:v>3.2280701754385963</c:v>
                </c:pt>
              </c:numCache>
            </c:numRef>
          </c:val>
          <c:smooth val="0"/>
          <c:extLst>
            <c:ext xmlns:c16="http://schemas.microsoft.com/office/drawing/2014/chart" uri="{C3380CC4-5D6E-409C-BE32-E72D297353CC}">
              <c16:uniqueId val="{00000000-8B07-4DBD-A713-1439BAA6F8A1}"/>
            </c:ext>
          </c:extLst>
        </c:ser>
        <c:ser>
          <c:idx val="1"/>
          <c:order val="1"/>
          <c:tx>
            <c:strRef>
              <c:f>Health!$AE$96</c:f>
              <c:strCache>
                <c:ptCount val="1"/>
                <c:pt idx="0">
                  <c:v>How would you rate your ability to take part in the work, training, or volunteering that you want?</c:v>
                </c:pt>
              </c:strCache>
            </c:strRef>
          </c:tx>
          <c:spPr>
            <a:ln w="28575" cap="rnd">
              <a:solidFill>
                <a:schemeClr val="accent2"/>
              </a:solidFill>
              <a:prstDash val="solid"/>
              <a:round/>
            </a:ln>
            <a:effectLst/>
          </c:spPr>
          <c:marker>
            <c:symbol val="none"/>
          </c:marker>
          <c:cat>
            <c:strRef>
              <c:f>Health!$AC$97:$AC$103</c:f>
              <c:strCache>
                <c:ptCount val="7"/>
                <c:pt idx="0">
                  <c:v>INITIAL</c:v>
                </c:pt>
                <c:pt idx="1">
                  <c:v>R01</c:v>
                </c:pt>
                <c:pt idx="2">
                  <c:v>R02</c:v>
                </c:pt>
                <c:pt idx="3">
                  <c:v>R03</c:v>
                </c:pt>
                <c:pt idx="4">
                  <c:v>R04</c:v>
                </c:pt>
                <c:pt idx="5">
                  <c:v>R05</c:v>
                </c:pt>
                <c:pt idx="6">
                  <c:v>EXIT</c:v>
                </c:pt>
              </c:strCache>
            </c:strRef>
          </c:cat>
          <c:val>
            <c:numRef>
              <c:f>Health!$AE$97:$AE$103</c:f>
              <c:numCache>
                <c:formatCode>0.00</c:formatCode>
                <c:ptCount val="7"/>
                <c:pt idx="0">
                  <c:v>2.9166666666666665</c:v>
                </c:pt>
                <c:pt idx="1">
                  <c:v>3.2941176470588234</c:v>
                </c:pt>
                <c:pt idx="2">
                  <c:v>3.2837837837837838</c:v>
                </c:pt>
                <c:pt idx="3">
                  <c:v>3.2448979591836733</c:v>
                </c:pt>
                <c:pt idx="4">
                  <c:v>3.3541666666666665</c:v>
                </c:pt>
                <c:pt idx="5">
                  <c:v>3.3846153846153846</c:v>
                </c:pt>
                <c:pt idx="6">
                  <c:v>3.3943661971830985</c:v>
                </c:pt>
              </c:numCache>
            </c:numRef>
          </c:val>
          <c:smooth val="0"/>
          <c:extLst>
            <c:ext xmlns:c16="http://schemas.microsoft.com/office/drawing/2014/chart" uri="{C3380CC4-5D6E-409C-BE32-E72D297353CC}">
              <c16:uniqueId val="{00000001-8B07-4DBD-A713-1439BAA6F8A1}"/>
            </c:ext>
          </c:extLst>
        </c:ser>
        <c:ser>
          <c:idx val="2"/>
          <c:order val="2"/>
          <c:tx>
            <c:strRef>
              <c:f>Health!$AF$96</c:f>
              <c:strCache>
                <c:ptCount val="1"/>
                <c:pt idx="0">
                  <c:v>How would you rate your skills in managing your own finances? </c:v>
                </c:pt>
              </c:strCache>
            </c:strRef>
          </c:tx>
          <c:spPr>
            <a:ln w="28575" cap="rnd">
              <a:solidFill>
                <a:schemeClr val="accent3"/>
              </a:solidFill>
              <a:prstDash val="solid"/>
              <a:round/>
            </a:ln>
            <a:effectLst/>
          </c:spPr>
          <c:marker>
            <c:symbol val="none"/>
          </c:marker>
          <c:cat>
            <c:strRef>
              <c:f>Health!$AC$97:$AC$103</c:f>
              <c:strCache>
                <c:ptCount val="7"/>
                <c:pt idx="0">
                  <c:v>INITIAL</c:v>
                </c:pt>
                <c:pt idx="1">
                  <c:v>R01</c:v>
                </c:pt>
                <c:pt idx="2">
                  <c:v>R02</c:v>
                </c:pt>
                <c:pt idx="3">
                  <c:v>R03</c:v>
                </c:pt>
                <c:pt idx="4">
                  <c:v>R04</c:v>
                </c:pt>
                <c:pt idx="5">
                  <c:v>R05</c:v>
                </c:pt>
                <c:pt idx="6">
                  <c:v>EXIT</c:v>
                </c:pt>
              </c:strCache>
            </c:strRef>
          </c:cat>
          <c:val>
            <c:numRef>
              <c:f>Health!$AF$97:$AF$103</c:f>
              <c:numCache>
                <c:formatCode>0.00</c:formatCode>
                <c:ptCount val="7"/>
                <c:pt idx="0">
                  <c:v>3.3265306122448979</c:v>
                </c:pt>
                <c:pt idx="1">
                  <c:v>3.3505154639175259</c:v>
                </c:pt>
                <c:pt idx="2">
                  <c:v>3.3689320388349513</c:v>
                </c:pt>
                <c:pt idx="3">
                  <c:v>3.2769230769230768</c:v>
                </c:pt>
                <c:pt idx="4">
                  <c:v>3.4705882352941178</c:v>
                </c:pt>
                <c:pt idx="5">
                  <c:v>3.3648648648648649</c:v>
                </c:pt>
                <c:pt idx="6">
                  <c:v>3.3870967741935485</c:v>
                </c:pt>
              </c:numCache>
            </c:numRef>
          </c:val>
          <c:smooth val="0"/>
          <c:extLst>
            <c:ext xmlns:c16="http://schemas.microsoft.com/office/drawing/2014/chart" uri="{C3380CC4-5D6E-409C-BE32-E72D297353CC}">
              <c16:uniqueId val="{00000002-8B07-4DBD-A713-1439BAA6F8A1}"/>
            </c:ext>
          </c:extLst>
        </c:ser>
        <c:ser>
          <c:idx val="3"/>
          <c:order val="3"/>
          <c:tx>
            <c:strRef>
              <c:f>Health!$AG$96</c:f>
              <c:strCache>
                <c:ptCount val="1"/>
                <c:pt idx="0">
                  <c:v>How would you rate your ability to manage your debts?</c:v>
                </c:pt>
              </c:strCache>
            </c:strRef>
          </c:tx>
          <c:spPr>
            <a:ln w="28575" cap="rnd">
              <a:solidFill>
                <a:schemeClr val="accent4"/>
              </a:solidFill>
              <a:prstDash val="solid"/>
              <a:round/>
            </a:ln>
            <a:effectLst/>
          </c:spPr>
          <c:marker>
            <c:symbol val="none"/>
          </c:marker>
          <c:cat>
            <c:strRef>
              <c:f>Health!$AC$97:$AC$103</c:f>
              <c:strCache>
                <c:ptCount val="7"/>
                <c:pt idx="0">
                  <c:v>INITIAL</c:v>
                </c:pt>
                <c:pt idx="1">
                  <c:v>R01</c:v>
                </c:pt>
                <c:pt idx="2">
                  <c:v>R02</c:v>
                </c:pt>
                <c:pt idx="3">
                  <c:v>R03</c:v>
                </c:pt>
                <c:pt idx="4">
                  <c:v>R04</c:v>
                </c:pt>
                <c:pt idx="5">
                  <c:v>R05</c:v>
                </c:pt>
                <c:pt idx="6">
                  <c:v>EXIT</c:v>
                </c:pt>
              </c:strCache>
            </c:strRef>
          </c:cat>
          <c:val>
            <c:numRef>
              <c:f>Health!$AG$97:$AG$103</c:f>
              <c:numCache>
                <c:formatCode>0.00</c:formatCode>
                <c:ptCount val="7"/>
                <c:pt idx="0">
                  <c:v>3.6511627906976742</c:v>
                </c:pt>
                <c:pt idx="1">
                  <c:v>3.6153846153846154</c:v>
                </c:pt>
                <c:pt idx="2">
                  <c:v>3.7272727272727271</c:v>
                </c:pt>
                <c:pt idx="3">
                  <c:v>3.5151515151515151</c:v>
                </c:pt>
                <c:pt idx="4">
                  <c:v>3.7246376811594204</c:v>
                </c:pt>
                <c:pt idx="5">
                  <c:v>3.6533333333333333</c:v>
                </c:pt>
                <c:pt idx="6">
                  <c:v>3.7052631578947368</c:v>
                </c:pt>
              </c:numCache>
            </c:numRef>
          </c:val>
          <c:smooth val="0"/>
          <c:extLst>
            <c:ext xmlns:c16="http://schemas.microsoft.com/office/drawing/2014/chart" uri="{C3380CC4-5D6E-409C-BE32-E72D297353CC}">
              <c16:uniqueId val="{00000003-8B07-4DBD-A713-1439BAA6F8A1}"/>
            </c:ext>
          </c:extLst>
        </c:ser>
        <c:ser>
          <c:idx val="4"/>
          <c:order val="4"/>
          <c:tx>
            <c:strRef>
              <c:f>Health!$AH$96</c:f>
              <c:strCache>
                <c:ptCount val="1"/>
                <c:pt idx="0">
                  <c:v>Are you able to pay for basic living expenses? </c:v>
                </c:pt>
              </c:strCache>
            </c:strRef>
          </c:tx>
          <c:spPr>
            <a:ln w="28575" cap="rnd">
              <a:solidFill>
                <a:schemeClr val="accent5"/>
              </a:solidFill>
              <a:round/>
            </a:ln>
            <a:effectLst/>
          </c:spPr>
          <c:marker>
            <c:symbol val="none"/>
          </c:marker>
          <c:cat>
            <c:strRef>
              <c:f>Health!$AC$97:$AC$103</c:f>
              <c:strCache>
                <c:ptCount val="7"/>
                <c:pt idx="0">
                  <c:v>INITIAL</c:v>
                </c:pt>
                <c:pt idx="1">
                  <c:v>R01</c:v>
                </c:pt>
                <c:pt idx="2">
                  <c:v>R02</c:v>
                </c:pt>
                <c:pt idx="3">
                  <c:v>R03</c:v>
                </c:pt>
                <c:pt idx="4">
                  <c:v>R04</c:v>
                </c:pt>
                <c:pt idx="5">
                  <c:v>R05</c:v>
                </c:pt>
                <c:pt idx="6">
                  <c:v>EXIT</c:v>
                </c:pt>
              </c:strCache>
            </c:strRef>
          </c:cat>
          <c:val>
            <c:numRef>
              <c:f>Health!$AH$97:$AH$103</c:f>
              <c:numCache>
                <c:formatCode>0.00</c:formatCode>
                <c:ptCount val="7"/>
                <c:pt idx="0">
                  <c:v>4.262626262626263</c:v>
                </c:pt>
                <c:pt idx="1">
                  <c:v>3.5227272727272729</c:v>
                </c:pt>
                <c:pt idx="2">
                  <c:v>3.7058823529411766</c:v>
                </c:pt>
                <c:pt idx="3">
                  <c:v>3.5606060606060606</c:v>
                </c:pt>
                <c:pt idx="4">
                  <c:v>3.9130434782608696</c:v>
                </c:pt>
                <c:pt idx="5">
                  <c:v>3.7466666666666666</c:v>
                </c:pt>
                <c:pt idx="6">
                  <c:v>3.8105263157894735</c:v>
                </c:pt>
              </c:numCache>
            </c:numRef>
          </c:val>
          <c:smooth val="0"/>
          <c:extLst>
            <c:ext xmlns:c16="http://schemas.microsoft.com/office/drawing/2014/chart" uri="{C3380CC4-5D6E-409C-BE32-E72D297353CC}">
              <c16:uniqueId val="{00000004-8B07-4DBD-A713-1439BAA6F8A1}"/>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a:t>Average cllient</a:t>
                </a:r>
                <a:r>
                  <a:rPr lang="en-AU" sz="800" baseline="0"/>
                  <a:t> response scores</a:t>
                </a:r>
                <a:br>
                  <a:rPr lang="en-AU" sz="800" baseline="0"/>
                </a:br>
                <a:r>
                  <a:rPr lang="en-AU" sz="800" baseline="0"/>
                  <a:t>negative=1 positive=5</a:t>
                </a:r>
                <a:endParaRPr lang="en-AU" sz="800"/>
              </a:p>
            </c:rich>
          </c:tx>
          <c:layout>
            <c:manualLayout>
              <c:xMode val="edge"/>
              <c:yMode val="edge"/>
              <c:x val="3.0553104241917761E-5"/>
              <c:y val="0.1686900578334346"/>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Health!$AN$83</c:f>
              <c:strCache>
                <c:ptCount val="1"/>
                <c:pt idx="0">
                  <c:v>How often are you able to access support from your personal relationships?</c:v>
                </c:pt>
              </c:strCache>
            </c:strRef>
          </c:tx>
          <c:spPr>
            <a:ln w="28575" cap="rnd">
              <a:solidFill>
                <a:schemeClr val="accent1"/>
              </a:solidFill>
              <a:round/>
            </a:ln>
            <a:effectLst/>
          </c:spPr>
          <c:marker>
            <c:symbol val="none"/>
          </c:marker>
          <c:cat>
            <c:strRef>
              <c:f>Health!$AM$84:$AM$90</c:f>
              <c:strCache>
                <c:ptCount val="7"/>
                <c:pt idx="0">
                  <c:v>INITIAL</c:v>
                </c:pt>
                <c:pt idx="1">
                  <c:v>R01</c:v>
                </c:pt>
                <c:pt idx="2">
                  <c:v>R02</c:v>
                </c:pt>
                <c:pt idx="3">
                  <c:v>R03</c:v>
                </c:pt>
                <c:pt idx="4">
                  <c:v>R04</c:v>
                </c:pt>
                <c:pt idx="5">
                  <c:v>R05</c:v>
                </c:pt>
                <c:pt idx="6">
                  <c:v>EXIT</c:v>
                </c:pt>
              </c:strCache>
            </c:strRef>
          </c:cat>
          <c:val>
            <c:numRef>
              <c:f>Health!$AN$84:$AN$90</c:f>
              <c:numCache>
                <c:formatCode>0.00</c:formatCode>
                <c:ptCount val="7"/>
                <c:pt idx="0">
                  <c:v>2.77</c:v>
                </c:pt>
                <c:pt idx="1">
                  <c:v>3.2247191011235956</c:v>
                </c:pt>
                <c:pt idx="2">
                  <c:v>3.1018518518518516</c:v>
                </c:pt>
                <c:pt idx="3">
                  <c:v>3.106060606060606</c:v>
                </c:pt>
                <c:pt idx="4">
                  <c:v>3.2028985507246377</c:v>
                </c:pt>
                <c:pt idx="5">
                  <c:v>3.36</c:v>
                </c:pt>
                <c:pt idx="6">
                  <c:v>3.8518518518518516</c:v>
                </c:pt>
              </c:numCache>
            </c:numRef>
          </c:val>
          <c:smooth val="0"/>
          <c:extLst>
            <c:ext xmlns:c16="http://schemas.microsoft.com/office/drawing/2014/chart" uri="{C3380CC4-5D6E-409C-BE32-E72D297353CC}">
              <c16:uniqueId val="{00000000-8E22-4F05-B0A4-5EC98CEC03CE}"/>
            </c:ext>
          </c:extLst>
        </c:ser>
        <c:ser>
          <c:idx val="1"/>
          <c:order val="1"/>
          <c:tx>
            <c:strRef>
              <c:f>Health!$AO$83</c:f>
              <c:strCache>
                <c:ptCount val="1"/>
                <c:pt idx="0">
                  <c:v>How often are you able to maintain positive relationships? </c:v>
                </c:pt>
              </c:strCache>
            </c:strRef>
          </c:tx>
          <c:spPr>
            <a:ln w="28575" cap="rnd">
              <a:solidFill>
                <a:schemeClr val="accent2"/>
              </a:solidFill>
              <a:prstDash val="solid"/>
              <a:round/>
            </a:ln>
            <a:effectLst/>
          </c:spPr>
          <c:marker>
            <c:symbol val="none"/>
          </c:marker>
          <c:cat>
            <c:strRef>
              <c:f>Health!$AM$84:$AM$90</c:f>
              <c:strCache>
                <c:ptCount val="7"/>
                <c:pt idx="0">
                  <c:v>INITIAL</c:v>
                </c:pt>
                <c:pt idx="1">
                  <c:v>R01</c:v>
                </c:pt>
                <c:pt idx="2">
                  <c:v>R02</c:v>
                </c:pt>
                <c:pt idx="3">
                  <c:v>R03</c:v>
                </c:pt>
                <c:pt idx="4">
                  <c:v>R04</c:v>
                </c:pt>
                <c:pt idx="5">
                  <c:v>R05</c:v>
                </c:pt>
                <c:pt idx="6">
                  <c:v>EXIT</c:v>
                </c:pt>
              </c:strCache>
            </c:strRef>
          </c:cat>
          <c:val>
            <c:numRef>
              <c:f>Health!$AO$84:$AO$90</c:f>
              <c:numCache>
                <c:formatCode>0.00</c:formatCode>
                <c:ptCount val="7"/>
                <c:pt idx="0">
                  <c:v>3.29</c:v>
                </c:pt>
                <c:pt idx="1">
                  <c:v>3.3258426966292136</c:v>
                </c:pt>
                <c:pt idx="2">
                  <c:v>3.4951456310679609</c:v>
                </c:pt>
                <c:pt idx="3">
                  <c:v>3.4848484848484849</c:v>
                </c:pt>
                <c:pt idx="4">
                  <c:v>3.4492753623188408</c:v>
                </c:pt>
                <c:pt idx="5">
                  <c:v>3.5333333333333332</c:v>
                </c:pt>
                <c:pt idx="6">
                  <c:v>3.6145833333333335</c:v>
                </c:pt>
              </c:numCache>
            </c:numRef>
          </c:val>
          <c:smooth val="0"/>
          <c:extLst>
            <c:ext xmlns:c16="http://schemas.microsoft.com/office/drawing/2014/chart" uri="{C3380CC4-5D6E-409C-BE32-E72D297353CC}">
              <c16:uniqueId val="{00000001-8E22-4F05-B0A4-5EC98CEC03CE}"/>
            </c:ext>
          </c:extLst>
        </c:ser>
        <c:ser>
          <c:idx val="2"/>
          <c:order val="2"/>
          <c:tx>
            <c:strRef>
              <c:f>Health!$AP$83</c:f>
              <c:strCache>
                <c:ptCount val="1"/>
                <c:pt idx="0">
                  <c:v>How often do you feel connected to, and a part of, a community?</c:v>
                </c:pt>
              </c:strCache>
            </c:strRef>
          </c:tx>
          <c:spPr>
            <a:ln w="28575" cap="rnd">
              <a:solidFill>
                <a:schemeClr val="accent3"/>
              </a:solidFill>
              <a:prstDash val="solid"/>
              <a:round/>
            </a:ln>
            <a:effectLst/>
          </c:spPr>
          <c:marker>
            <c:symbol val="none"/>
          </c:marker>
          <c:cat>
            <c:strRef>
              <c:f>Health!$AM$84:$AM$90</c:f>
              <c:strCache>
                <c:ptCount val="7"/>
                <c:pt idx="0">
                  <c:v>INITIAL</c:v>
                </c:pt>
                <c:pt idx="1">
                  <c:v>R01</c:v>
                </c:pt>
                <c:pt idx="2">
                  <c:v>R02</c:v>
                </c:pt>
                <c:pt idx="3">
                  <c:v>R03</c:v>
                </c:pt>
                <c:pt idx="4">
                  <c:v>R04</c:v>
                </c:pt>
                <c:pt idx="5">
                  <c:v>R05</c:v>
                </c:pt>
                <c:pt idx="6">
                  <c:v>EXIT</c:v>
                </c:pt>
              </c:strCache>
            </c:strRef>
          </c:cat>
          <c:val>
            <c:numRef>
              <c:f>Health!$AP$84:$AP$90</c:f>
              <c:numCache>
                <c:formatCode>0.00</c:formatCode>
                <c:ptCount val="7"/>
                <c:pt idx="0">
                  <c:v>2.68</c:v>
                </c:pt>
                <c:pt idx="1">
                  <c:v>2.9222222222222221</c:v>
                </c:pt>
                <c:pt idx="2">
                  <c:v>3.029126213592233</c:v>
                </c:pt>
                <c:pt idx="3">
                  <c:v>2.9696969696969697</c:v>
                </c:pt>
                <c:pt idx="4">
                  <c:v>2.7971014492753623</c:v>
                </c:pt>
                <c:pt idx="5">
                  <c:v>2.76</c:v>
                </c:pt>
                <c:pt idx="6">
                  <c:v>3.1354166666666665</c:v>
                </c:pt>
              </c:numCache>
            </c:numRef>
          </c:val>
          <c:smooth val="0"/>
          <c:extLst>
            <c:ext xmlns:c16="http://schemas.microsoft.com/office/drawing/2014/chart" uri="{C3380CC4-5D6E-409C-BE32-E72D297353CC}">
              <c16:uniqueId val="{00000002-8E22-4F05-B0A4-5EC98CEC03CE}"/>
            </c:ext>
          </c:extLst>
        </c:ser>
        <c:ser>
          <c:idx val="3"/>
          <c:order val="3"/>
          <c:tx>
            <c:strRef>
              <c:f>Health!$AQ$83</c:f>
              <c:strCache>
                <c:ptCount val="1"/>
                <c:pt idx="0">
                  <c:v>How satisfied are you with your involvement in social activities? </c:v>
                </c:pt>
              </c:strCache>
            </c:strRef>
          </c:tx>
          <c:spPr>
            <a:ln w="28575" cap="rnd">
              <a:solidFill>
                <a:schemeClr val="accent4"/>
              </a:solidFill>
              <a:prstDash val="solid"/>
              <a:round/>
            </a:ln>
            <a:effectLst/>
          </c:spPr>
          <c:marker>
            <c:symbol val="none"/>
          </c:marker>
          <c:cat>
            <c:strRef>
              <c:f>Health!$AM$84:$AM$90</c:f>
              <c:strCache>
                <c:ptCount val="7"/>
                <c:pt idx="0">
                  <c:v>INITIAL</c:v>
                </c:pt>
                <c:pt idx="1">
                  <c:v>R01</c:v>
                </c:pt>
                <c:pt idx="2">
                  <c:v>R02</c:v>
                </c:pt>
                <c:pt idx="3">
                  <c:v>R03</c:v>
                </c:pt>
                <c:pt idx="4">
                  <c:v>R04</c:v>
                </c:pt>
                <c:pt idx="5">
                  <c:v>R05</c:v>
                </c:pt>
                <c:pt idx="6">
                  <c:v>EXIT</c:v>
                </c:pt>
              </c:strCache>
            </c:strRef>
          </c:cat>
          <c:val>
            <c:numRef>
              <c:f>Health!$AQ$84:$AQ$90</c:f>
              <c:numCache>
                <c:formatCode>0.00</c:formatCode>
                <c:ptCount val="7"/>
                <c:pt idx="0">
                  <c:v>2.9696969696969697</c:v>
                </c:pt>
                <c:pt idx="1">
                  <c:v>3.0744680851063828</c:v>
                </c:pt>
                <c:pt idx="2">
                  <c:v>3.145631067961165</c:v>
                </c:pt>
                <c:pt idx="3">
                  <c:v>3.0151515151515151</c:v>
                </c:pt>
                <c:pt idx="4">
                  <c:v>3.2173913043478262</c:v>
                </c:pt>
                <c:pt idx="5">
                  <c:v>3.2266666666666666</c:v>
                </c:pt>
                <c:pt idx="6">
                  <c:v>3.375</c:v>
                </c:pt>
              </c:numCache>
            </c:numRef>
          </c:val>
          <c:smooth val="0"/>
          <c:extLst>
            <c:ext xmlns:c16="http://schemas.microsoft.com/office/drawing/2014/chart" uri="{C3380CC4-5D6E-409C-BE32-E72D297353CC}">
              <c16:uniqueId val="{00000003-8E22-4F05-B0A4-5EC98CEC03CE}"/>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5"/>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800"/>
                  <a:t>Average client response scores</a:t>
                </a:r>
                <a:br>
                  <a:rPr lang="en-AU" sz="800"/>
                </a:br>
                <a:r>
                  <a:rPr lang="en-AU" sz="800"/>
                  <a:t>1=negative 5=positive</a:t>
                </a:r>
              </a:p>
            </c:rich>
          </c:tx>
          <c:layout>
            <c:manualLayout>
              <c:xMode val="edge"/>
              <c:yMode val="edge"/>
              <c:x val="2.8064487132379028E-3"/>
              <c:y val="0.1771748457642056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2816064666944"/>
          <c:y val="5.3140096618357488E-2"/>
          <c:w val="0.74051740823457568"/>
          <c:h val="0.79336937360441884"/>
        </c:manualLayout>
      </c:layout>
      <c:lineChart>
        <c:grouping val="standard"/>
        <c:varyColors val="0"/>
        <c:ser>
          <c:idx val="0"/>
          <c:order val="0"/>
          <c:tx>
            <c:strRef>
              <c:f>Sheet1!$AI$14</c:f>
              <c:strCache>
                <c:ptCount val="1"/>
                <c:pt idx="0">
                  <c:v>Total</c:v>
                </c:pt>
              </c:strCache>
            </c:strRef>
          </c:tx>
          <c:spPr>
            <a:ln w="28575" cap="rnd">
              <a:solidFill>
                <a:schemeClr val="accent1"/>
              </a:solidFill>
              <a:round/>
            </a:ln>
            <a:effectLst/>
          </c:spPr>
          <c:marker>
            <c:symbol val="none"/>
          </c:marker>
          <c:cat>
            <c:strRef>
              <c:f>Sheet1!$AH$15:$AH$21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Sheet1!$AI$15:$AI$21</c:f>
              <c:numCache>
                <c:formatCode>0.00</c:formatCode>
                <c:ptCount val="7"/>
                <c:pt idx="0">
                  <c:v>0.31455939999999999</c:v>
                </c:pt>
                <c:pt idx="1">
                  <c:v>0.2086538</c:v>
                </c:pt>
                <c:pt idx="2">
                  <c:v>0.27686349999999998</c:v>
                </c:pt>
                <c:pt idx="3">
                  <c:v>0.2502434</c:v>
                </c:pt>
                <c:pt idx="4">
                  <c:v>0.19819819999999999</c:v>
                </c:pt>
                <c:pt idx="5">
                  <c:v>0.18383169999999999</c:v>
                </c:pt>
              </c:numCache>
            </c:numRef>
          </c:val>
          <c:smooth val="0"/>
          <c:extLst>
            <c:ext xmlns:c16="http://schemas.microsoft.com/office/drawing/2014/chart" uri="{C3380CC4-5D6E-409C-BE32-E72D297353CC}">
              <c16:uniqueId val="{00000000-710F-4BD7-97CF-CA61FD13204A}"/>
            </c:ext>
          </c:extLst>
        </c:ser>
        <c:ser>
          <c:idx val="1"/>
          <c:order val="1"/>
          <c:tx>
            <c:strRef>
              <c:f>Sheet1!$AJ$14</c:f>
              <c:strCache>
                <c:ptCount val="1"/>
                <c:pt idx="0">
                  <c:v>Cohot 1</c:v>
                </c:pt>
              </c:strCache>
            </c:strRef>
          </c:tx>
          <c:spPr>
            <a:ln w="28575" cap="rnd">
              <a:solidFill>
                <a:schemeClr val="accent2"/>
              </a:solidFill>
              <a:prstDash val="dash"/>
              <a:round/>
            </a:ln>
            <a:effectLst/>
          </c:spPr>
          <c:marker>
            <c:symbol val="none"/>
          </c:marker>
          <c:cat>
            <c:strRef>
              <c:f>Sheet1!$AH$15:$AH$21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Sheet1!$AJ$15:$AJ$21</c:f>
              <c:numCache>
                <c:formatCode>0.00</c:formatCode>
                <c:ptCount val="7"/>
                <c:pt idx="0">
                  <c:v>0.32841530000000002</c:v>
                </c:pt>
                <c:pt idx="1">
                  <c:v>0.1685083</c:v>
                </c:pt>
                <c:pt idx="2">
                  <c:v>0.15277779999999999</c:v>
                </c:pt>
                <c:pt idx="3">
                  <c:v>0.22841230000000001</c:v>
                </c:pt>
                <c:pt idx="4">
                  <c:v>0.31896550000000001</c:v>
                </c:pt>
                <c:pt idx="5">
                  <c:v>0.2915452</c:v>
                </c:pt>
                <c:pt idx="6">
                  <c:v>0.2073171</c:v>
                </c:pt>
              </c:numCache>
            </c:numRef>
          </c:val>
          <c:smooth val="0"/>
          <c:extLst>
            <c:ext xmlns:c16="http://schemas.microsoft.com/office/drawing/2014/chart" uri="{C3380CC4-5D6E-409C-BE32-E72D297353CC}">
              <c16:uniqueId val="{00000001-710F-4BD7-97CF-CA61FD13204A}"/>
            </c:ext>
          </c:extLst>
        </c:ser>
        <c:ser>
          <c:idx val="2"/>
          <c:order val="2"/>
          <c:tx>
            <c:strRef>
              <c:f>Sheet1!$AK$14</c:f>
              <c:strCache>
                <c:ptCount val="1"/>
                <c:pt idx="0">
                  <c:v>Cohort 2</c:v>
                </c:pt>
              </c:strCache>
            </c:strRef>
          </c:tx>
          <c:spPr>
            <a:ln w="28575" cap="rnd">
              <a:solidFill>
                <a:schemeClr val="accent3"/>
              </a:solidFill>
              <a:prstDash val="dash"/>
              <a:round/>
            </a:ln>
            <a:effectLst/>
          </c:spPr>
          <c:marker>
            <c:symbol val="none"/>
          </c:marker>
          <c:cat>
            <c:strRef>
              <c:f>Sheet1!$AH$15:$AH$21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Sheet1!$AK$15:$AK$21</c:f>
              <c:numCache>
                <c:formatCode>0.00</c:formatCode>
                <c:ptCount val="7"/>
                <c:pt idx="0">
                  <c:v>0.34166669999999999</c:v>
                </c:pt>
                <c:pt idx="1">
                  <c:v>0.20277780000000001</c:v>
                </c:pt>
                <c:pt idx="2">
                  <c:v>0.32957750000000002</c:v>
                </c:pt>
                <c:pt idx="3">
                  <c:v>0.26836159999999998</c:v>
                </c:pt>
                <c:pt idx="4">
                  <c:v>0.14899709999999999</c:v>
                </c:pt>
                <c:pt idx="5">
                  <c:v>0.1632653</c:v>
                </c:pt>
                <c:pt idx="6">
                  <c:v>0.14000000000000001</c:v>
                </c:pt>
              </c:numCache>
            </c:numRef>
          </c:val>
          <c:smooth val="0"/>
          <c:extLst>
            <c:ext xmlns:c16="http://schemas.microsoft.com/office/drawing/2014/chart" uri="{C3380CC4-5D6E-409C-BE32-E72D297353CC}">
              <c16:uniqueId val="{00000002-710F-4BD7-97CF-CA61FD13204A}"/>
            </c:ext>
          </c:extLst>
        </c:ser>
        <c:ser>
          <c:idx val="3"/>
          <c:order val="3"/>
          <c:tx>
            <c:strRef>
              <c:f>Sheet1!$AL$14</c:f>
              <c:strCache>
                <c:ptCount val="1"/>
                <c:pt idx="0">
                  <c:v>Cohort 3</c:v>
                </c:pt>
              </c:strCache>
            </c:strRef>
          </c:tx>
          <c:spPr>
            <a:ln w="28575" cap="rnd">
              <a:solidFill>
                <a:schemeClr val="accent4"/>
              </a:solidFill>
              <a:prstDash val="dash"/>
              <a:round/>
            </a:ln>
            <a:effectLst/>
          </c:spPr>
          <c:marker>
            <c:symbol val="none"/>
          </c:marker>
          <c:cat>
            <c:strRef>
              <c:f>Sheet1!$AH$15:$AH$21</c:f>
              <c:strCache>
                <c:ptCount val="7"/>
                <c:pt idx="0">
                  <c:v>Baseline</c:v>
                </c:pt>
                <c:pt idx="1">
                  <c:v>0 - 6 months</c:v>
                </c:pt>
                <c:pt idx="2">
                  <c:v>7 - 12 months</c:v>
                </c:pt>
                <c:pt idx="3">
                  <c:v>13 - 18 months</c:v>
                </c:pt>
                <c:pt idx="4">
                  <c:v>19 - 24 months</c:v>
                </c:pt>
                <c:pt idx="5">
                  <c:v>25 - 30 months</c:v>
                </c:pt>
                <c:pt idx="6">
                  <c:v>31 - 36 months</c:v>
                </c:pt>
              </c:strCache>
            </c:strRef>
          </c:cat>
          <c:val>
            <c:numRef>
              <c:f>Sheet1!$AL$15:$AL$21</c:f>
              <c:numCache>
                <c:formatCode>0.00</c:formatCode>
                <c:ptCount val="7"/>
                <c:pt idx="0">
                  <c:v>0.26792450000000001</c:v>
                </c:pt>
                <c:pt idx="1">
                  <c:v>0.26100630000000002</c:v>
                </c:pt>
                <c:pt idx="2">
                  <c:v>0.35849059999999999</c:v>
                </c:pt>
                <c:pt idx="3">
                  <c:v>0.25477709999999998</c:v>
                </c:pt>
                <c:pt idx="4">
                  <c:v>0.115894</c:v>
                </c:pt>
                <c:pt idx="5">
                  <c:v>4.6082900000000003E-2</c:v>
                </c:pt>
              </c:numCache>
            </c:numRef>
          </c:val>
          <c:smooth val="0"/>
          <c:extLst>
            <c:ext xmlns:c16="http://schemas.microsoft.com/office/drawing/2014/chart" uri="{C3380CC4-5D6E-409C-BE32-E72D297353CC}">
              <c16:uniqueId val="{00000003-710F-4BD7-97CF-CA61FD13204A}"/>
            </c:ext>
          </c:extLst>
        </c:ser>
        <c:dLbls>
          <c:showLegendKey val="0"/>
          <c:showVal val="0"/>
          <c:showCatName val="0"/>
          <c:showSerName val="0"/>
          <c:showPercent val="0"/>
          <c:showBubbleSize val="0"/>
        </c:dLbls>
        <c:smooth val="0"/>
        <c:axId val="1041987904"/>
        <c:axId val="993886032"/>
      </c:lineChart>
      <c:catAx>
        <c:axId val="104198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93886032"/>
        <c:crosses val="autoZero"/>
        <c:auto val="1"/>
        <c:lblAlgn val="ctr"/>
        <c:lblOffset val="100"/>
        <c:noMultiLvlLbl val="0"/>
      </c:catAx>
      <c:valAx>
        <c:axId val="993886032"/>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AU" sz="900"/>
                  <a:t>Average interactions per month per client</a:t>
                </a:r>
              </a:p>
              <a:p>
                <a:pPr>
                  <a:defRPr sz="900"/>
                </a:pPr>
                <a:endParaRPr lang="en-AU" sz="900"/>
              </a:p>
            </c:rich>
          </c:tx>
          <c:layout>
            <c:manualLayout>
              <c:xMode val="edge"/>
              <c:yMode val="edge"/>
              <c:x val="3.7087743885530883E-3"/>
              <c:y val="8.7795275590551183E-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41987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Custom 8">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KPMG 2022 Brand">
    <a:dk1>
      <a:srgbClr val="000000"/>
    </a:dk1>
    <a:lt1>
      <a:sysClr val="window" lastClr="FFFFFF"/>
    </a:lt1>
    <a:dk2>
      <a:srgbClr val="00338D"/>
    </a:dk2>
    <a:lt2>
      <a:srgbClr val="F0F0F0"/>
    </a:lt2>
    <a:accent1>
      <a:srgbClr val="1E49E2"/>
    </a:accent1>
    <a:accent2>
      <a:srgbClr val="00B8F5"/>
    </a:accent2>
    <a:accent3>
      <a:srgbClr val="7213EA"/>
    </a:accent3>
    <a:accent4>
      <a:srgbClr val="00A3A1"/>
    </a:accent4>
    <a:accent5>
      <a:srgbClr val="FD349C"/>
    </a:accent5>
    <a:accent6>
      <a:srgbClr val="7030A0"/>
    </a:accent6>
    <a:hlink>
      <a:srgbClr val="0091DA"/>
    </a:hlink>
    <a:folHlink>
      <a:srgbClr val="0091DA"/>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254BC17BAC6941A101E5E28C49D49B" ma:contentTypeVersion="15" ma:contentTypeDescription="Create a new document." ma:contentTypeScope="" ma:versionID="2638e7de6b6530b4ddebb44caff64de6">
  <xsd:schema xmlns:xsd="http://www.w3.org/2001/XMLSchema" xmlns:xs="http://www.w3.org/2001/XMLSchema" xmlns:p="http://schemas.microsoft.com/office/2006/metadata/properties" xmlns:ns2="322dadf6-c5e8-4e8a-9ab5-31ee5faa1980" xmlns:ns3="063b2418-50fb-4f17-a88b-8a21fb13bd72" xmlns:ns4="4243d5be-521d-4052-81ca-f0f31ea6f2da" targetNamespace="http://schemas.microsoft.com/office/2006/metadata/properties" ma:root="true" ma:fieldsID="46a6cd7d48f1b9e88bbb0a8d8ac615d6" ns2:_="" ns3:_="" ns4:_="">
    <xsd:import namespace="322dadf6-c5e8-4e8a-9ab5-31ee5faa1980"/>
    <xsd:import namespace="063b2418-50fb-4f17-a88b-8a21fb13bd72"/>
    <xsd:import namespace="4243d5be-521d-4052-81ca-f0f31ea6f2d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ObjectDetectorVersion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2dadf6-c5e8-4e8a-9ab5-31ee5faa19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883d318-f35c-4577-94aa-4c8e836d27a7"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63b2418-50fb-4f17-a88b-8a21fb13bd7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243d5be-521d-4052-81ca-f0f31ea6f2da"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4e604fb9-0307-404a-8851-224cb3f2de1a}" ma:internalName="TaxCatchAll" ma:showField="CatchAllData" ma:web="063b2418-50fb-4f17-a88b-8a21fb13bd7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b:Source>
    <b:Tag>Int</b:Tag>
    <b:SourceType>Report</b:SourceType>
    <b:Guid>{28B92CC4-ABAC-45B8-9BE0-8D7879A0E805}</b:Guid>
    <b:Author>
      <b:Author>
        <b:NameList>
          <b:Person>
            <b:Last>Organisation</b:Last>
            <b:First>International</b:First>
            <b:Middle>Labour</b:Middle>
          </b:Person>
        </b:NameList>
      </b:Author>
    </b:Author>
    <b:Title>Manual on the Measurement of Volunteer work</b:Title>
    <b:Publisher>ILO</b:Publisher>
    <b:RefOrder>1</b:RefOrder>
  </b:Source>
</b:Sourc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063b2418-50fb-4f17-a88b-8a21fb13bd72">
      <UserInfo>
        <DisplayName>Crane, Oliver</DisplayName>
        <AccountId>37</AccountId>
        <AccountType/>
      </UserInfo>
      <UserInfo>
        <DisplayName>Reyes, Vianne</DisplayName>
        <AccountId>98</AccountId>
        <AccountType/>
      </UserInfo>
      <UserInfo>
        <DisplayName>Wallace, Ben</DisplayName>
        <AccountId>80</AccountId>
        <AccountType/>
      </UserInfo>
      <UserInfo>
        <DisplayName>Stone, Caitlin</DisplayName>
        <AccountId>12</AccountId>
        <AccountType/>
      </UserInfo>
      <UserInfo>
        <DisplayName>Ryan, Benjamin</DisplayName>
        <AccountId>51</AccountId>
        <AccountType/>
      </UserInfo>
      <UserInfo>
        <DisplayName>Sowa, Marcin</DisplayName>
        <AccountId>50</AccountId>
        <AccountType/>
      </UserInfo>
      <UserInfo>
        <DisplayName>Fay, Olivia</DisplayName>
        <AccountId>14</AccountId>
        <AccountType/>
      </UserInfo>
    </SharedWithUsers>
    <lcf76f155ced4ddcb4097134ff3c332f xmlns="322dadf6-c5e8-4e8a-9ab5-31ee5faa1980">
      <Terms xmlns="http://schemas.microsoft.com/office/infopath/2007/PartnerControls"/>
    </lcf76f155ced4ddcb4097134ff3c332f>
    <TaxCatchAll xmlns="4243d5be-521d-4052-81ca-f0f31ea6f2da" xsi:nil="true"/>
  </documentManagement>
</p:properties>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B90892B5-47B9-493E-8081-20ED3FDB32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2dadf6-c5e8-4e8a-9ab5-31ee5faa1980"/>
    <ds:schemaRef ds:uri="063b2418-50fb-4f17-a88b-8a21fb13bd72"/>
    <ds:schemaRef ds:uri="4243d5be-521d-4052-81ca-f0f31ea6f2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D26650-0BDA-43B1-AEBB-365735ACA724}">
  <ds:schemaRefs>
    <ds:schemaRef ds:uri="http://schemas.openxmlformats.org/officeDocument/2006/bibliography"/>
  </ds:schemaRefs>
</ds:datastoreItem>
</file>

<file path=customXml/itemProps3.xml><?xml version="1.0" encoding="utf-8"?>
<ds:datastoreItem xmlns:ds="http://schemas.openxmlformats.org/officeDocument/2006/customXml" ds:itemID="{D5267E47-3CF4-493F-BBD3-177BE31EFD5D}">
  <ds:schemaRefs>
    <ds:schemaRef ds:uri="http://schemas.microsoft.com/sharepoint/v3/contenttype/forms"/>
  </ds:schemaRefs>
</ds:datastoreItem>
</file>

<file path=customXml/itemProps4.xml><?xml version="1.0" encoding="utf-8"?>
<ds:datastoreItem xmlns:ds="http://schemas.openxmlformats.org/officeDocument/2006/customXml" ds:itemID="{4BA8A770-370A-4D05-A706-06E16B40CC2C}">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4243d5be-521d-4052-81ca-f0f31ea6f2da"/>
    <ds:schemaRef ds:uri="http://purl.org/dc/elements/1.1/"/>
    <ds:schemaRef ds:uri="http://schemas.microsoft.com/office/2006/metadata/properties"/>
    <ds:schemaRef ds:uri="063b2418-50fb-4f17-a88b-8a21fb13bd72"/>
    <ds:schemaRef ds:uri="322dadf6-c5e8-4e8a-9ab5-31ee5faa1980"/>
    <ds:schemaRef ds:uri="http://www.w3.org/XML/1998/namespace"/>
    <ds:schemaRef ds:uri="http://purl.org/dc/dcmitype/"/>
  </ds:schemaRefs>
</ds:datastoreItem>
</file>

<file path=customXml/itemProps5.xml><?xml version="1.0" encoding="utf-8"?>
<ds:datastoreItem xmlns:ds="http://schemas.openxmlformats.org/officeDocument/2006/customXml" ds:itemID="{579237D2-266D-47AC-A91A-A5E2CE94887A}">
  <ds:schemaRefs>
    <ds:schemaRef ds:uri="http://www.w3.org/2001/XMLSchema"/>
  </ds:schemaRefs>
</ds:datastoreItem>
</file>

<file path=docMetadata/LabelInfo.xml><?xml version="1.0" encoding="utf-8"?>
<clbl:labelList xmlns:clbl="http://schemas.microsoft.com/office/2020/mipLabelMetadata">
  <clbl:label id="{deff24bb-2089-4400-8c8e-f71e680378b2}" enabled="0" method="" siteId="{deff24bb-2089-4400-8c8e-f71e680378b2}" removed="1"/>
</clbl:labelList>
</file>

<file path=docProps/app.xml><?xml version="1.0" encoding="utf-8"?>
<Properties xmlns="http://schemas.openxmlformats.org/officeDocument/2006/extended-properties" xmlns:vt="http://schemas.openxmlformats.org/officeDocument/2006/docPropsVTypes">
  <Template>02_WORD TEMPLATE.dotx</Template>
  <TotalTime>0</TotalTime>
  <Pages>66</Pages>
  <Words>27972</Words>
  <Characters>151891</Characters>
  <Application>Microsoft Office Word</Application>
  <DocSecurity>0</DocSecurity>
  <Lines>2978</Lines>
  <Paragraphs>1712</Paragraphs>
  <ScaleCrop>false</ScaleCrop>
  <HeadingPairs>
    <vt:vector size="2" baseType="variant">
      <vt:variant>
        <vt:lpstr>Title</vt:lpstr>
      </vt:variant>
      <vt:variant>
        <vt:i4>1</vt:i4>
      </vt:variant>
    </vt:vector>
  </HeadingPairs>
  <TitlesOfParts>
    <vt:vector size="1" baseType="lpstr">
      <vt:lpstr>Proposal template A4 - Portrait</vt:lpstr>
    </vt:vector>
  </TitlesOfParts>
  <Company/>
  <LinksUpToDate>false</LinksUpToDate>
  <CharactersWithSpaces>178151</CharactersWithSpaces>
  <SharedDoc>false</SharedDoc>
  <HLinks>
    <vt:vector size="744" baseType="variant">
      <vt:variant>
        <vt:i4>7208967</vt:i4>
      </vt:variant>
      <vt:variant>
        <vt:i4>1191</vt:i4>
      </vt:variant>
      <vt:variant>
        <vt:i4>0</vt:i4>
      </vt:variant>
      <vt:variant>
        <vt:i4>5</vt:i4>
      </vt:variant>
      <vt:variant>
        <vt:lpwstr>mailto:cstone2@kpmg.com</vt:lpwstr>
      </vt:variant>
      <vt:variant>
        <vt:lpwstr/>
      </vt:variant>
      <vt:variant>
        <vt:i4>4456481</vt:i4>
      </vt:variant>
      <vt:variant>
        <vt:i4>1188</vt:i4>
      </vt:variant>
      <vt:variant>
        <vt:i4>0</vt:i4>
      </vt:variant>
      <vt:variant>
        <vt:i4>5</vt:i4>
      </vt:variant>
      <vt:variant>
        <vt:lpwstr>mailto:olilvercrane@kpmg.com.au</vt:lpwstr>
      </vt:variant>
      <vt:variant>
        <vt:lpwstr/>
      </vt:variant>
      <vt:variant>
        <vt:i4>4980841</vt:i4>
      </vt:variant>
      <vt:variant>
        <vt:i4>870</vt:i4>
      </vt:variant>
      <vt:variant>
        <vt:i4>0</vt:i4>
      </vt:variant>
      <vt:variant>
        <vt:i4>5</vt:i4>
      </vt:variant>
      <vt:variant>
        <vt:lpwstr/>
      </vt:variant>
      <vt:variant>
        <vt:lpwstr>_A2._TICSPOT_Analysis</vt:lpwstr>
      </vt:variant>
      <vt:variant>
        <vt:i4>4980841</vt:i4>
      </vt:variant>
      <vt:variant>
        <vt:i4>777</vt:i4>
      </vt:variant>
      <vt:variant>
        <vt:i4>0</vt:i4>
      </vt:variant>
      <vt:variant>
        <vt:i4>5</vt:i4>
      </vt:variant>
      <vt:variant>
        <vt:lpwstr/>
      </vt:variant>
      <vt:variant>
        <vt:lpwstr>_A2._TICSPOT_Analysis</vt:lpwstr>
      </vt:variant>
      <vt:variant>
        <vt:i4>6553665</vt:i4>
      </vt:variant>
      <vt:variant>
        <vt:i4>729</vt:i4>
      </vt:variant>
      <vt:variant>
        <vt:i4>0</vt:i4>
      </vt:variant>
      <vt:variant>
        <vt:i4>5</vt:i4>
      </vt:variant>
      <vt:variant>
        <vt:lpwstr/>
      </vt:variant>
      <vt:variant>
        <vt:lpwstr>_Progress_and_opportunities</vt:lpwstr>
      </vt:variant>
      <vt:variant>
        <vt:i4>8061002</vt:i4>
      </vt:variant>
      <vt:variant>
        <vt:i4>726</vt:i4>
      </vt:variant>
      <vt:variant>
        <vt:i4>0</vt:i4>
      </vt:variant>
      <vt:variant>
        <vt:i4>5</vt:i4>
      </vt:variant>
      <vt:variant>
        <vt:lpwstr/>
      </vt:variant>
      <vt:variant>
        <vt:lpwstr>_Cost_benefit_analysis</vt:lpwstr>
      </vt:variant>
      <vt:variant>
        <vt:i4>3276861</vt:i4>
      </vt:variant>
      <vt:variant>
        <vt:i4>723</vt:i4>
      </vt:variant>
      <vt:variant>
        <vt:i4>0</vt:i4>
      </vt:variant>
      <vt:variant>
        <vt:i4>5</vt:i4>
      </vt:variant>
      <vt:variant>
        <vt:lpwstr/>
      </vt:variant>
      <vt:variant>
        <vt:lpwstr>_Outcomes_evaluation</vt:lpwstr>
      </vt:variant>
      <vt:variant>
        <vt:i4>3080250</vt:i4>
      </vt:variant>
      <vt:variant>
        <vt:i4>720</vt:i4>
      </vt:variant>
      <vt:variant>
        <vt:i4>0</vt:i4>
      </vt:variant>
      <vt:variant>
        <vt:i4>5</vt:i4>
      </vt:variant>
      <vt:variant>
        <vt:lpwstr/>
      </vt:variant>
      <vt:variant>
        <vt:lpwstr>_Evaluation_overview</vt:lpwstr>
      </vt:variant>
      <vt:variant>
        <vt:i4>1835053</vt:i4>
      </vt:variant>
      <vt:variant>
        <vt:i4>717</vt:i4>
      </vt:variant>
      <vt:variant>
        <vt:i4>0</vt:i4>
      </vt:variant>
      <vt:variant>
        <vt:i4>5</vt:i4>
      </vt:variant>
      <vt:variant>
        <vt:lpwstr/>
      </vt:variant>
      <vt:variant>
        <vt:lpwstr>_Introduction</vt:lpwstr>
      </vt:variant>
      <vt:variant>
        <vt:i4>524329</vt:i4>
      </vt:variant>
      <vt:variant>
        <vt:i4>711</vt:i4>
      </vt:variant>
      <vt:variant>
        <vt:i4>0</vt:i4>
      </vt:variant>
      <vt:variant>
        <vt:i4>5</vt:i4>
      </vt:variant>
      <vt:variant>
        <vt:lpwstr/>
      </vt:variant>
      <vt:variant>
        <vt:lpwstr>_2._Evaluation_overview</vt:lpwstr>
      </vt:variant>
      <vt:variant>
        <vt:i4>1769524</vt:i4>
      </vt:variant>
      <vt:variant>
        <vt:i4>689</vt:i4>
      </vt:variant>
      <vt:variant>
        <vt:i4>0</vt:i4>
      </vt:variant>
      <vt:variant>
        <vt:i4>5</vt:i4>
      </vt:variant>
      <vt:variant>
        <vt:lpwstr/>
      </vt:variant>
      <vt:variant>
        <vt:lpwstr>_Toc160807552</vt:lpwstr>
      </vt:variant>
      <vt:variant>
        <vt:i4>1769524</vt:i4>
      </vt:variant>
      <vt:variant>
        <vt:i4>683</vt:i4>
      </vt:variant>
      <vt:variant>
        <vt:i4>0</vt:i4>
      </vt:variant>
      <vt:variant>
        <vt:i4>5</vt:i4>
      </vt:variant>
      <vt:variant>
        <vt:lpwstr/>
      </vt:variant>
      <vt:variant>
        <vt:lpwstr>_Toc160807551</vt:lpwstr>
      </vt:variant>
      <vt:variant>
        <vt:i4>1769524</vt:i4>
      </vt:variant>
      <vt:variant>
        <vt:i4>677</vt:i4>
      </vt:variant>
      <vt:variant>
        <vt:i4>0</vt:i4>
      </vt:variant>
      <vt:variant>
        <vt:i4>5</vt:i4>
      </vt:variant>
      <vt:variant>
        <vt:lpwstr/>
      </vt:variant>
      <vt:variant>
        <vt:lpwstr>_Toc160807550</vt:lpwstr>
      </vt:variant>
      <vt:variant>
        <vt:i4>1703988</vt:i4>
      </vt:variant>
      <vt:variant>
        <vt:i4>671</vt:i4>
      </vt:variant>
      <vt:variant>
        <vt:i4>0</vt:i4>
      </vt:variant>
      <vt:variant>
        <vt:i4>5</vt:i4>
      </vt:variant>
      <vt:variant>
        <vt:lpwstr/>
      </vt:variant>
      <vt:variant>
        <vt:lpwstr>_Toc160807549</vt:lpwstr>
      </vt:variant>
      <vt:variant>
        <vt:i4>1703988</vt:i4>
      </vt:variant>
      <vt:variant>
        <vt:i4>665</vt:i4>
      </vt:variant>
      <vt:variant>
        <vt:i4>0</vt:i4>
      </vt:variant>
      <vt:variant>
        <vt:i4>5</vt:i4>
      </vt:variant>
      <vt:variant>
        <vt:lpwstr/>
      </vt:variant>
      <vt:variant>
        <vt:lpwstr>_Toc160807548</vt:lpwstr>
      </vt:variant>
      <vt:variant>
        <vt:i4>1703988</vt:i4>
      </vt:variant>
      <vt:variant>
        <vt:i4>659</vt:i4>
      </vt:variant>
      <vt:variant>
        <vt:i4>0</vt:i4>
      </vt:variant>
      <vt:variant>
        <vt:i4>5</vt:i4>
      </vt:variant>
      <vt:variant>
        <vt:lpwstr/>
      </vt:variant>
      <vt:variant>
        <vt:lpwstr>_Toc160807547</vt:lpwstr>
      </vt:variant>
      <vt:variant>
        <vt:i4>1835063</vt:i4>
      </vt:variant>
      <vt:variant>
        <vt:i4>650</vt:i4>
      </vt:variant>
      <vt:variant>
        <vt:i4>0</vt:i4>
      </vt:variant>
      <vt:variant>
        <vt:i4>5</vt:i4>
      </vt:variant>
      <vt:variant>
        <vt:lpwstr/>
      </vt:variant>
      <vt:variant>
        <vt:lpwstr>_Toc153974237</vt:lpwstr>
      </vt:variant>
      <vt:variant>
        <vt:i4>1835063</vt:i4>
      </vt:variant>
      <vt:variant>
        <vt:i4>641</vt:i4>
      </vt:variant>
      <vt:variant>
        <vt:i4>0</vt:i4>
      </vt:variant>
      <vt:variant>
        <vt:i4>5</vt:i4>
      </vt:variant>
      <vt:variant>
        <vt:lpwstr/>
      </vt:variant>
      <vt:variant>
        <vt:lpwstr>_Toc153974236</vt:lpwstr>
      </vt:variant>
      <vt:variant>
        <vt:i4>1835063</vt:i4>
      </vt:variant>
      <vt:variant>
        <vt:i4>635</vt:i4>
      </vt:variant>
      <vt:variant>
        <vt:i4>0</vt:i4>
      </vt:variant>
      <vt:variant>
        <vt:i4>5</vt:i4>
      </vt:variant>
      <vt:variant>
        <vt:lpwstr/>
      </vt:variant>
      <vt:variant>
        <vt:lpwstr>_Toc153974235</vt:lpwstr>
      </vt:variant>
      <vt:variant>
        <vt:i4>1835063</vt:i4>
      </vt:variant>
      <vt:variant>
        <vt:i4>629</vt:i4>
      </vt:variant>
      <vt:variant>
        <vt:i4>0</vt:i4>
      </vt:variant>
      <vt:variant>
        <vt:i4>5</vt:i4>
      </vt:variant>
      <vt:variant>
        <vt:lpwstr/>
      </vt:variant>
      <vt:variant>
        <vt:lpwstr>_Toc153974234</vt:lpwstr>
      </vt:variant>
      <vt:variant>
        <vt:i4>1835063</vt:i4>
      </vt:variant>
      <vt:variant>
        <vt:i4>623</vt:i4>
      </vt:variant>
      <vt:variant>
        <vt:i4>0</vt:i4>
      </vt:variant>
      <vt:variant>
        <vt:i4>5</vt:i4>
      </vt:variant>
      <vt:variant>
        <vt:lpwstr/>
      </vt:variant>
      <vt:variant>
        <vt:lpwstr>_Toc153974233</vt:lpwstr>
      </vt:variant>
      <vt:variant>
        <vt:i4>1835063</vt:i4>
      </vt:variant>
      <vt:variant>
        <vt:i4>617</vt:i4>
      </vt:variant>
      <vt:variant>
        <vt:i4>0</vt:i4>
      </vt:variant>
      <vt:variant>
        <vt:i4>5</vt:i4>
      </vt:variant>
      <vt:variant>
        <vt:lpwstr/>
      </vt:variant>
      <vt:variant>
        <vt:lpwstr>_Toc153974232</vt:lpwstr>
      </vt:variant>
      <vt:variant>
        <vt:i4>1835063</vt:i4>
      </vt:variant>
      <vt:variant>
        <vt:i4>611</vt:i4>
      </vt:variant>
      <vt:variant>
        <vt:i4>0</vt:i4>
      </vt:variant>
      <vt:variant>
        <vt:i4>5</vt:i4>
      </vt:variant>
      <vt:variant>
        <vt:lpwstr/>
      </vt:variant>
      <vt:variant>
        <vt:lpwstr>_Toc153974231</vt:lpwstr>
      </vt:variant>
      <vt:variant>
        <vt:i4>1835063</vt:i4>
      </vt:variant>
      <vt:variant>
        <vt:i4>605</vt:i4>
      </vt:variant>
      <vt:variant>
        <vt:i4>0</vt:i4>
      </vt:variant>
      <vt:variant>
        <vt:i4>5</vt:i4>
      </vt:variant>
      <vt:variant>
        <vt:lpwstr/>
      </vt:variant>
      <vt:variant>
        <vt:lpwstr>_Toc153974230</vt:lpwstr>
      </vt:variant>
      <vt:variant>
        <vt:i4>1900599</vt:i4>
      </vt:variant>
      <vt:variant>
        <vt:i4>599</vt:i4>
      </vt:variant>
      <vt:variant>
        <vt:i4>0</vt:i4>
      </vt:variant>
      <vt:variant>
        <vt:i4>5</vt:i4>
      </vt:variant>
      <vt:variant>
        <vt:lpwstr/>
      </vt:variant>
      <vt:variant>
        <vt:lpwstr>_Toc153974229</vt:lpwstr>
      </vt:variant>
      <vt:variant>
        <vt:i4>1900599</vt:i4>
      </vt:variant>
      <vt:variant>
        <vt:i4>593</vt:i4>
      </vt:variant>
      <vt:variant>
        <vt:i4>0</vt:i4>
      </vt:variant>
      <vt:variant>
        <vt:i4>5</vt:i4>
      </vt:variant>
      <vt:variant>
        <vt:lpwstr/>
      </vt:variant>
      <vt:variant>
        <vt:lpwstr>_Toc153974228</vt:lpwstr>
      </vt:variant>
      <vt:variant>
        <vt:i4>1900599</vt:i4>
      </vt:variant>
      <vt:variant>
        <vt:i4>587</vt:i4>
      </vt:variant>
      <vt:variant>
        <vt:i4>0</vt:i4>
      </vt:variant>
      <vt:variant>
        <vt:i4>5</vt:i4>
      </vt:variant>
      <vt:variant>
        <vt:lpwstr/>
      </vt:variant>
      <vt:variant>
        <vt:lpwstr>_Toc153974227</vt:lpwstr>
      </vt:variant>
      <vt:variant>
        <vt:i4>1900599</vt:i4>
      </vt:variant>
      <vt:variant>
        <vt:i4>581</vt:i4>
      </vt:variant>
      <vt:variant>
        <vt:i4>0</vt:i4>
      </vt:variant>
      <vt:variant>
        <vt:i4>5</vt:i4>
      </vt:variant>
      <vt:variant>
        <vt:lpwstr/>
      </vt:variant>
      <vt:variant>
        <vt:lpwstr>_Toc153974226</vt:lpwstr>
      </vt:variant>
      <vt:variant>
        <vt:i4>1900599</vt:i4>
      </vt:variant>
      <vt:variant>
        <vt:i4>575</vt:i4>
      </vt:variant>
      <vt:variant>
        <vt:i4>0</vt:i4>
      </vt:variant>
      <vt:variant>
        <vt:i4>5</vt:i4>
      </vt:variant>
      <vt:variant>
        <vt:lpwstr/>
      </vt:variant>
      <vt:variant>
        <vt:lpwstr>_Toc153974225</vt:lpwstr>
      </vt:variant>
      <vt:variant>
        <vt:i4>1900599</vt:i4>
      </vt:variant>
      <vt:variant>
        <vt:i4>569</vt:i4>
      </vt:variant>
      <vt:variant>
        <vt:i4>0</vt:i4>
      </vt:variant>
      <vt:variant>
        <vt:i4>5</vt:i4>
      </vt:variant>
      <vt:variant>
        <vt:lpwstr/>
      </vt:variant>
      <vt:variant>
        <vt:lpwstr>_Toc153974224</vt:lpwstr>
      </vt:variant>
      <vt:variant>
        <vt:i4>1900599</vt:i4>
      </vt:variant>
      <vt:variant>
        <vt:i4>563</vt:i4>
      </vt:variant>
      <vt:variant>
        <vt:i4>0</vt:i4>
      </vt:variant>
      <vt:variant>
        <vt:i4>5</vt:i4>
      </vt:variant>
      <vt:variant>
        <vt:lpwstr/>
      </vt:variant>
      <vt:variant>
        <vt:lpwstr>_Toc153974223</vt:lpwstr>
      </vt:variant>
      <vt:variant>
        <vt:i4>1900599</vt:i4>
      </vt:variant>
      <vt:variant>
        <vt:i4>557</vt:i4>
      </vt:variant>
      <vt:variant>
        <vt:i4>0</vt:i4>
      </vt:variant>
      <vt:variant>
        <vt:i4>5</vt:i4>
      </vt:variant>
      <vt:variant>
        <vt:lpwstr/>
      </vt:variant>
      <vt:variant>
        <vt:lpwstr>_Toc153974222</vt:lpwstr>
      </vt:variant>
      <vt:variant>
        <vt:i4>1900599</vt:i4>
      </vt:variant>
      <vt:variant>
        <vt:i4>551</vt:i4>
      </vt:variant>
      <vt:variant>
        <vt:i4>0</vt:i4>
      </vt:variant>
      <vt:variant>
        <vt:i4>5</vt:i4>
      </vt:variant>
      <vt:variant>
        <vt:lpwstr/>
      </vt:variant>
      <vt:variant>
        <vt:lpwstr>_Toc153974221</vt:lpwstr>
      </vt:variant>
      <vt:variant>
        <vt:i4>1900599</vt:i4>
      </vt:variant>
      <vt:variant>
        <vt:i4>545</vt:i4>
      </vt:variant>
      <vt:variant>
        <vt:i4>0</vt:i4>
      </vt:variant>
      <vt:variant>
        <vt:i4>5</vt:i4>
      </vt:variant>
      <vt:variant>
        <vt:lpwstr/>
      </vt:variant>
      <vt:variant>
        <vt:lpwstr>_Toc153974220</vt:lpwstr>
      </vt:variant>
      <vt:variant>
        <vt:i4>1966135</vt:i4>
      </vt:variant>
      <vt:variant>
        <vt:i4>536</vt:i4>
      </vt:variant>
      <vt:variant>
        <vt:i4>0</vt:i4>
      </vt:variant>
      <vt:variant>
        <vt:i4>5</vt:i4>
      </vt:variant>
      <vt:variant>
        <vt:lpwstr/>
      </vt:variant>
      <vt:variant>
        <vt:lpwstr>_Toc153974217</vt:lpwstr>
      </vt:variant>
      <vt:variant>
        <vt:i4>1835063</vt:i4>
      </vt:variant>
      <vt:variant>
        <vt:i4>527</vt:i4>
      </vt:variant>
      <vt:variant>
        <vt:i4>0</vt:i4>
      </vt:variant>
      <vt:variant>
        <vt:i4>5</vt:i4>
      </vt:variant>
      <vt:variant>
        <vt:lpwstr/>
      </vt:variant>
      <vt:variant>
        <vt:lpwstr>_Toc160807622</vt:lpwstr>
      </vt:variant>
      <vt:variant>
        <vt:i4>1835063</vt:i4>
      </vt:variant>
      <vt:variant>
        <vt:i4>521</vt:i4>
      </vt:variant>
      <vt:variant>
        <vt:i4>0</vt:i4>
      </vt:variant>
      <vt:variant>
        <vt:i4>5</vt:i4>
      </vt:variant>
      <vt:variant>
        <vt:lpwstr/>
      </vt:variant>
      <vt:variant>
        <vt:lpwstr>_Toc160807621</vt:lpwstr>
      </vt:variant>
      <vt:variant>
        <vt:i4>1835063</vt:i4>
      </vt:variant>
      <vt:variant>
        <vt:i4>515</vt:i4>
      </vt:variant>
      <vt:variant>
        <vt:i4>0</vt:i4>
      </vt:variant>
      <vt:variant>
        <vt:i4>5</vt:i4>
      </vt:variant>
      <vt:variant>
        <vt:lpwstr/>
      </vt:variant>
      <vt:variant>
        <vt:lpwstr>_Toc160807620</vt:lpwstr>
      </vt:variant>
      <vt:variant>
        <vt:i4>2031671</vt:i4>
      </vt:variant>
      <vt:variant>
        <vt:i4>509</vt:i4>
      </vt:variant>
      <vt:variant>
        <vt:i4>0</vt:i4>
      </vt:variant>
      <vt:variant>
        <vt:i4>5</vt:i4>
      </vt:variant>
      <vt:variant>
        <vt:lpwstr/>
      </vt:variant>
      <vt:variant>
        <vt:lpwstr>_Toc160807619</vt:lpwstr>
      </vt:variant>
      <vt:variant>
        <vt:i4>2031671</vt:i4>
      </vt:variant>
      <vt:variant>
        <vt:i4>503</vt:i4>
      </vt:variant>
      <vt:variant>
        <vt:i4>0</vt:i4>
      </vt:variant>
      <vt:variant>
        <vt:i4>5</vt:i4>
      </vt:variant>
      <vt:variant>
        <vt:lpwstr/>
      </vt:variant>
      <vt:variant>
        <vt:lpwstr>_Toc160807618</vt:lpwstr>
      </vt:variant>
      <vt:variant>
        <vt:i4>2031671</vt:i4>
      </vt:variant>
      <vt:variant>
        <vt:i4>497</vt:i4>
      </vt:variant>
      <vt:variant>
        <vt:i4>0</vt:i4>
      </vt:variant>
      <vt:variant>
        <vt:i4>5</vt:i4>
      </vt:variant>
      <vt:variant>
        <vt:lpwstr/>
      </vt:variant>
      <vt:variant>
        <vt:lpwstr>_Toc160807617</vt:lpwstr>
      </vt:variant>
      <vt:variant>
        <vt:i4>2031671</vt:i4>
      </vt:variant>
      <vt:variant>
        <vt:i4>491</vt:i4>
      </vt:variant>
      <vt:variant>
        <vt:i4>0</vt:i4>
      </vt:variant>
      <vt:variant>
        <vt:i4>5</vt:i4>
      </vt:variant>
      <vt:variant>
        <vt:lpwstr/>
      </vt:variant>
      <vt:variant>
        <vt:lpwstr>_Toc160807616</vt:lpwstr>
      </vt:variant>
      <vt:variant>
        <vt:i4>2031671</vt:i4>
      </vt:variant>
      <vt:variant>
        <vt:i4>485</vt:i4>
      </vt:variant>
      <vt:variant>
        <vt:i4>0</vt:i4>
      </vt:variant>
      <vt:variant>
        <vt:i4>5</vt:i4>
      </vt:variant>
      <vt:variant>
        <vt:lpwstr/>
      </vt:variant>
      <vt:variant>
        <vt:lpwstr>_Toc160807615</vt:lpwstr>
      </vt:variant>
      <vt:variant>
        <vt:i4>2031671</vt:i4>
      </vt:variant>
      <vt:variant>
        <vt:i4>479</vt:i4>
      </vt:variant>
      <vt:variant>
        <vt:i4>0</vt:i4>
      </vt:variant>
      <vt:variant>
        <vt:i4>5</vt:i4>
      </vt:variant>
      <vt:variant>
        <vt:lpwstr/>
      </vt:variant>
      <vt:variant>
        <vt:lpwstr>_Toc160807614</vt:lpwstr>
      </vt:variant>
      <vt:variant>
        <vt:i4>2031671</vt:i4>
      </vt:variant>
      <vt:variant>
        <vt:i4>473</vt:i4>
      </vt:variant>
      <vt:variant>
        <vt:i4>0</vt:i4>
      </vt:variant>
      <vt:variant>
        <vt:i4>5</vt:i4>
      </vt:variant>
      <vt:variant>
        <vt:lpwstr/>
      </vt:variant>
      <vt:variant>
        <vt:lpwstr>_Toc160807613</vt:lpwstr>
      </vt:variant>
      <vt:variant>
        <vt:i4>2031671</vt:i4>
      </vt:variant>
      <vt:variant>
        <vt:i4>467</vt:i4>
      </vt:variant>
      <vt:variant>
        <vt:i4>0</vt:i4>
      </vt:variant>
      <vt:variant>
        <vt:i4>5</vt:i4>
      </vt:variant>
      <vt:variant>
        <vt:lpwstr/>
      </vt:variant>
      <vt:variant>
        <vt:lpwstr>_Toc160807612</vt:lpwstr>
      </vt:variant>
      <vt:variant>
        <vt:i4>2031671</vt:i4>
      </vt:variant>
      <vt:variant>
        <vt:i4>461</vt:i4>
      </vt:variant>
      <vt:variant>
        <vt:i4>0</vt:i4>
      </vt:variant>
      <vt:variant>
        <vt:i4>5</vt:i4>
      </vt:variant>
      <vt:variant>
        <vt:lpwstr/>
      </vt:variant>
      <vt:variant>
        <vt:lpwstr>_Toc160807611</vt:lpwstr>
      </vt:variant>
      <vt:variant>
        <vt:i4>2031671</vt:i4>
      </vt:variant>
      <vt:variant>
        <vt:i4>455</vt:i4>
      </vt:variant>
      <vt:variant>
        <vt:i4>0</vt:i4>
      </vt:variant>
      <vt:variant>
        <vt:i4>5</vt:i4>
      </vt:variant>
      <vt:variant>
        <vt:lpwstr/>
      </vt:variant>
      <vt:variant>
        <vt:lpwstr>_Toc160807610</vt:lpwstr>
      </vt:variant>
      <vt:variant>
        <vt:i4>1966135</vt:i4>
      </vt:variant>
      <vt:variant>
        <vt:i4>449</vt:i4>
      </vt:variant>
      <vt:variant>
        <vt:i4>0</vt:i4>
      </vt:variant>
      <vt:variant>
        <vt:i4>5</vt:i4>
      </vt:variant>
      <vt:variant>
        <vt:lpwstr/>
      </vt:variant>
      <vt:variant>
        <vt:lpwstr>_Toc160807609</vt:lpwstr>
      </vt:variant>
      <vt:variant>
        <vt:i4>1966135</vt:i4>
      </vt:variant>
      <vt:variant>
        <vt:i4>443</vt:i4>
      </vt:variant>
      <vt:variant>
        <vt:i4>0</vt:i4>
      </vt:variant>
      <vt:variant>
        <vt:i4>5</vt:i4>
      </vt:variant>
      <vt:variant>
        <vt:lpwstr/>
      </vt:variant>
      <vt:variant>
        <vt:lpwstr>_Toc160807608</vt:lpwstr>
      </vt:variant>
      <vt:variant>
        <vt:i4>1966135</vt:i4>
      </vt:variant>
      <vt:variant>
        <vt:i4>437</vt:i4>
      </vt:variant>
      <vt:variant>
        <vt:i4>0</vt:i4>
      </vt:variant>
      <vt:variant>
        <vt:i4>5</vt:i4>
      </vt:variant>
      <vt:variant>
        <vt:lpwstr/>
      </vt:variant>
      <vt:variant>
        <vt:lpwstr>_Toc160807607</vt:lpwstr>
      </vt:variant>
      <vt:variant>
        <vt:i4>1966135</vt:i4>
      </vt:variant>
      <vt:variant>
        <vt:i4>431</vt:i4>
      </vt:variant>
      <vt:variant>
        <vt:i4>0</vt:i4>
      </vt:variant>
      <vt:variant>
        <vt:i4>5</vt:i4>
      </vt:variant>
      <vt:variant>
        <vt:lpwstr/>
      </vt:variant>
      <vt:variant>
        <vt:lpwstr>_Toc160807606</vt:lpwstr>
      </vt:variant>
      <vt:variant>
        <vt:i4>1966135</vt:i4>
      </vt:variant>
      <vt:variant>
        <vt:i4>425</vt:i4>
      </vt:variant>
      <vt:variant>
        <vt:i4>0</vt:i4>
      </vt:variant>
      <vt:variant>
        <vt:i4>5</vt:i4>
      </vt:variant>
      <vt:variant>
        <vt:lpwstr/>
      </vt:variant>
      <vt:variant>
        <vt:lpwstr>_Toc160807605</vt:lpwstr>
      </vt:variant>
      <vt:variant>
        <vt:i4>1966135</vt:i4>
      </vt:variant>
      <vt:variant>
        <vt:i4>419</vt:i4>
      </vt:variant>
      <vt:variant>
        <vt:i4>0</vt:i4>
      </vt:variant>
      <vt:variant>
        <vt:i4>5</vt:i4>
      </vt:variant>
      <vt:variant>
        <vt:lpwstr/>
      </vt:variant>
      <vt:variant>
        <vt:lpwstr>_Toc160807604</vt:lpwstr>
      </vt:variant>
      <vt:variant>
        <vt:i4>1966135</vt:i4>
      </vt:variant>
      <vt:variant>
        <vt:i4>413</vt:i4>
      </vt:variant>
      <vt:variant>
        <vt:i4>0</vt:i4>
      </vt:variant>
      <vt:variant>
        <vt:i4>5</vt:i4>
      </vt:variant>
      <vt:variant>
        <vt:lpwstr/>
      </vt:variant>
      <vt:variant>
        <vt:lpwstr>_Toc160807603</vt:lpwstr>
      </vt:variant>
      <vt:variant>
        <vt:i4>1966135</vt:i4>
      </vt:variant>
      <vt:variant>
        <vt:i4>407</vt:i4>
      </vt:variant>
      <vt:variant>
        <vt:i4>0</vt:i4>
      </vt:variant>
      <vt:variant>
        <vt:i4>5</vt:i4>
      </vt:variant>
      <vt:variant>
        <vt:lpwstr/>
      </vt:variant>
      <vt:variant>
        <vt:lpwstr>_Toc160807602</vt:lpwstr>
      </vt:variant>
      <vt:variant>
        <vt:i4>1966135</vt:i4>
      </vt:variant>
      <vt:variant>
        <vt:i4>401</vt:i4>
      </vt:variant>
      <vt:variant>
        <vt:i4>0</vt:i4>
      </vt:variant>
      <vt:variant>
        <vt:i4>5</vt:i4>
      </vt:variant>
      <vt:variant>
        <vt:lpwstr/>
      </vt:variant>
      <vt:variant>
        <vt:lpwstr>_Toc160807601</vt:lpwstr>
      </vt:variant>
      <vt:variant>
        <vt:i4>1966135</vt:i4>
      </vt:variant>
      <vt:variant>
        <vt:i4>395</vt:i4>
      </vt:variant>
      <vt:variant>
        <vt:i4>0</vt:i4>
      </vt:variant>
      <vt:variant>
        <vt:i4>5</vt:i4>
      </vt:variant>
      <vt:variant>
        <vt:lpwstr/>
      </vt:variant>
      <vt:variant>
        <vt:lpwstr>_Toc160807600</vt:lpwstr>
      </vt:variant>
      <vt:variant>
        <vt:i4>1507380</vt:i4>
      </vt:variant>
      <vt:variant>
        <vt:i4>389</vt:i4>
      </vt:variant>
      <vt:variant>
        <vt:i4>0</vt:i4>
      </vt:variant>
      <vt:variant>
        <vt:i4>5</vt:i4>
      </vt:variant>
      <vt:variant>
        <vt:lpwstr/>
      </vt:variant>
      <vt:variant>
        <vt:lpwstr>_Toc160807599</vt:lpwstr>
      </vt:variant>
      <vt:variant>
        <vt:i4>1507380</vt:i4>
      </vt:variant>
      <vt:variant>
        <vt:i4>383</vt:i4>
      </vt:variant>
      <vt:variant>
        <vt:i4>0</vt:i4>
      </vt:variant>
      <vt:variant>
        <vt:i4>5</vt:i4>
      </vt:variant>
      <vt:variant>
        <vt:lpwstr/>
      </vt:variant>
      <vt:variant>
        <vt:lpwstr>_Toc160807598</vt:lpwstr>
      </vt:variant>
      <vt:variant>
        <vt:i4>1507380</vt:i4>
      </vt:variant>
      <vt:variant>
        <vt:i4>377</vt:i4>
      </vt:variant>
      <vt:variant>
        <vt:i4>0</vt:i4>
      </vt:variant>
      <vt:variant>
        <vt:i4>5</vt:i4>
      </vt:variant>
      <vt:variant>
        <vt:lpwstr/>
      </vt:variant>
      <vt:variant>
        <vt:lpwstr>_Toc160807597</vt:lpwstr>
      </vt:variant>
      <vt:variant>
        <vt:i4>1507380</vt:i4>
      </vt:variant>
      <vt:variant>
        <vt:i4>371</vt:i4>
      </vt:variant>
      <vt:variant>
        <vt:i4>0</vt:i4>
      </vt:variant>
      <vt:variant>
        <vt:i4>5</vt:i4>
      </vt:variant>
      <vt:variant>
        <vt:lpwstr/>
      </vt:variant>
      <vt:variant>
        <vt:lpwstr>_Toc160807596</vt:lpwstr>
      </vt:variant>
      <vt:variant>
        <vt:i4>1507380</vt:i4>
      </vt:variant>
      <vt:variant>
        <vt:i4>365</vt:i4>
      </vt:variant>
      <vt:variant>
        <vt:i4>0</vt:i4>
      </vt:variant>
      <vt:variant>
        <vt:i4>5</vt:i4>
      </vt:variant>
      <vt:variant>
        <vt:lpwstr/>
      </vt:variant>
      <vt:variant>
        <vt:lpwstr>_Toc160807595</vt:lpwstr>
      </vt:variant>
      <vt:variant>
        <vt:i4>1507380</vt:i4>
      </vt:variant>
      <vt:variant>
        <vt:i4>359</vt:i4>
      </vt:variant>
      <vt:variant>
        <vt:i4>0</vt:i4>
      </vt:variant>
      <vt:variant>
        <vt:i4>5</vt:i4>
      </vt:variant>
      <vt:variant>
        <vt:lpwstr/>
      </vt:variant>
      <vt:variant>
        <vt:lpwstr>_Toc160807594</vt:lpwstr>
      </vt:variant>
      <vt:variant>
        <vt:i4>1507380</vt:i4>
      </vt:variant>
      <vt:variant>
        <vt:i4>353</vt:i4>
      </vt:variant>
      <vt:variant>
        <vt:i4>0</vt:i4>
      </vt:variant>
      <vt:variant>
        <vt:i4>5</vt:i4>
      </vt:variant>
      <vt:variant>
        <vt:lpwstr/>
      </vt:variant>
      <vt:variant>
        <vt:lpwstr>_Toc160807593</vt:lpwstr>
      </vt:variant>
      <vt:variant>
        <vt:i4>1507380</vt:i4>
      </vt:variant>
      <vt:variant>
        <vt:i4>347</vt:i4>
      </vt:variant>
      <vt:variant>
        <vt:i4>0</vt:i4>
      </vt:variant>
      <vt:variant>
        <vt:i4>5</vt:i4>
      </vt:variant>
      <vt:variant>
        <vt:lpwstr/>
      </vt:variant>
      <vt:variant>
        <vt:lpwstr>_Toc160807592</vt:lpwstr>
      </vt:variant>
      <vt:variant>
        <vt:i4>1507380</vt:i4>
      </vt:variant>
      <vt:variant>
        <vt:i4>341</vt:i4>
      </vt:variant>
      <vt:variant>
        <vt:i4>0</vt:i4>
      </vt:variant>
      <vt:variant>
        <vt:i4>5</vt:i4>
      </vt:variant>
      <vt:variant>
        <vt:lpwstr/>
      </vt:variant>
      <vt:variant>
        <vt:lpwstr>_Toc160807591</vt:lpwstr>
      </vt:variant>
      <vt:variant>
        <vt:i4>1507380</vt:i4>
      </vt:variant>
      <vt:variant>
        <vt:i4>335</vt:i4>
      </vt:variant>
      <vt:variant>
        <vt:i4>0</vt:i4>
      </vt:variant>
      <vt:variant>
        <vt:i4>5</vt:i4>
      </vt:variant>
      <vt:variant>
        <vt:lpwstr/>
      </vt:variant>
      <vt:variant>
        <vt:lpwstr>_Toc160807590</vt:lpwstr>
      </vt:variant>
      <vt:variant>
        <vt:i4>1441844</vt:i4>
      </vt:variant>
      <vt:variant>
        <vt:i4>329</vt:i4>
      </vt:variant>
      <vt:variant>
        <vt:i4>0</vt:i4>
      </vt:variant>
      <vt:variant>
        <vt:i4>5</vt:i4>
      </vt:variant>
      <vt:variant>
        <vt:lpwstr/>
      </vt:variant>
      <vt:variant>
        <vt:lpwstr>_Toc160807589</vt:lpwstr>
      </vt:variant>
      <vt:variant>
        <vt:i4>1441844</vt:i4>
      </vt:variant>
      <vt:variant>
        <vt:i4>323</vt:i4>
      </vt:variant>
      <vt:variant>
        <vt:i4>0</vt:i4>
      </vt:variant>
      <vt:variant>
        <vt:i4>5</vt:i4>
      </vt:variant>
      <vt:variant>
        <vt:lpwstr/>
      </vt:variant>
      <vt:variant>
        <vt:lpwstr>_Toc160807588</vt:lpwstr>
      </vt:variant>
      <vt:variant>
        <vt:i4>1441844</vt:i4>
      </vt:variant>
      <vt:variant>
        <vt:i4>317</vt:i4>
      </vt:variant>
      <vt:variant>
        <vt:i4>0</vt:i4>
      </vt:variant>
      <vt:variant>
        <vt:i4>5</vt:i4>
      </vt:variant>
      <vt:variant>
        <vt:lpwstr/>
      </vt:variant>
      <vt:variant>
        <vt:lpwstr>_Toc160807587</vt:lpwstr>
      </vt:variant>
      <vt:variant>
        <vt:i4>1441844</vt:i4>
      </vt:variant>
      <vt:variant>
        <vt:i4>311</vt:i4>
      </vt:variant>
      <vt:variant>
        <vt:i4>0</vt:i4>
      </vt:variant>
      <vt:variant>
        <vt:i4>5</vt:i4>
      </vt:variant>
      <vt:variant>
        <vt:lpwstr/>
      </vt:variant>
      <vt:variant>
        <vt:lpwstr>_Toc160807586</vt:lpwstr>
      </vt:variant>
      <vt:variant>
        <vt:i4>1441844</vt:i4>
      </vt:variant>
      <vt:variant>
        <vt:i4>305</vt:i4>
      </vt:variant>
      <vt:variant>
        <vt:i4>0</vt:i4>
      </vt:variant>
      <vt:variant>
        <vt:i4>5</vt:i4>
      </vt:variant>
      <vt:variant>
        <vt:lpwstr/>
      </vt:variant>
      <vt:variant>
        <vt:lpwstr>_Toc160807585</vt:lpwstr>
      </vt:variant>
      <vt:variant>
        <vt:i4>1441844</vt:i4>
      </vt:variant>
      <vt:variant>
        <vt:i4>299</vt:i4>
      </vt:variant>
      <vt:variant>
        <vt:i4>0</vt:i4>
      </vt:variant>
      <vt:variant>
        <vt:i4>5</vt:i4>
      </vt:variant>
      <vt:variant>
        <vt:lpwstr/>
      </vt:variant>
      <vt:variant>
        <vt:lpwstr>_Toc160807584</vt:lpwstr>
      </vt:variant>
      <vt:variant>
        <vt:i4>1441844</vt:i4>
      </vt:variant>
      <vt:variant>
        <vt:i4>293</vt:i4>
      </vt:variant>
      <vt:variant>
        <vt:i4>0</vt:i4>
      </vt:variant>
      <vt:variant>
        <vt:i4>5</vt:i4>
      </vt:variant>
      <vt:variant>
        <vt:lpwstr/>
      </vt:variant>
      <vt:variant>
        <vt:lpwstr>_Toc160807583</vt:lpwstr>
      </vt:variant>
      <vt:variant>
        <vt:i4>1441844</vt:i4>
      </vt:variant>
      <vt:variant>
        <vt:i4>287</vt:i4>
      </vt:variant>
      <vt:variant>
        <vt:i4>0</vt:i4>
      </vt:variant>
      <vt:variant>
        <vt:i4>5</vt:i4>
      </vt:variant>
      <vt:variant>
        <vt:lpwstr/>
      </vt:variant>
      <vt:variant>
        <vt:lpwstr>_Toc160807582</vt:lpwstr>
      </vt:variant>
      <vt:variant>
        <vt:i4>1441844</vt:i4>
      </vt:variant>
      <vt:variant>
        <vt:i4>281</vt:i4>
      </vt:variant>
      <vt:variant>
        <vt:i4>0</vt:i4>
      </vt:variant>
      <vt:variant>
        <vt:i4>5</vt:i4>
      </vt:variant>
      <vt:variant>
        <vt:lpwstr/>
      </vt:variant>
      <vt:variant>
        <vt:lpwstr>_Toc160807581</vt:lpwstr>
      </vt:variant>
      <vt:variant>
        <vt:i4>1441844</vt:i4>
      </vt:variant>
      <vt:variant>
        <vt:i4>275</vt:i4>
      </vt:variant>
      <vt:variant>
        <vt:i4>0</vt:i4>
      </vt:variant>
      <vt:variant>
        <vt:i4>5</vt:i4>
      </vt:variant>
      <vt:variant>
        <vt:lpwstr/>
      </vt:variant>
      <vt:variant>
        <vt:lpwstr>_Toc160807580</vt:lpwstr>
      </vt:variant>
      <vt:variant>
        <vt:i4>1638452</vt:i4>
      </vt:variant>
      <vt:variant>
        <vt:i4>269</vt:i4>
      </vt:variant>
      <vt:variant>
        <vt:i4>0</vt:i4>
      </vt:variant>
      <vt:variant>
        <vt:i4>5</vt:i4>
      </vt:variant>
      <vt:variant>
        <vt:lpwstr/>
      </vt:variant>
      <vt:variant>
        <vt:lpwstr>_Toc160807579</vt:lpwstr>
      </vt:variant>
      <vt:variant>
        <vt:i4>1638452</vt:i4>
      </vt:variant>
      <vt:variant>
        <vt:i4>263</vt:i4>
      </vt:variant>
      <vt:variant>
        <vt:i4>0</vt:i4>
      </vt:variant>
      <vt:variant>
        <vt:i4>5</vt:i4>
      </vt:variant>
      <vt:variant>
        <vt:lpwstr/>
      </vt:variant>
      <vt:variant>
        <vt:lpwstr>_Toc160807578</vt:lpwstr>
      </vt:variant>
      <vt:variant>
        <vt:i4>1638452</vt:i4>
      </vt:variant>
      <vt:variant>
        <vt:i4>257</vt:i4>
      </vt:variant>
      <vt:variant>
        <vt:i4>0</vt:i4>
      </vt:variant>
      <vt:variant>
        <vt:i4>5</vt:i4>
      </vt:variant>
      <vt:variant>
        <vt:lpwstr/>
      </vt:variant>
      <vt:variant>
        <vt:lpwstr>_Toc160807577</vt:lpwstr>
      </vt:variant>
      <vt:variant>
        <vt:i4>1572916</vt:i4>
      </vt:variant>
      <vt:variant>
        <vt:i4>248</vt:i4>
      </vt:variant>
      <vt:variant>
        <vt:i4>0</vt:i4>
      </vt:variant>
      <vt:variant>
        <vt:i4>5</vt:i4>
      </vt:variant>
      <vt:variant>
        <vt:lpwstr/>
      </vt:variant>
      <vt:variant>
        <vt:lpwstr>_Toc153974170</vt:lpwstr>
      </vt:variant>
      <vt:variant>
        <vt:i4>1638452</vt:i4>
      </vt:variant>
      <vt:variant>
        <vt:i4>242</vt:i4>
      </vt:variant>
      <vt:variant>
        <vt:i4>0</vt:i4>
      </vt:variant>
      <vt:variant>
        <vt:i4>5</vt:i4>
      </vt:variant>
      <vt:variant>
        <vt:lpwstr/>
      </vt:variant>
      <vt:variant>
        <vt:lpwstr>_Toc153974169</vt:lpwstr>
      </vt:variant>
      <vt:variant>
        <vt:i4>1638452</vt:i4>
      </vt:variant>
      <vt:variant>
        <vt:i4>236</vt:i4>
      </vt:variant>
      <vt:variant>
        <vt:i4>0</vt:i4>
      </vt:variant>
      <vt:variant>
        <vt:i4>5</vt:i4>
      </vt:variant>
      <vt:variant>
        <vt:lpwstr/>
      </vt:variant>
      <vt:variant>
        <vt:lpwstr>_Toc153974168</vt:lpwstr>
      </vt:variant>
      <vt:variant>
        <vt:i4>1638452</vt:i4>
      </vt:variant>
      <vt:variant>
        <vt:i4>230</vt:i4>
      </vt:variant>
      <vt:variant>
        <vt:i4>0</vt:i4>
      </vt:variant>
      <vt:variant>
        <vt:i4>5</vt:i4>
      </vt:variant>
      <vt:variant>
        <vt:lpwstr/>
      </vt:variant>
      <vt:variant>
        <vt:lpwstr>_Toc153974167</vt:lpwstr>
      </vt:variant>
      <vt:variant>
        <vt:i4>1638452</vt:i4>
      </vt:variant>
      <vt:variant>
        <vt:i4>224</vt:i4>
      </vt:variant>
      <vt:variant>
        <vt:i4>0</vt:i4>
      </vt:variant>
      <vt:variant>
        <vt:i4>5</vt:i4>
      </vt:variant>
      <vt:variant>
        <vt:lpwstr/>
      </vt:variant>
      <vt:variant>
        <vt:lpwstr>_Toc153974166</vt:lpwstr>
      </vt:variant>
      <vt:variant>
        <vt:i4>1638452</vt:i4>
      </vt:variant>
      <vt:variant>
        <vt:i4>218</vt:i4>
      </vt:variant>
      <vt:variant>
        <vt:i4>0</vt:i4>
      </vt:variant>
      <vt:variant>
        <vt:i4>5</vt:i4>
      </vt:variant>
      <vt:variant>
        <vt:lpwstr/>
      </vt:variant>
      <vt:variant>
        <vt:lpwstr>_Toc153974165</vt:lpwstr>
      </vt:variant>
      <vt:variant>
        <vt:i4>1638452</vt:i4>
      </vt:variant>
      <vt:variant>
        <vt:i4>212</vt:i4>
      </vt:variant>
      <vt:variant>
        <vt:i4>0</vt:i4>
      </vt:variant>
      <vt:variant>
        <vt:i4>5</vt:i4>
      </vt:variant>
      <vt:variant>
        <vt:lpwstr/>
      </vt:variant>
      <vt:variant>
        <vt:lpwstr>_Toc153974164</vt:lpwstr>
      </vt:variant>
      <vt:variant>
        <vt:i4>1638452</vt:i4>
      </vt:variant>
      <vt:variant>
        <vt:i4>206</vt:i4>
      </vt:variant>
      <vt:variant>
        <vt:i4>0</vt:i4>
      </vt:variant>
      <vt:variant>
        <vt:i4>5</vt:i4>
      </vt:variant>
      <vt:variant>
        <vt:lpwstr/>
      </vt:variant>
      <vt:variant>
        <vt:lpwstr>_Toc153974163</vt:lpwstr>
      </vt:variant>
      <vt:variant>
        <vt:i4>1638452</vt:i4>
      </vt:variant>
      <vt:variant>
        <vt:i4>200</vt:i4>
      </vt:variant>
      <vt:variant>
        <vt:i4>0</vt:i4>
      </vt:variant>
      <vt:variant>
        <vt:i4>5</vt:i4>
      </vt:variant>
      <vt:variant>
        <vt:lpwstr/>
      </vt:variant>
      <vt:variant>
        <vt:lpwstr>_Toc153974162</vt:lpwstr>
      </vt:variant>
      <vt:variant>
        <vt:i4>1638452</vt:i4>
      </vt:variant>
      <vt:variant>
        <vt:i4>194</vt:i4>
      </vt:variant>
      <vt:variant>
        <vt:i4>0</vt:i4>
      </vt:variant>
      <vt:variant>
        <vt:i4>5</vt:i4>
      </vt:variant>
      <vt:variant>
        <vt:lpwstr/>
      </vt:variant>
      <vt:variant>
        <vt:lpwstr>_Toc153974161</vt:lpwstr>
      </vt:variant>
      <vt:variant>
        <vt:i4>1638452</vt:i4>
      </vt:variant>
      <vt:variant>
        <vt:i4>188</vt:i4>
      </vt:variant>
      <vt:variant>
        <vt:i4>0</vt:i4>
      </vt:variant>
      <vt:variant>
        <vt:i4>5</vt:i4>
      </vt:variant>
      <vt:variant>
        <vt:lpwstr/>
      </vt:variant>
      <vt:variant>
        <vt:lpwstr>_Toc153974160</vt:lpwstr>
      </vt:variant>
      <vt:variant>
        <vt:i4>1703988</vt:i4>
      </vt:variant>
      <vt:variant>
        <vt:i4>182</vt:i4>
      </vt:variant>
      <vt:variant>
        <vt:i4>0</vt:i4>
      </vt:variant>
      <vt:variant>
        <vt:i4>5</vt:i4>
      </vt:variant>
      <vt:variant>
        <vt:lpwstr/>
      </vt:variant>
      <vt:variant>
        <vt:lpwstr>_Toc153974159</vt:lpwstr>
      </vt:variant>
      <vt:variant>
        <vt:i4>1703988</vt:i4>
      </vt:variant>
      <vt:variant>
        <vt:i4>176</vt:i4>
      </vt:variant>
      <vt:variant>
        <vt:i4>0</vt:i4>
      </vt:variant>
      <vt:variant>
        <vt:i4>5</vt:i4>
      </vt:variant>
      <vt:variant>
        <vt:lpwstr/>
      </vt:variant>
      <vt:variant>
        <vt:lpwstr>_Toc153974158</vt:lpwstr>
      </vt:variant>
      <vt:variant>
        <vt:i4>1703988</vt:i4>
      </vt:variant>
      <vt:variant>
        <vt:i4>170</vt:i4>
      </vt:variant>
      <vt:variant>
        <vt:i4>0</vt:i4>
      </vt:variant>
      <vt:variant>
        <vt:i4>5</vt:i4>
      </vt:variant>
      <vt:variant>
        <vt:lpwstr/>
      </vt:variant>
      <vt:variant>
        <vt:lpwstr>_Toc153974157</vt:lpwstr>
      </vt:variant>
      <vt:variant>
        <vt:i4>1703988</vt:i4>
      </vt:variant>
      <vt:variant>
        <vt:i4>164</vt:i4>
      </vt:variant>
      <vt:variant>
        <vt:i4>0</vt:i4>
      </vt:variant>
      <vt:variant>
        <vt:i4>5</vt:i4>
      </vt:variant>
      <vt:variant>
        <vt:lpwstr/>
      </vt:variant>
      <vt:variant>
        <vt:lpwstr>_Toc153974156</vt:lpwstr>
      </vt:variant>
      <vt:variant>
        <vt:i4>1703988</vt:i4>
      </vt:variant>
      <vt:variant>
        <vt:i4>158</vt:i4>
      </vt:variant>
      <vt:variant>
        <vt:i4>0</vt:i4>
      </vt:variant>
      <vt:variant>
        <vt:i4>5</vt:i4>
      </vt:variant>
      <vt:variant>
        <vt:lpwstr/>
      </vt:variant>
      <vt:variant>
        <vt:lpwstr>_Toc153974155</vt:lpwstr>
      </vt:variant>
      <vt:variant>
        <vt:i4>1441847</vt:i4>
      </vt:variant>
      <vt:variant>
        <vt:i4>149</vt:i4>
      </vt:variant>
      <vt:variant>
        <vt:i4>0</vt:i4>
      </vt:variant>
      <vt:variant>
        <vt:i4>5</vt:i4>
      </vt:variant>
      <vt:variant>
        <vt:lpwstr/>
      </vt:variant>
      <vt:variant>
        <vt:lpwstr>_Toc160717770</vt:lpwstr>
      </vt:variant>
      <vt:variant>
        <vt:i4>1507383</vt:i4>
      </vt:variant>
      <vt:variant>
        <vt:i4>143</vt:i4>
      </vt:variant>
      <vt:variant>
        <vt:i4>0</vt:i4>
      </vt:variant>
      <vt:variant>
        <vt:i4>5</vt:i4>
      </vt:variant>
      <vt:variant>
        <vt:lpwstr/>
      </vt:variant>
      <vt:variant>
        <vt:lpwstr>_Toc160717769</vt:lpwstr>
      </vt:variant>
      <vt:variant>
        <vt:i4>1507383</vt:i4>
      </vt:variant>
      <vt:variant>
        <vt:i4>137</vt:i4>
      </vt:variant>
      <vt:variant>
        <vt:i4>0</vt:i4>
      </vt:variant>
      <vt:variant>
        <vt:i4>5</vt:i4>
      </vt:variant>
      <vt:variant>
        <vt:lpwstr/>
      </vt:variant>
      <vt:variant>
        <vt:lpwstr>_Toc160717768</vt:lpwstr>
      </vt:variant>
      <vt:variant>
        <vt:i4>1507383</vt:i4>
      </vt:variant>
      <vt:variant>
        <vt:i4>131</vt:i4>
      </vt:variant>
      <vt:variant>
        <vt:i4>0</vt:i4>
      </vt:variant>
      <vt:variant>
        <vt:i4>5</vt:i4>
      </vt:variant>
      <vt:variant>
        <vt:lpwstr/>
      </vt:variant>
      <vt:variant>
        <vt:lpwstr>_Toc160717767</vt:lpwstr>
      </vt:variant>
      <vt:variant>
        <vt:i4>1507383</vt:i4>
      </vt:variant>
      <vt:variant>
        <vt:i4>125</vt:i4>
      </vt:variant>
      <vt:variant>
        <vt:i4>0</vt:i4>
      </vt:variant>
      <vt:variant>
        <vt:i4>5</vt:i4>
      </vt:variant>
      <vt:variant>
        <vt:lpwstr/>
      </vt:variant>
      <vt:variant>
        <vt:lpwstr>_Toc160717766</vt:lpwstr>
      </vt:variant>
      <vt:variant>
        <vt:i4>1507383</vt:i4>
      </vt:variant>
      <vt:variant>
        <vt:i4>119</vt:i4>
      </vt:variant>
      <vt:variant>
        <vt:i4>0</vt:i4>
      </vt:variant>
      <vt:variant>
        <vt:i4>5</vt:i4>
      </vt:variant>
      <vt:variant>
        <vt:lpwstr/>
      </vt:variant>
      <vt:variant>
        <vt:lpwstr>_Toc160717765</vt:lpwstr>
      </vt:variant>
      <vt:variant>
        <vt:i4>1507383</vt:i4>
      </vt:variant>
      <vt:variant>
        <vt:i4>113</vt:i4>
      </vt:variant>
      <vt:variant>
        <vt:i4>0</vt:i4>
      </vt:variant>
      <vt:variant>
        <vt:i4>5</vt:i4>
      </vt:variant>
      <vt:variant>
        <vt:lpwstr/>
      </vt:variant>
      <vt:variant>
        <vt:lpwstr>_Toc160717764</vt:lpwstr>
      </vt:variant>
      <vt:variant>
        <vt:i4>1507383</vt:i4>
      </vt:variant>
      <vt:variant>
        <vt:i4>107</vt:i4>
      </vt:variant>
      <vt:variant>
        <vt:i4>0</vt:i4>
      </vt:variant>
      <vt:variant>
        <vt:i4>5</vt:i4>
      </vt:variant>
      <vt:variant>
        <vt:lpwstr/>
      </vt:variant>
      <vt:variant>
        <vt:lpwstr>_Toc160717763</vt:lpwstr>
      </vt:variant>
      <vt:variant>
        <vt:i4>1507383</vt:i4>
      </vt:variant>
      <vt:variant>
        <vt:i4>101</vt:i4>
      </vt:variant>
      <vt:variant>
        <vt:i4>0</vt:i4>
      </vt:variant>
      <vt:variant>
        <vt:i4>5</vt:i4>
      </vt:variant>
      <vt:variant>
        <vt:lpwstr/>
      </vt:variant>
      <vt:variant>
        <vt:lpwstr>_Toc160717762</vt:lpwstr>
      </vt:variant>
      <vt:variant>
        <vt:i4>1507383</vt:i4>
      </vt:variant>
      <vt:variant>
        <vt:i4>95</vt:i4>
      </vt:variant>
      <vt:variant>
        <vt:i4>0</vt:i4>
      </vt:variant>
      <vt:variant>
        <vt:i4>5</vt:i4>
      </vt:variant>
      <vt:variant>
        <vt:lpwstr/>
      </vt:variant>
      <vt:variant>
        <vt:lpwstr>_Toc160717761</vt:lpwstr>
      </vt:variant>
      <vt:variant>
        <vt:i4>1507383</vt:i4>
      </vt:variant>
      <vt:variant>
        <vt:i4>89</vt:i4>
      </vt:variant>
      <vt:variant>
        <vt:i4>0</vt:i4>
      </vt:variant>
      <vt:variant>
        <vt:i4>5</vt:i4>
      </vt:variant>
      <vt:variant>
        <vt:lpwstr/>
      </vt:variant>
      <vt:variant>
        <vt:lpwstr>_Toc160717760</vt:lpwstr>
      </vt:variant>
      <vt:variant>
        <vt:i4>1310775</vt:i4>
      </vt:variant>
      <vt:variant>
        <vt:i4>83</vt:i4>
      </vt:variant>
      <vt:variant>
        <vt:i4>0</vt:i4>
      </vt:variant>
      <vt:variant>
        <vt:i4>5</vt:i4>
      </vt:variant>
      <vt:variant>
        <vt:lpwstr/>
      </vt:variant>
      <vt:variant>
        <vt:lpwstr>_Toc160717759</vt:lpwstr>
      </vt:variant>
      <vt:variant>
        <vt:i4>1310775</vt:i4>
      </vt:variant>
      <vt:variant>
        <vt:i4>77</vt:i4>
      </vt:variant>
      <vt:variant>
        <vt:i4>0</vt:i4>
      </vt:variant>
      <vt:variant>
        <vt:i4>5</vt:i4>
      </vt:variant>
      <vt:variant>
        <vt:lpwstr/>
      </vt:variant>
      <vt:variant>
        <vt:lpwstr>_Toc160717758</vt:lpwstr>
      </vt:variant>
      <vt:variant>
        <vt:i4>1310775</vt:i4>
      </vt:variant>
      <vt:variant>
        <vt:i4>71</vt:i4>
      </vt:variant>
      <vt:variant>
        <vt:i4>0</vt:i4>
      </vt:variant>
      <vt:variant>
        <vt:i4>5</vt:i4>
      </vt:variant>
      <vt:variant>
        <vt:lpwstr/>
      </vt:variant>
      <vt:variant>
        <vt:lpwstr>_Toc160717757</vt:lpwstr>
      </vt:variant>
      <vt:variant>
        <vt:i4>1310775</vt:i4>
      </vt:variant>
      <vt:variant>
        <vt:i4>65</vt:i4>
      </vt:variant>
      <vt:variant>
        <vt:i4>0</vt:i4>
      </vt:variant>
      <vt:variant>
        <vt:i4>5</vt:i4>
      </vt:variant>
      <vt:variant>
        <vt:lpwstr/>
      </vt:variant>
      <vt:variant>
        <vt:lpwstr>_Toc160717756</vt:lpwstr>
      </vt:variant>
      <vt:variant>
        <vt:i4>1310775</vt:i4>
      </vt:variant>
      <vt:variant>
        <vt:i4>59</vt:i4>
      </vt:variant>
      <vt:variant>
        <vt:i4>0</vt:i4>
      </vt:variant>
      <vt:variant>
        <vt:i4>5</vt:i4>
      </vt:variant>
      <vt:variant>
        <vt:lpwstr/>
      </vt:variant>
      <vt:variant>
        <vt:lpwstr>_Toc160717755</vt:lpwstr>
      </vt:variant>
      <vt:variant>
        <vt:i4>1310775</vt:i4>
      </vt:variant>
      <vt:variant>
        <vt:i4>53</vt:i4>
      </vt:variant>
      <vt:variant>
        <vt:i4>0</vt:i4>
      </vt:variant>
      <vt:variant>
        <vt:i4>5</vt:i4>
      </vt:variant>
      <vt:variant>
        <vt:lpwstr/>
      </vt:variant>
      <vt:variant>
        <vt:lpwstr>_Toc160717754</vt:lpwstr>
      </vt:variant>
      <vt:variant>
        <vt:i4>1310775</vt:i4>
      </vt:variant>
      <vt:variant>
        <vt:i4>47</vt:i4>
      </vt:variant>
      <vt:variant>
        <vt:i4>0</vt:i4>
      </vt:variant>
      <vt:variant>
        <vt:i4>5</vt:i4>
      </vt:variant>
      <vt:variant>
        <vt:lpwstr/>
      </vt:variant>
      <vt:variant>
        <vt:lpwstr>_Toc160717753</vt:lpwstr>
      </vt:variant>
      <vt:variant>
        <vt:i4>1310775</vt:i4>
      </vt:variant>
      <vt:variant>
        <vt:i4>41</vt:i4>
      </vt:variant>
      <vt:variant>
        <vt:i4>0</vt:i4>
      </vt:variant>
      <vt:variant>
        <vt:i4>5</vt:i4>
      </vt:variant>
      <vt:variant>
        <vt:lpwstr/>
      </vt:variant>
      <vt:variant>
        <vt:lpwstr>_Toc160717752</vt:lpwstr>
      </vt:variant>
      <vt:variant>
        <vt:i4>6619163</vt:i4>
      </vt:variant>
      <vt:variant>
        <vt:i4>3</vt:i4>
      </vt:variant>
      <vt:variant>
        <vt:i4>0</vt:i4>
      </vt:variant>
      <vt:variant>
        <vt:i4>5</vt:i4>
      </vt:variant>
      <vt:variant>
        <vt:lpwstr>mailto:smoates@kpmg.com.au</vt:lpwstr>
      </vt:variant>
      <vt:variant>
        <vt:lpwstr/>
      </vt:variant>
      <vt:variant>
        <vt:i4>3276911</vt:i4>
      </vt:variant>
      <vt:variant>
        <vt:i4>24</vt:i4>
      </vt:variant>
      <vt:variant>
        <vt:i4>0</vt:i4>
      </vt:variant>
      <vt:variant>
        <vt:i4>5</vt:i4>
      </vt:variant>
      <vt:variant>
        <vt:lpwstr>https://www.dtf.vic.gov.au/funds-programs-and-policies/early-intervention-investment-framework</vt:lpwstr>
      </vt:variant>
      <vt:variant>
        <vt:lpwstr/>
      </vt:variant>
      <vt:variant>
        <vt:i4>2687035</vt:i4>
      </vt:variant>
      <vt:variant>
        <vt:i4>21</vt:i4>
      </vt:variant>
      <vt:variant>
        <vt:i4>0</vt:i4>
      </vt:variant>
      <vt:variant>
        <vt:i4>5</vt:i4>
      </vt:variant>
      <vt:variant>
        <vt:lpwstr>https://www.dtf.vic.gov.au/funds-programs-and-policies/partnerships-addressing-disadvantage</vt:lpwstr>
      </vt:variant>
      <vt:variant>
        <vt:lpwstr/>
      </vt:variant>
      <vt:variant>
        <vt:i4>6160451</vt:i4>
      </vt:variant>
      <vt:variant>
        <vt:i4>18</vt:i4>
      </vt:variant>
      <vt:variant>
        <vt:i4>0</vt:i4>
      </vt:variant>
      <vt:variant>
        <vt:i4>5</vt:i4>
      </vt:variant>
      <vt:variant>
        <vt:lpwstr>https://www.homes.vic.gov.au/applications-victorian-housing-register-vhr</vt:lpwstr>
      </vt:variant>
      <vt:variant>
        <vt:lpwstr/>
      </vt:variant>
      <vt:variant>
        <vt:i4>7733291</vt:i4>
      </vt:variant>
      <vt:variant>
        <vt:i4>15</vt:i4>
      </vt:variant>
      <vt:variant>
        <vt:i4>0</vt:i4>
      </vt:variant>
      <vt:variant>
        <vt:i4>5</vt:i4>
      </vt:variant>
      <vt:variant>
        <vt:lpwstr>https://new.parliament.vic.gov.au/4a80e1/contentassets/c0fced4491df40e5a8e95c27aa7350c3/lsic_58-11_phrp_text_web.pdf</vt:lpwstr>
      </vt:variant>
      <vt:variant>
        <vt:lpwstr/>
      </vt:variant>
      <vt:variant>
        <vt:i4>7602283</vt:i4>
      </vt:variant>
      <vt:variant>
        <vt:i4>9</vt:i4>
      </vt:variant>
      <vt:variant>
        <vt:i4>0</vt:i4>
      </vt:variant>
      <vt:variant>
        <vt:i4>5</vt:i4>
      </vt:variant>
      <vt:variant>
        <vt:lpwstr/>
      </vt:variant>
      <vt:variant>
        <vt:lpwstr>_Statistical_treatment</vt:lpwstr>
      </vt:variant>
      <vt:variant>
        <vt:i4>8126574</vt:i4>
      </vt:variant>
      <vt:variant>
        <vt:i4>6</vt:i4>
      </vt:variant>
      <vt:variant>
        <vt:i4>0</vt:i4>
      </vt:variant>
      <vt:variant>
        <vt:i4>5</vt:i4>
      </vt:variant>
      <vt:variant>
        <vt:lpwstr>https://www.sacredheartmission.org/service/housing-support/journey-to-social-inclusion/</vt:lpwstr>
      </vt:variant>
      <vt:variant>
        <vt:lpwstr/>
      </vt:variant>
      <vt:variant>
        <vt:i4>8126574</vt:i4>
      </vt:variant>
      <vt:variant>
        <vt:i4>0</vt:i4>
      </vt:variant>
      <vt:variant>
        <vt:i4>0</vt:i4>
      </vt:variant>
      <vt:variant>
        <vt:i4>5</vt:i4>
      </vt:variant>
      <vt:variant>
        <vt:lpwstr>https://www.sacredheartmission.org/service/housing-support/journey-to-social-inclusion/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template A4 - Portrait</dc:title>
  <dc:subject/>
  <dc:creator>Hooi, Joanna</dc:creator>
  <cp:keywords/>
  <dc:description/>
  <cp:lastModifiedBy>Paul Bowerman (DTF)</cp:lastModifiedBy>
  <cp:revision>2</cp:revision>
  <cp:lastPrinted>2023-11-11T16:50:00Z</cp:lastPrinted>
  <dcterms:created xsi:type="dcterms:W3CDTF">2024-09-30T03:32:00Z</dcterms:created>
  <dcterms:modified xsi:type="dcterms:W3CDTF">2024-09-30T03:32:00Z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andC_Tax_InstanceTerms4">
    <vt:lpwstr/>
  </property>
  <property fmtid="{D5CDD505-2E9C-101B-9397-08002B2CF9AE}" pid="3" name="CandC_Tax_InstanceTerms3TaxHTField">
    <vt:lpwstr/>
  </property>
  <property fmtid="{D5CDD505-2E9C-101B-9397-08002B2CF9AE}" pid="4" name="CandC_Tax_4">
    <vt:lpwstr/>
  </property>
  <property fmtid="{D5CDD505-2E9C-101B-9397-08002B2CF9AE}" pid="5" name="ContentTypeId">
    <vt:lpwstr>0x01010026254BC17BAC6941A101E5E28C49D49B</vt:lpwstr>
  </property>
  <property fmtid="{D5CDD505-2E9C-101B-9397-08002B2CF9AE}" pid="6" name="CandC_Tax_InstanceTerms5">
    <vt:lpwstr/>
  </property>
  <property fmtid="{D5CDD505-2E9C-101B-9397-08002B2CF9AE}" pid="7" name="CandC_Tax_InstanceTerms4TaxHTField">
    <vt:lpwstr/>
  </property>
  <property fmtid="{D5CDD505-2E9C-101B-9397-08002B2CF9AE}" pid="8" name="CandC_Tax_InstanceTerms3">
    <vt:lpwstr/>
  </property>
  <property fmtid="{D5CDD505-2E9C-101B-9397-08002B2CF9AE}" pid="9" name="CandC_Tax_InstanceTerms2TaxHTField">
    <vt:lpwstr/>
  </property>
  <property fmtid="{D5CDD505-2E9C-101B-9397-08002B2CF9AE}" pid="10" name="CandC_Tax_5">
    <vt:lpwstr/>
  </property>
  <property fmtid="{D5CDD505-2E9C-101B-9397-08002B2CF9AE}" pid="11" name="CandC_Tax_8">
    <vt:lpwstr>48;#Proposal templates|47dfdb92-e9ab-4e17-b839-fb0fd65e92c6</vt:lpwstr>
  </property>
  <property fmtid="{D5CDD505-2E9C-101B-9397-08002B2CF9AE}" pid="12" name="CandC_Tax_3">
    <vt:lpwstr/>
  </property>
  <property fmtid="{D5CDD505-2E9C-101B-9397-08002B2CF9AE}" pid="13" name="CandC_Tax_InstanceTerms5TaxHTField">
    <vt:lpwstr/>
  </property>
  <property fmtid="{D5CDD505-2E9C-101B-9397-08002B2CF9AE}" pid="14" name="CandC_Tax_6">
    <vt:lpwstr/>
  </property>
  <property fmtid="{D5CDD505-2E9C-101B-9397-08002B2CF9AE}" pid="15" name="CandC_Tax_1">
    <vt:lpwstr>23;#English|a2bee10e-57ed-4e79-bc85-39d62b9a3066</vt:lpwstr>
  </property>
  <property fmtid="{D5CDD505-2E9C-101B-9397-08002B2CF9AE}" pid="16" name="CandC_Tax_Alliances">
    <vt:lpwstr/>
  </property>
  <property fmtid="{D5CDD505-2E9C-101B-9397-08002B2CF9AE}" pid="17" name="CandC_Tax_ESGTaxHTField">
    <vt:lpwstr/>
  </property>
  <property fmtid="{D5CDD505-2E9C-101B-9397-08002B2CF9AE}" pid="18" name="CandC_Tax_ESG">
    <vt:lpwstr/>
  </property>
  <property fmtid="{D5CDD505-2E9C-101B-9397-08002B2CF9AE}" pid="19" name="CandC_Tax_InstanceTerms2">
    <vt:lpwstr/>
  </property>
  <property fmtid="{D5CDD505-2E9C-101B-9397-08002B2CF9AE}" pid="20" name="CandC_Tax_AlliancesTaxHTField">
    <vt:lpwstr/>
  </property>
  <property fmtid="{D5CDD505-2E9C-101B-9397-08002B2CF9AE}" pid="21" name="CandC_Tax_2">
    <vt:lpwstr>74;#Client Experience ＆ Brand|8469e600-d7a1-43f4-a7ff-08bae8c6401f</vt:lpwstr>
  </property>
  <property fmtid="{D5CDD505-2E9C-101B-9397-08002B2CF9AE}" pid="22" name="CandC_Tax_7">
    <vt:lpwstr/>
  </property>
  <property fmtid="{D5CDD505-2E9C-101B-9397-08002B2CF9AE}" pid="23" name="CandC_Tax_ToolsTaxHTField">
    <vt:lpwstr/>
  </property>
  <property fmtid="{D5CDD505-2E9C-101B-9397-08002B2CF9AE}" pid="24" name="CandC_Tax_Tools">
    <vt:lpwstr/>
  </property>
  <property fmtid="{D5CDD505-2E9C-101B-9397-08002B2CF9AE}" pid="25" name="CandC_Tax_Technology">
    <vt:lpwstr/>
  </property>
  <property fmtid="{D5CDD505-2E9C-101B-9397-08002B2CF9AE}" pid="26" name="CandC_Tax_DeliveryTools">
    <vt:lpwstr/>
  </property>
  <property fmtid="{D5CDD505-2E9C-101B-9397-08002B2CF9AE}" pid="27" name="CandC_Tax_Solutions">
    <vt:lpwstr/>
  </property>
  <property fmtid="{D5CDD505-2E9C-101B-9397-08002B2CF9AE}" pid="28" name="MediaServiceImageTags">
    <vt:lpwstr/>
  </property>
  <property fmtid="{D5CDD505-2E9C-101B-9397-08002B2CF9AE}" pid="29" name="MSIP_Label_bb4ee517-5ca4-4fff-98d2-ed4f906edd6d_Enabled">
    <vt:lpwstr>true</vt:lpwstr>
  </property>
  <property fmtid="{D5CDD505-2E9C-101B-9397-08002B2CF9AE}" pid="30" name="MSIP_Label_bb4ee517-5ca4-4fff-98d2-ed4f906edd6d_SetDate">
    <vt:lpwstr>2024-09-30T03:32:12Z</vt:lpwstr>
  </property>
  <property fmtid="{D5CDD505-2E9C-101B-9397-08002B2CF9AE}" pid="31" name="MSIP_Label_bb4ee517-5ca4-4fff-98d2-ed4f906edd6d_Method">
    <vt:lpwstr>Privileged</vt:lpwstr>
  </property>
  <property fmtid="{D5CDD505-2E9C-101B-9397-08002B2CF9AE}" pid="32" name="MSIP_Label_bb4ee517-5ca4-4fff-98d2-ed4f906edd6d_Name">
    <vt:lpwstr>bb4ee517-5ca4-4fff-98d2-ed4f906edd6d</vt:lpwstr>
  </property>
  <property fmtid="{D5CDD505-2E9C-101B-9397-08002B2CF9AE}" pid="33" name="MSIP_Label_bb4ee517-5ca4-4fff-98d2-ed4f906edd6d_SiteId">
    <vt:lpwstr>722ea0be-3e1c-4b11-ad6f-9401d6856e24</vt:lpwstr>
  </property>
  <property fmtid="{D5CDD505-2E9C-101B-9397-08002B2CF9AE}" pid="34" name="MSIP_Label_bb4ee517-5ca4-4fff-98d2-ed4f906edd6d_ActionId">
    <vt:lpwstr>dc97ccd9-8bfa-4ece-a9bd-da64bf70f8b5</vt:lpwstr>
  </property>
  <property fmtid="{D5CDD505-2E9C-101B-9397-08002B2CF9AE}" pid="35" name="MSIP_Label_bb4ee517-5ca4-4fff-98d2-ed4f906edd6d_ContentBits">
    <vt:lpwstr>0</vt:lpwstr>
  </property>
</Properties>
</file>