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9274947"/>
    <w:bookmarkStart w:id="1" w:name="_Toc442780672"/>
    <w:bookmarkEnd w:id="0"/>
    <w:p w14:paraId="3451A013" w14:textId="05DD5FA3" w:rsidR="00045296" w:rsidRPr="00EE7706" w:rsidRDefault="00FB2A89" w:rsidP="00B91085">
      <w:pPr>
        <w:pStyle w:val="Title"/>
        <w:shd w:val="clear" w:color="auto" w:fill="auto"/>
        <w:spacing w:before="120"/>
        <w:ind w:left="448" w:right="5103"/>
      </w:pPr>
      <w:r>
        <w:rPr>
          <w:noProof/>
        </w:rPr>
        <mc:AlternateContent>
          <mc:Choice Requires="wpg">
            <w:drawing>
              <wp:anchor distT="0" distB="0" distL="114300" distR="114300" simplePos="0" relativeHeight="251658240" behindDoc="1" locked="0" layoutInCell="1" allowOverlap="1" wp14:anchorId="79896BA3" wp14:editId="2CEE0870">
                <wp:simplePos x="0" y="0"/>
                <wp:positionH relativeFrom="column">
                  <wp:posOffset>-584835</wp:posOffset>
                </wp:positionH>
                <wp:positionV relativeFrom="paragraph">
                  <wp:posOffset>-508635</wp:posOffset>
                </wp:positionV>
                <wp:extent cx="4912995" cy="3470910"/>
                <wp:effectExtent l="0" t="6350" r="1905" b="8890"/>
                <wp:wrapNone/>
                <wp:docPr id="911400933"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2995" cy="3470910"/>
                          <a:chOff x="15" y="10"/>
                          <a:chExt cx="7737" cy="5466"/>
                        </a:xfrm>
                      </wpg:grpSpPr>
                      <wps:wsp>
                        <wps:cNvPr id="75529745" name="Shape 2"/>
                        <wps:cNvSpPr>
                          <a:spLocks/>
                        </wps:cNvSpPr>
                        <wps:spPr bwMode="auto">
                          <a:xfrm>
                            <a:off x="15" y="30"/>
                            <a:ext cx="7737" cy="5446"/>
                          </a:xfrm>
                          <a:custGeom>
                            <a:avLst/>
                            <a:gdLst>
                              <a:gd name="T0" fmla="*/ 5200763 w 3875055"/>
                              <a:gd name="T1" fmla="*/ 2951546 h 2201513"/>
                              <a:gd name="T2" fmla="*/ 3804151 w 3875055"/>
                              <a:gd name="T3" fmla="*/ 0 h 2201513"/>
                              <a:gd name="T4" fmla="*/ 0 w 3875055"/>
                              <a:gd name="T5" fmla="*/ 0 h 2201513"/>
                              <a:gd name="T6" fmla="*/ 0 w 3875055"/>
                              <a:gd name="T7" fmla="*/ 2951546 h 2201513"/>
                              <a:gd name="T8" fmla="*/ 5200763 w 3875055"/>
                              <a:gd name="T9" fmla="*/ 2951546 h 22015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75055" h="2201513">
                                <a:moveTo>
                                  <a:pt x="3875056" y="2201513"/>
                                </a:moveTo>
                                <a:lnTo>
                                  <a:pt x="2834449" y="0"/>
                                </a:lnTo>
                                <a:lnTo>
                                  <a:pt x="0" y="0"/>
                                </a:lnTo>
                                <a:lnTo>
                                  <a:pt x="0" y="2201513"/>
                                </a:lnTo>
                                <a:lnTo>
                                  <a:pt x="3875056" y="2201513"/>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87164662" name="Shape 1"/>
                        <wps:cNvSpPr>
                          <a:spLocks/>
                        </wps:cNvSpPr>
                        <wps:spPr bwMode="auto">
                          <a:xfrm>
                            <a:off x="15" y="10"/>
                            <a:ext cx="6293" cy="4978"/>
                          </a:xfrm>
                          <a:custGeom>
                            <a:avLst/>
                            <a:gdLst>
                              <a:gd name="T0" fmla="*/ 4229846 w 3151632"/>
                              <a:gd name="T1" fmla="*/ 2697677 h 2012156"/>
                              <a:gd name="T2" fmla="*/ 4229846 w 3151632"/>
                              <a:gd name="T3" fmla="*/ 0 h 2012156"/>
                              <a:gd name="T4" fmla="*/ 0 w 3151632"/>
                              <a:gd name="T5" fmla="*/ 0 h 2012156"/>
                              <a:gd name="T6" fmla="*/ 0 w 3151632"/>
                              <a:gd name="T7" fmla="*/ 1491544 h 2012156"/>
                              <a:gd name="T8" fmla="*/ 570789 w 3151632"/>
                              <a:gd name="T9" fmla="*/ 2697677 h 2012156"/>
                              <a:gd name="T10" fmla="*/ 4229846 w 3151632"/>
                              <a:gd name="T11" fmla="*/ 2697677 h 201215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151632" h="2012156">
                                <a:moveTo>
                                  <a:pt x="3151632" y="2012156"/>
                                </a:moveTo>
                                <a:lnTo>
                                  <a:pt x="3151632" y="0"/>
                                </a:lnTo>
                                <a:lnTo>
                                  <a:pt x="0" y="0"/>
                                </a:lnTo>
                                <a:lnTo>
                                  <a:pt x="0" y="1112520"/>
                                </a:lnTo>
                                <a:lnTo>
                                  <a:pt x="425291" y="2012156"/>
                                </a:lnTo>
                                <a:lnTo>
                                  <a:pt x="3151632" y="2012156"/>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484677850" name="Line"/>
                        <wps:cNvCnPr>
                          <a:cxnSpLocks noChangeShapeType="1"/>
                        </wps:cNvCnPr>
                        <wps:spPr bwMode="auto">
                          <a:xfrm flipV="1">
                            <a:off x="3480" y="3300"/>
                            <a:ext cx="2416" cy="0"/>
                          </a:xfrm>
                          <a:prstGeom prst="line">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649D27" id="Group 10" o:spid="_x0000_s1026" alt="&quot;&quot;" style="position:absolute;margin-left:-46.05pt;margin-top:-40.05pt;width:386.85pt;height:273.3pt;z-index:-251658240" coordorigin="15,10" coordsize="7737,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">
                <v:shape id="Shape 2" o:spid="_x0000_s1027" style="position:absolute;left:15;top:30;width:7737;height:5446;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" path="m3875056,2201513l2834449,,,,,2201513r3875056,xe" fillcolor="#00bac7 [3204]" stroked="f">
                  <v:stroke joinstyle="miter"/>
                  <v:path arrowok="t" o:connecttype="custom" o:connectlocs="10384,7301;7595,0;0,0;0,7301;10384,7301" o:connectangles="0,0,0,0,0"/>
                </v:shape>
                <v:shape id="Shape 1" o:spid="_x0000_s1028" style="position:absolute;left:15;top:10;width:6293;height:4978;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" path="m3151632,2012156l3151632,,,,,1112520r425291,899636l3151632,2012156xe" fillcolor="#232b39 [3213]" stroked="f">
                  <v:stroke joinstyle="miter"/>
                  <v:path arrowok="t" o:connecttype="custom" o:connectlocs="8446,6674;8446,0;0,0;0,3690;1140,6674;8446,6674" o:connectangles="0,0,0,0,0,0"/>
                </v:shape>
                <v:line id="Line" o:spid="_x0000_s1029" style="position:absolute;flip:y;visibility:visible;mso-wrap-style:square" from="3480,3300" to="5896,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" strokecolor="#00bac7 [3204]" strokeweight="4.5pt"/>
              </v:group>
            </w:pict>
          </mc:Fallback>
        </mc:AlternateContent>
      </w:r>
      <w:r w:rsidR="00800FF6">
        <w:rPr>
          <w:noProof/>
        </w:rPr>
        <w:t>Improving investor engagement for the social services sector</w:t>
      </w:r>
    </w:p>
    <w:p w14:paraId="3A76C435" w14:textId="5E2C9C9A" w:rsidR="00522F8A" w:rsidRPr="00125514" w:rsidRDefault="00277D6C" w:rsidP="00B91085">
      <w:pPr>
        <w:pStyle w:val="Subtitle"/>
        <w:shd w:val="clear" w:color="auto" w:fill="auto"/>
        <w:ind w:right="5103"/>
      </w:pPr>
      <w:r>
        <w:t>guidance paper</w:t>
      </w:r>
    </w:p>
    <w:p w14:paraId="7951EDC8" w14:textId="642D118A" w:rsidR="00522F8A" w:rsidRPr="00574579" w:rsidRDefault="00522F8A" w:rsidP="00574579">
      <w:pPr>
        <w:pStyle w:val="CM"/>
        <w:spacing w:after="1600"/>
      </w:pPr>
    </w:p>
    <w:p w14:paraId="571C0B44" w14:textId="77777777" w:rsidR="00822DEC" w:rsidRDefault="00822DEC" w:rsidP="0096774E">
      <w:pPr>
        <w:pStyle w:val="Heading1"/>
        <w:sectPr w:rsidR="00822DEC" w:rsidSect="00DB418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811" w:right="936" w:bottom="1361" w:left="936" w:header="448" w:footer="459" w:gutter="0"/>
          <w:cols w:space="708"/>
          <w:titlePg/>
          <w:docGrid w:linePitch="360"/>
        </w:sectPr>
      </w:pPr>
    </w:p>
    <w:p w14:paraId="5D2EEEF2" w14:textId="77777777" w:rsidR="00F5271F" w:rsidRDefault="00F5271F" w:rsidP="00F5271F">
      <w:pPr>
        <w:pStyle w:val="Heading1"/>
      </w:pPr>
      <w:r>
        <w:t>Introduction</w:t>
      </w:r>
    </w:p>
    <w:p w14:paraId="52CBFDBD" w14:textId="77777777" w:rsidR="00F5271F" w:rsidRDefault="00F5271F" w:rsidP="00F5271F">
      <w:pPr>
        <w:sectPr w:rsidR="00F5271F" w:rsidSect="002E76A3">
          <w:headerReference w:type="default" r:id="rId18"/>
          <w:footerReference w:type="default" r:id="rId19"/>
          <w:footerReference w:type="first" r:id="rId20"/>
          <w:endnotePr>
            <w:numFmt w:val="decimal"/>
          </w:endnotePr>
          <w:type w:val="continuous"/>
          <w:pgSz w:w="11906" w:h="16838" w:code="9"/>
          <w:pgMar w:top="648" w:right="1152" w:bottom="1728" w:left="1152" w:header="706" w:footer="461" w:gutter="0"/>
          <w:cols w:num="2" w:space="706"/>
          <w:docGrid w:linePitch="360"/>
        </w:sectPr>
      </w:pPr>
    </w:p>
    <w:p w14:paraId="58F62C90" w14:textId="7C473A2C" w:rsidR="000752AB" w:rsidRPr="000313F0" w:rsidRDefault="00800FF6" w:rsidP="00F5271F">
      <w:r>
        <w:t xml:space="preserve">Investors can play </w:t>
      </w:r>
      <w:r w:rsidR="00A07F52">
        <w:t xml:space="preserve">an </w:t>
      </w:r>
      <w:r>
        <w:t>important role in tackling complex social issues</w:t>
      </w:r>
      <w:r w:rsidR="00281431">
        <w:t xml:space="preserve"> </w:t>
      </w:r>
      <w:r w:rsidR="003E6C0E">
        <w:t>and can</w:t>
      </w:r>
      <w:r w:rsidR="00281431">
        <w:t xml:space="preserve"> </w:t>
      </w:r>
      <w:r w:rsidR="00B9771E">
        <w:t>bring a number of benefits.</w:t>
      </w:r>
    </w:p>
    <w:p w14:paraId="7FCC387E" w14:textId="7688E6D1" w:rsidR="005A5146" w:rsidRPr="0029353F" w:rsidRDefault="00B9771E" w:rsidP="00574579">
      <w:r>
        <w:t xml:space="preserve">They </w:t>
      </w:r>
      <w:r w:rsidR="00281431">
        <w:t>are</w:t>
      </w:r>
      <w:r w:rsidR="0029353F">
        <w:t xml:space="preserve"> a key part</w:t>
      </w:r>
      <w:r w:rsidR="00A07F52">
        <w:t>y</w:t>
      </w:r>
      <w:r w:rsidR="0029353F">
        <w:t xml:space="preserve"> in the Partnerships </w:t>
      </w:r>
      <w:r w:rsidR="00F810E6">
        <w:t xml:space="preserve">Addressing </w:t>
      </w:r>
      <w:r w:rsidR="0029353F">
        <w:t>Disadvantage (PADs)</w:t>
      </w:r>
      <w:r w:rsidR="005A5146">
        <w:rPr>
          <w:rStyle w:val="EndnoteReference"/>
        </w:rPr>
        <w:endnoteReference w:id="2"/>
      </w:r>
      <w:r w:rsidR="005A5146">
        <w:rPr>
          <w:rFonts w:eastAsiaTheme="minorHAnsi"/>
          <w:lang w:eastAsia="en-US"/>
        </w:rPr>
        <w:t xml:space="preserve"> initiative and</w:t>
      </w:r>
      <w:r w:rsidR="005A5146">
        <w:t xml:space="preserve"> have helped the Department of Treasury and Finance (DTF) to establish five PADs to date.</w:t>
      </w:r>
    </w:p>
    <w:p w14:paraId="0A1CF2DD" w14:textId="4AE69CFF" w:rsidR="005A5146" w:rsidRDefault="005A5146" w:rsidP="00574579">
      <w:r>
        <w:t>Feedback from the social services sector to the 2022</w:t>
      </w:r>
      <w:r w:rsidR="00B91085">
        <w:rPr>
          <w:rFonts w:ascii="Calibri" w:hAnsi="Calibri" w:cs="Calibri"/>
        </w:rPr>
        <w:t> </w:t>
      </w:r>
      <w:r>
        <w:t>PADs consultation paper indicated that there is more appetite for PADs, but that the sector has limited investor engagement capabilities.</w:t>
      </w:r>
    </w:p>
    <w:p w14:paraId="231EC81E" w14:textId="468CC71F" w:rsidR="005A5146" w:rsidRDefault="005A5146" w:rsidP="00574579">
      <w:r>
        <w:t>This DTF guidance document and complementary case studies/experiences are our response to this feedback, and we see them as a first step to</w:t>
      </w:r>
      <w:r w:rsidR="00DC141A">
        <w:t>ward</w:t>
      </w:r>
      <w:r>
        <w:t xml:space="preserve"> build</w:t>
      </w:r>
      <w:r w:rsidR="00DC141A">
        <w:t>ing</w:t>
      </w:r>
      <w:r>
        <w:t xml:space="preserve"> deeper investor engagement capabilities to improve future PADs and encourage future collaborations that increase social impact investments.</w:t>
      </w:r>
      <w:r w:rsidRPr="000313F0">
        <w:t xml:space="preserve"> </w:t>
      </w:r>
    </w:p>
    <w:p w14:paraId="054D8E19" w14:textId="06D24CDA" w:rsidR="005A5146" w:rsidRDefault="005A5146" w:rsidP="00574579">
      <w:r w:rsidRPr="00574579">
        <w:rPr>
          <w:rFonts w:asciiTheme="majorHAnsi" w:hAnsiTheme="majorHAnsi"/>
        </w:rPr>
        <w:t>This guidance paper aims to provide a starting point for service providers looking to engage investors as part of PADs</w:t>
      </w:r>
      <w:r w:rsidRPr="00051147">
        <w:t>.</w:t>
      </w:r>
      <w:r>
        <w:t xml:space="preserve"> However, the general principles may be broadly applicable to other investor engagements on social investments. </w:t>
      </w:r>
    </w:p>
    <w:p w14:paraId="16A429AD" w14:textId="77777777" w:rsidR="00136A15" w:rsidRDefault="005A5146" w:rsidP="00574579">
      <w:r>
        <w:t xml:space="preserve">DTF commissioned Anglicare Victoria (Anglicare) and Social Ventures Australia (SVA) to share their engagement experiences as case studies to complement this guidance paper. </w:t>
      </w:r>
    </w:p>
    <w:p w14:paraId="6D5DA5E8" w14:textId="571AA936" w:rsidR="005A5146" w:rsidRDefault="005A5146" w:rsidP="00FE64F1">
      <w:r>
        <w:t xml:space="preserve">Anglicare’s report provides insights on their experience </w:t>
      </w:r>
      <w:r w:rsidR="00A92DAD">
        <w:t xml:space="preserve">in </w:t>
      </w:r>
      <w:r>
        <w:t xml:space="preserve">directly engaging investors to support the COMPASS PAD. SVA’s report provides insights </w:t>
      </w:r>
      <w:r w:rsidR="007548F7">
        <w:t xml:space="preserve">into </w:t>
      </w:r>
      <w:r>
        <w:t xml:space="preserve">their experience as an intermediary that has supported PADs and social impact investments across Australia. </w:t>
      </w:r>
    </w:p>
    <w:p w14:paraId="72F2FB8A" w14:textId="5F367B26" w:rsidR="005A5146" w:rsidRDefault="005A5146" w:rsidP="00574579">
      <w:r>
        <w:t>This paper should be read in conjunction with both reports.</w:t>
      </w:r>
    </w:p>
    <w:p w14:paraId="2ADA98E9" w14:textId="77777777" w:rsidR="00F5271F" w:rsidRPr="002B4F0C" w:rsidRDefault="00F5271F" w:rsidP="00FE64F1">
      <w:pPr>
        <w:pStyle w:val="Heading1"/>
      </w:pPr>
      <w:r>
        <w:t>Investors and PADs</w:t>
      </w:r>
    </w:p>
    <w:p w14:paraId="68B0A51A" w14:textId="77777777" w:rsidR="001106F3" w:rsidRDefault="001106F3" w:rsidP="00FE64F1">
      <w:r>
        <w:t>Investors describe a diverse range of organisations and entities that include fund managers, banks, philanthropic organisations, other financial institutions, superannuation funds, families and individuals.</w:t>
      </w:r>
    </w:p>
    <w:p w14:paraId="5BBAB3CE" w14:textId="35E9070D" w:rsidR="001106F3" w:rsidRDefault="001106F3" w:rsidP="00FE64F1">
      <w:r>
        <w:t xml:space="preserve">They </w:t>
      </w:r>
      <w:r w:rsidR="00E926C3">
        <w:t xml:space="preserve">all </w:t>
      </w:r>
      <w:r w:rsidRPr="009F112A">
        <w:t>have different motivations</w:t>
      </w:r>
      <w:r>
        <w:t xml:space="preserve"> and strategies </w:t>
      </w:r>
      <w:r w:rsidRPr="009F112A">
        <w:t>for investing</w:t>
      </w:r>
      <w:r w:rsidR="001A29AA">
        <w:t>,</w:t>
      </w:r>
      <w:r>
        <w:t xml:space="preserve"> which </w:t>
      </w:r>
      <w:r w:rsidR="00E926C3">
        <w:t xml:space="preserve">typically </w:t>
      </w:r>
      <w:r>
        <w:t>guide the projects they invest in.</w:t>
      </w:r>
    </w:p>
    <w:p w14:paraId="2490D794" w14:textId="77777777" w:rsidR="001106F3" w:rsidRDefault="001106F3" w:rsidP="00FE64F1">
      <w:r>
        <w:t>PADs rely on investors to play two key roles:</w:t>
      </w:r>
    </w:p>
    <w:p w14:paraId="63AB1843" w14:textId="77777777" w:rsidR="001106F3" w:rsidRDefault="001106F3" w:rsidP="00EB0253">
      <w:pPr>
        <w:pStyle w:val="Bullet1"/>
        <w:spacing w:before="80" w:after="80" w:line="240" w:lineRule="auto"/>
      </w:pPr>
      <w:r w:rsidRPr="00051147">
        <w:rPr>
          <w:b/>
          <w:bCs/>
        </w:rPr>
        <w:t>Provide working capital</w:t>
      </w:r>
      <w:r w:rsidRPr="00771DED">
        <w:t xml:space="preserve"> to the service </w:t>
      </w:r>
      <w:r>
        <w:t>provider</w:t>
      </w:r>
      <w:r w:rsidRPr="00771DED">
        <w:t xml:space="preserve"> to deliver the </w:t>
      </w:r>
      <w:r>
        <w:t>PAD</w:t>
      </w:r>
      <w:r w:rsidRPr="00771DED">
        <w:t xml:space="preserve"> (until the target outcomes are achieved and paid by government)</w:t>
      </w:r>
      <w:r>
        <w:t>.</w:t>
      </w:r>
      <w:r w:rsidRPr="00771DED">
        <w:t xml:space="preserve"> </w:t>
      </w:r>
    </w:p>
    <w:p w14:paraId="35CEB7D4" w14:textId="11405455" w:rsidR="00DB4180" w:rsidRDefault="001106F3" w:rsidP="00EB0253">
      <w:pPr>
        <w:pStyle w:val="Bullet1"/>
        <w:spacing w:before="80" w:after="80" w:line="240" w:lineRule="auto"/>
      </w:pPr>
      <w:r w:rsidRPr="00051147">
        <w:rPr>
          <w:b/>
          <w:bCs/>
        </w:rPr>
        <w:t>Share the financial risk (and return)</w:t>
      </w:r>
      <w:r w:rsidRPr="00771DED">
        <w:t xml:space="preserve"> with the service </w:t>
      </w:r>
      <w:r>
        <w:t>providers</w:t>
      </w:r>
      <w:r w:rsidRPr="00771DED">
        <w:t xml:space="preserve"> and government. </w:t>
      </w:r>
    </w:p>
    <w:p w14:paraId="459F008D" w14:textId="77777777" w:rsidR="008F4F36" w:rsidRDefault="008F4F36">
      <w:pPr>
        <w:keepLines w:val="0"/>
        <w:spacing w:before="0" w:after="200" w:line="276" w:lineRule="auto"/>
      </w:pPr>
      <w:r>
        <w:br w:type="page"/>
      </w:r>
    </w:p>
    <w:p w14:paraId="566F12A9" w14:textId="1452C011" w:rsidR="001106F3" w:rsidRDefault="001106F3" w:rsidP="00FE64F1">
      <w:r>
        <w:lastRenderedPageBreak/>
        <w:t>Investors can also bring additional benefits to PADs and other social investments as they can:</w:t>
      </w:r>
    </w:p>
    <w:p w14:paraId="7E2BC4A4" w14:textId="47C03E50" w:rsidR="001106F3" w:rsidRPr="00A93816" w:rsidRDefault="0003546A" w:rsidP="00EB0253">
      <w:pPr>
        <w:pStyle w:val="Bullet1"/>
        <w:spacing w:before="80" w:after="80" w:line="240" w:lineRule="auto"/>
      </w:pPr>
      <w:r>
        <w:t>s</w:t>
      </w:r>
      <w:r w:rsidR="001106F3" w:rsidRPr="00A93816">
        <w:t>timulate innovation and creativity</w:t>
      </w:r>
    </w:p>
    <w:p w14:paraId="7023D351" w14:textId="35234C91" w:rsidR="001106F3" w:rsidRPr="00A93816" w:rsidRDefault="0003546A" w:rsidP="00EB0253">
      <w:pPr>
        <w:pStyle w:val="Bullet1"/>
        <w:spacing w:before="80" w:after="80" w:line="240" w:lineRule="auto"/>
      </w:pPr>
      <w:r>
        <w:t>u</w:t>
      </w:r>
      <w:r w:rsidR="001106F3" w:rsidRPr="00A93816">
        <w:t xml:space="preserve">ncover new opportunities </w:t>
      </w:r>
      <w:r w:rsidR="001106F3">
        <w:t>to</w:t>
      </w:r>
      <w:r w:rsidR="001106F3" w:rsidRPr="00A93816">
        <w:t xml:space="preserve"> </w:t>
      </w:r>
      <w:r w:rsidR="001106F3">
        <w:t>service</w:t>
      </w:r>
      <w:r w:rsidR="001106F3" w:rsidRPr="00A93816">
        <w:t xml:space="preserve"> unmet needs</w:t>
      </w:r>
    </w:p>
    <w:p w14:paraId="296EC17D" w14:textId="263D37C9" w:rsidR="001106F3" w:rsidRPr="00A93816" w:rsidRDefault="0003546A" w:rsidP="00EB0253">
      <w:pPr>
        <w:pStyle w:val="Bullet1"/>
        <w:spacing w:before="80" w:after="80" w:line="240" w:lineRule="auto"/>
      </w:pPr>
      <w:r>
        <w:t>s</w:t>
      </w:r>
      <w:r w:rsidR="001106F3" w:rsidRPr="00A93816">
        <w:t>cal</w:t>
      </w:r>
      <w:r w:rsidR="00783190">
        <w:t>e</w:t>
      </w:r>
      <w:r w:rsidR="001106F3" w:rsidRPr="00A93816">
        <w:t xml:space="preserve"> up effective investments</w:t>
      </w:r>
    </w:p>
    <w:p w14:paraId="7CC7A330" w14:textId="448C2746" w:rsidR="00F93D4E" w:rsidRDefault="0003546A" w:rsidP="00F810E6">
      <w:pPr>
        <w:pStyle w:val="Bullet1"/>
        <w:spacing w:before="80" w:after="0" w:line="240" w:lineRule="auto"/>
      </w:pPr>
      <w:r>
        <w:t>e</w:t>
      </w:r>
      <w:r w:rsidR="001106F3" w:rsidRPr="00A93816">
        <w:t>ncourage impact measurement</w:t>
      </w:r>
      <w:r w:rsidR="001106F3">
        <w:t>.</w:t>
      </w:r>
    </w:p>
    <w:p w14:paraId="78311E21" w14:textId="2B952B18" w:rsidR="00357C08" w:rsidRDefault="00357C08" w:rsidP="00F810E6">
      <w:r w:rsidRPr="00F810E6">
        <w:t>Anglicare observed that</w:t>
      </w:r>
      <w:r>
        <w:t xml:space="preserve"> many of these benefits </w:t>
      </w:r>
      <w:r w:rsidR="00F810E6">
        <w:t>were realised by engaging investors in the COMPASS PAD</w:t>
      </w:r>
      <w:r>
        <w:t>.</w:t>
      </w:r>
    </w:p>
    <w:p w14:paraId="4EB4C37F" w14:textId="77777777" w:rsidR="00FE64F1" w:rsidRDefault="00574579" w:rsidP="008F4F36">
      <w:pPr>
        <w:pStyle w:val="Heading1"/>
      </w:pPr>
      <w:r>
        <w:t>Pre-engagement</w:t>
      </w:r>
    </w:p>
    <w:p w14:paraId="583E52EB" w14:textId="77777777" w:rsidR="00E374B3" w:rsidRDefault="005A5146" w:rsidP="008F4F36">
      <w:r>
        <w:t xml:space="preserve">Before considering whether investors need to be engaged, service providers should always </w:t>
      </w:r>
      <w:r w:rsidRPr="00E4049A">
        <w:rPr>
          <w:rFonts w:asciiTheme="majorHAnsi" w:hAnsiTheme="majorHAnsi"/>
        </w:rPr>
        <w:t>first consider if your project is suitable for a PAD</w:t>
      </w:r>
      <w:r>
        <w:t>.</w:t>
      </w:r>
      <w:r>
        <w:rPr>
          <w:rStyle w:val="EndnoteReference"/>
        </w:rPr>
        <w:endnoteReference w:id="3"/>
      </w:r>
      <w:r w:rsidR="006C4B08">
        <w:t xml:space="preserve"> </w:t>
      </w:r>
      <w:r w:rsidR="00C12B85">
        <w:t>For example</w:t>
      </w:r>
      <w:r w:rsidR="00E374B3">
        <w:t>:</w:t>
      </w:r>
    </w:p>
    <w:p w14:paraId="30847BBC" w14:textId="6EEA873F" w:rsidR="00E374B3" w:rsidRDefault="00E374B3" w:rsidP="00E374B3">
      <w:pPr>
        <w:pStyle w:val="ListParagraph"/>
        <w:numPr>
          <w:ilvl w:val="0"/>
          <w:numId w:val="42"/>
        </w:numPr>
        <w:rPr>
          <w:rFonts w:eastAsia="Times New Roman" w:cs="Calibri"/>
        </w:rPr>
      </w:pPr>
      <w:r>
        <w:rPr>
          <w:rFonts w:eastAsia="Times New Roman" w:cs="Calibri"/>
        </w:rPr>
        <w:t>I</w:t>
      </w:r>
      <w:r w:rsidRPr="00F810E6">
        <w:rPr>
          <w:rFonts w:eastAsia="Times New Roman" w:cs="Calibri"/>
        </w:rPr>
        <w:t>s there a funding party to pay for the expected out</w:t>
      </w:r>
      <w:r w:rsidR="00FB712E">
        <w:rPr>
          <w:rFonts w:eastAsia="Times New Roman" w:cs="Calibri"/>
        </w:rPr>
        <w:t>come</w:t>
      </w:r>
      <w:r>
        <w:rPr>
          <w:rFonts w:eastAsia="Times New Roman" w:cs="Calibri"/>
        </w:rPr>
        <w:t>?</w:t>
      </w:r>
    </w:p>
    <w:p w14:paraId="7A93D76D" w14:textId="16F25EB2" w:rsidR="005A5146" w:rsidRPr="00F810E6" w:rsidRDefault="00E374B3" w:rsidP="00F810E6">
      <w:pPr>
        <w:pStyle w:val="ListParagraph"/>
        <w:numPr>
          <w:ilvl w:val="0"/>
          <w:numId w:val="42"/>
        </w:numPr>
        <w:rPr>
          <w:rFonts w:eastAsia="Times New Roman" w:cs="Calibri"/>
        </w:rPr>
      </w:pPr>
      <w:r>
        <w:rPr>
          <w:rFonts w:eastAsia="Times New Roman" w:cs="Calibri"/>
        </w:rPr>
        <w:t>I</w:t>
      </w:r>
      <w:r w:rsidRPr="00F810E6">
        <w:rPr>
          <w:rFonts w:eastAsia="Times New Roman" w:cs="Calibri"/>
        </w:rPr>
        <w:t xml:space="preserve">s </w:t>
      </w:r>
      <w:r w:rsidR="00FB712E">
        <w:rPr>
          <w:rFonts w:eastAsia="Times New Roman" w:cs="Calibri"/>
        </w:rPr>
        <w:t>there sufficient data and evidence to support investor’s decisions?</w:t>
      </w:r>
    </w:p>
    <w:p w14:paraId="1C560018" w14:textId="38E5E173" w:rsidR="005A5146" w:rsidRDefault="005A5146" w:rsidP="00D072B9">
      <w:pPr>
        <w:rPr>
          <w:b/>
          <w:bCs/>
        </w:rPr>
      </w:pPr>
      <w:r>
        <w:t xml:space="preserve">If there is a suitable project, service providers will then need to consider if they have the </w:t>
      </w:r>
      <w:r w:rsidRPr="005A646A">
        <w:t xml:space="preserve">resources and capabilities to engage with investors. </w:t>
      </w:r>
      <w:r w:rsidRPr="00E63F8F">
        <w:t xml:space="preserve">This </w:t>
      </w:r>
      <w:r>
        <w:t>will</w:t>
      </w:r>
      <w:r w:rsidRPr="00E63F8F">
        <w:t xml:space="preserve"> also inform the decision of whether to </w:t>
      </w:r>
      <w:r w:rsidRPr="005A646A">
        <w:t>directly engage investors or to use an intermediary</w:t>
      </w:r>
      <w:r w:rsidRPr="00E63F8F">
        <w:t xml:space="preserve"> for support in finding suitable investors</w:t>
      </w:r>
      <w:r>
        <w:t xml:space="preserve"> (Figure 1)</w:t>
      </w:r>
      <w:r>
        <w:rPr>
          <w:b/>
          <w:bCs/>
        </w:rPr>
        <w:t>.</w:t>
      </w:r>
    </w:p>
    <w:p w14:paraId="36E7595E" w14:textId="08FBA730" w:rsidR="005A5146" w:rsidRDefault="005A5146" w:rsidP="00E63F8F">
      <w:pPr>
        <w:pStyle w:val="Caption"/>
        <w:keepNext/>
      </w:pPr>
      <w:r>
        <w:t xml:space="preserve">Figure 1: Key pre-engagement considerations </w:t>
      </w:r>
    </w:p>
    <w:p w14:paraId="73669C1E" w14:textId="2B69590F" w:rsidR="0016383E" w:rsidRDefault="00035A2D" w:rsidP="0016383E">
      <w:pPr>
        <w:rPr>
          <w:noProof/>
        </w:rPr>
      </w:pPr>
      <w:r w:rsidRPr="00035A2D">
        <w:rPr>
          <w:noProof/>
        </w:rPr>
        <w:drawing>
          <wp:inline distT="0" distB="0" distL="0" distR="0" wp14:anchorId="234BCBC3" wp14:editId="7E2A57B8">
            <wp:extent cx="2823845" cy="2218055"/>
            <wp:effectExtent l="0" t="0" r="0" b="0"/>
            <wp:docPr id="157524479" name="Picture 4" descr="Chart outlining 3 key initial considerations before engaging investors: designing a suitable project, resourcing engagement and finding inves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4479" name="Picture 4" descr="Chart outlining 3 key initial considerations before engaging investors: designing a suitable project, resourcing engagement and finding investors.&#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3845" cy="2218055"/>
                    </a:xfrm>
                    <a:prstGeom prst="rect">
                      <a:avLst/>
                    </a:prstGeom>
                    <a:noFill/>
                    <a:ln>
                      <a:noFill/>
                    </a:ln>
                  </pic:spPr>
                </pic:pic>
              </a:graphicData>
            </a:graphic>
          </wp:inline>
        </w:drawing>
      </w:r>
    </w:p>
    <w:p w14:paraId="0D965822" w14:textId="259E9852" w:rsidR="00022B6F" w:rsidRPr="00F810E6" w:rsidRDefault="00022B6F" w:rsidP="0016383E">
      <w:pPr>
        <w:rPr>
          <w:noProof/>
          <w:sz w:val="16"/>
          <w:szCs w:val="16"/>
        </w:rPr>
      </w:pPr>
      <w:r w:rsidRPr="00F810E6">
        <w:rPr>
          <w:bCs/>
          <w:sz w:val="16"/>
          <w:szCs w:val="16"/>
        </w:rPr>
        <w:t xml:space="preserve">Source: </w:t>
      </w:r>
      <w:r w:rsidRPr="00F810E6">
        <w:rPr>
          <w:sz w:val="16"/>
          <w:szCs w:val="16"/>
        </w:rPr>
        <w:t xml:space="preserve">SVA, </w:t>
      </w:r>
      <w:r w:rsidRPr="00F810E6">
        <w:rPr>
          <w:i/>
          <w:iCs/>
          <w:sz w:val="16"/>
          <w:szCs w:val="16"/>
        </w:rPr>
        <w:t>Guidance for the social services sector on engaging investors</w:t>
      </w:r>
      <w:r w:rsidRPr="00F810E6">
        <w:rPr>
          <w:sz w:val="16"/>
          <w:szCs w:val="16"/>
        </w:rPr>
        <w:t xml:space="preserve">, </w:t>
      </w:r>
      <w:r w:rsidR="00D50327">
        <w:rPr>
          <w:sz w:val="16"/>
          <w:szCs w:val="16"/>
        </w:rPr>
        <w:t>August 2024</w:t>
      </w:r>
      <w:r>
        <w:rPr>
          <w:sz w:val="16"/>
          <w:szCs w:val="16"/>
        </w:rPr>
        <w:t>.</w:t>
      </w:r>
    </w:p>
    <w:p w14:paraId="24E1E56A" w14:textId="6003C412" w:rsidR="005A5146" w:rsidRDefault="008F4F36" w:rsidP="00993469">
      <w:r>
        <w:br w:type="column"/>
      </w:r>
      <w:r w:rsidR="005A5146">
        <w:t xml:space="preserve">An intermediary provides specialist services to service providers including investor engagement, capital raising, project development, negotiation support and financial structuring. </w:t>
      </w:r>
      <w:r w:rsidR="005A5146">
        <w:rPr>
          <w:rStyle w:val="EndnoteReference"/>
        </w:rPr>
        <w:endnoteReference w:id="4"/>
      </w:r>
      <w:r w:rsidR="005A5146">
        <w:t xml:space="preserve">  </w:t>
      </w:r>
    </w:p>
    <w:p w14:paraId="75A8418A" w14:textId="53C68A3A" w:rsidR="00F810E6" w:rsidRPr="00D21999" w:rsidRDefault="005A5146" w:rsidP="00DD6A80">
      <w:pPr>
        <w:pStyle w:val="Caption"/>
        <w:rPr>
          <w:rFonts w:asciiTheme="minorHAnsi" w:hAnsiTheme="minorHAnsi"/>
          <w:bCs w:val="0"/>
          <w:color w:val="232B39" w:themeColor="text1"/>
          <w:szCs w:val="20"/>
        </w:rPr>
      </w:pPr>
      <w:r w:rsidRPr="00D21999">
        <w:rPr>
          <w:rFonts w:asciiTheme="minorHAnsi" w:hAnsiTheme="minorHAnsi"/>
          <w:bCs w:val="0"/>
          <w:color w:val="232B39" w:themeColor="text1"/>
          <w:szCs w:val="20"/>
        </w:rPr>
        <w:t>Service providers should consider various trade</w:t>
      </w:r>
      <w:r w:rsidRPr="00D21999">
        <w:rPr>
          <w:rFonts w:asciiTheme="minorHAnsi" w:hAnsiTheme="minorHAnsi"/>
          <w:bCs w:val="0"/>
          <w:color w:val="232B39" w:themeColor="text1"/>
          <w:szCs w:val="20"/>
        </w:rPr>
        <w:noBreakHyphen/>
        <w:t>offs of directly engaging investors compared to using an intermediary. For example, while intermediaries may be more proficient at engaging investors, their services include costs that will need to be factored in (Table 1).</w:t>
      </w:r>
    </w:p>
    <w:p w14:paraId="61FABDE7" w14:textId="5DBEA40C" w:rsidR="005A5146" w:rsidRDefault="005A5146" w:rsidP="00DD6A80">
      <w:pPr>
        <w:pStyle w:val="Caption"/>
      </w:pPr>
      <w:r>
        <w:t>Table 1: Trade-offs between directly engaging investors versus using an intermediary</w:t>
      </w:r>
    </w:p>
    <w:tbl>
      <w:tblPr>
        <w:tblStyle w:val="DTFtexttable"/>
        <w:tblW w:w="0" w:type="auto"/>
        <w:tblInd w:w="29" w:type="dxa"/>
        <w:tblLook w:val="0620" w:firstRow="1" w:lastRow="0" w:firstColumn="0" w:lastColumn="0" w:noHBand="1" w:noVBand="1"/>
      </w:tblPr>
      <w:tblGrid>
        <w:gridCol w:w="2208"/>
        <w:gridCol w:w="2211"/>
      </w:tblGrid>
      <w:tr w:rsidR="00E2230B" w14:paraId="3A3F6473" w14:textId="77777777" w:rsidTr="00D072B9">
        <w:trPr>
          <w:cnfStyle w:val="100000000000" w:firstRow="1" w:lastRow="0" w:firstColumn="0" w:lastColumn="0" w:oddVBand="0" w:evenVBand="0" w:oddHBand="0" w:evenHBand="0" w:firstRowFirstColumn="0" w:firstRowLastColumn="0" w:lastRowFirstColumn="0" w:lastRowLastColumn="0"/>
        </w:trPr>
        <w:tc>
          <w:tcPr>
            <w:tcW w:w="2270" w:type="dxa"/>
          </w:tcPr>
          <w:p w14:paraId="6B5431C3" w14:textId="22613428" w:rsidR="005A5146" w:rsidRPr="00BF45ED" w:rsidRDefault="005A5146" w:rsidP="00D072B9">
            <w:pPr>
              <w:pStyle w:val="Tableheader"/>
            </w:pPr>
            <w:r w:rsidRPr="00BF45ED">
              <w:t>Direct engagement</w:t>
            </w:r>
          </w:p>
        </w:tc>
        <w:tc>
          <w:tcPr>
            <w:tcW w:w="2271" w:type="dxa"/>
          </w:tcPr>
          <w:p w14:paraId="180606CB" w14:textId="23565FA0" w:rsidR="005A5146" w:rsidRPr="00BF45ED" w:rsidRDefault="005A5146" w:rsidP="00D072B9">
            <w:pPr>
              <w:pStyle w:val="Tableheader"/>
            </w:pPr>
            <w:r w:rsidRPr="00BF45ED">
              <w:t>Intermediary</w:t>
            </w:r>
          </w:p>
        </w:tc>
      </w:tr>
      <w:tr w:rsidR="00E2230B" w14:paraId="3E226492" w14:textId="77777777" w:rsidTr="00D072B9">
        <w:tc>
          <w:tcPr>
            <w:tcW w:w="2270" w:type="dxa"/>
            <w:shd w:val="clear" w:color="auto" w:fill="auto"/>
          </w:tcPr>
          <w:p w14:paraId="2CFD6D4A" w14:textId="16FDC958" w:rsidR="005A5146" w:rsidRPr="00BF45ED" w:rsidRDefault="005A5146" w:rsidP="00D072B9">
            <w:pPr>
              <w:pStyle w:val="Tabletext"/>
              <w:rPr>
                <w:spacing w:val="0"/>
                <w:lang w:eastAsia="en-AU"/>
              </w:rPr>
            </w:pPr>
            <w:r w:rsidRPr="00BF45ED">
              <w:t>Build in-house capability to engage investors</w:t>
            </w:r>
          </w:p>
        </w:tc>
        <w:tc>
          <w:tcPr>
            <w:tcW w:w="2271" w:type="dxa"/>
          </w:tcPr>
          <w:p w14:paraId="11567DBD" w14:textId="21220020" w:rsidR="005A5146" w:rsidRPr="00BF45ED" w:rsidRDefault="005A5146" w:rsidP="00D072B9">
            <w:pPr>
              <w:pStyle w:val="Tabletext"/>
              <w:rPr>
                <w:spacing w:val="0"/>
                <w:lang w:eastAsia="en-AU"/>
              </w:rPr>
            </w:pPr>
            <w:r w:rsidRPr="00BF45ED">
              <w:rPr>
                <w:spacing w:val="0"/>
                <w:lang w:eastAsia="en-AU"/>
              </w:rPr>
              <w:t>More experience engaging investors</w:t>
            </w:r>
          </w:p>
        </w:tc>
      </w:tr>
      <w:tr w:rsidR="00E2230B" w14:paraId="607D92B1" w14:textId="77777777" w:rsidTr="00D072B9">
        <w:tc>
          <w:tcPr>
            <w:tcW w:w="2270" w:type="dxa"/>
            <w:shd w:val="clear" w:color="auto" w:fill="auto"/>
          </w:tcPr>
          <w:p w14:paraId="4879159F" w14:textId="306B8638" w:rsidR="005A5146" w:rsidRPr="00BF45ED" w:rsidRDefault="005A5146" w:rsidP="00D072B9">
            <w:pPr>
              <w:pStyle w:val="Tabletext"/>
            </w:pPr>
            <w:r w:rsidRPr="00BF45ED">
              <w:t>Greater control over engagement</w:t>
            </w:r>
          </w:p>
        </w:tc>
        <w:tc>
          <w:tcPr>
            <w:tcW w:w="2271" w:type="dxa"/>
          </w:tcPr>
          <w:p w14:paraId="683F53C5" w14:textId="27F4762B" w:rsidR="005A5146" w:rsidRPr="00BF45ED" w:rsidRDefault="005A5146" w:rsidP="00D072B9">
            <w:pPr>
              <w:pStyle w:val="Tabletext"/>
              <w:rPr>
                <w:spacing w:val="0"/>
                <w:lang w:eastAsia="en-AU"/>
              </w:rPr>
            </w:pPr>
            <w:r w:rsidRPr="00BF45ED">
              <w:rPr>
                <w:spacing w:val="0"/>
                <w:lang w:eastAsia="en-AU"/>
              </w:rPr>
              <w:t>Greater investor access</w:t>
            </w:r>
          </w:p>
        </w:tc>
      </w:tr>
      <w:tr w:rsidR="00E2230B" w14:paraId="0E3D7CE3" w14:textId="77777777" w:rsidTr="00D072B9">
        <w:tc>
          <w:tcPr>
            <w:tcW w:w="2270" w:type="dxa"/>
            <w:shd w:val="clear" w:color="auto" w:fill="auto"/>
          </w:tcPr>
          <w:p w14:paraId="4C71803E" w14:textId="7752CA5E" w:rsidR="005A5146" w:rsidRPr="00BF45ED" w:rsidRDefault="005A5146" w:rsidP="00D072B9">
            <w:pPr>
              <w:pStyle w:val="Tabletext"/>
            </w:pPr>
            <w:r w:rsidRPr="00BF45ED">
              <w:t>Greater work continuity</w:t>
            </w:r>
          </w:p>
        </w:tc>
        <w:tc>
          <w:tcPr>
            <w:tcW w:w="2271" w:type="dxa"/>
          </w:tcPr>
          <w:p w14:paraId="3951B299" w14:textId="13C3B207" w:rsidR="005A5146" w:rsidRPr="00BF45ED" w:rsidRDefault="005A5146" w:rsidP="00D072B9">
            <w:pPr>
              <w:pStyle w:val="Tabletext"/>
            </w:pPr>
            <w:r w:rsidRPr="00BF45ED">
              <w:t xml:space="preserve">Greater knowledge of investor expectations </w:t>
            </w:r>
          </w:p>
        </w:tc>
      </w:tr>
      <w:tr w:rsidR="00E2230B" w14:paraId="229CC1BC" w14:textId="77777777" w:rsidTr="00D072B9">
        <w:tc>
          <w:tcPr>
            <w:tcW w:w="2270" w:type="dxa"/>
            <w:shd w:val="clear" w:color="auto" w:fill="auto"/>
          </w:tcPr>
          <w:p w14:paraId="67ECDA1E" w14:textId="6FF7A026" w:rsidR="005A5146" w:rsidRPr="00BF45ED" w:rsidRDefault="005A5146" w:rsidP="00D072B9">
            <w:pPr>
              <w:pStyle w:val="Tabletext"/>
            </w:pPr>
            <w:r w:rsidRPr="00BF45ED">
              <w:t>Potentially less costs</w:t>
            </w:r>
          </w:p>
        </w:tc>
        <w:tc>
          <w:tcPr>
            <w:tcW w:w="2271" w:type="dxa"/>
          </w:tcPr>
          <w:p w14:paraId="04789FF2" w14:textId="516C74ED" w:rsidR="005A5146" w:rsidRPr="00BF45ED" w:rsidRDefault="005A5146" w:rsidP="00D072B9">
            <w:pPr>
              <w:pStyle w:val="Tabletext"/>
            </w:pPr>
            <w:r w:rsidRPr="00BF45ED">
              <w:t>Existing investor relationships</w:t>
            </w:r>
          </w:p>
        </w:tc>
      </w:tr>
    </w:tbl>
    <w:p w14:paraId="36BDC9A6" w14:textId="726A41FB" w:rsidR="005A5146" w:rsidRDefault="005A5146" w:rsidP="00861234">
      <w:r>
        <w:t xml:space="preserve">Service providers may also find it worthwhile to start considering </w:t>
      </w:r>
      <w:r w:rsidRPr="00E4049A">
        <w:rPr>
          <w:rFonts w:asciiTheme="majorHAnsi" w:hAnsiTheme="majorHAnsi"/>
        </w:rPr>
        <w:t>where and how to find potential investors</w:t>
      </w:r>
      <w:r>
        <w:t xml:space="preserve"> as part of pre-engagement. </w:t>
      </w:r>
    </w:p>
    <w:p w14:paraId="4050A367" w14:textId="14A2EF8B" w:rsidR="005A5146" w:rsidRDefault="005A5146" w:rsidP="00EE57A9">
      <w:r>
        <w:t>While this can be undertaken at any stage of the PAD prior to ‘implementation’,</w:t>
      </w:r>
      <w:r w:rsidRPr="000A7F19">
        <w:t xml:space="preserve"> </w:t>
      </w:r>
      <w:r>
        <w:t xml:space="preserve">both SVA and Anglicare found </w:t>
      </w:r>
      <w:r w:rsidR="00C36916">
        <w:t>sourcing interested investors</w:t>
      </w:r>
      <w:r w:rsidR="00C36916" w:rsidDel="00C36916">
        <w:t xml:space="preserve"> </w:t>
      </w:r>
      <w:r w:rsidR="00C36916">
        <w:t>challenging</w:t>
      </w:r>
      <w:r>
        <w:t>, especially in the later stages.</w:t>
      </w:r>
      <w:r>
        <w:rPr>
          <w:rStyle w:val="EndnoteReference"/>
        </w:rPr>
        <w:endnoteReference w:id="5"/>
      </w:r>
      <w:r>
        <w:t xml:space="preserve"> So there may be benefits to early commencement.</w:t>
      </w:r>
    </w:p>
    <w:p w14:paraId="237B61C3" w14:textId="77777777" w:rsidR="00D072B9" w:rsidRDefault="008F4F36" w:rsidP="00FE64F1">
      <w:pPr>
        <w:pStyle w:val="Heading1"/>
        <w:sectPr w:rsidR="00D072B9" w:rsidSect="002342AA">
          <w:headerReference w:type="first" r:id="rId22"/>
          <w:endnotePr>
            <w:numFmt w:val="decimal"/>
          </w:endnotePr>
          <w:type w:val="continuous"/>
          <w:pgSz w:w="11906" w:h="16838" w:code="9"/>
          <w:pgMar w:top="864" w:right="1152" w:bottom="1728" w:left="1152" w:header="709" w:footer="459" w:gutter="0"/>
          <w:cols w:num="2" w:space="706"/>
          <w:docGrid w:linePitch="360"/>
        </w:sectPr>
      </w:pPr>
      <w:r>
        <w:br w:type="column"/>
      </w:r>
    </w:p>
    <w:p w14:paraId="3B5306B0" w14:textId="570D826C" w:rsidR="005E6D76" w:rsidRPr="00094E55" w:rsidRDefault="00574579" w:rsidP="00D072B9">
      <w:pPr>
        <w:pStyle w:val="Heading1"/>
        <w:spacing w:before="300"/>
      </w:pPr>
      <w:r w:rsidRPr="00094E55">
        <w:t>How and when to engage with investors</w:t>
      </w:r>
    </w:p>
    <w:p w14:paraId="236588D7" w14:textId="77777777" w:rsidR="00F810E6" w:rsidRDefault="00A96CD1" w:rsidP="00C71667">
      <w:r>
        <w:t>After determining</w:t>
      </w:r>
      <w:r w:rsidR="00502D39">
        <w:t xml:space="preserve"> that</w:t>
      </w:r>
      <w:r>
        <w:t xml:space="preserve"> investor involvement is needed and suitable, the next step is to consider how to engage with investors during each stage of the development of a PAD.</w:t>
      </w:r>
    </w:p>
    <w:p w14:paraId="79DEFD7F" w14:textId="6DB4FD72" w:rsidR="00C71667" w:rsidRDefault="00C71667" w:rsidP="00C71667">
      <w:r w:rsidRPr="00D072B9">
        <w:t>Investor engagement occurs throughout a PAD’s lifecycle and SVA has outlined the typical activities at each stage (Figure</w:t>
      </w:r>
      <w:r>
        <w:t xml:space="preserve"> 2). </w:t>
      </w:r>
    </w:p>
    <w:p w14:paraId="6FE75C20" w14:textId="2C8EE28E" w:rsidR="008F4F36" w:rsidRDefault="00C71667" w:rsidP="00F810E6">
      <w:r>
        <w:t>It should be noted that PADs may not necessarily follow this path linearly or one for one.</w:t>
      </w:r>
    </w:p>
    <w:p w14:paraId="0F9ECD94" w14:textId="77777777" w:rsidR="005A5146" w:rsidRDefault="005A5146" w:rsidP="008F4F36">
      <w:pPr>
        <w:pStyle w:val="Caption"/>
      </w:pPr>
      <w:r w:rsidRPr="007361BF">
        <w:t xml:space="preserve">Figure </w:t>
      </w:r>
      <w:r>
        <w:t>2</w:t>
      </w:r>
      <w:r w:rsidRPr="007361BF">
        <w:t xml:space="preserve">: </w:t>
      </w:r>
      <w:r>
        <w:t>Sample PAD development stages</w:t>
      </w:r>
    </w:p>
    <w:p w14:paraId="4B49F75A" w14:textId="77777777" w:rsidR="005A5146" w:rsidRDefault="005A5146" w:rsidP="00861234">
      <w:pPr>
        <w:rPr>
          <w:bCs/>
          <w:sz w:val="16"/>
          <w:szCs w:val="16"/>
        </w:rPr>
      </w:pPr>
      <w:r>
        <w:rPr>
          <w:noProof/>
        </w:rPr>
        <w:drawing>
          <wp:inline distT="0" distB="0" distL="0" distR="0" wp14:anchorId="0A8AE067" wp14:editId="76949F4E">
            <wp:extent cx="5924006" cy="4110535"/>
            <wp:effectExtent l="0" t="0" r="0" b="0"/>
            <wp:docPr id="2005181171" name="Picture 1" descr="Chart outlining the 6 development stages of a sample PAD, and at each stage the key output for engaging investors and investor engagement activities undertaken.&#10;&#10;First stage is 'conceptualisation' where key output is the PAD concept and clarifying investor expectations. Service providers should consider early investor conversations to gauge appetite and expectations. &#10;&#10;Second stage is the 'request for proposal' which may last for 3 months. The key output is a proposal to the government on contracting terms, investor terms and risk arrangements. Investor engagement is similar to Stage 1. &#10;&#10;Stage 3 is the 'Joint Development Phase' which may range between 6 and 18 months. Key output is to reach agreement on commercial terms and execute the main agreement which is the Implementation Agreement. Investor engagement centred around updates on timing of capital raising and changes to commercial terms. &#10;&#10;Stage 4 is 'Capital raise preparation' which may last for 3 months. Key output is finalising the investment offer document, draft contracts and launch of PAD. Investor engagement focused on engaging with investors to attract interest in PAD.&#10;&#10;Stage 5 is 'Capital raise' which may last for 6 months. Key output is securing capital from investors and satisfying implementation agreement conditions precedent. Investor engagement is on responding to due diligence activities and finalising investor contracts.&#10;&#10;Stage 6 is 'Implementation' which may last between 4 and 10 years. Key output is service delivery and outcomes measurement. Investor engagement is on on-going reporting, payments and other contractual oblig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81171" name="Picture 1" descr="Chart outlining the 6 development stages of a sample PAD, and at each stage the key output for engaging investors and investor engagement activities undertaken.&#10;&#10;First stage is 'conceptualisation' where key output is the PAD concept and clarifying investor expectations. Service providers should consider early investor conversations to gauge appetite and expectations. &#10;&#10;Second stage is the 'request for proposal' which may last for 3 months. The key output is a proposal to the government on contracting terms, investor terms and risk arrangements. Investor engagement is similar to Stage 1. &#10;&#10;Stage 3 is the 'Joint Development Phase' which may range between 6 and 18 months. Key output is to reach agreement on commercial terms and execute the main agreement which is the Implementation Agreement. Investor engagement centred around updates on timing of capital raising and changes to commercial terms. &#10;&#10;Stage 4 is 'Capital raise preparation' which may last for 3 months. Key output is finalising the investment offer document, draft contracts and launch of PAD. Investor engagement focused on engaging with investors to attract interest in PAD.&#10;&#10;Stage 5 is 'Capital raise' which may last for 6 months. Key output is securing capital from investors and satisfying implementation agreement conditions precedent. Investor engagement is on responding to due diligence activities and finalising investor contracts.&#10;&#10;Stage 6 is 'Implementation' which may last between 4 and 10 years. Key output is service delivery and outcomes measurement. Investor engagement is on on-going reporting, payments and other contractual obligations.  "/>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939547" cy="4121318"/>
                    </a:xfrm>
                    <a:prstGeom prst="rect">
                      <a:avLst/>
                    </a:prstGeom>
                  </pic:spPr>
                </pic:pic>
              </a:graphicData>
            </a:graphic>
          </wp:inline>
        </w:drawing>
      </w:r>
    </w:p>
    <w:p w14:paraId="1BF0CDC5" w14:textId="7D36CB5E" w:rsidR="005A5146" w:rsidRDefault="005A5146" w:rsidP="005651AD">
      <w:pPr>
        <w:pStyle w:val="NoteNormal"/>
      </w:pPr>
      <w:r w:rsidRPr="007361BF">
        <w:rPr>
          <w:bCs/>
        </w:rPr>
        <w:t xml:space="preserve">Source: </w:t>
      </w:r>
      <w:r w:rsidRPr="007361BF">
        <w:t xml:space="preserve">SVA, </w:t>
      </w:r>
      <w:r w:rsidRPr="005651AD">
        <w:rPr>
          <w:i/>
          <w:iCs/>
        </w:rPr>
        <w:t>Guidance for the social services sector on engaging investors</w:t>
      </w:r>
      <w:r w:rsidRPr="007361BF">
        <w:t xml:space="preserve">, </w:t>
      </w:r>
      <w:r w:rsidR="00D50327">
        <w:t>August</w:t>
      </w:r>
      <w:r w:rsidRPr="007361BF">
        <w:t xml:space="preserve"> 2024, p. </w:t>
      </w:r>
      <w:r w:rsidR="00D50327">
        <w:t>10</w:t>
      </w:r>
      <w:r w:rsidRPr="007361BF">
        <w:t>.</w:t>
      </w:r>
    </w:p>
    <w:p w14:paraId="4D772F06" w14:textId="77777777" w:rsidR="005651AD" w:rsidRDefault="005651AD" w:rsidP="005651AD">
      <w:pPr>
        <w:pStyle w:val="NoteNormal"/>
      </w:pPr>
    </w:p>
    <w:p w14:paraId="00E958C7" w14:textId="77777777" w:rsidR="00D072B9" w:rsidRDefault="00D072B9" w:rsidP="00D04775">
      <w:pPr>
        <w:pStyle w:val="Heading2"/>
        <w:sectPr w:rsidR="00D072B9" w:rsidSect="002342AA">
          <w:endnotePr>
            <w:numFmt w:val="decimal"/>
          </w:endnotePr>
          <w:type w:val="continuous"/>
          <w:pgSz w:w="11906" w:h="16838" w:code="9"/>
          <w:pgMar w:top="864" w:right="1152" w:bottom="1728" w:left="1152" w:header="709" w:footer="459" w:gutter="0"/>
          <w:cols w:space="706"/>
          <w:docGrid w:linePitch="360"/>
        </w:sectPr>
      </w:pPr>
    </w:p>
    <w:p w14:paraId="747D8073" w14:textId="77777777" w:rsidR="009635E5" w:rsidRDefault="00AD61EE" w:rsidP="003E3873">
      <w:pPr>
        <w:pStyle w:val="Heading2"/>
        <w:ind w:right="5282"/>
      </w:pPr>
      <w:r>
        <w:lastRenderedPageBreak/>
        <w:t>Conceptualisation, Request for Proposal and Joint Development Phase</w:t>
      </w:r>
    </w:p>
    <w:p w14:paraId="34019DC7" w14:textId="77777777" w:rsidR="005651AD" w:rsidRDefault="005651AD" w:rsidP="004F7AEE">
      <w:pPr>
        <w:sectPr w:rsidR="005651AD" w:rsidSect="002342AA">
          <w:endnotePr>
            <w:numFmt w:val="decimal"/>
          </w:endnotePr>
          <w:pgSz w:w="11906" w:h="16838" w:code="9"/>
          <w:pgMar w:top="864" w:right="1152" w:bottom="1728" w:left="1152" w:header="706" w:footer="461" w:gutter="0"/>
          <w:cols w:space="706"/>
          <w:docGrid w:linePitch="360"/>
        </w:sectPr>
      </w:pPr>
    </w:p>
    <w:p w14:paraId="2C32036F" w14:textId="77777777" w:rsidR="00C71667" w:rsidRDefault="005A5146" w:rsidP="004F7AEE">
      <w:r>
        <w:t xml:space="preserve">These stages </w:t>
      </w:r>
      <w:r w:rsidRPr="00B93DEA">
        <w:t>(</w:t>
      </w:r>
      <w:r w:rsidRPr="005A646A">
        <w:t>Stages 1 to 3</w:t>
      </w:r>
      <w:r w:rsidRPr="00B93DEA">
        <w:t>)</w:t>
      </w:r>
      <w:r>
        <w:rPr>
          <w:b/>
          <w:bCs/>
        </w:rPr>
        <w:t xml:space="preserve"> </w:t>
      </w:r>
      <w:r>
        <w:t>are where PADs are conceptualised</w:t>
      </w:r>
      <w:r w:rsidR="00C60F1E">
        <w:t xml:space="preserve"> and</w:t>
      </w:r>
      <w:r>
        <w:t xml:space="preserve"> developed</w:t>
      </w:r>
      <w:r w:rsidR="00C60F1E">
        <w:t>,</w:t>
      </w:r>
      <w:r>
        <w:t xml:space="preserve"> and key commercial terms largely finalised. </w:t>
      </w:r>
    </w:p>
    <w:p w14:paraId="00D06F65" w14:textId="5CA7CB60" w:rsidR="005A5146" w:rsidRDefault="005A5146" w:rsidP="004F7AEE">
      <w:r>
        <w:t xml:space="preserve">Investor engagement </w:t>
      </w:r>
      <w:r w:rsidR="005A646A">
        <w:t xml:space="preserve">is </w:t>
      </w:r>
      <w:r>
        <w:t>informal and SVA expects them to focus on:</w:t>
      </w:r>
      <w:r>
        <w:rPr>
          <w:rStyle w:val="EndnoteReference"/>
        </w:rPr>
        <w:endnoteReference w:id="6"/>
      </w:r>
    </w:p>
    <w:p w14:paraId="574E2A24" w14:textId="6C49DC4C" w:rsidR="005A5146" w:rsidRPr="004639B3" w:rsidRDefault="00C84C33" w:rsidP="004639B3">
      <w:pPr>
        <w:pStyle w:val="Bullet1"/>
      </w:pPr>
      <w:r>
        <w:t>f</w:t>
      </w:r>
      <w:r w:rsidR="005A5146" w:rsidRPr="004639B3">
        <w:t>inding potential investors</w:t>
      </w:r>
    </w:p>
    <w:p w14:paraId="6CB3869C" w14:textId="6D8C06D7" w:rsidR="005A5146" w:rsidRPr="004639B3" w:rsidRDefault="00C84C33" w:rsidP="004639B3">
      <w:pPr>
        <w:pStyle w:val="Bullet1"/>
      </w:pPr>
      <w:r>
        <w:t>u</w:t>
      </w:r>
      <w:r w:rsidR="005A5146" w:rsidRPr="004639B3">
        <w:t>nderstanding investor interests, needs, expectations and goals</w:t>
      </w:r>
    </w:p>
    <w:p w14:paraId="3E400AAE" w14:textId="569AFE13" w:rsidR="005A5146" w:rsidRPr="004639B3" w:rsidRDefault="00C84C33" w:rsidP="004639B3">
      <w:pPr>
        <w:pStyle w:val="Bullet1"/>
      </w:pPr>
      <w:r>
        <w:t>i</w:t>
      </w:r>
      <w:r w:rsidR="005A5146" w:rsidRPr="004639B3">
        <w:t>ncorporating investor expectations into the project</w:t>
      </w:r>
    </w:p>
    <w:p w14:paraId="39E6805D" w14:textId="57A8EA01" w:rsidR="005A5146" w:rsidRPr="004639B3" w:rsidRDefault="00C84C33" w:rsidP="004639B3">
      <w:pPr>
        <w:pStyle w:val="Bullet1"/>
      </w:pPr>
      <w:r>
        <w:t>b</w:t>
      </w:r>
      <w:r w:rsidR="005A5146" w:rsidRPr="004639B3">
        <w:t>alancing between investor expectations and goals with those from other stakeholders.</w:t>
      </w:r>
    </w:p>
    <w:p w14:paraId="520CE525" w14:textId="77777777" w:rsidR="00C71667" w:rsidRDefault="005A5146" w:rsidP="004F7AEE">
      <w:r w:rsidRPr="00585964">
        <w:t>Stage 3</w:t>
      </w:r>
      <w:r>
        <w:t xml:space="preserve"> is particularly important as this is where </w:t>
      </w:r>
      <w:r w:rsidRPr="005A646A">
        <w:t>key commercial terms are finalised</w:t>
      </w:r>
      <w:r>
        <w:rPr>
          <w:b/>
          <w:bCs/>
        </w:rPr>
        <w:t xml:space="preserve"> </w:t>
      </w:r>
      <w:r w:rsidR="00517590">
        <w:t xml:space="preserve">when </w:t>
      </w:r>
      <w:r>
        <w:t>the service provider sig</w:t>
      </w:r>
      <w:r w:rsidR="00517590">
        <w:t>ns</w:t>
      </w:r>
      <w:r>
        <w:t xml:space="preserve"> an implementation agreement (the main contract with government). </w:t>
      </w:r>
    </w:p>
    <w:p w14:paraId="63792929" w14:textId="0AC3844E" w:rsidR="005A5146" w:rsidRDefault="005A5146" w:rsidP="004F7AEE">
      <w:r>
        <w:t xml:space="preserve">Anglicare’s survey of current PADs found that investor engagement at these stages </w:t>
      </w:r>
      <w:r w:rsidR="008358D1">
        <w:t>contributed</w:t>
      </w:r>
      <w:r w:rsidRPr="005A646A">
        <w:t xml:space="preserve"> additional innovation</w:t>
      </w:r>
      <w:r>
        <w:t xml:space="preserve"> that</w:t>
      </w:r>
      <w:r w:rsidR="00C71667">
        <w:t xml:space="preserve"> has</w:t>
      </w:r>
      <w:r>
        <w:t xml:space="preserve"> improved project viability and lowered implementation risk and cost.</w:t>
      </w:r>
      <w:r>
        <w:rPr>
          <w:rStyle w:val="EndnoteReference"/>
        </w:rPr>
        <w:endnoteReference w:id="7"/>
      </w:r>
    </w:p>
    <w:p w14:paraId="210F5DF3" w14:textId="77777777" w:rsidR="004A7227" w:rsidRDefault="009500A3" w:rsidP="005651AD">
      <w:pPr>
        <w:pStyle w:val="Quote"/>
      </w:pPr>
      <w:r w:rsidRPr="00C25925">
        <w:t xml:space="preserve">For example, [for the COMPASS PAD], investors provided a capital component to the program that provided capacity to increase housing supply for our cohort of clients. That would [otherwise] not have been possible. </w:t>
      </w:r>
    </w:p>
    <w:p w14:paraId="1BD31A5E" w14:textId="13939D89" w:rsidR="009500A3" w:rsidRPr="00C25925" w:rsidRDefault="009500A3" w:rsidP="005651AD">
      <w:pPr>
        <w:pStyle w:val="Quote"/>
      </w:pPr>
      <w:r w:rsidRPr="00C25925">
        <w:t xml:space="preserve">[For the Living Learning PAD, Melbourne City Mission’s model] included philanthropic grants contributing to the project, which reduced the ‘at risk’ component of funding that was needed. </w:t>
      </w:r>
    </w:p>
    <w:p w14:paraId="0CA75A33" w14:textId="77777777" w:rsidR="009500A3" w:rsidRPr="00C25925" w:rsidRDefault="009500A3" w:rsidP="005651AD">
      <w:pPr>
        <w:pStyle w:val="Quote"/>
      </w:pPr>
      <w:r w:rsidRPr="00C25925">
        <w:t xml:space="preserve">In the case of [the Journey to Social Inclusion PAD,] philanthropic organisations acted as guarantors for the main lender, thereby sharing some of the project risk and reducing the cost of capital, taking the investment cost from unsecured debt to secured debt. [Sacred Heart Mission] also provided a first loss guarantee, reducing the risk for guarantors. </w:t>
      </w:r>
    </w:p>
    <w:p w14:paraId="0E0E2FF0" w14:textId="1A6F757E" w:rsidR="009500A3" w:rsidRDefault="009500A3" w:rsidP="005651AD">
      <w:pPr>
        <w:pStyle w:val="NoteNormal"/>
        <w:keepNext w:val="0"/>
      </w:pPr>
      <w:r w:rsidRPr="007361BF">
        <w:t xml:space="preserve">Source: Anglicare, </w:t>
      </w:r>
      <w:r w:rsidRPr="005651AD">
        <w:rPr>
          <w:i/>
          <w:iCs/>
        </w:rPr>
        <w:t>Impact Investment: the COMPASS Experience</w:t>
      </w:r>
      <w:r w:rsidRPr="007361BF">
        <w:t>, June 2024, p. 11</w:t>
      </w:r>
      <w:r>
        <w:t>.</w:t>
      </w:r>
    </w:p>
    <w:p w14:paraId="6CF4E5CF" w14:textId="4D9E1C6A" w:rsidR="00AD61EE" w:rsidRDefault="00C524E0" w:rsidP="00C524E0">
      <w:r>
        <w:t xml:space="preserve">Anglicare also found </w:t>
      </w:r>
      <w:r w:rsidRPr="005A646A">
        <w:t>potential additional value from</w:t>
      </w:r>
      <w:r w:rsidR="00C71667">
        <w:t xml:space="preserve"> engaging</w:t>
      </w:r>
      <w:r w:rsidRPr="005A646A">
        <w:t xml:space="preserve"> investment advisors</w:t>
      </w:r>
      <w:r>
        <w:t>. They can assist project inception and development by providing general advice ‘about what investors are and aren’t looking for’ from their awareness of investor sentiment, preferences and motivation.</w:t>
      </w:r>
      <w:r>
        <w:rPr>
          <w:rStyle w:val="EndnoteReference"/>
        </w:rPr>
        <w:endnoteReference w:id="8"/>
      </w:r>
      <w:r>
        <w:t xml:space="preserve"> </w:t>
      </w:r>
    </w:p>
    <w:p w14:paraId="2BC80BA1" w14:textId="27438E3F" w:rsidR="00B72665" w:rsidRDefault="00B72665" w:rsidP="00D04775">
      <w:pPr>
        <w:pStyle w:val="Heading2"/>
      </w:pPr>
      <w:r>
        <w:t>Capital raise</w:t>
      </w:r>
    </w:p>
    <w:p w14:paraId="1B5C2DD6" w14:textId="77777777" w:rsidR="005A5146" w:rsidRDefault="005A5146" w:rsidP="005651AD">
      <w:r>
        <w:t xml:space="preserve">The most intensive (and formal) investor engagement typically occurs </w:t>
      </w:r>
      <w:r w:rsidRPr="005A646A">
        <w:t>leading up to and during the capital raise</w:t>
      </w:r>
      <w:r>
        <w:t xml:space="preserve"> (stages 4 and 5). This is where investment documents are prepared, projects are marketed to investors, due diligence completed, and investment decisions made.</w:t>
      </w:r>
      <w:r>
        <w:rPr>
          <w:rStyle w:val="EndnoteReference"/>
        </w:rPr>
        <w:endnoteReference w:id="9"/>
      </w:r>
      <w:r>
        <w:t xml:space="preserve"> </w:t>
      </w:r>
    </w:p>
    <w:p w14:paraId="3A5739DE" w14:textId="77777777" w:rsidR="005A5146" w:rsidRDefault="005A5146" w:rsidP="004F7AEE">
      <w:r>
        <w:t>Both SVA and Anglicare found the offer document and due diligence to be critical elements of the capital raise.</w:t>
      </w:r>
    </w:p>
    <w:p w14:paraId="1BC19B46" w14:textId="77777777" w:rsidR="005A5146" w:rsidRDefault="005A5146" w:rsidP="004F7AEE">
      <w:r>
        <w:t xml:space="preserve">The </w:t>
      </w:r>
      <w:r w:rsidRPr="005A646A">
        <w:t>offer document</w:t>
      </w:r>
      <w:r w:rsidRPr="001948E5">
        <w:rPr>
          <w:b/>
          <w:bCs/>
        </w:rPr>
        <w:t xml:space="preserve"> </w:t>
      </w:r>
      <w:r w:rsidRPr="000A7F19">
        <w:t>(also called the ‘</w:t>
      </w:r>
      <w:r w:rsidRPr="005A646A">
        <w:t>information memorandum</w:t>
      </w:r>
      <w:r w:rsidRPr="00DC74C0">
        <w:t>’</w:t>
      </w:r>
      <w:r w:rsidRPr="000A7F19">
        <w:t xml:space="preserve"> or ‘prospectus’)</w:t>
      </w:r>
      <w:r>
        <w:t xml:space="preserve"> is a critical gateway document that typically provides the first formal set of information as part of capital raising. It is a key input into investors’ interest and investment decision on the PAD. </w:t>
      </w:r>
    </w:p>
    <w:p w14:paraId="4736C298" w14:textId="25932A9D" w:rsidR="005A5146" w:rsidRPr="00427EF6" w:rsidRDefault="005A5146" w:rsidP="00453DD3">
      <w:pPr>
        <w:spacing w:before="0" w:after="60"/>
        <w:rPr>
          <w:szCs w:val="18"/>
        </w:rPr>
      </w:pPr>
      <w:r>
        <w:t xml:space="preserve">Anglicare’s COMPASS experience is that an information memorandum should: </w:t>
      </w:r>
    </w:p>
    <w:p w14:paraId="42954931" w14:textId="77777777" w:rsidR="00E973DD" w:rsidRDefault="005A5146" w:rsidP="005651AD">
      <w:pPr>
        <w:pStyle w:val="Quote"/>
      </w:pPr>
      <w:r w:rsidRPr="00C25925">
        <w:t>Clearly articulate the need: Impact investors want to understand the positive difference their investment can make.</w:t>
      </w:r>
    </w:p>
    <w:p w14:paraId="7F8B0579" w14:textId="77777777" w:rsidR="00E973DD" w:rsidRDefault="005A5146" w:rsidP="005651AD">
      <w:pPr>
        <w:pStyle w:val="Quote"/>
      </w:pPr>
      <w:r w:rsidRPr="00C25925">
        <w:t>Outline the evidence: Prospective investors may not be familiar with your target group, your methods or the language used in your field.</w:t>
      </w:r>
    </w:p>
    <w:p w14:paraId="01FFCB86" w14:textId="41EB6B95" w:rsidR="005A5146" w:rsidRPr="00C25925" w:rsidRDefault="005A5146" w:rsidP="005651AD">
      <w:pPr>
        <w:pStyle w:val="Quote"/>
      </w:pPr>
      <w:r w:rsidRPr="00C25925">
        <w:t>Be transparent about the offer: Investors need to understand the nature of the offer and the distribution of risk.</w:t>
      </w:r>
    </w:p>
    <w:p w14:paraId="3B4A37F5" w14:textId="442CD261" w:rsidR="005A5146" w:rsidRDefault="005A5146" w:rsidP="005651AD">
      <w:pPr>
        <w:pStyle w:val="NoteNormal"/>
      </w:pPr>
      <w:r w:rsidRPr="00645EC0">
        <w:t xml:space="preserve">Source: Anglicare, </w:t>
      </w:r>
      <w:r w:rsidRPr="005651AD">
        <w:rPr>
          <w:i/>
          <w:iCs/>
        </w:rPr>
        <w:t>Impact Investment: the COMPASS Experience</w:t>
      </w:r>
      <w:r w:rsidRPr="00645EC0">
        <w:t>, June 2024, pp. 6–8.</w:t>
      </w:r>
    </w:p>
    <w:p w14:paraId="2CC0AF62" w14:textId="77777777" w:rsidR="00DC0046" w:rsidRDefault="00DC0046" w:rsidP="005651AD">
      <w:pPr>
        <w:pStyle w:val="Spacer"/>
      </w:pPr>
    </w:p>
    <w:p w14:paraId="67BBC9BC" w14:textId="6412D58C" w:rsidR="005651AD" w:rsidRPr="005651AD" w:rsidRDefault="005651AD" w:rsidP="005651AD">
      <w:pPr>
        <w:shd w:val="clear" w:color="auto" w:fill="DBF5F7" w:themeFill="background2" w:themeFillTint="66"/>
        <w:rPr>
          <w:rFonts w:asciiTheme="majorHAnsi" w:hAnsiTheme="majorHAnsi"/>
        </w:rPr>
      </w:pPr>
      <w:r w:rsidRPr="005651AD">
        <w:rPr>
          <w:rFonts w:asciiTheme="majorHAnsi" w:hAnsiTheme="majorHAnsi"/>
        </w:rPr>
        <w:t>Examples of past PADs information memorandums</w:t>
      </w:r>
    </w:p>
    <w:p w14:paraId="769D23F0" w14:textId="4EFDF657" w:rsidR="005651AD" w:rsidRDefault="002A06A3" w:rsidP="005651AD">
      <w:pPr>
        <w:shd w:val="clear" w:color="auto" w:fill="DBF5F7" w:themeFill="background2" w:themeFillTint="66"/>
        <w:rPr>
          <w:rStyle w:val="Hyperlink"/>
        </w:rPr>
      </w:pPr>
      <w:hyperlink r:id="rId24" w:history="1">
        <w:r w:rsidR="005651AD" w:rsidRPr="00FB0B91">
          <w:rPr>
            <w:rStyle w:val="Hyperlink"/>
          </w:rPr>
          <w:t xml:space="preserve">COMPASS PAD </w:t>
        </w:r>
        <w:r w:rsidR="005651AD">
          <w:rPr>
            <w:rStyle w:val="Hyperlink"/>
          </w:rPr>
          <w:t>information memorandum</w:t>
        </w:r>
      </w:hyperlink>
    </w:p>
    <w:p w14:paraId="7693FEFD" w14:textId="73F21521" w:rsidR="005651AD" w:rsidRDefault="002A06A3" w:rsidP="005651AD">
      <w:pPr>
        <w:shd w:val="clear" w:color="auto" w:fill="DBF5F7" w:themeFill="background2" w:themeFillTint="66"/>
        <w:rPr>
          <w:sz w:val="16"/>
          <w:szCs w:val="16"/>
        </w:rPr>
      </w:pPr>
      <w:hyperlink r:id="rId25" w:history="1">
        <w:r w:rsidR="005651AD" w:rsidRPr="00FB0B91">
          <w:rPr>
            <w:rStyle w:val="Hyperlink"/>
          </w:rPr>
          <w:t xml:space="preserve">Side by Side PAD </w:t>
        </w:r>
        <w:r w:rsidR="005651AD">
          <w:rPr>
            <w:rStyle w:val="Hyperlink"/>
          </w:rPr>
          <w:t>information</w:t>
        </w:r>
      </w:hyperlink>
      <w:r w:rsidR="005651AD">
        <w:rPr>
          <w:rStyle w:val="Hyperlink"/>
        </w:rPr>
        <w:t xml:space="preserve"> memorandum</w:t>
      </w:r>
    </w:p>
    <w:p w14:paraId="7DEDC111" w14:textId="77777777" w:rsidR="0034736E" w:rsidRDefault="0034736E" w:rsidP="00D04775">
      <w:pPr>
        <w:pStyle w:val="Heading2"/>
        <w:sectPr w:rsidR="0034736E" w:rsidSect="002342AA">
          <w:endnotePr>
            <w:numFmt w:val="decimal"/>
          </w:endnotePr>
          <w:type w:val="continuous"/>
          <w:pgSz w:w="11906" w:h="16838" w:code="9"/>
          <w:pgMar w:top="864" w:right="1152" w:bottom="1728" w:left="1152" w:header="709" w:footer="459" w:gutter="0"/>
          <w:cols w:num="2" w:space="706"/>
          <w:docGrid w:linePitch="360"/>
        </w:sectPr>
      </w:pPr>
    </w:p>
    <w:p w14:paraId="2DD9A64F" w14:textId="77777777" w:rsidR="005651AD" w:rsidRDefault="005651AD" w:rsidP="00D04775">
      <w:pPr>
        <w:pStyle w:val="Heading2"/>
      </w:pPr>
      <w:r>
        <w:lastRenderedPageBreak/>
        <w:t xml:space="preserve">Capital raise </w:t>
      </w:r>
      <w:r w:rsidRPr="005651AD">
        <w:rPr>
          <w:i/>
          <w:iCs/>
        </w:rPr>
        <w:t>(continued)</w:t>
      </w:r>
    </w:p>
    <w:p w14:paraId="52566C21" w14:textId="3A341C0B" w:rsidR="005A5146" w:rsidRDefault="005A5146" w:rsidP="005651AD">
      <w:r w:rsidRPr="001948E5">
        <w:rPr>
          <w:b/>
          <w:bCs/>
        </w:rPr>
        <w:t>Due diligence</w:t>
      </w:r>
      <w:r>
        <w:t xml:space="preserve"> </w:t>
      </w:r>
      <w:r w:rsidRPr="001948E5">
        <w:t>can commence before or after investors have reviewed the prospectus</w:t>
      </w:r>
      <w:r>
        <w:t>. It is where investors conduct detailed assessment to verify the PAD and determine whether they should invest.</w:t>
      </w:r>
      <w:r w:rsidRPr="001948E5">
        <w:t xml:space="preserve"> </w:t>
      </w:r>
    </w:p>
    <w:p w14:paraId="07AA95E2" w14:textId="0CF37ECD" w:rsidR="005A5146" w:rsidRDefault="005A5146" w:rsidP="007B4457">
      <w:r>
        <w:t xml:space="preserve">Due diligence typically centres around four key activities </w:t>
      </w:r>
      <w:r w:rsidR="008C6BD2">
        <w:t xml:space="preserve">required </w:t>
      </w:r>
      <w:r>
        <w:t xml:space="preserve">for investors to investigate </w:t>
      </w:r>
      <w:r w:rsidR="00022B6F">
        <w:t>a</w:t>
      </w:r>
      <w:r>
        <w:t xml:space="preserve"> project’s risks, returns and objectives.</w:t>
      </w:r>
    </w:p>
    <w:p w14:paraId="5DF22B1E" w14:textId="77777777" w:rsidR="005A5146" w:rsidRPr="005651AD" w:rsidRDefault="005A5146" w:rsidP="005651AD">
      <w:pPr>
        <w:pStyle w:val="Quote"/>
      </w:pPr>
      <w:r>
        <w:t>R</w:t>
      </w:r>
      <w:r w:rsidRPr="005651AD">
        <w:t>eviewing underlying contracts and financial models</w:t>
      </w:r>
    </w:p>
    <w:p w14:paraId="04B417CA" w14:textId="77777777" w:rsidR="005A5146" w:rsidRPr="005651AD" w:rsidRDefault="005A5146" w:rsidP="005651AD">
      <w:pPr>
        <w:pStyle w:val="Quote"/>
      </w:pPr>
      <w:r w:rsidRPr="005651AD">
        <w:t>Reviewing data and evidence supporting the performance targets</w:t>
      </w:r>
    </w:p>
    <w:p w14:paraId="580D4C00" w14:textId="1E933639" w:rsidR="005A5146" w:rsidRPr="005651AD" w:rsidRDefault="005A5146" w:rsidP="005651AD">
      <w:pPr>
        <w:pStyle w:val="Quote"/>
      </w:pPr>
      <w:r w:rsidRPr="005651AD">
        <w:t>Conducting interviews with the service delivery organisations (and similar organisations) and potential program beneficiaries</w:t>
      </w:r>
    </w:p>
    <w:p w14:paraId="72317837" w14:textId="44B81A99" w:rsidR="005A5146" w:rsidRDefault="005A5146" w:rsidP="005651AD">
      <w:pPr>
        <w:pStyle w:val="Quote"/>
      </w:pPr>
      <w:r w:rsidRPr="005651AD">
        <w:t>Reviewi</w:t>
      </w:r>
      <w:r>
        <w:t xml:space="preserve">ng additional information </w:t>
      </w:r>
    </w:p>
    <w:p w14:paraId="0C6263CC" w14:textId="214D93AA" w:rsidR="00DC0046" w:rsidRDefault="005A5146" w:rsidP="005651AD">
      <w:pPr>
        <w:pStyle w:val="NoteNormal"/>
      </w:pPr>
      <w:r w:rsidRPr="007361BF">
        <w:t xml:space="preserve">Source: SVA, </w:t>
      </w:r>
      <w:r w:rsidRPr="005651AD">
        <w:rPr>
          <w:i/>
          <w:iCs/>
        </w:rPr>
        <w:t>Guidance for the social services sector on engaging investors</w:t>
      </w:r>
      <w:r w:rsidRPr="007361BF">
        <w:t xml:space="preserve">, </w:t>
      </w:r>
      <w:r w:rsidR="00D50327">
        <w:t>August 2024</w:t>
      </w:r>
      <w:r w:rsidRPr="007361BF">
        <w:t>, p. 1</w:t>
      </w:r>
      <w:r w:rsidR="00D50327">
        <w:t>7</w:t>
      </w:r>
      <w:r w:rsidRPr="007361BF">
        <w:t>.</w:t>
      </w:r>
    </w:p>
    <w:p w14:paraId="330799FF" w14:textId="684EA3ED" w:rsidR="005A5146" w:rsidRDefault="005A5146" w:rsidP="005651AD">
      <w:r>
        <w:t>Service providers should be prepared for an intensive due diligence process as both Anglicare and SVA found i</w:t>
      </w:r>
      <w:r w:rsidRPr="001948E5">
        <w:t xml:space="preserve">nvestors can request </w:t>
      </w:r>
      <w:r>
        <w:t xml:space="preserve">a </w:t>
      </w:r>
      <w:r w:rsidRPr="001948E5">
        <w:t>significant</w:t>
      </w:r>
      <w:r>
        <w:t xml:space="preserve"> amount of</w:t>
      </w:r>
      <w:r w:rsidRPr="001948E5">
        <w:t xml:space="preserve"> information</w:t>
      </w:r>
      <w:r>
        <w:t xml:space="preserve"> with short response times. </w:t>
      </w:r>
    </w:p>
    <w:p w14:paraId="45B6B59C" w14:textId="464D7199" w:rsidR="005A5146" w:rsidRDefault="005A5146" w:rsidP="005651AD">
      <w:pPr>
        <w:pStyle w:val="Quote"/>
      </w:pPr>
      <w:r>
        <w:t>For example, one organisation submitted a list of nearly fifty detailed questions seeking further written information across all aspects of the proposal (operations, evidence, governance, financial modelling</w:t>
      </w:r>
      <w:r w:rsidR="0034736E">
        <w:rPr>
          <w:rFonts w:ascii="Calibri" w:hAnsi="Calibri" w:cs="Calibri"/>
        </w:rPr>
        <w:t> </w:t>
      </w:r>
      <w:r>
        <w:t>etc).</w:t>
      </w:r>
    </w:p>
    <w:p w14:paraId="2897F8C4" w14:textId="21BD828D" w:rsidR="005A5146" w:rsidRDefault="005A5146" w:rsidP="005651AD">
      <w:pPr>
        <w:pStyle w:val="NoteNormal"/>
      </w:pPr>
      <w:r w:rsidRPr="007361BF">
        <w:t xml:space="preserve">Source: </w:t>
      </w:r>
      <w:r w:rsidRPr="005651AD">
        <w:rPr>
          <w:i/>
          <w:iCs/>
        </w:rPr>
        <w:t>Anglicare, Impact Investment: the COMPASS Experience</w:t>
      </w:r>
      <w:r w:rsidRPr="007361BF">
        <w:t>, June 2024, p. 10.</w:t>
      </w:r>
    </w:p>
    <w:p w14:paraId="53F2DF45" w14:textId="77777777" w:rsidR="00610ACB" w:rsidRDefault="00610ACB" w:rsidP="006E4076">
      <w:pPr>
        <w:rPr>
          <w:sz w:val="16"/>
          <w:szCs w:val="16"/>
        </w:rPr>
      </w:pPr>
    </w:p>
    <w:p w14:paraId="41D6FC23" w14:textId="54E2F39C" w:rsidR="00610ACB" w:rsidRDefault="002342AA" w:rsidP="00D04775">
      <w:pPr>
        <w:pStyle w:val="Heading2"/>
      </w:pPr>
      <w:r>
        <w:br w:type="column"/>
      </w:r>
      <w:r w:rsidR="005A5146">
        <w:t>Implementation and beyond</w:t>
      </w:r>
    </w:p>
    <w:p w14:paraId="4CDF4D69" w14:textId="21C1DF3F" w:rsidR="005A5146" w:rsidRDefault="005A5146" w:rsidP="00740CAF">
      <w:r>
        <w:t>Investor engagement does not end once funding has been raised and become available for project use.</w:t>
      </w:r>
    </w:p>
    <w:p w14:paraId="75FF66A2" w14:textId="2B5DBE72" w:rsidR="005A5146" w:rsidRDefault="005A5146" w:rsidP="00740CAF">
      <w:r>
        <w:t xml:space="preserve">There are ongoing engagement matters such as periodic implementation updates, performance reporting and outcome payments. Anglicare’s experience </w:t>
      </w:r>
      <w:r w:rsidR="004351AB">
        <w:t xml:space="preserve">was </w:t>
      </w:r>
      <w:r>
        <w:t>that sufficient resources should be allocated to these activities to ensure effective project operation and build investor trust in the project.</w:t>
      </w:r>
      <w:r>
        <w:rPr>
          <w:rStyle w:val="EndnoteReference"/>
        </w:rPr>
        <w:endnoteReference w:id="10"/>
      </w:r>
    </w:p>
    <w:p w14:paraId="62114A90" w14:textId="6EAB190A" w:rsidR="005A5146" w:rsidRDefault="005A5146" w:rsidP="00740CAF">
      <w:r>
        <w:t>These activities also present opportunities to highlight successes which may pave the way for future collaborations and opportunities.</w:t>
      </w:r>
    </w:p>
    <w:p w14:paraId="4BDE6413" w14:textId="52CB506E" w:rsidR="005A5146" w:rsidRDefault="005A5146" w:rsidP="00740CAF">
      <w:r>
        <w:t xml:space="preserve">Service providers may also find benefits from staying in communication with investors once a PAD is complete. This builds connections with potential benefits including: </w:t>
      </w:r>
    </w:p>
    <w:p w14:paraId="2DB20219" w14:textId="22864C61" w:rsidR="005A5146" w:rsidRDefault="005A5146" w:rsidP="00610ACB">
      <w:pPr>
        <w:pStyle w:val="Bullet1"/>
      </w:pPr>
      <w:r>
        <w:t>Feedback and suggestions to improve current and future PADs</w:t>
      </w:r>
    </w:p>
    <w:p w14:paraId="210740B7" w14:textId="3A4381CF" w:rsidR="005A5146" w:rsidRDefault="005A5146" w:rsidP="00610ACB">
      <w:pPr>
        <w:pStyle w:val="Bullet1"/>
      </w:pPr>
      <w:r>
        <w:t>Gaug</w:t>
      </w:r>
      <w:r w:rsidR="00610ACB">
        <w:t>ing</w:t>
      </w:r>
      <w:r>
        <w:t xml:space="preserve"> interest in future PADs</w:t>
      </w:r>
    </w:p>
    <w:p w14:paraId="2E4A78D5" w14:textId="72D582F5" w:rsidR="005A5146" w:rsidRDefault="005A5146" w:rsidP="00610ACB">
      <w:pPr>
        <w:pStyle w:val="Bullet1"/>
      </w:pPr>
      <w:r>
        <w:t>Early alert to potential changes in investor expectations</w:t>
      </w:r>
    </w:p>
    <w:p w14:paraId="7A0A60BD" w14:textId="5B3BD29E" w:rsidR="005A5146" w:rsidRDefault="005A5146" w:rsidP="00610ACB">
      <w:pPr>
        <w:pStyle w:val="Bullet1"/>
      </w:pPr>
      <w:r>
        <w:t>Potential efficiency gains from working with the same investors in the future</w:t>
      </w:r>
    </w:p>
    <w:p w14:paraId="7B2E18EF" w14:textId="0F776E4E" w:rsidR="005A5146" w:rsidRDefault="005A5146" w:rsidP="00610ACB">
      <w:pPr>
        <w:pStyle w:val="Bullet1"/>
      </w:pPr>
      <w:r>
        <w:t xml:space="preserve">Referral to other potential investors. </w:t>
      </w:r>
    </w:p>
    <w:p w14:paraId="33F118C9" w14:textId="5282C9B5" w:rsidR="00C13EBB" w:rsidRDefault="002342AA" w:rsidP="00C13EBB">
      <w:pPr>
        <w:pStyle w:val="Heading1"/>
      </w:pPr>
      <w:r>
        <w:br w:type="column"/>
      </w:r>
      <w:r w:rsidR="00574579">
        <w:lastRenderedPageBreak/>
        <w:t>Good engagement practices</w:t>
      </w:r>
    </w:p>
    <w:p w14:paraId="2E1C9127" w14:textId="0F1AD6DD" w:rsidR="005A5146" w:rsidRDefault="005A5146" w:rsidP="0098302F">
      <w:r>
        <w:t>Due to the diversity of investors as well as the bespoke nature of PADs, engaging with investors is not a one-sized-fits-all activity. Learnings from Anglicare and SVA can help provide insights into good engagement practices, which include:</w:t>
      </w:r>
    </w:p>
    <w:p w14:paraId="365DB112" w14:textId="259E3693" w:rsidR="005A5146" w:rsidRDefault="005A5146" w:rsidP="0098302F">
      <w:pPr>
        <w:pStyle w:val="Bullet1"/>
      </w:pPr>
      <w:r>
        <w:t>Different engagement approaches</w:t>
      </w:r>
    </w:p>
    <w:p w14:paraId="305C94AC" w14:textId="41A07234" w:rsidR="005A5146" w:rsidRDefault="005A5146" w:rsidP="0098302F">
      <w:pPr>
        <w:pStyle w:val="Bullet1"/>
      </w:pPr>
      <w:r>
        <w:t>Flexibility to respond to diverse requirements</w:t>
      </w:r>
    </w:p>
    <w:p w14:paraId="41BC3778" w14:textId="1BFAD173" w:rsidR="005A5146" w:rsidRPr="0098302F" w:rsidRDefault="005A5146" w:rsidP="00E63F8F">
      <w:pPr>
        <w:pStyle w:val="Bullet1"/>
      </w:pPr>
      <w:r>
        <w:t xml:space="preserve">Use of independent consultants to provide added assurances for investors. </w:t>
      </w:r>
    </w:p>
    <w:p w14:paraId="66391796" w14:textId="790EFD44" w:rsidR="00D04775" w:rsidRDefault="00D04775" w:rsidP="00D04775">
      <w:pPr>
        <w:pStyle w:val="Heading2"/>
      </w:pPr>
      <w:r w:rsidRPr="005B4B71">
        <w:rPr>
          <w:rStyle w:val="Heading2Char"/>
        </w:rPr>
        <w:t>Employing different approaches</w:t>
      </w:r>
    </w:p>
    <w:p w14:paraId="2A56DF72" w14:textId="434A15B3" w:rsidR="005A5146" w:rsidRPr="00245A3D" w:rsidRDefault="005A5146" w:rsidP="00C13EBB">
      <w:pPr>
        <w:keepNext/>
      </w:pPr>
      <w:r>
        <w:t>S</w:t>
      </w:r>
      <w:r w:rsidRPr="00245A3D">
        <w:t xml:space="preserve">ervice providers may wish to consider </w:t>
      </w:r>
      <w:r w:rsidRPr="005A646A">
        <w:t>diversifying avenues for approaching investors</w:t>
      </w:r>
      <w:r w:rsidRPr="009345D0">
        <w:t>.</w:t>
      </w:r>
      <w:r w:rsidRPr="00245A3D">
        <w:t xml:space="preserve"> This is where Anglicare has found success with a multi-pronged approach</w:t>
      </w:r>
      <w:r w:rsidR="00624145">
        <w:t xml:space="preserve"> that </w:t>
      </w:r>
      <w:r w:rsidR="00512952">
        <w:t>included</w:t>
      </w:r>
      <w:r w:rsidR="007E43B4">
        <w:t>:</w:t>
      </w:r>
    </w:p>
    <w:p w14:paraId="61C6EDD5" w14:textId="7B809A8A" w:rsidR="005A5146" w:rsidRPr="000F7FD4" w:rsidRDefault="005A5146" w:rsidP="00187E9A">
      <w:pPr>
        <w:pStyle w:val="Quotebullet"/>
      </w:pPr>
      <w:r w:rsidRPr="000F7FD4">
        <w:t>A launch event including speakers and an outline of the bond</w:t>
      </w:r>
    </w:p>
    <w:p w14:paraId="279EE0EB" w14:textId="534D9C5E" w:rsidR="005A5146" w:rsidRPr="000F7FD4" w:rsidRDefault="005A5146" w:rsidP="00187E9A">
      <w:pPr>
        <w:pStyle w:val="Quotebullet"/>
      </w:pPr>
      <w:r w:rsidRPr="000F7FD4">
        <w:t xml:space="preserve">Direct mail </w:t>
      </w:r>
      <w:r w:rsidR="00504B46">
        <w:t>[</w:t>
      </w:r>
      <w:r w:rsidR="009A1183" w:rsidRPr="000F7FD4">
        <w:t>to</w:t>
      </w:r>
      <w:r w:rsidR="00504B46">
        <w:t>]</w:t>
      </w:r>
      <w:r w:rsidR="009A1183" w:rsidRPr="000F7FD4">
        <w:t xml:space="preserve"> </w:t>
      </w:r>
      <w:r w:rsidRPr="000F7FD4">
        <w:t>Anglicare Victoria donors to advise them of the bond and offering to provide further information</w:t>
      </w:r>
    </w:p>
    <w:p w14:paraId="1527575D" w14:textId="0C2F4195" w:rsidR="005A5146" w:rsidRPr="000F7FD4" w:rsidRDefault="00504B46" w:rsidP="00187E9A">
      <w:pPr>
        <w:pStyle w:val="Quotebullet"/>
      </w:pPr>
      <w:r>
        <w:t>[</w:t>
      </w:r>
      <w:r w:rsidR="005A5146" w:rsidRPr="000F7FD4">
        <w:t>Establish</w:t>
      </w:r>
      <w:r w:rsidR="009A1183" w:rsidRPr="000F7FD4">
        <w:t>ing</w:t>
      </w:r>
      <w:r>
        <w:t>]</w:t>
      </w:r>
      <w:r w:rsidR="005A5146" w:rsidRPr="000F7FD4">
        <w:t xml:space="preserve"> a website containing contact details and enabling download of basic information</w:t>
      </w:r>
    </w:p>
    <w:p w14:paraId="214F42E9" w14:textId="0BF3A489" w:rsidR="005A5146" w:rsidRPr="000F7FD4" w:rsidRDefault="00504B46" w:rsidP="00187E9A">
      <w:pPr>
        <w:pStyle w:val="Quotebullet"/>
      </w:pPr>
      <w:r>
        <w:t>[</w:t>
      </w:r>
      <w:r w:rsidR="005A5146" w:rsidRPr="000F7FD4">
        <w:t>Brief</w:t>
      </w:r>
      <w:r w:rsidR="009A1183" w:rsidRPr="000F7FD4">
        <w:t>ing</w:t>
      </w:r>
      <w:r>
        <w:t>]</w:t>
      </w:r>
      <w:r w:rsidR="005A5146" w:rsidRPr="000F7FD4">
        <w:t xml:space="preserve"> investment advisors with a demonstrate interest in our work and/or impact investing</w:t>
      </w:r>
    </w:p>
    <w:p w14:paraId="78C699FE" w14:textId="1CFBC01D" w:rsidR="005A5146" w:rsidRPr="000F7FD4" w:rsidRDefault="005A5146" w:rsidP="00187E9A">
      <w:pPr>
        <w:pStyle w:val="Quotebullet"/>
      </w:pPr>
      <w:r w:rsidRPr="000F7FD4">
        <w:t xml:space="preserve">Directly </w:t>
      </w:r>
      <w:r w:rsidR="00504B46">
        <w:t>[</w:t>
      </w:r>
      <w:r w:rsidRPr="000F7FD4">
        <w:t>contact</w:t>
      </w:r>
      <w:r w:rsidR="009A1183" w:rsidRPr="000F7FD4">
        <w:t>ing</w:t>
      </w:r>
      <w:r w:rsidR="00504B46">
        <w:t>]</w:t>
      </w:r>
      <w:r w:rsidRPr="000F7FD4">
        <w:t xml:space="preserve"> (cold calling) institutional investors with a public commitment to impact investing or a publicly promoted impact investing fund</w:t>
      </w:r>
    </w:p>
    <w:p w14:paraId="760E8BB3" w14:textId="0105CFB0" w:rsidR="005A5146" w:rsidRPr="00C13EBB" w:rsidRDefault="005A5146" w:rsidP="00187E9A">
      <w:pPr>
        <w:pStyle w:val="Quotebullet"/>
      </w:pPr>
      <w:r w:rsidRPr="000F7FD4">
        <w:t xml:space="preserve">Directly </w:t>
      </w:r>
      <w:r w:rsidR="00504B46">
        <w:t>[</w:t>
      </w:r>
      <w:r w:rsidRPr="000F7FD4">
        <w:t>contact</w:t>
      </w:r>
      <w:r w:rsidR="009A1183" w:rsidRPr="000F7FD4">
        <w:t>ing</w:t>
      </w:r>
      <w:r w:rsidR="00504B46">
        <w:t>]</w:t>
      </w:r>
      <w:r w:rsidRPr="000F7FD4">
        <w:t xml:space="preserve"> philanthropic Trusts with a mis</w:t>
      </w:r>
      <w:r w:rsidRPr="00C13EBB">
        <w:t>sion or objective aligned with the COMPASS objectives.</w:t>
      </w:r>
    </w:p>
    <w:p w14:paraId="2712378F" w14:textId="77777777" w:rsidR="005A5146" w:rsidRPr="00245A3D" w:rsidRDefault="005A5146" w:rsidP="00C676AB">
      <w:pPr>
        <w:pStyle w:val="NoteNormal"/>
      </w:pPr>
      <w:r w:rsidRPr="00245A3D">
        <w:t xml:space="preserve">Source: Anglicare, </w:t>
      </w:r>
      <w:r w:rsidRPr="00C676AB">
        <w:rPr>
          <w:i/>
          <w:iCs/>
        </w:rPr>
        <w:t>Impact Investment: the COMPASS Experience</w:t>
      </w:r>
      <w:r w:rsidRPr="00245A3D">
        <w:t>, June 2024, p. 9.</w:t>
      </w:r>
    </w:p>
    <w:p w14:paraId="00EA2139" w14:textId="77777777" w:rsidR="005A5146" w:rsidRPr="00245A3D" w:rsidRDefault="005A5146" w:rsidP="00C676AB">
      <w:r w:rsidRPr="00245A3D">
        <w:t>Anglicare has also found investment advisors particularly worthwhile as ‘a significant proportion of [the final] 55 investors learned about the investment opportunity via investment advisors with whom they had a prior relationship.’</w:t>
      </w:r>
      <w:r w:rsidRPr="00245A3D">
        <w:rPr>
          <w:vertAlign w:val="superscript"/>
        </w:rPr>
        <w:endnoteReference w:id="11"/>
      </w:r>
      <w:r w:rsidRPr="00245A3D">
        <w:t xml:space="preserve"> </w:t>
      </w:r>
    </w:p>
    <w:p w14:paraId="1BFC40C8" w14:textId="0041D9A3" w:rsidR="005A5146" w:rsidRDefault="005A5146" w:rsidP="00D04775">
      <w:pPr>
        <w:pStyle w:val="Heading2"/>
      </w:pPr>
      <w:r>
        <w:t>Being responsive to diverse requirements</w:t>
      </w:r>
    </w:p>
    <w:p w14:paraId="44ACEA00" w14:textId="40EDC223" w:rsidR="005A5146" w:rsidRDefault="005A5146" w:rsidP="00C676AB">
      <w:r w:rsidRPr="00D12C2F">
        <w:t>It is important to note that</w:t>
      </w:r>
      <w:r w:rsidRPr="00C07660">
        <w:rPr>
          <w:b/>
          <w:bCs/>
        </w:rPr>
        <w:t xml:space="preserve"> </w:t>
      </w:r>
      <w:r w:rsidRPr="00983582">
        <w:rPr>
          <w:rFonts w:asciiTheme="majorHAnsi" w:hAnsiTheme="majorHAnsi"/>
        </w:rPr>
        <w:t>engagement can vary significantly depending on the investor</w:t>
      </w:r>
      <w:r>
        <w:rPr>
          <w:b/>
          <w:bCs/>
        </w:rPr>
        <w:t>.</w:t>
      </w:r>
      <w:r w:rsidRPr="00983582">
        <w:rPr>
          <w:rStyle w:val="EndnoteReference"/>
        </w:rPr>
        <w:endnoteReference w:id="12"/>
      </w:r>
      <w:r w:rsidRPr="00983582">
        <w:t xml:space="preserve"> </w:t>
      </w:r>
      <w:r>
        <w:t>Service providers should be prepared to be flexible and adaptable to investors’ unique requirements.</w:t>
      </w:r>
    </w:p>
    <w:p w14:paraId="0C6D86AA" w14:textId="0A62A6EE" w:rsidR="005A5146" w:rsidRPr="00E452D3" w:rsidRDefault="005A5146" w:rsidP="00F810E6">
      <w:pPr>
        <w:pStyle w:val="NormalIndent"/>
        <w:ind w:left="0"/>
        <w:rPr>
          <w:b/>
          <w:bCs/>
        </w:rPr>
      </w:pPr>
      <w:r>
        <w:t>For example, Anglicare and SVA both found that s</w:t>
      </w:r>
      <w:r w:rsidRPr="00C07660">
        <w:t xml:space="preserve">ome investors prefer to be engaged earlier in the </w:t>
      </w:r>
      <w:r>
        <w:t xml:space="preserve">PAD </w:t>
      </w:r>
      <w:r w:rsidRPr="00C07660">
        <w:t>process, wh</w:t>
      </w:r>
      <w:r>
        <w:t>ile</w:t>
      </w:r>
      <w:r w:rsidRPr="00C07660">
        <w:t xml:space="preserve"> others will prefer to wait until the investment opportunity is fully developed and the capital raise is ‘live’.</w:t>
      </w:r>
      <w:r>
        <w:t xml:space="preserve"> Investors also have different ways of working. Anglicare’s COMPASS experience is that:</w:t>
      </w:r>
      <w:r>
        <w:rPr>
          <w:rStyle w:val="EndnoteReference"/>
        </w:rPr>
        <w:endnoteReference w:id="13"/>
      </w:r>
    </w:p>
    <w:p w14:paraId="2029D410" w14:textId="56FD3A6C" w:rsidR="00E452D3" w:rsidRDefault="0023108C" w:rsidP="00C30348">
      <w:pPr>
        <w:pStyle w:val="Bullet1"/>
      </w:pPr>
      <w:r>
        <w:t>s</w:t>
      </w:r>
      <w:r w:rsidR="002F5AD2">
        <w:t>ome investors preferred that all engagement with the program was managed via their financial advisors. Others were frequently in touch with Anglicare with queries or interested in an update.</w:t>
      </w:r>
    </w:p>
    <w:p w14:paraId="45BF2530" w14:textId="4BB736DF" w:rsidR="00D12C2F" w:rsidRPr="00D12C2F" w:rsidRDefault="0023108C" w:rsidP="00C30348">
      <w:pPr>
        <w:pStyle w:val="Bullet1"/>
      </w:pPr>
      <w:r>
        <w:t>t</w:t>
      </w:r>
      <w:r w:rsidR="00D12C2F">
        <w:t>he way small</w:t>
      </w:r>
      <w:r w:rsidR="0098302F">
        <w:t>er</w:t>
      </w:r>
      <w:r w:rsidR="00D12C2F">
        <w:t xml:space="preserve"> investors operated </w:t>
      </w:r>
      <w:r w:rsidR="002F5AD2">
        <w:t xml:space="preserve">can also differ to that of </w:t>
      </w:r>
      <w:r w:rsidR="00D12C2F">
        <w:t>large</w:t>
      </w:r>
      <w:r w:rsidR="0098302F">
        <w:t>r</w:t>
      </w:r>
      <w:r w:rsidR="00D12C2F">
        <w:t xml:space="preserve"> investors (Table </w:t>
      </w:r>
      <w:r w:rsidR="00452C71">
        <w:t>2</w:t>
      </w:r>
      <w:r w:rsidR="00D12C2F">
        <w:t>).</w:t>
      </w:r>
    </w:p>
    <w:p w14:paraId="33356951" w14:textId="4F7CB98D" w:rsidR="002F5AD2" w:rsidRDefault="002F5AD2" w:rsidP="002F5AD2">
      <w:pPr>
        <w:pStyle w:val="Caption"/>
      </w:pPr>
      <w:r>
        <w:t xml:space="preserve">Table </w:t>
      </w:r>
      <w:r w:rsidR="00015827">
        <w:t>2</w:t>
      </w:r>
      <w:r>
        <w:t xml:space="preserve">: </w:t>
      </w:r>
      <w:r w:rsidR="000B76B5">
        <w:t>Engagement</w:t>
      </w:r>
      <w:r>
        <w:t xml:space="preserve"> of small</w:t>
      </w:r>
      <w:r w:rsidR="0098302F">
        <w:t>er</w:t>
      </w:r>
      <w:r>
        <w:t xml:space="preserve"> investors </w:t>
      </w:r>
      <w:r w:rsidR="000B76B5">
        <w:t>versus</w:t>
      </w:r>
      <w:r>
        <w:t xml:space="preserve"> large</w:t>
      </w:r>
      <w:r w:rsidR="0098302F">
        <w:t>r</w:t>
      </w:r>
      <w:r>
        <w:t xml:space="preserve"> investors </w:t>
      </w:r>
    </w:p>
    <w:tbl>
      <w:tblPr>
        <w:tblStyle w:val="DTFtexttable"/>
        <w:tblW w:w="0" w:type="auto"/>
        <w:tblInd w:w="29" w:type="dxa"/>
        <w:tblLook w:val="06A0" w:firstRow="1" w:lastRow="0" w:firstColumn="1" w:lastColumn="0" w:noHBand="1" w:noVBand="1"/>
      </w:tblPr>
      <w:tblGrid>
        <w:gridCol w:w="2202"/>
        <w:gridCol w:w="2217"/>
      </w:tblGrid>
      <w:tr w:rsidR="002F5AD2" w14:paraId="7B46F078" w14:textId="77777777" w:rsidTr="00D047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70" w:type="dxa"/>
          </w:tcPr>
          <w:p w14:paraId="23160EEF" w14:textId="2F04FEBD" w:rsidR="002F5AD2" w:rsidRDefault="0098302F" w:rsidP="00D04775">
            <w:pPr>
              <w:pStyle w:val="Tableheader"/>
            </w:pPr>
            <w:r>
              <w:t>Smaller investors</w:t>
            </w:r>
          </w:p>
        </w:tc>
        <w:tc>
          <w:tcPr>
            <w:tcW w:w="2271" w:type="dxa"/>
          </w:tcPr>
          <w:p w14:paraId="2047BDBE" w14:textId="6DAD6828" w:rsidR="002F5AD2" w:rsidRDefault="0098302F" w:rsidP="00D04775">
            <w:pPr>
              <w:pStyle w:val="Tableheader"/>
              <w:cnfStyle w:val="100000000000" w:firstRow="1" w:lastRow="0" w:firstColumn="0" w:lastColumn="0" w:oddVBand="0" w:evenVBand="0" w:oddHBand="0" w:evenHBand="0" w:firstRowFirstColumn="0" w:firstRowLastColumn="0" w:lastRowFirstColumn="0" w:lastRowLastColumn="0"/>
            </w:pPr>
            <w:r>
              <w:t>Larger investors</w:t>
            </w:r>
          </w:p>
        </w:tc>
      </w:tr>
      <w:tr w:rsidR="002F5AD2" w14:paraId="3131EFEA" w14:textId="77777777" w:rsidTr="00D04775">
        <w:tc>
          <w:tcPr>
            <w:cnfStyle w:val="001000000000" w:firstRow="0" w:lastRow="0" w:firstColumn="1" w:lastColumn="0" w:oddVBand="0" w:evenVBand="0" w:oddHBand="0" w:evenHBand="0" w:firstRowFirstColumn="0" w:firstRowLastColumn="0" w:lastRowFirstColumn="0" w:lastRowLastColumn="0"/>
            <w:tcW w:w="2270" w:type="dxa"/>
            <w:shd w:val="clear" w:color="auto" w:fill="auto"/>
          </w:tcPr>
          <w:p w14:paraId="6B84329D" w14:textId="7E276487" w:rsidR="002F5AD2" w:rsidRPr="00C502E4" w:rsidRDefault="002F6BF6" w:rsidP="00D04775">
            <w:pPr>
              <w:pStyle w:val="Tabletext"/>
              <w:rPr>
                <w:spacing w:val="0"/>
                <w:szCs w:val="20"/>
                <w:lang w:eastAsia="en-AU"/>
              </w:rPr>
            </w:pPr>
            <w:r>
              <w:t>May be more willing to take a risk in the interest of client outcomes</w:t>
            </w:r>
          </w:p>
        </w:tc>
        <w:tc>
          <w:tcPr>
            <w:tcW w:w="2271" w:type="dxa"/>
          </w:tcPr>
          <w:p w14:paraId="4996972A" w14:textId="67254D80" w:rsidR="002F5AD2" w:rsidRPr="00C502E4" w:rsidRDefault="00CA2006" w:rsidP="00D04775">
            <w:pPr>
              <w:pStyle w:val="Tabletext"/>
              <w:cnfStyle w:val="000000000000" w:firstRow="0" w:lastRow="0" w:firstColumn="0" w:lastColumn="0" w:oddVBand="0" w:evenVBand="0" w:oddHBand="0" w:evenHBand="0" w:firstRowFirstColumn="0" w:firstRowLastColumn="0" w:lastRowFirstColumn="0" w:lastRowLastColumn="0"/>
              <w:rPr>
                <w:spacing w:val="0"/>
                <w:szCs w:val="20"/>
                <w:lang w:eastAsia="en-AU"/>
              </w:rPr>
            </w:pPr>
            <w:r>
              <w:rPr>
                <w:spacing w:val="0"/>
                <w:szCs w:val="20"/>
                <w:lang w:eastAsia="en-AU"/>
              </w:rPr>
              <w:t xml:space="preserve">Greater ability to absorb financial risk </w:t>
            </w:r>
          </w:p>
        </w:tc>
      </w:tr>
      <w:tr w:rsidR="002F5AD2" w14:paraId="5472184A" w14:textId="77777777" w:rsidTr="00D04775">
        <w:tc>
          <w:tcPr>
            <w:cnfStyle w:val="001000000000" w:firstRow="0" w:lastRow="0" w:firstColumn="1" w:lastColumn="0" w:oddVBand="0" w:evenVBand="0" w:oddHBand="0" w:evenHBand="0" w:firstRowFirstColumn="0" w:firstRowLastColumn="0" w:lastRowFirstColumn="0" w:lastRowLastColumn="0"/>
            <w:tcW w:w="2270" w:type="dxa"/>
            <w:shd w:val="clear" w:color="auto" w:fill="auto"/>
          </w:tcPr>
          <w:p w14:paraId="63CDACB0" w14:textId="53F3B43E" w:rsidR="002F5AD2" w:rsidRDefault="002F5AD2" w:rsidP="00D04775">
            <w:pPr>
              <w:pStyle w:val="Tabletext"/>
            </w:pPr>
            <w:r>
              <w:t>More agile decision making</w:t>
            </w:r>
          </w:p>
        </w:tc>
        <w:tc>
          <w:tcPr>
            <w:tcW w:w="2271" w:type="dxa"/>
          </w:tcPr>
          <w:p w14:paraId="6466BD1E" w14:textId="01766C62" w:rsidR="002F5AD2" w:rsidRPr="00C502E4" w:rsidRDefault="00CA2006" w:rsidP="00D04775">
            <w:pPr>
              <w:pStyle w:val="Tabletext"/>
              <w:cnfStyle w:val="000000000000" w:firstRow="0" w:lastRow="0" w:firstColumn="0" w:lastColumn="0" w:oddVBand="0" w:evenVBand="0" w:oddHBand="0" w:evenHBand="0" w:firstRowFirstColumn="0" w:firstRowLastColumn="0" w:lastRowFirstColumn="0" w:lastRowLastColumn="0"/>
              <w:rPr>
                <w:spacing w:val="0"/>
                <w:szCs w:val="20"/>
                <w:lang w:eastAsia="en-AU"/>
              </w:rPr>
            </w:pPr>
            <w:r>
              <w:rPr>
                <w:spacing w:val="0"/>
                <w:szCs w:val="20"/>
                <w:lang w:eastAsia="en-AU"/>
              </w:rPr>
              <w:t>Capacity to conduct comprehensive due diligence – but with longer d</w:t>
            </w:r>
            <w:r>
              <w:t>ecision-making</w:t>
            </w:r>
            <w:r>
              <w:rPr>
                <w:spacing w:val="0"/>
                <w:szCs w:val="20"/>
                <w:lang w:eastAsia="en-AU"/>
              </w:rPr>
              <w:t xml:space="preserve"> time frames</w:t>
            </w:r>
          </w:p>
        </w:tc>
      </w:tr>
      <w:tr w:rsidR="00CA2006" w14:paraId="39443953" w14:textId="77777777" w:rsidTr="00D04775">
        <w:tc>
          <w:tcPr>
            <w:cnfStyle w:val="001000000000" w:firstRow="0" w:lastRow="0" w:firstColumn="1" w:lastColumn="0" w:oddVBand="0" w:evenVBand="0" w:oddHBand="0" w:evenHBand="0" w:firstRowFirstColumn="0" w:firstRowLastColumn="0" w:lastRowFirstColumn="0" w:lastRowLastColumn="0"/>
            <w:tcW w:w="2270" w:type="dxa"/>
            <w:shd w:val="clear" w:color="auto" w:fill="auto"/>
          </w:tcPr>
          <w:p w14:paraId="381ABA68" w14:textId="7F956ED9" w:rsidR="00CA2006" w:rsidRDefault="00863C8F" w:rsidP="00D04775">
            <w:pPr>
              <w:pStyle w:val="Tabletext"/>
            </w:pPr>
            <w:r>
              <w:t xml:space="preserve">May need to work with more investors to reach funding target due to smaller investments </w:t>
            </w:r>
          </w:p>
        </w:tc>
        <w:tc>
          <w:tcPr>
            <w:tcW w:w="2271" w:type="dxa"/>
          </w:tcPr>
          <w:p w14:paraId="746DF45B" w14:textId="2F2FE74C" w:rsidR="00CA2006" w:rsidRPr="00C502E4" w:rsidRDefault="00CA2006" w:rsidP="00D04775">
            <w:pPr>
              <w:pStyle w:val="Tabletext"/>
              <w:cnfStyle w:val="000000000000" w:firstRow="0" w:lastRow="0" w:firstColumn="0" w:lastColumn="0" w:oddVBand="0" w:evenVBand="0" w:oddHBand="0" w:evenHBand="0" w:firstRowFirstColumn="0" w:firstRowLastColumn="0" w:lastRowFirstColumn="0" w:lastRowLastColumn="0"/>
            </w:pPr>
            <w:r>
              <w:t>Ability to provide program promotion and attract other investors</w:t>
            </w:r>
          </w:p>
        </w:tc>
      </w:tr>
      <w:tr w:rsidR="00CA2006" w14:paraId="353C1C16" w14:textId="77777777" w:rsidTr="00D04775">
        <w:tc>
          <w:tcPr>
            <w:cnfStyle w:val="001000000000" w:firstRow="0" w:lastRow="0" w:firstColumn="1" w:lastColumn="0" w:oddVBand="0" w:evenVBand="0" w:oddHBand="0" w:evenHBand="0" w:firstRowFirstColumn="0" w:firstRowLastColumn="0" w:lastRowFirstColumn="0" w:lastRowLastColumn="0"/>
            <w:tcW w:w="2270" w:type="dxa"/>
            <w:shd w:val="clear" w:color="auto" w:fill="auto"/>
          </w:tcPr>
          <w:p w14:paraId="0957FF25" w14:textId="25C7B3DA" w:rsidR="00CA2006" w:rsidRPr="00C502E4" w:rsidRDefault="00CA2006" w:rsidP="00D04775">
            <w:pPr>
              <w:pStyle w:val="Tabletext"/>
            </w:pPr>
            <w:r>
              <w:t>Ability to fund smaller projects and investment amounts</w:t>
            </w:r>
          </w:p>
        </w:tc>
        <w:tc>
          <w:tcPr>
            <w:tcW w:w="2271" w:type="dxa"/>
          </w:tcPr>
          <w:p w14:paraId="0FE3E7B1" w14:textId="29D91CE1" w:rsidR="00CA2006" w:rsidRDefault="006B5ED9" w:rsidP="00D04775">
            <w:pPr>
              <w:pStyle w:val="Tabletext"/>
              <w:cnfStyle w:val="000000000000" w:firstRow="0" w:lastRow="0" w:firstColumn="0" w:lastColumn="0" w:oddVBand="0" w:evenVBand="0" w:oddHBand="0" w:evenHBand="0" w:firstRowFirstColumn="0" w:firstRowLastColumn="0" w:lastRowFirstColumn="0" w:lastRowLastColumn="0"/>
            </w:pPr>
            <w:r>
              <w:t>Potentially l</w:t>
            </w:r>
            <w:r w:rsidR="00CA2006">
              <w:t>arger investments so less investors to manage</w:t>
            </w:r>
          </w:p>
        </w:tc>
      </w:tr>
    </w:tbl>
    <w:p w14:paraId="744542EB" w14:textId="3F736134" w:rsidR="00D12C2F" w:rsidRDefault="002F5AD2" w:rsidP="00D04775">
      <w:pPr>
        <w:pStyle w:val="NoteNormal"/>
      </w:pPr>
      <w:r w:rsidRPr="00645EC0">
        <w:t xml:space="preserve">Source: Anglicare, </w:t>
      </w:r>
      <w:r w:rsidR="007361BF" w:rsidRPr="00D04775">
        <w:rPr>
          <w:i/>
          <w:iCs/>
        </w:rPr>
        <w:t>Impact Investment: the COMPASS Experience</w:t>
      </w:r>
      <w:r w:rsidR="007361BF" w:rsidRPr="00645EC0">
        <w:t xml:space="preserve">, June 2024, </w:t>
      </w:r>
      <w:r w:rsidRPr="00645EC0">
        <w:t>p</w:t>
      </w:r>
      <w:r w:rsidR="007361BF" w:rsidRPr="00645EC0">
        <w:t>p</w:t>
      </w:r>
      <w:r w:rsidRPr="00645EC0">
        <w:t xml:space="preserve">. </w:t>
      </w:r>
      <w:r w:rsidR="00645EC0" w:rsidRPr="00645EC0">
        <w:t>9–10</w:t>
      </w:r>
    </w:p>
    <w:p w14:paraId="5A2819EE" w14:textId="77777777" w:rsidR="00983582" w:rsidRPr="00645EC0" w:rsidRDefault="00983582" w:rsidP="00983582">
      <w:pPr>
        <w:pStyle w:val="Spacer"/>
      </w:pPr>
    </w:p>
    <w:p w14:paraId="32066712" w14:textId="77777777" w:rsidR="004063C0" w:rsidRDefault="00A93816" w:rsidP="00D04775">
      <w:pPr>
        <w:pStyle w:val="Heading2"/>
      </w:pPr>
      <w:r>
        <w:lastRenderedPageBreak/>
        <w:t>Leveraging i</w:t>
      </w:r>
      <w:r w:rsidR="00E452D3">
        <w:t xml:space="preserve">ndependent </w:t>
      </w:r>
      <w:r w:rsidR="00730C0B">
        <w:t>consultants</w:t>
      </w:r>
    </w:p>
    <w:p w14:paraId="7FBC4EFC" w14:textId="72223A49" w:rsidR="00452C71" w:rsidRDefault="00E452D3" w:rsidP="003E3873">
      <w:r>
        <w:t xml:space="preserve">Investor engagement requires substantial commitment </w:t>
      </w:r>
      <w:r w:rsidR="00C96ABA">
        <w:t>across</w:t>
      </w:r>
      <w:r>
        <w:t xml:space="preserve"> a range of specialist matters</w:t>
      </w:r>
      <w:r w:rsidR="00730C0B">
        <w:t>.</w:t>
      </w:r>
    </w:p>
    <w:p w14:paraId="3F97997D" w14:textId="4AAA5C67" w:rsidR="00E452D3" w:rsidRDefault="00696EDE" w:rsidP="003E3873">
      <w:r>
        <w:t>S</w:t>
      </w:r>
      <w:r w:rsidR="00E452D3">
        <w:t xml:space="preserve">ervice providers should consider if they have sufficient resource and capabilities to undertake activities </w:t>
      </w:r>
      <w:r w:rsidR="00E452D3" w:rsidRPr="006D130F">
        <w:t xml:space="preserve">‘in-house’ or retain the services of </w:t>
      </w:r>
      <w:r w:rsidR="00E452D3">
        <w:t xml:space="preserve">independent </w:t>
      </w:r>
      <w:r w:rsidR="00730C0B">
        <w:t>consultants</w:t>
      </w:r>
      <w:r w:rsidR="00E452D3">
        <w:t xml:space="preserve">. </w:t>
      </w:r>
    </w:p>
    <w:p w14:paraId="4E8FF8C9" w14:textId="7F1173A0" w:rsidR="00696EDE" w:rsidRDefault="00730C0B" w:rsidP="003E3873">
      <w:r>
        <w:t xml:space="preserve">This </w:t>
      </w:r>
      <w:r w:rsidR="006A59C4">
        <w:t>is</w:t>
      </w:r>
      <w:r>
        <w:t xml:space="preserve"> especially the case for financial and legal matters where service providers may not always have the necessary expertise</w:t>
      </w:r>
      <w:r w:rsidR="006A59C4">
        <w:t xml:space="preserve"> to develop financial models and legal documents</w:t>
      </w:r>
      <w:r>
        <w:t>.</w:t>
      </w:r>
      <w:r w:rsidR="002547C4">
        <w:t xml:space="preserve"> </w:t>
      </w:r>
    </w:p>
    <w:p w14:paraId="1E993FF3" w14:textId="77777777" w:rsidR="00427EF6" w:rsidRDefault="0098302F" w:rsidP="003E3873">
      <w:r>
        <w:t xml:space="preserve">Anglicare found that the involvement of an independent financial consultant in COMPASS was </w:t>
      </w:r>
      <w:r w:rsidR="006B5ED9">
        <w:t xml:space="preserve">also </w:t>
      </w:r>
      <w:r>
        <w:t>a source of assurance to the investor group, especially those smaller investors who had less capability to carry out a thorough due diligence investigation.</w:t>
      </w:r>
    </w:p>
    <w:p w14:paraId="3F17B085" w14:textId="36F98CBF" w:rsidR="00427EF6" w:rsidRDefault="00427EF6" w:rsidP="003E3873">
      <w:r>
        <w:t>DTF provides funding to service providers to support their engagement on the Joint Development Phase, and this funding could be used to procure independent consultants.</w:t>
      </w:r>
    </w:p>
    <w:p w14:paraId="4A49FE75" w14:textId="4BC58A79" w:rsidR="00E2512A" w:rsidRDefault="002342AA" w:rsidP="003E3873">
      <w:pPr>
        <w:pStyle w:val="Heading1"/>
      </w:pPr>
      <w:r>
        <w:br w:type="column"/>
      </w:r>
      <w:r w:rsidR="00574579">
        <w:t>Further resources</w:t>
      </w:r>
    </w:p>
    <w:p w14:paraId="2279D46D" w14:textId="02D541CD" w:rsidR="009A6F04" w:rsidRDefault="008A4388" w:rsidP="003E3873">
      <w:r>
        <w:t xml:space="preserve">DTF has prepared this paper drawing on </w:t>
      </w:r>
      <w:r w:rsidR="006A59C4">
        <w:t xml:space="preserve">the insights </w:t>
      </w:r>
      <w:r w:rsidR="004871B1">
        <w:t>from reports by</w:t>
      </w:r>
      <w:r w:rsidR="006A59C4">
        <w:t xml:space="preserve"> Anglicare and SVA</w:t>
      </w:r>
      <w:r w:rsidR="00863C8F">
        <w:t xml:space="preserve"> which is listed below along with a list of useful links and tools.</w:t>
      </w:r>
    </w:p>
    <w:tbl>
      <w:tblPr>
        <w:tblStyle w:val="DTFtexttable"/>
        <w:tblW w:w="0" w:type="auto"/>
        <w:tblLook w:val="06A0" w:firstRow="1" w:lastRow="0" w:firstColumn="1" w:lastColumn="0" w:noHBand="1" w:noVBand="1"/>
      </w:tblPr>
      <w:tblGrid>
        <w:gridCol w:w="1899"/>
        <w:gridCol w:w="2549"/>
      </w:tblGrid>
      <w:tr w:rsidR="006A59C4" w14:paraId="03C95535" w14:textId="77777777" w:rsidTr="004871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1" w:type="dxa"/>
            <w:gridSpan w:val="2"/>
          </w:tcPr>
          <w:p w14:paraId="179D2CB8" w14:textId="7DC83447" w:rsidR="006A59C4" w:rsidRDefault="006A59C4" w:rsidP="00D04775">
            <w:pPr>
              <w:pStyle w:val="Tableheader"/>
            </w:pPr>
            <w:r>
              <w:t>Useful links and tools</w:t>
            </w:r>
          </w:p>
        </w:tc>
      </w:tr>
      <w:tr w:rsidR="009079F7" w:rsidRPr="00C502E4" w14:paraId="31485A73" w14:textId="77777777" w:rsidTr="004871B1">
        <w:tc>
          <w:tcPr>
            <w:cnfStyle w:val="001000000000" w:firstRow="0" w:lastRow="0" w:firstColumn="1" w:lastColumn="0" w:oddVBand="0" w:evenVBand="0" w:oddHBand="0" w:evenHBand="0" w:firstRowFirstColumn="0" w:firstRowLastColumn="0" w:lastRowFirstColumn="0" w:lastRowLastColumn="0"/>
            <w:tcW w:w="1929" w:type="dxa"/>
            <w:shd w:val="clear" w:color="auto" w:fill="auto"/>
          </w:tcPr>
          <w:p w14:paraId="7110FE59" w14:textId="0D77A229" w:rsidR="009079F7" w:rsidRDefault="000C5A9D" w:rsidP="00D04775">
            <w:pPr>
              <w:pStyle w:val="Tabletext"/>
            </w:pPr>
            <w:r>
              <w:t>Anglicare</w:t>
            </w:r>
          </w:p>
        </w:tc>
        <w:tc>
          <w:tcPr>
            <w:tcW w:w="2632" w:type="dxa"/>
          </w:tcPr>
          <w:p w14:paraId="1A0AE37F" w14:textId="1603B6D3" w:rsidR="009079F7" w:rsidRDefault="002A06A3" w:rsidP="00D04775">
            <w:pPr>
              <w:pStyle w:val="Tabletext"/>
              <w:cnfStyle w:val="000000000000" w:firstRow="0" w:lastRow="0" w:firstColumn="0" w:lastColumn="0" w:oddVBand="0" w:evenVBand="0" w:oddHBand="0" w:evenHBand="0" w:firstRowFirstColumn="0" w:firstRowLastColumn="0" w:lastRowFirstColumn="0" w:lastRowLastColumn="0"/>
            </w:pPr>
            <w:hyperlink r:id="rId26" w:tooltip="Impact investment - The COMPASS Experience - Anglicare Victoria s experience in raising capital for the Compass Social Impact Bond" w:history="1">
              <w:r w:rsidR="00614722" w:rsidRPr="00614722">
                <w:rPr>
                  <w:rStyle w:val="Hyperlink"/>
                </w:rPr>
                <w:t>Impact investment - The COMPASS Experience</w:t>
              </w:r>
              <w:r w:rsidR="00614722">
                <w:rPr>
                  <w:rStyle w:val="Hyperlink"/>
                </w:rPr>
                <w:t xml:space="preserve"> (PDF)</w:t>
              </w:r>
            </w:hyperlink>
            <w:r w:rsidR="00614722">
              <w:t xml:space="preserve"> </w:t>
            </w:r>
          </w:p>
          <w:p w14:paraId="33FAA2E8" w14:textId="798142FA" w:rsidR="00614722" w:rsidRDefault="002A06A3" w:rsidP="00D04775">
            <w:pPr>
              <w:pStyle w:val="Tabletext"/>
              <w:cnfStyle w:val="000000000000" w:firstRow="0" w:lastRow="0" w:firstColumn="0" w:lastColumn="0" w:oddVBand="0" w:evenVBand="0" w:oddHBand="0" w:evenHBand="0" w:firstRowFirstColumn="0" w:firstRowLastColumn="0" w:lastRowFirstColumn="0" w:lastRowLastColumn="0"/>
            </w:pPr>
            <w:hyperlink r:id="rId27" w:tooltip="Impact investment - The COMPASS Experience - Anglicare Victoria s experience in raising capital for the Compass Social Impact Bond" w:history="1">
              <w:r w:rsidR="00614722" w:rsidRPr="00614722">
                <w:rPr>
                  <w:rStyle w:val="Hyperlink"/>
                </w:rPr>
                <w:t xml:space="preserve">Impact investment - The COMPASS Experience </w:t>
              </w:r>
              <w:r w:rsidR="00614722">
                <w:rPr>
                  <w:rStyle w:val="Hyperlink"/>
                </w:rPr>
                <w:t>(WORD)</w:t>
              </w:r>
            </w:hyperlink>
            <w:r w:rsidR="00614722" w:rsidRPr="00614722">
              <w:rPr>
                <w:rFonts w:ascii="Calibri" w:hAnsi="Calibri" w:cs="Calibri"/>
              </w:rPr>
              <w:t> </w:t>
            </w:r>
          </w:p>
        </w:tc>
      </w:tr>
      <w:tr w:rsidR="009079F7" w:rsidRPr="00C502E4" w14:paraId="574CB94C" w14:textId="77777777" w:rsidTr="004871B1">
        <w:tc>
          <w:tcPr>
            <w:cnfStyle w:val="001000000000" w:firstRow="0" w:lastRow="0" w:firstColumn="1" w:lastColumn="0" w:oddVBand="0" w:evenVBand="0" w:oddHBand="0" w:evenHBand="0" w:firstRowFirstColumn="0" w:firstRowLastColumn="0" w:lastRowFirstColumn="0" w:lastRowLastColumn="0"/>
            <w:tcW w:w="1929" w:type="dxa"/>
            <w:shd w:val="clear" w:color="auto" w:fill="auto"/>
          </w:tcPr>
          <w:p w14:paraId="75E2EAD6" w14:textId="513EFC9E" w:rsidR="009079F7" w:rsidRDefault="000C5A9D" w:rsidP="00D04775">
            <w:pPr>
              <w:pStyle w:val="Tabletext"/>
            </w:pPr>
            <w:r>
              <w:t>Social Ventures Australia</w:t>
            </w:r>
          </w:p>
        </w:tc>
        <w:tc>
          <w:tcPr>
            <w:tcW w:w="2632" w:type="dxa"/>
          </w:tcPr>
          <w:p w14:paraId="017FA9C8" w14:textId="11BDE2BD" w:rsidR="00614722" w:rsidRPr="00614722" w:rsidRDefault="002A06A3" w:rsidP="00614722">
            <w:pPr>
              <w:pStyle w:val="Tabletext"/>
              <w:cnfStyle w:val="000000000000" w:firstRow="0" w:lastRow="0" w:firstColumn="0" w:lastColumn="0" w:oddVBand="0" w:evenVBand="0" w:oddHBand="0" w:evenHBand="0" w:firstRowFirstColumn="0" w:firstRowLastColumn="0" w:lastRowFirstColumn="0" w:lastRowLastColumn="0"/>
            </w:pPr>
            <w:hyperlink r:id="rId28" w:tooltip="Guidance for the social services sector on engaging investors - Social Ventures Australia" w:history="1">
              <w:r w:rsidR="00614722" w:rsidRPr="00614722">
                <w:rPr>
                  <w:rStyle w:val="Hyperlink"/>
                </w:rPr>
                <w:t>Guidance for the social services sector on engaging investors</w:t>
              </w:r>
              <w:r w:rsidR="00614722">
                <w:rPr>
                  <w:rStyle w:val="Hyperlink"/>
                </w:rPr>
                <w:t xml:space="preserve"> (PDF)</w:t>
              </w:r>
            </w:hyperlink>
          </w:p>
          <w:p w14:paraId="1D5815E5" w14:textId="7F45A4E7" w:rsidR="00614722" w:rsidRDefault="002A06A3" w:rsidP="00D04775">
            <w:pPr>
              <w:pStyle w:val="Tabletext"/>
              <w:cnfStyle w:val="000000000000" w:firstRow="0" w:lastRow="0" w:firstColumn="0" w:lastColumn="0" w:oddVBand="0" w:evenVBand="0" w:oddHBand="0" w:evenHBand="0" w:firstRowFirstColumn="0" w:firstRowLastColumn="0" w:lastRowFirstColumn="0" w:lastRowLastColumn="0"/>
            </w:pPr>
            <w:hyperlink r:id="rId29" w:tooltip="Guidance for the social services sector on engaging investors - Social Ventures Australia" w:history="1">
              <w:r w:rsidR="00614722" w:rsidRPr="00614722">
                <w:rPr>
                  <w:rStyle w:val="Hyperlink"/>
                </w:rPr>
                <w:t>Guidance for the social services sector on engaging investor</w:t>
              </w:r>
              <w:r w:rsidR="00614722">
                <w:rPr>
                  <w:rStyle w:val="Hyperlink"/>
                </w:rPr>
                <w:t>s (WORD)</w:t>
              </w:r>
              <w:r w:rsidR="00614722" w:rsidRPr="00614722">
                <w:rPr>
                  <w:rStyle w:val="Hyperlink"/>
                </w:rPr>
                <w:t xml:space="preserve"> </w:t>
              </w:r>
            </w:hyperlink>
          </w:p>
        </w:tc>
      </w:tr>
      <w:tr w:rsidR="006A59C4" w:rsidRPr="00C502E4" w14:paraId="65A08A4C" w14:textId="77777777" w:rsidTr="004871B1">
        <w:tc>
          <w:tcPr>
            <w:cnfStyle w:val="001000000000" w:firstRow="0" w:lastRow="0" w:firstColumn="1" w:lastColumn="0" w:oddVBand="0" w:evenVBand="0" w:oddHBand="0" w:evenHBand="0" w:firstRowFirstColumn="0" w:firstRowLastColumn="0" w:lastRowFirstColumn="0" w:lastRowLastColumn="0"/>
            <w:tcW w:w="1929" w:type="dxa"/>
            <w:shd w:val="clear" w:color="auto" w:fill="auto"/>
          </w:tcPr>
          <w:p w14:paraId="5DD674DF" w14:textId="70356E98" w:rsidR="006A59C4" w:rsidRPr="00C502E4" w:rsidRDefault="006A59C4" w:rsidP="00D04775">
            <w:pPr>
              <w:pStyle w:val="Tabletext"/>
              <w:rPr>
                <w:spacing w:val="0"/>
                <w:szCs w:val="20"/>
                <w:lang w:eastAsia="en-AU"/>
              </w:rPr>
            </w:pPr>
            <w:r>
              <w:t>DTF PADs web page</w:t>
            </w:r>
          </w:p>
        </w:tc>
        <w:tc>
          <w:tcPr>
            <w:tcW w:w="2632" w:type="dxa"/>
          </w:tcPr>
          <w:p w14:paraId="074E65B5" w14:textId="26032735" w:rsidR="006A59C4" w:rsidRPr="009A6F04" w:rsidRDefault="002A06A3" w:rsidP="00D04775">
            <w:pPr>
              <w:pStyle w:val="Tabletext"/>
              <w:cnfStyle w:val="000000000000" w:firstRow="0" w:lastRow="0" w:firstColumn="0" w:lastColumn="0" w:oddVBand="0" w:evenVBand="0" w:oddHBand="0" w:evenHBand="0" w:firstRowFirstColumn="0" w:firstRowLastColumn="0" w:lastRowFirstColumn="0" w:lastRowLastColumn="0"/>
            </w:pPr>
            <w:hyperlink r:id="rId30" w:history="1">
              <w:r w:rsidR="006A59C4" w:rsidRPr="00C10453">
                <w:rPr>
                  <w:rStyle w:val="Hyperlink"/>
                </w:rPr>
                <w:t>DTF PADs web page</w:t>
              </w:r>
            </w:hyperlink>
            <w:r w:rsidR="006A59C4">
              <w:t xml:space="preserve"> </w:t>
            </w:r>
          </w:p>
        </w:tc>
      </w:tr>
      <w:tr w:rsidR="006B5ED9" w:rsidRPr="00C502E4" w14:paraId="41166EAF" w14:textId="77777777" w:rsidTr="004871B1">
        <w:tc>
          <w:tcPr>
            <w:cnfStyle w:val="001000000000" w:firstRow="0" w:lastRow="0" w:firstColumn="1" w:lastColumn="0" w:oddVBand="0" w:evenVBand="0" w:oddHBand="0" w:evenHBand="0" w:firstRowFirstColumn="0" w:firstRowLastColumn="0" w:lastRowFirstColumn="0" w:lastRowLastColumn="0"/>
            <w:tcW w:w="1929" w:type="dxa"/>
            <w:shd w:val="clear" w:color="auto" w:fill="auto"/>
          </w:tcPr>
          <w:p w14:paraId="0A460008" w14:textId="4F67B0E8" w:rsidR="006B5ED9" w:rsidRDefault="006B5ED9" w:rsidP="00D04775">
            <w:pPr>
              <w:pStyle w:val="Tabletext"/>
            </w:pPr>
            <w:r>
              <w:t>Past PADs information memorandums</w:t>
            </w:r>
          </w:p>
        </w:tc>
        <w:tc>
          <w:tcPr>
            <w:tcW w:w="2632" w:type="dxa"/>
          </w:tcPr>
          <w:p w14:paraId="3B7369CA" w14:textId="77777777" w:rsidR="006B5ED9" w:rsidRDefault="002A06A3" w:rsidP="00D04775">
            <w:pPr>
              <w:pStyle w:val="Tabletext"/>
              <w:cnfStyle w:val="000000000000" w:firstRow="0" w:lastRow="0" w:firstColumn="0" w:lastColumn="0" w:oddVBand="0" w:evenVBand="0" w:oddHBand="0" w:evenHBand="0" w:firstRowFirstColumn="0" w:firstRowLastColumn="0" w:lastRowFirstColumn="0" w:lastRowLastColumn="0"/>
            </w:pPr>
            <w:hyperlink r:id="rId31" w:history="1">
              <w:r w:rsidR="006B5ED9" w:rsidRPr="00FB0B91">
                <w:rPr>
                  <w:rStyle w:val="Hyperlink"/>
                </w:rPr>
                <w:t xml:space="preserve">COMPASS PAD </w:t>
              </w:r>
              <w:r w:rsidR="006B5ED9">
                <w:rPr>
                  <w:rStyle w:val="Hyperlink"/>
                </w:rPr>
                <w:t>information memorandum</w:t>
              </w:r>
            </w:hyperlink>
          </w:p>
          <w:p w14:paraId="3A7BF944" w14:textId="1D37F499" w:rsidR="006B5ED9" w:rsidRDefault="002A06A3" w:rsidP="00D04775">
            <w:pPr>
              <w:pStyle w:val="Tabletext"/>
              <w:cnfStyle w:val="000000000000" w:firstRow="0" w:lastRow="0" w:firstColumn="0" w:lastColumn="0" w:oddVBand="0" w:evenVBand="0" w:oddHBand="0" w:evenHBand="0" w:firstRowFirstColumn="0" w:firstRowLastColumn="0" w:lastRowFirstColumn="0" w:lastRowLastColumn="0"/>
            </w:pPr>
            <w:hyperlink r:id="rId32" w:history="1">
              <w:r w:rsidR="006B5ED9" w:rsidRPr="00FB0B91">
                <w:rPr>
                  <w:rStyle w:val="Hyperlink"/>
                </w:rPr>
                <w:t xml:space="preserve">Side by Side PAD </w:t>
              </w:r>
              <w:r w:rsidR="006B5ED9">
                <w:rPr>
                  <w:rStyle w:val="Hyperlink"/>
                </w:rPr>
                <w:t>information</w:t>
              </w:r>
            </w:hyperlink>
            <w:r w:rsidR="006B5ED9">
              <w:rPr>
                <w:rStyle w:val="Hyperlink"/>
              </w:rPr>
              <w:t xml:space="preserve"> memorandum</w:t>
            </w:r>
          </w:p>
        </w:tc>
      </w:tr>
      <w:tr w:rsidR="006A59C4" w:rsidRPr="00C502E4" w14:paraId="0564492E" w14:textId="77777777" w:rsidTr="004871B1">
        <w:tc>
          <w:tcPr>
            <w:cnfStyle w:val="001000000000" w:firstRow="0" w:lastRow="0" w:firstColumn="1" w:lastColumn="0" w:oddVBand="0" w:evenVBand="0" w:oddHBand="0" w:evenHBand="0" w:firstRowFirstColumn="0" w:firstRowLastColumn="0" w:lastRowFirstColumn="0" w:lastRowLastColumn="0"/>
            <w:tcW w:w="1929" w:type="dxa"/>
            <w:shd w:val="clear" w:color="auto" w:fill="auto"/>
          </w:tcPr>
          <w:p w14:paraId="5AE672A1" w14:textId="2531D18D" w:rsidR="006A59C4" w:rsidRDefault="006A59C4" w:rsidP="00D04775">
            <w:pPr>
              <w:pStyle w:val="Tabletext"/>
            </w:pPr>
            <w:r>
              <w:t>Investor database</w:t>
            </w:r>
          </w:p>
        </w:tc>
        <w:tc>
          <w:tcPr>
            <w:tcW w:w="2632" w:type="dxa"/>
          </w:tcPr>
          <w:p w14:paraId="55C86F57" w14:textId="6A8C9112" w:rsidR="006A59C4" w:rsidRPr="00C502E4" w:rsidRDefault="002A06A3" w:rsidP="00D04775">
            <w:pPr>
              <w:pStyle w:val="Tabletext"/>
              <w:cnfStyle w:val="000000000000" w:firstRow="0" w:lastRow="0" w:firstColumn="0" w:lastColumn="0" w:oddVBand="0" w:evenVBand="0" w:oddHBand="0" w:evenHBand="0" w:firstRowFirstColumn="0" w:firstRowLastColumn="0" w:lastRowFirstColumn="0" w:lastRowLastColumn="0"/>
              <w:rPr>
                <w:spacing w:val="0"/>
                <w:szCs w:val="20"/>
                <w:lang w:eastAsia="en-AU"/>
              </w:rPr>
            </w:pPr>
            <w:hyperlink r:id="rId33" w:history="1">
              <w:r w:rsidR="006A59C4" w:rsidRPr="00C10453">
                <w:rPr>
                  <w:rStyle w:val="Hyperlink"/>
                </w:rPr>
                <w:t xml:space="preserve">Impact Investing </w:t>
              </w:r>
              <w:r w:rsidR="006A59C4">
                <w:rPr>
                  <w:rStyle w:val="Hyperlink"/>
                </w:rPr>
                <w:t xml:space="preserve">Hub – impact </w:t>
              </w:r>
              <w:r w:rsidR="006A59C4" w:rsidRPr="00C10453">
                <w:rPr>
                  <w:rStyle w:val="Hyperlink"/>
                </w:rPr>
                <w:t>invest</w:t>
              </w:r>
              <w:r w:rsidR="006A59C4">
                <w:rPr>
                  <w:rStyle w:val="Hyperlink"/>
                </w:rPr>
                <w:t>ing</w:t>
              </w:r>
              <w:r w:rsidR="006A59C4" w:rsidRPr="00C10453">
                <w:rPr>
                  <w:rStyle w:val="Hyperlink"/>
                </w:rPr>
                <w:t xml:space="preserve"> directory</w:t>
              </w:r>
            </w:hyperlink>
            <w:r w:rsidR="006A59C4" w:rsidRPr="00771DED">
              <w:t xml:space="preserve"> </w:t>
            </w:r>
          </w:p>
        </w:tc>
      </w:tr>
      <w:tr w:rsidR="006A59C4" w:rsidRPr="00C502E4" w14:paraId="2C27AE98" w14:textId="77777777" w:rsidTr="004871B1">
        <w:tc>
          <w:tcPr>
            <w:cnfStyle w:val="001000000000" w:firstRow="0" w:lastRow="0" w:firstColumn="1" w:lastColumn="0" w:oddVBand="0" w:evenVBand="0" w:oddHBand="0" w:evenHBand="0" w:firstRowFirstColumn="0" w:firstRowLastColumn="0" w:lastRowFirstColumn="0" w:lastRowLastColumn="0"/>
            <w:tcW w:w="1929" w:type="dxa"/>
            <w:shd w:val="clear" w:color="auto" w:fill="auto"/>
          </w:tcPr>
          <w:p w14:paraId="735824C0" w14:textId="2DB39375" w:rsidR="006A59C4" w:rsidRDefault="006A59C4" w:rsidP="00D04775">
            <w:pPr>
              <w:pStyle w:val="Tabletext"/>
            </w:pPr>
            <w:r>
              <w:t>Intermediary database</w:t>
            </w:r>
          </w:p>
        </w:tc>
        <w:tc>
          <w:tcPr>
            <w:tcW w:w="2632" w:type="dxa"/>
          </w:tcPr>
          <w:p w14:paraId="1786DF0D" w14:textId="20B3C3DC" w:rsidR="006A59C4" w:rsidRPr="00C502E4" w:rsidRDefault="002A06A3" w:rsidP="00D04775">
            <w:pPr>
              <w:pStyle w:val="Tabletext"/>
              <w:cnfStyle w:val="000000000000" w:firstRow="0" w:lastRow="0" w:firstColumn="0" w:lastColumn="0" w:oddVBand="0" w:evenVBand="0" w:oddHBand="0" w:evenHBand="0" w:firstRowFirstColumn="0" w:firstRowLastColumn="0" w:lastRowFirstColumn="0" w:lastRowLastColumn="0"/>
            </w:pPr>
            <w:hyperlink r:id="rId34" w:history="1">
              <w:r w:rsidR="006A59C4" w:rsidRPr="00C10453">
                <w:rPr>
                  <w:rStyle w:val="Hyperlink"/>
                </w:rPr>
                <w:t xml:space="preserve">Impact Investing Australia </w:t>
              </w:r>
              <w:r w:rsidR="00CA0CE2">
                <w:rPr>
                  <w:rStyle w:val="Hyperlink"/>
                </w:rPr>
                <w:t>–</w:t>
              </w:r>
              <w:r w:rsidR="006A59C4" w:rsidRPr="00C10453">
                <w:rPr>
                  <w:rStyle w:val="Hyperlink"/>
                </w:rPr>
                <w:t xml:space="preserve"> impact funds and impact investor advisors</w:t>
              </w:r>
            </w:hyperlink>
          </w:p>
        </w:tc>
      </w:tr>
      <w:bookmarkEnd w:id="1"/>
      <w:tr w:rsidR="00AE2D98" w:rsidRPr="00C502E4" w14:paraId="23225897" w14:textId="77777777" w:rsidTr="0013144E">
        <w:tc>
          <w:tcPr>
            <w:cnfStyle w:val="001000000000" w:firstRow="0" w:lastRow="0" w:firstColumn="1" w:lastColumn="0" w:oddVBand="0" w:evenVBand="0" w:oddHBand="0" w:evenHBand="0" w:firstRowFirstColumn="0" w:firstRowLastColumn="0" w:lastRowFirstColumn="0" w:lastRowLastColumn="0"/>
            <w:tcW w:w="4561" w:type="dxa"/>
            <w:gridSpan w:val="2"/>
            <w:shd w:val="clear" w:color="auto" w:fill="auto"/>
          </w:tcPr>
          <w:p w14:paraId="4AB1D417" w14:textId="348AAB8E" w:rsidR="00AE2D98" w:rsidRDefault="00AE2D98" w:rsidP="00D04775">
            <w:pPr>
              <w:pStyle w:val="Tabletext"/>
            </w:pPr>
            <w:r w:rsidRPr="00D04775">
              <w:rPr>
                <w:rFonts w:asciiTheme="majorHAnsi" w:hAnsiTheme="majorHAnsi"/>
                <w:i/>
                <w:iCs/>
              </w:rPr>
              <w:t xml:space="preserve">For more information on PADs or this guidance document, please contact </w:t>
            </w:r>
            <w:hyperlink r:id="rId35" w:history="1">
              <w:r w:rsidRPr="00D04775">
                <w:rPr>
                  <w:rStyle w:val="Hyperlink"/>
                  <w:rFonts w:asciiTheme="majorHAnsi" w:hAnsiTheme="majorHAnsi"/>
                  <w:i/>
                  <w:iCs/>
                  <w:spacing w:val="0"/>
                  <w:szCs w:val="20"/>
                  <w:lang w:eastAsia="en-AU"/>
                </w:rPr>
                <w:t>p</w:t>
              </w:r>
              <w:r w:rsidRPr="00D04775">
                <w:rPr>
                  <w:rStyle w:val="Hyperlink"/>
                  <w:rFonts w:asciiTheme="majorHAnsi" w:hAnsiTheme="majorHAnsi"/>
                  <w:i/>
                  <w:iCs/>
                </w:rPr>
                <w:t>ads@dtf.vic.gov.au</w:t>
              </w:r>
            </w:hyperlink>
            <w:r>
              <w:rPr>
                <w:rStyle w:val="Hyperlink"/>
                <w:b/>
                <w:bCs/>
                <w:i/>
                <w:iCs/>
              </w:rPr>
              <w:t xml:space="preserve"> </w:t>
            </w:r>
            <w:r w:rsidRPr="00696EDE">
              <w:t xml:space="preserve">or </w:t>
            </w:r>
            <w:r>
              <w:t xml:space="preserve">Matt Donoghue, Director – Early Invention and Reform </w:t>
            </w:r>
            <w:r w:rsidRPr="00696EDE">
              <w:rPr>
                <w:i/>
                <w:iCs/>
              </w:rPr>
              <w:t>(</w:t>
            </w:r>
            <w:hyperlink r:id="rId36" w:history="1">
              <w:r w:rsidRPr="007612D8">
                <w:rPr>
                  <w:rStyle w:val="Hyperlink"/>
                  <w:i/>
                  <w:iCs/>
                </w:rPr>
                <w:t>matt.donoghue@dtf.vic.gov.au</w:t>
              </w:r>
            </w:hyperlink>
            <w:r>
              <w:rPr>
                <w:b/>
                <w:bCs/>
                <w:i/>
                <w:iCs/>
              </w:rPr>
              <w:t>)</w:t>
            </w:r>
            <w:hyperlink r:id="rId37" w:history="1"/>
          </w:p>
        </w:tc>
      </w:tr>
    </w:tbl>
    <w:p w14:paraId="2214E24F" w14:textId="77777777" w:rsidR="002342AA" w:rsidRDefault="002342AA" w:rsidP="00F041E6"/>
    <w:p w14:paraId="1609358E" w14:textId="12E66F1F" w:rsidR="005150A6" w:rsidRDefault="002342AA" w:rsidP="00D04775">
      <w:pPr>
        <w:pStyle w:val="Heading1"/>
      </w:pPr>
      <w:r>
        <w:br w:type="column"/>
      </w:r>
      <w:r w:rsidR="00F810E6">
        <w:lastRenderedPageBreak/>
        <w:t>Notes and r</w:t>
      </w:r>
      <w:r w:rsidR="00574579">
        <w:t>eferences</w:t>
      </w:r>
    </w:p>
    <w:sectPr w:rsidR="005150A6" w:rsidSect="002342AA">
      <w:endnotePr>
        <w:numFmt w:val="decimal"/>
      </w:endnotePr>
      <w:type w:val="continuous"/>
      <w:pgSz w:w="11906" w:h="16838" w:code="9"/>
      <w:pgMar w:top="864" w:right="1152" w:bottom="1728" w:left="1152" w:header="706" w:footer="461" w:gutter="0"/>
      <w:cols w:num="2"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8E69F" w14:textId="77777777" w:rsidR="00393D2C" w:rsidRPr="005C0A96" w:rsidRDefault="00393D2C" w:rsidP="005C0A96">
      <w:pPr>
        <w:spacing w:before="0" w:after="0" w:line="240" w:lineRule="auto"/>
        <w:rPr>
          <w:sz w:val="10"/>
          <w:szCs w:val="12"/>
        </w:rPr>
      </w:pPr>
    </w:p>
  </w:endnote>
  <w:endnote w:type="continuationSeparator" w:id="0">
    <w:p w14:paraId="15B8F324" w14:textId="77777777" w:rsidR="00393D2C" w:rsidRDefault="00393D2C" w:rsidP="006805B9">
      <w:r>
        <w:continuationSeparator/>
      </w:r>
    </w:p>
  </w:endnote>
  <w:endnote w:type="continuationNotice" w:id="1">
    <w:p w14:paraId="08D6C5C2" w14:textId="77777777" w:rsidR="00393D2C" w:rsidRDefault="00393D2C">
      <w:pPr>
        <w:spacing w:before="0" w:after="0" w:line="240" w:lineRule="auto"/>
      </w:pPr>
    </w:p>
  </w:endnote>
  <w:endnote w:id="2">
    <w:p w14:paraId="4364CF5A" w14:textId="15222341" w:rsidR="005A5146" w:rsidRDefault="005A5146" w:rsidP="005C0A96">
      <w:pPr>
        <w:spacing w:before="40"/>
      </w:pPr>
      <w:r>
        <w:rPr>
          <w:rStyle w:val="EndnoteReference"/>
        </w:rPr>
        <w:endnoteRef/>
      </w:r>
      <w:r>
        <w:t xml:space="preserve"> </w:t>
      </w:r>
      <w:r w:rsidRPr="008D2742">
        <w:rPr>
          <w:sz w:val="16"/>
          <w:szCs w:val="16"/>
        </w:rPr>
        <w:t>The Victorian Government’s Partnerships Addressing Disadvantage (PADs) initiative are social impact investments that establish partnerships between government, service providers and investors to tackle complex social issues through outcomes-based partnerships.</w:t>
      </w:r>
    </w:p>
  </w:endnote>
  <w:endnote w:id="3">
    <w:p w14:paraId="14DD9A52" w14:textId="3B848E4C" w:rsidR="005A5146" w:rsidRPr="00C45753" w:rsidRDefault="005A5146" w:rsidP="00C25267">
      <w:pPr>
        <w:pStyle w:val="EndnoteText"/>
      </w:pPr>
      <w:r>
        <w:rPr>
          <w:rStyle w:val="EndnoteReference"/>
        </w:rPr>
        <w:endnoteRef/>
      </w:r>
      <w:r>
        <w:t xml:space="preserve"> SVA, </w:t>
      </w:r>
      <w:r w:rsidRPr="00DD6A80">
        <w:rPr>
          <w:i/>
          <w:iCs/>
        </w:rPr>
        <w:t>Guidance for the social services sector on engaging investors</w:t>
      </w:r>
      <w:r>
        <w:t xml:space="preserve">, </w:t>
      </w:r>
      <w:r w:rsidR="00D50327">
        <w:t>August 2024</w:t>
      </w:r>
      <w:r>
        <w:t xml:space="preserve">, p. </w:t>
      </w:r>
      <w:r w:rsidR="003A5842">
        <w:t>8</w:t>
      </w:r>
      <w:r>
        <w:t xml:space="preserve">; Anglicare, </w:t>
      </w:r>
      <w:r>
        <w:rPr>
          <w:i/>
          <w:iCs/>
        </w:rPr>
        <w:t xml:space="preserve">Impact Investment: the COMPASS Experience, </w:t>
      </w:r>
      <w:r>
        <w:t>June 2024.</w:t>
      </w:r>
    </w:p>
  </w:endnote>
  <w:endnote w:id="4">
    <w:p w14:paraId="4ACDA24F" w14:textId="141D88E3" w:rsidR="005A5146" w:rsidRDefault="005A5146" w:rsidP="00C25267">
      <w:pPr>
        <w:pStyle w:val="EndnoteText"/>
      </w:pPr>
      <w:r>
        <w:rPr>
          <w:rStyle w:val="EndnoteReference"/>
        </w:rPr>
        <w:endnoteRef/>
      </w:r>
      <w:r>
        <w:t xml:space="preserve"> SVA, </w:t>
      </w:r>
      <w:r w:rsidRPr="00DD6A80">
        <w:rPr>
          <w:i/>
          <w:iCs/>
        </w:rPr>
        <w:t>Guidance for the social services sector on engaging investors</w:t>
      </w:r>
      <w:r>
        <w:t xml:space="preserve">, </w:t>
      </w:r>
      <w:r w:rsidR="00D50327">
        <w:t>August 2024</w:t>
      </w:r>
      <w:r>
        <w:t>, p. 1</w:t>
      </w:r>
      <w:r w:rsidR="003A5842">
        <w:t>8</w:t>
      </w:r>
      <w:r>
        <w:t>.</w:t>
      </w:r>
    </w:p>
  </w:endnote>
  <w:endnote w:id="5">
    <w:p w14:paraId="6265C9F4" w14:textId="7AB1B4CE" w:rsidR="005A5146" w:rsidRDefault="005A5146" w:rsidP="000A7F19">
      <w:pPr>
        <w:pStyle w:val="EndnoteText"/>
      </w:pPr>
      <w:r>
        <w:rPr>
          <w:rStyle w:val="EndnoteReference"/>
        </w:rPr>
        <w:endnoteRef/>
      </w:r>
      <w:r>
        <w:t xml:space="preserve"> Anglicare, </w:t>
      </w:r>
      <w:r>
        <w:rPr>
          <w:i/>
          <w:iCs/>
        </w:rPr>
        <w:t xml:space="preserve">Impact Investment: the COMPASS Experience, </w:t>
      </w:r>
      <w:r>
        <w:t xml:space="preserve">June 2024, p. 9; SVA, </w:t>
      </w:r>
      <w:r w:rsidRPr="00DD6A80">
        <w:rPr>
          <w:i/>
          <w:iCs/>
        </w:rPr>
        <w:t>Guidance for the social services sector on engaging investors</w:t>
      </w:r>
      <w:r>
        <w:t xml:space="preserve">, </w:t>
      </w:r>
      <w:r w:rsidR="00D50327">
        <w:t>August 2024</w:t>
      </w:r>
      <w:r>
        <w:t xml:space="preserve">,  p. </w:t>
      </w:r>
      <w:r w:rsidR="003A5842">
        <w:t>9</w:t>
      </w:r>
      <w:r>
        <w:t>.</w:t>
      </w:r>
    </w:p>
  </w:endnote>
  <w:endnote w:id="6">
    <w:p w14:paraId="11416484" w14:textId="514BDF53" w:rsidR="005A5146" w:rsidRDefault="005A5146" w:rsidP="004F7AEE">
      <w:pPr>
        <w:pStyle w:val="EndnoteText"/>
      </w:pPr>
      <w:r>
        <w:rPr>
          <w:rStyle w:val="EndnoteReference"/>
        </w:rPr>
        <w:endnoteRef/>
      </w:r>
      <w:r>
        <w:t xml:space="preserve"> SVA, </w:t>
      </w:r>
      <w:r w:rsidRPr="008F53B7">
        <w:rPr>
          <w:i/>
          <w:iCs/>
        </w:rPr>
        <w:t>Guidance for the social services sector on engaging investors</w:t>
      </w:r>
      <w:r>
        <w:t xml:space="preserve">, </w:t>
      </w:r>
      <w:r w:rsidR="00D50327">
        <w:t>August 2024</w:t>
      </w:r>
      <w:r>
        <w:t xml:space="preserve">, pp. </w:t>
      </w:r>
      <w:r w:rsidR="003A5842">
        <w:t>9</w:t>
      </w:r>
      <w:r>
        <w:t>–1</w:t>
      </w:r>
      <w:r w:rsidR="003A5842">
        <w:t>4</w:t>
      </w:r>
      <w:r>
        <w:t>.</w:t>
      </w:r>
    </w:p>
  </w:endnote>
  <w:endnote w:id="7">
    <w:p w14:paraId="14B9C71D" w14:textId="77777777" w:rsidR="005A5146" w:rsidRDefault="005A5146" w:rsidP="004F7AEE">
      <w:pPr>
        <w:pStyle w:val="EndnoteText"/>
      </w:pPr>
      <w:r>
        <w:rPr>
          <w:rStyle w:val="EndnoteReference"/>
        </w:rPr>
        <w:endnoteRef/>
      </w:r>
      <w:r>
        <w:t xml:space="preserve"> Anglicare, </w:t>
      </w:r>
      <w:r>
        <w:rPr>
          <w:i/>
          <w:iCs/>
        </w:rPr>
        <w:t xml:space="preserve">Impact Investment: the COMPASS Experience, </w:t>
      </w:r>
      <w:r>
        <w:t>June 2024, p. 11.</w:t>
      </w:r>
    </w:p>
  </w:endnote>
  <w:endnote w:id="8">
    <w:p w14:paraId="0A211D15" w14:textId="77777777" w:rsidR="00C524E0" w:rsidRDefault="00C524E0" w:rsidP="00C524E0">
      <w:pPr>
        <w:pStyle w:val="EndnoteText"/>
      </w:pPr>
      <w:r>
        <w:rPr>
          <w:rStyle w:val="EndnoteReference"/>
        </w:rPr>
        <w:endnoteRef/>
      </w:r>
      <w:r>
        <w:t xml:space="preserve"> Anglicare, </w:t>
      </w:r>
      <w:r>
        <w:rPr>
          <w:i/>
          <w:iCs/>
        </w:rPr>
        <w:t xml:space="preserve">Impact Investment: the COMPASS Experience, </w:t>
      </w:r>
      <w:r>
        <w:t>June 2024, p. 10.</w:t>
      </w:r>
    </w:p>
  </w:endnote>
  <w:endnote w:id="9">
    <w:p w14:paraId="3F53CC4B" w14:textId="712AB2E1" w:rsidR="005A5146" w:rsidRDefault="005A5146" w:rsidP="004F7AEE">
      <w:pPr>
        <w:pStyle w:val="EndnoteText"/>
      </w:pPr>
      <w:r>
        <w:rPr>
          <w:rStyle w:val="EndnoteReference"/>
        </w:rPr>
        <w:endnoteRef/>
      </w:r>
      <w:r>
        <w:t xml:space="preserve"> Anglicare, </w:t>
      </w:r>
      <w:r>
        <w:rPr>
          <w:i/>
          <w:iCs/>
        </w:rPr>
        <w:t xml:space="preserve">Impact Investment: the COMPASS Experience, </w:t>
      </w:r>
      <w:r>
        <w:t xml:space="preserve">June 2024, pp. 6–12; SVA, </w:t>
      </w:r>
      <w:r w:rsidRPr="000A7F19">
        <w:rPr>
          <w:i/>
          <w:iCs/>
        </w:rPr>
        <w:t>Guidance for the social services sector on engaging investors</w:t>
      </w:r>
      <w:r>
        <w:t xml:space="preserve">, </w:t>
      </w:r>
      <w:r w:rsidR="00D50327">
        <w:t>August 2024</w:t>
      </w:r>
      <w:r>
        <w:t xml:space="preserve">, p. </w:t>
      </w:r>
      <w:r w:rsidR="003A5842">
        <w:t>9</w:t>
      </w:r>
      <w:r>
        <w:t>.</w:t>
      </w:r>
    </w:p>
  </w:endnote>
  <w:endnote w:id="10">
    <w:p w14:paraId="05C9E9AD" w14:textId="39028322" w:rsidR="005A5146" w:rsidRDefault="005A5146" w:rsidP="00740CAF">
      <w:pPr>
        <w:pStyle w:val="EndnoteText"/>
      </w:pPr>
      <w:r>
        <w:rPr>
          <w:rStyle w:val="EndnoteReference"/>
        </w:rPr>
        <w:endnoteRef/>
      </w:r>
      <w:r>
        <w:t xml:space="preserve"> Anglicare, </w:t>
      </w:r>
      <w:r w:rsidR="003A5842">
        <w:rPr>
          <w:i/>
          <w:iCs/>
        </w:rPr>
        <w:t xml:space="preserve">Impact Investment: the COMPASS Experience, </w:t>
      </w:r>
      <w:r w:rsidR="003A5842">
        <w:t xml:space="preserve">June 2024, </w:t>
      </w:r>
      <w:r>
        <w:t>p. 14</w:t>
      </w:r>
    </w:p>
  </w:endnote>
  <w:endnote w:id="11">
    <w:p w14:paraId="1DE00A36" w14:textId="77777777" w:rsidR="005A5146" w:rsidRDefault="005A5146" w:rsidP="00245A3D">
      <w:pPr>
        <w:pStyle w:val="EndnoteText"/>
      </w:pPr>
      <w:r>
        <w:rPr>
          <w:rStyle w:val="EndnoteReference"/>
        </w:rPr>
        <w:endnoteRef/>
      </w:r>
      <w:r>
        <w:t xml:space="preserve"> Anglicare, </w:t>
      </w:r>
      <w:r>
        <w:rPr>
          <w:i/>
          <w:iCs/>
        </w:rPr>
        <w:t xml:space="preserve">Impact Investment: the COMPASS Experience, </w:t>
      </w:r>
      <w:r>
        <w:t>June 2024, p. 10.</w:t>
      </w:r>
    </w:p>
  </w:endnote>
  <w:endnote w:id="12">
    <w:p w14:paraId="1C8E384E" w14:textId="13C2803C" w:rsidR="005A5146" w:rsidRDefault="005A5146" w:rsidP="00D12C2F">
      <w:pPr>
        <w:pStyle w:val="EndnoteText"/>
      </w:pPr>
      <w:r>
        <w:rPr>
          <w:rStyle w:val="EndnoteReference"/>
        </w:rPr>
        <w:endnoteRef/>
      </w:r>
      <w:r>
        <w:t xml:space="preserve"> SVA, </w:t>
      </w:r>
      <w:r w:rsidRPr="00DD6A80">
        <w:rPr>
          <w:i/>
          <w:iCs/>
        </w:rPr>
        <w:t>Guidance for the social services sector on engaging investors</w:t>
      </w:r>
      <w:r>
        <w:t xml:space="preserve">, </w:t>
      </w:r>
      <w:r w:rsidR="00D50327">
        <w:t>August 2024</w:t>
      </w:r>
      <w:r>
        <w:t xml:space="preserve">, p. </w:t>
      </w:r>
      <w:r w:rsidR="003A5842">
        <w:t>9</w:t>
      </w:r>
      <w:r>
        <w:t>; Anglicare,</w:t>
      </w:r>
      <w:r w:rsidR="003A5842">
        <w:t xml:space="preserve"> </w:t>
      </w:r>
      <w:r w:rsidR="003A5842">
        <w:rPr>
          <w:i/>
          <w:iCs/>
        </w:rPr>
        <w:t xml:space="preserve">Impact Investment: the COMPASS Experience, </w:t>
      </w:r>
      <w:r w:rsidR="003A5842">
        <w:t xml:space="preserve">June 2024, </w:t>
      </w:r>
      <w:r>
        <w:t xml:space="preserve"> p. 8.</w:t>
      </w:r>
    </w:p>
  </w:endnote>
  <w:endnote w:id="13">
    <w:p w14:paraId="7054CC68" w14:textId="5D49AAD3" w:rsidR="005A5146" w:rsidRDefault="005A5146" w:rsidP="00E452D3">
      <w:pPr>
        <w:pStyle w:val="EndnoteText"/>
      </w:pPr>
      <w:r>
        <w:rPr>
          <w:rStyle w:val="EndnoteReference"/>
        </w:rPr>
        <w:endnoteRef/>
      </w:r>
      <w:r>
        <w:t xml:space="preserve"> Anglicare, </w:t>
      </w:r>
      <w:r>
        <w:rPr>
          <w:i/>
          <w:iCs/>
        </w:rPr>
        <w:t xml:space="preserve">Impact Investment: the COMPASS Experience, </w:t>
      </w:r>
      <w:r>
        <w:t>June 2024, p. 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C">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C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1EC9" w14:textId="77777777" w:rsidR="002E1B2F" w:rsidRDefault="002E1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53D0D" w14:textId="042A7125" w:rsidR="00522F8A" w:rsidRDefault="00522F8A" w:rsidP="00491C72">
    <w:pPr>
      <w:pStyle w:val="Footer"/>
      <w:tabs>
        <w:tab w:val="clear" w:pos="9026"/>
        <w:tab w:val="right" w:pos="9602"/>
      </w:tabs>
      <w:rPr>
        <w:rStyle w:val="PageNumber"/>
      </w:rPr>
    </w:pPr>
    <w:r w:rsidRPr="008E49B3">
      <w:rPr>
        <w:noProof w:val="0"/>
      </w:rPr>
      <w:fldChar w:fldCharType="begin"/>
    </w:r>
    <w:r w:rsidRPr="008E49B3">
      <w:instrText xml:space="preserve"> StyleRef “Title” </w:instrText>
    </w:r>
    <w:r w:rsidRPr="008E49B3">
      <w:rPr>
        <w:noProof w:val="0"/>
      </w:rPr>
      <w:fldChar w:fldCharType="separate"/>
    </w:r>
    <w:r w:rsidR="002A06A3">
      <w:t>Improving investor engagement for the social services sector</w:t>
    </w:r>
    <w:r w:rsidRPr="008E49B3">
      <w:fldChar w:fldCharType="end"/>
    </w:r>
    <w:r w:rsidR="00491C72">
      <w:tab/>
      <w:t xml:space="preserve">Page </w:t>
    </w:r>
    <w:r w:rsidR="00491C72">
      <w:fldChar w:fldCharType="begin"/>
    </w:r>
    <w:r w:rsidR="00491C72">
      <w:instrText xml:space="preserve"> page </w:instrText>
    </w:r>
    <w:r w:rsidR="00491C72">
      <w:fldChar w:fldCharType="separate"/>
    </w:r>
    <w:r w:rsidR="00491C72">
      <w:t>2</w:t>
    </w:r>
    <w:r w:rsidR="00491C72">
      <w:fldChar w:fldCharType="end"/>
    </w:r>
  </w:p>
  <w:p w14:paraId="3D2408AB" w14:textId="77777777" w:rsidR="00522F8A" w:rsidRPr="00C022F9" w:rsidRDefault="00522F8A" w:rsidP="0068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E0C3" w14:textId="4CE2F98E" w:rsidR="00973844" w:rsidRDefault="00C02CEC" w:rsidP="004C7125">
    <w:pPr>
      <w:pStyle w:val="Footer"/>
      <w:jc w:val="right"/>
    </w:pPr>
    <w:r>
      <w:drawing>
        <wp:inline distT="0" distB="0" distL="0" distR="0" wp14:anchorId="23168CB3" wp14:editId="33206773">
          <wp:extent cx="1536192" cy="457200"/>
          <wp:effectExtent l="0" t="0" r="6985" b="0"/>
          <wp:docPr id="854963308" name="Picture 854963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2A4C" w14:textId="0BAC4103" w:rsidR="00BE2B45" w:rsidRDefault="00BE2B45" w:rsidP="00491C72">
    <w:pPr>
      <w:pStyle w:val="Footer"/>
      <w:tabs>
        <w:tab w:val="clear" w:pos="9026"/>
        <w:tab w:val="right" w:pos="9602"/>
      </w:tabs>
      <w:rPr>
        <w:rStyle w:val="PageNumber"/>
      </w:rPr>
    </w:pPr>
    <w:r w:rsidRPr="008E49B3">
      <w:rPr>
        <w:noProof w:val="0"/>
      </w:rPr>
      <w:fldChar w:fldCharType="begin"/>
    </w:r>
    <w:r w:rsidRPr="008E49B3">
      <w:instrText xml:space="preserve"> StyleRef “Title” </w:instrText>
    </w:r>
    <w:r w:rsidRPr="008E49B3">
      <w:rPr>
        <w:noProof w:val="0"/>
      </w:rPr>
      <w:fldChar w:fldCharType="separate"/>
    </w:r>
    <w:r w:rsidR="002A06A3">
      <w:t>Improving investor engagement for the social services sector</w:t>
    </w:r>
    <w:r w:rsidRPr="008E49B3">
      <w:fldChar w:fldCharType="end"/>
    </w:r>
    <w:r>
      <w:tab/>
      <w:t xml:space="preserve">Page </w:t>
    </w:r>
    <w:r>
      <w:fldChar w:fldCharType="begin"/>
    </w:r>
    <w:r>
      <w:instrText xml:space="preserve"> page </w:instrText>
    </w:r>
    <w:r>
      <w:fldChar w:fldCharType="separate"/>
    </w:r>
    <w:r>
      <w:t>2</w:t>
    </w:r>
    <w:r>
      <w:fldChar w:fldCharType="end"/>
    </w:r>
  </w:p>
  <w:p w14:paraId="04F77124" w14:textId="77777777" w:rsidR="00BE2B45" w:rsidRPr="00C022F9" w:rsidRDefault="00BE2B45" w:rsidP="006805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840E" w14:textId="410CD34A" w:rsidR="00BE2B45" w:rsidRDefault="00FB2A89" w:rsidP="004C7125">
    <w:pPr>
      <w:pStyle w:val="Footer"/>
      <w:jc w:val="right"/>
    </w:pPr>
    <w:r>
      <mc:AlternateContent>
        <mc:Choice Requires="wps">
          <w:drawing>
            <wp:anchor distT="0" distB="0" distL="114300" distR="114300" simplePos="0" relativeHeight="251658242" behindDoc="0" locked="0" layoutInCell="0" allowOverlap="1" wp14:anchorId="5F908771" wp14:editId="1BDE7A76">
              <wp:simplePos x="0" y="0"/>
              <wp:positionH relativeFrom="page">
                <wp:posOffset>0</wp:posOffset>
              </wp:positionH>
              <wp:positionV relativeFrom="page">
                <wp:posOffset>10234930</wp:posOffset>
              </wp:positionV>
              <wp:extent cx="7560310" cy="266700"/>
              <wp:effectExtent l="0" t="0" r="0" b="0"/>
              <wp:wrapNone/>
              <wp:docPr id="14952777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0EAF9768" w14:textId="77777777" w:rsidR="00BE2B45" w:rsidRPr="00841100" w:rsidRDefault="00BE2B45" w:rsidP="00AC4C1D">
                          <w:pPr>
                            <w:spacing w:before="0" w:after="0"/>
                            <w:rPr>
                              <w:rFonts w:cs="Calibri"/>
                              <w:color w:val="000000"/>
                              <w:sz w:val="22"/>
                            </w:rPr>
                          </w:pPr>
                          <w:r w:rsidRPr="00841100">
                            <w:rPr>
                              <w:rFonts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908771" id="_x0000_t202" coordsize="21600,21600" o:spt="202" path="m,l,21600r21600,l21600,xe">
              <v:stroke joinstyle="miter"/>
              <v:path gradientshapeok="t" o:connecttype="rect"/>
            </v:shapetype>
            <v:shape id="Text Box 1" o:spid="_x0000_s1026" type="#_x0000_t202" style="position:absolute;left:0;text-align:left;margin-left:0;margin-top:805.9pt;width:595.3pt;height:2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NcIwIAAD4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" o:allowincell="f" filled="f" stroked="f" strokeweight=".5pt">
              <v:textbox inset="20pt,0,,0">
                <w:txbxContent>
                  <w:p w14:paraId="0EAF9768" w14:textId="77777777" w:rsidR="00BE2B45" w:rsidRPr="00841100" w:rsidRDefault="00BE2B45" w:rsidP="00AC4C1D">
                    <w:pPr>
                      <w:spacing w:before="0" w:after="0"/>
                      <w:rPr>
                        <w:rFonts w:cs="Calibri"/>
                        <w:color w:val="000000"/>
                        <w:sz w:val="22"/>
                      </w:rPr>
                    </w:pPr>
                    <w:r w:rsidRPr="00841100">
                      <w:rPr>
                        <w:rFonts w:cs="Calibri"/>
                        <w:color w:val="000000"/>
                        <w:sz w:val="22"/>
                      </w:rPr>
                      <w:t>OFFICIAL</w:t>
                    </w:r>
                  </w:p>
                </w:txbxContent>
              </v:textbox>
              <w10:wrap anchorx="page" anchory="page"/>
            </v:shape>
          </w:pict>
        </mc:Fallback>
      </mc:AlternateContent>
    </w:r>
    <w:r w:rsidR="00BE2B45">
      <w:drawing>
        <wp:inline distT="0" distB="0" distL="0" distR="0" wp14:anchorId="761951E7" wp14:editId="44680C52">
          <wp:extent cx="1536192" cy="457200"/>
          <wp:effectExtent l="0" t="0" r="6985" b="0"/>
          <wp:docPr id="1653272528" name="Picture 1653272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7C6E0" w14:textId="77777777" w:rsidR="00393D2C" w:rsidRDefault="00393D2C" w:rsidP="006805B9">
      <w:r>
        <w:separator/>
      </w:r>
    </w:p>
  </w:footnote>
  <w:footnote w:type="continuationSeparator" w:id="0">
    <w:p w14:paraId="39BCEB96" w14:textId="77777777" w:rsidR="00393D2C" w:rsidRDefault="00393D2C" w:rsidP="006805B9">
      <w:r>
        <w:continuationSeparator/>
      </w:r>
    </w:p>
  </w:footnote>
  <w:footnote w:type="continuationNotice" w:id="1">
    <w:p w14:paraId="55D0BCDD" w14:textId="77777777" w:rsidR="00393D2C" w:rsidRDefault="00393D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0E68" w14:textId="77777777" w:rsidR="002E1B2F" w:rsidRDefault="002E1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53B8" w14:textId="097A898E" w:rsidR="00F417C3" w:rsidRPr="0041689E" w:rsidRDefault="00FB2A89" w:rsidP="006805B9">
    <w:pPr>
      <w:pStyle w:val="Header"/>
    </w:pPr>
    <w:r>
      <w:rPr>
        <w:noProof/>
      </w:rPr>
      <mc:AlternateContent>
        <mc:Choice Requires="wpg">
          <w:drawing>
            <wp:anchor distT="0" distB="0" distL="114300" distR="114300" simplePos="0" relativeHeight="251658240" behindDoc="0" locked="0" layoutInCell="1" allowOverlap="1" wp14:anchorId="17EF7692" wp14:editId="22E293C5">
              <wp:simplePos x="0" y="0"/>
              <wp:positionH relativeFrom="page">
                <wp:posOffset>-31750</wp:posOffset>
              </wp:positionH>
              <wp:positionV relativeFrom="paragraph">
                <wp:posOffset>-440055</wp:posOffset>
              </wp:positionV>
              <wp:extent cx="7653655" cy="895985"/>
              <wp:effectExtent l="0" t="0" r="0" b="0"/>
              <wp:wrapTopAndBottom/>
              <wp:docPr id="9549431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3655" cy="895985"/>
                        <a:chOff x="914400" y="524786"/>
                        <a:chExt cx="5420963" cy="635888"/>
                      </a:xfrm>
                    </wpg:grpSpPr>
                    <wps:wsp>
                      <wps:cNvPr id="14"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5EC597" id="Group 3" o:spid="_x0000_s1026" alt="&quot;&quot;" style="position:absolute;margin-left:-2.5pt;margin-top:-34.65pt;width:602.65pt;height:70.55pt;z-index:251658240;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5071" w14:textId="77777777" w:rsidR="002E1B2F" w:rsidRDefault="002E1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2B30" w14:textId="235C5AB5" w:rsidR="00BE2B45" w:rsidRPr="0041689E" w:rsidRDefault="00FB2A89" w:rsidP="006805B9">
    <w:pPr>
      <w:pStyle w:val="Header"/>
    </w:pPr>
    <w:r>
      <w:rPr>
        <w:noProof/>
      </w:rPr>
      <mc:AlternateContent>
        <mc:Choice Requires="wpg">
          <w:drawing>
            <wp:anchor distT="0" distB="0" distL="114300" distR="114300" simplePos="0" relativeHeight="251658241" behindDoc="0" locked="0" layoutInCell="1" allowOverlap="1" wp14:anchorId="51E6FE18" wp14:editId="4FB1C3E7">
              <wp:simplePos x="0" y="0"/>
              <wp:positionH relativeFrom="page">
                <wp:posOffset>-31750</wp:posOffset>
              </wp:positionH>
              <wp:positionV relativeFrom="paragraph">
                <wp:posOffset>-440055</wp:posOffset>
              </wp:positionV>
              <wp:extent cx="7653655" cy="895985"/>
              <wp:effectExtent l="0" t="0" r="0" b="0"/>
              <wp:wrapTopAndBottom/>
              <wp:docPr id="131477981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3655" cy="895985"/>
                        <a:chOff x="914400" y="524786"/>
                        <a:chExt cx="5420963" cy="635888"/>
                      </a:xfrm>
                    </wpg:grpSpPr>
                    <wps:wsp>
                      <wps:cNvPr id="21"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80CD41" id="Group 2" o:spid="_x0000_s1026" alt="&quot;&quot;" style="position:absolute;margin-left:-2.5pt;margin-top:-34.65pt;width:602.65pt;height:70.55pt;z-index:251658241;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C940" w14:textId="77777777" w:rsidR="001D10DB" w:rsidRDefault="001D1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E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D005A"/>
    <w:multiLevelType w:val="hybridMultilevel"/>
    <w:tmpl w:val="5A7C9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91D0C"/>
    <w:multiLevelType w:val="hybridMultilevel"/>
    <w:tmpl w:val="5F500B3E"/>
    <w:lvl w:ilvl="0" w:tplc="EA1E3E0A">
      <w:start w:val="2"/>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96C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C703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013AA"/>
    <w:multiLevelType w:val="hybridMultilevel"/>
    <w:tmpl w:val="469E8DD6"/>
    <w:lvl w:ilvl="0" w:tplc="B016E06C">
      <w:start w:val="1"/>
      <w:numFmt w:val="bullet"/>
      <w:lvlText w:val="•"/>
      <w:lvlJc w:val="left"/>
      <w:pPr>
        <w:tabs>
          <w:tab w:val="num" w:pos="720"/>
        </w:tabs>
        <w:ind w:left="720" w:hanging="360"/>
      </w:pPr>
      <w:rPr>
        <w:rFonts w:ascii="Times New Roman" w:hAnsi="Times New Roman" w:hint="default"/>
      </w:rPr>
    </w:lvl>
    <w:lvl w:ilvl="1" w:tplc="31AC2356" w:tentative="1">
      <w:start w:val="1"/>
      <w:numFmt w:val="bullet"/>
      <w:lvlText w:val="•"/>
      <w:lvlJc w:val="left"/>
      <w:pPr>
        <w:tabs>
          <w:tab w:val="num" w:pos="1440"/>
        </w:tabs>
        <w:ind w:left="1440" w:hanging="360"/>
      </w:pPr>
      <w:rPr>
        <w:rFonts w:ascii="Times New Roman" w:hAnsi="Times New Roman" w:hint="default"/>
      </w:rPr>
    </w:lvl>
    <w:lvl w:ilvl="2" w:tplc="EA9AD534" w:tentative="1">
      <w:start w:val="1"/>
      <w:numFmt w:val="bullet"/>
      <w:lvlText w:val="•"/>
      <w:lvlJc w:val="left"/>
      <w:pPr>
        <w:tabs>
          <w:tab w:val="num" w:pos="2160"/>
        </w:tabs>
        <w:ind w:left="2160" w:hanging="360"/>
      </w:pPr>
      <w:rPr>
        <w:rFonts w:ascii="Times New Roman" w:hAnsi="Times New Roman" w:hint="default"/>
      </w:rPr>
    </w:lvl>
    <w:lvl w:ilvl="3" w:tplc="B5028A8C" w:tentative="1">
      <w:start w:val="1"/>
      <w:numFmt w:val="bullet"/>
      <w:lvlText w:val="•"/>
      <w:lvlJc w:val="left"/>
      <w:pPr>
        <w:tabs>
          <w:tab w:val="num" w:pos="2880"/>
        </w:tabs>
        <w:ind w:left="2880" w:hanging="360"/>
      </w:pPr>
      <w:rPr>
        <w:rFonts w:ascii="Times New Roman" w:hAnsi="Times New Roman" w:hint="default"/>
      </w:rPr>
    </w:lvl>
    <w:lvl w:ilvl="4" w:tplc="93D61404" w:tentative="1">
      <w:start w:val="1"/>
      <w:numFmt w:val="bullet"/>
      <w:lvlText w:val="•"/>
      <w:lvlJc w:val="left"/>
      <w:pPr>
        <w:tabs>
          <w:tab w:val="num" w:pos="3600"/>
        </w:tabs>
        <w:ind w:left="3600" w:hanging="360"/>
      </w:pPr>
      <w:rPr>
        <w:rFonts w:ascii="Times New Roman" w:hAnsi="Times New Roman" w:hint="default"/>
      </w:rPr>
    </w:lvl>
    <w:lvl w:ilvl="5" w:tplc="4718BB80" w:tentative="1">
      <w:start w:val="1"/>
      <w:numFmt w:val="bullet"/>
      <w:lvlText w:val="•"/>
      <w:lvlJc w:val="left"/>
      <w:pPr>
        <w:tabs>
          <w:tab w:val="num" w:pos="4320"/>
        </w:tabs>
        <w:ind w:left="4320" w:hanging="360"/>
      </w:pPr>
      <w:rPr>
        <w:rFonts w:ascii="Times New Roman" w:hAnsi="Times New Roman" w:hint="default"/>
      </w:rPr>
    </w:lvl>
    <w:lvl w:ilvl="6" w:tplc="B0BCA8D8" w:tentative="1">
      <w:start w:val="1"/>
      <w:numFmt w:val="bullet"/>
      <w:lvlText w:val="•"/>
      <w:lvlJc w:val="left"/>
      <w:pPr>
        <w:tabs>
          <w:tab w:val="num" w:pos="5040"/>
        </w:tabs>
        <w:ind w:left="5040" w:hanging="360"/>
      </w:pPr>
      <w:rPr>
        <w:rFonts w:ascii="Times New Roman" w:hAnsi="Times New Roman" w:hint="default"/>
      </w:rPr>
    </w:lvl>
    <w:lvl w:ilvl="7" w:tplc="15A01476" w:tentative="1">
      <w:start w:val="1"/>
      <w:numFmt w:val="bullet"/>
      <w:lvlText w:val="•"/>
      <w:lvlJc w:val="left"/>
      <w:pPr>
        <w:tabs>
          <w:tab w:val="num" w:pos="5760"/>
        </w:tabs>
        <w:ind w:left="5760" w:hanging="360"/>
      </w:pPr>
      <w:rPr>
        <w:rFonts w:ascii="Times New Roman" w:hAnsi="Times New Roman" w:hint="default"/>
      </w:rPr>
    </w:lvl>
    <w:lvl w:ilvl="8" w:tplc="79BEDE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3136CF"/>
    <w:multiLevelType w:val="hybridMultilevel"/>
    <w:tmpl w:val="D9820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36222D"/>
    <w:multiLevelType w:val="hybridMultilevel"/>
    <w:tmpl w:val="A0161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470D7D"/>
    <w:multiLevelType w:val="hybridMultilevel"/>
    <w:tmpl w:val="5936D59A"/>
    <w:lvl w:ilvl="0" w:tplc="2550C70E">
      <w:start w:val="1"/>
      <w:numFmt w:val="bullet"/>
      <w:pStyle w:val="Quotebullet"/>
      <w:lvlText w:val=""/>
      <w:lvlJc w:val="left"/>
      <w:pPr>
        <w:ind w:left="936" w:hanging="360"/>
      </w:pPr>
      <w:rPr>
        <w:rFonts w:ascii="Symbol" w:hAnsi="Symbol" w:hint="default"/>
        <w:color w:val="00BAC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5E0BD3"/>
    <w:multiLevelType w:val="hybridMultilevel"/>
    <w:tmpl w:val="34286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CD6EBC"/>
    <w:multiLevelType w:val="hybridMultilevel"/>
    <w:tmpl w:val="D5F01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1C52BA"/>
    <w:multiLevelType w:val="hybridMultilevel"/>
    <w:tmpl w:val="EF38D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615720"/>
    <w:multiLevelType w:val="hybridMultilevel"/>
    <w:tmpl w:val="6A70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E1CA0"/>
    <w:multiLevelType w:val="hybridMultilevel"/>
    <w:tmpl w:val="38F6B3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D165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1D2E09"/>
    <w:multiLevelType w:val="hybridMultilevel"/>
    <w:tmpl w:val="ACB87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976963"/>
    <w:multiLevelType w:val="hybridMultilevel"/>
    <w:tmpl w:val="7A9C3054"/>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9" w15:restartNumberingAfterBreak="0">
    <w:nsid w:val="3A0938E8"/>
    <w:multiLevelType w:val="hybridMultilevel"/>
    <w:tmpl w:val="D8E43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B161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EA58C7"/>
    <w:multiLevelType w:val="hybridMultilevel"/>
    <w:tmpl w:val="810407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660610"/>
    <w:multiLevelType w:val="hybridMultilevel"/>
    <w:tmpl w:val="79982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81115D"/>
    <w:multiLevelType w:val="hybridMultilevel"/>
    <w:tmpl w:val="B18E2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617509"/>
    <w:multiLevelType w:val="hybridMultilevel"/>
    <w:tmpl w:val="7AE65538"/>
    <w:lvl w:ilvl="0" w:tplc="8642FF46">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D3A6A"/>
    <w:multiLevelType w:val="multilevel"/>
    <w:tmpl w:val="B6766CB0"/>
    <w:lvl w:ilvl="0">
      <w:start w:val="1"/>
      <w:numFmt w:val="bullet"/>
      <w:pStyle w:val="Bullet1"/>
      <w:lvlText w:val=""/>
      <w:lvlJc w:val="left"/>
      <w:pPr>
        <w:tabs>
          <w:tab w:val="num" w:pos="360"/>
        </w:tabs>
        <w:ind w:left="360" w:hanging="360"/>
      </w:pPr>
      <w:rPr>
        <w:rFonts w:ascii="Symbol" w:hAnsi="Symbol" w:hint="default"/>
        <w:b w:val="0"/>
        <w:i w:val="0"/>
        <w:vanish w:val="0"/>
        <w:color w:val="auto"/>
        <w:sz w:val="20"/>
        <w:szCs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6" w15:restartNumberingAfterBreak="0">
    <w:nsid w:val="46B01942"/>
    <w:multiLevelType w:val="hybridMultilevel"/>
    <w:tmpl w:val="7BFE5CFA"/>
    <w:lvl w:ilvl="0" w:tplc="44281F96">
      <w:start w:val="1"/>
      <w:numFmt w:val="bullet"/>
      <w:lvlText w:val=""/>
      <w:lvlJc w:val="left"/>
      <w:pPr>
        <w:tabs>
          <w:tab w:val="num" w:pos="720"/>
        </w:tabs>
        <w:ind w:left="720" w:hanging="360"/>
      </w:pPr>
      <w:rPr>
        <w:rFonts w:ascii="Symbol" w:hAnsi="Symbol" w:hint="default"/>
      </w:rPr>
    </w:lvl>
    <w:lvl w:ilvl="1" w:tplc="344E0470" w:tentative="1">
      <w:start w:val="1"/>
      <w:numFmt w:val="bullet"/>
      <w:lvlText w:val=""/>
      <w:lvlJc w:val="left"/>
      <w:pPr>
        <w:tabs>
          <w:tab w:val="num" w:pos="1440"/>
        </w:tabs>
        <w:ind w:left="1440" w:hanging="360"/>
      </w:pPr>
      <w:rPr>
        <w:rFonts w:ascii="Symbol" w:hAnsi="Symbol" w:hint="default"/>
      </w:rPr>
    </w:lvl>
    <w:lvl w:ilvl="2" w:tplc="AD623232" w:tentative="1">
      <w:start w:val="1"/>
      <w:numFmt w:val="bullet"/>
      <w:lvlText w:val=""/>
      <w:lvlJc w:val="left"/>
      <w:pPr>
        <w:tabs>
          <w:tab w:val="num" w:pos="2160"/>
        </w:tabs>
        <w:ind w:left="2160" w:hanging="360"/>
      </w:pPr>
      <w:rPr>
        <w:rFonts w:ascii="Symbol" w:hAnsi="Symbol" w:hint="default"/>
      </w:rPr>
    </w:lvl>
    <w:lvl w:ilvl="3" w:tplc="120A84B8" w:tentative="1">
      <w:start w:val="1"/>
      <w:numFmt w:val="bullet"/>
      <w:lvlText w:val=""/>
      <w:lvlJc w:val="left"/>
      <w:pPr>
        <w:tabs>
          <w:tab w:val="num" w:pos="2880"/>
        </w:tabs>
        <w:ind w:left="2880" w:hanging="360"/>
      </w:pPr>
      <w:rPr>
        <w:rFonts w:ascii="Symbol" w:hAnsi="Symbol" w:hint="default"/>
      </w:rPr>
    </w:lvl>
    <w:lvl w:ilvl="4" w:tplc="013A50B0" w:tentative="1">
      <w:start w:val="1"/>
      <w:numFmt w:val="bullet"/>
      <w:lvlText w:val=""/>
      <w:lvlJc w:val="left"/>
      <w:pPr>
        <w:tabs>
          <w:tab w:val="num" w:pos="3600"/>
        </w:tabs>
        <w:ind w:left="3600" w:hanging="360"/>
      </w:pPr>
      <w:rPr>
        <w:rFonts w:ascii="Symbol" w:hAnsi="Symbol" w:hint="default"/>
      </w:rPr>
    </w:lvl>
    <w:lvl w:ilvl="5" w:tplc="E9B68E3A" w:tentative="1">
      <w:start w:val="1"/>
      <w:numFmt w:val="bullet"/>
      <w:lvlText w:val=""/>
      <w:lvlJc w:val="left"/>
      <w:pPr>
        <w:tabs>
          <w:tab w:val="num" w:pos="4320"/>
        </w:tabs>
        <w:ind w:left="4320" w:hanging="360"/>
      </w:pPr>
      <w:rPr>
        <w:rFonts w:ascii="Symbol" w:hAnsi="Symbol" w:hint="default"/>
      </w:rPr>
    </w:lvl>
    <w:lvl w:ilvl="6" w:tplc="D42C3456" w:tentative="1">
      <w:start w:val="1"/>
      <w:numFmt w:val="bullet"/>
      <w:lvlText w:val=""/>
      <w:lvlJc w:val="left"/>
      <w:pPr>
        <w:tabs>
          <w:tab w:val="num" w:pos="5040"/>
        </w:tabs>
        <w:ind w:left="5040" w:hanging="360"/>
      </w:pPr>
      <w:rPr>
        <w:rFonts w:ascii="Symbol" w:hAnsi="Symbol" w:hint="default"/>
      </w:rPr>
    </w:lvl>
    <w:lvl w:ilvl="7" w:tplc="214E34E4" w:tentative="1">
      <w:start w:val="1"/>
      <w:numFmt w:val="bullet"/>
      <w:lvlText w:val=""/>
      <w:lvlJc w:val="left"/>
      <w:pPr>
        <w:tabs>
          <w:tab w:val="num" w:pos="5760"/>
        </w:tabs>
        <w:ind w:left="5760" w:hanging="360"/>
      </w:pPr>
      <w:rPr>
        <w:rFonts w:ascii="Symbol" w:hAnsi="Symbol" w:hint="default"/>
      </w:rPr>
    </w:lvl>
    <w:lvl w:ilvl="8" w:tplc="6D2215F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813B91"/>
    <w:multiLevelType w:val="hybridMultilevel"/>
    <w:tmpl w:val="F42A9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494828"/>
    <w:multiLevelType w:val="hybridMultilevel"/>
    <w:tmpl w:val="C7EEB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720209"/>
    <w:multiLevelType w:val="multilevel"/>
    <w:tmpl w:val="8A3CA9BE"/>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33D6A14"/>
    <w:multiLevelType w:val="hybridMultilevel"/>
    <w:tmpl w:val="461271E8"/>
    <w:lvl w:ilvl="0" w:tplc="F54C0F56">
      <w:start w:val="1"/>
      <w:numFmt w:val="bullet"/>
      <w:lvlText w:val=""/>
      <w:lvlJc w:val="left"/>
      <w:pPr>
        <w:ind w:left="9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C543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A812E0"/>
    <w:multiLevelType w:val="hybridMultilevel"/>
    <w:tmpl w:val="3EB03844"/>
    <w:lvl w:ilvl="0" w:tplc="DAAEC55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DDC6A97"/>
    <w:multiLevelType w:val="hybridMultilevel"/>
    <w:tmpl w:val="D35AE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3A727B"/>
    <w:multiLevelType w:val="hybridMultilevel"/>
    <w:tmpl w:val="50A09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986C9B"/>
    <w:multiLevelType w:val="hybridMultilevel"/>
    <w:tmpl w:val="EF3A2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389841556">
    <w:abstractNumId w:val="25"/>
  </w:num>
  <w:num w:numId="2" w16cid:durableId="1832984773">
    <w:abstractNumId w:val="36"/>
  </w:num>
  <w:num w:numId="3" w16cid:durableId="794564732">
    <w:abstractNumId w:val="38"/>
  </w:num>
  <w:num w:numId="4" w16cid:durableId="1238905871">
    <w:abstractNumId w:val="13"/>
  </w:num>
  <w:num w:numId="5" w16cid:durableId="1255019292">
    <w:abstractNumId w:val="27"/>
  </w:num>
  <w:num w:numId="6" w16cid:durableId="476267418">
    <w:abstractNumId w:val="22"/>
  </w:num>
  <w:num w:numId="7" w16cid:durableId="720830693">
    <w:abstractNumId w:val="37"/>
  </w:num>
  <w:num w:numId="8" w16cid:durableId="983580008">
    <w:abstractNumId w:val="19"/>
  </w:num>
  <w:num w:numId="9" w16cid:durableId="1979148511">
    <w:abstractNumId w:val="2"/>
  </w:num>
  <w:num w:numId="10" w16cid:durableId="1742293814">
    <w:abstractNumId w:val="10"/>
  </w:num>
  <w:num w:numId="11" w16cid:durableId="576090793">
    <w:abstractNumId w:val="7"/>
  </w:num>
  <w:num w:numId="12" w16cid:durableId="583686277">
    <w:abstractNumId w:val="11"/>
  </w:num>
  <w:num w:numId="13" w16cid:durableId="1849560746">
    <w:abstractNumId w:val="28"/>
  </w:num>
  <w:num w:numId="14" w16cid:durableId="2058704742">
    <w:abstractNumId w:val="15"/>
  </w:num>
  <w:num w:numId="15" w16cid:durableId="1169251210">
    <w:abstractNumId w:val="32"/>
  </w:num>
  <w:num w:numId="16" w16cid:durableId="523636888">
    <w:abstractNumId w:val="21"/>
  </w:num>
  <w:num w:numId="17" w16cid:durableId="347951002">
    <w:abstractNumId w:val="8"/>
  </w:num>
  <w:num w:numId="18" w16cid:durableId="902837876">
    <w:abstractNumId w:val="17"/>
  </w:num>
  <w:num w:numId="19" w16cid:durableId="2107730626">
    <w:abstractNumId w:val="33"/>
  </w:num>
  <w:num w:numId="20" w16cid:durableId="182213922">
    <w:abstractNumId w:val="25"/>
  </w:num>
  <w:num w:numId="21" w16cid:durableId="916861831">
    <w:abstractNumId w:val="0"/>
  </w:num>
  <w:num w:numId="22" w16cid:durableId="743261379">
    <w:abstractNumId w:val="14"/>
  </w:num>
  <w:num w:numId="23" w16cid:durableId="185605755">
    <w:abstractNumId w:val="20"/>
  </w:num>
  <w:num w:numId="24" w16cid:durableId="1299383958">
    <w:abstractNumId w:val="31"/>
  </w:num>
  <w:num w:numId="25" w16cid:durableId="634483869">
    <w:abstractNumId w:val="34"/>
  </w:num>
  <w:num w:numId="26" w16cid:durableId="319384681">
    <w:abstractNumId w:val="5"/>
  </w:num>
  <w:num w:numId="27" w16cid:durableId="1740321009">
    <w:abstractNumId w:val="24"/>
  </w:num>
  <w:num w:numId="28" w16cid:durableId="346176106">
    <w:abstractNumId w:val="25"/>
  </w:num>
  <w:num w:numId="29" w16cid:durableId="2057462058">
    <w:abstractNumId w:val="26"/>
  </w:num>
  <w:num w:numId="30" w16cid:durableId="66420373">
    <w:abstractNumId w:val="6"/>
  </w:num>
  <w:num w:numId="31" w16cid:durableId="1526476364">
    <w:abstractNumId w:val="25"/>
  </w:num>
  <w:num w:numId="32" w16cid:durableId="1478524539">
    <w:abstractNumId w:val="16"/>
  </w:num>
  <w:num w:numId="33" w16cid:durableId="1204057903">
    <w:abstractNumId w:val="1"/>
  </w:num>
  <w:num w:numId="34" w16cid:durableId="1322923609">
    <w:abstractNumId w:val="12"/>
  </w:num>
  <w:num w:numId="35" w16cid:durableId="779564364">
    <w:abstractNumId w:val="3"/>
  </w:num>
  <w:num w:numId="36" w16cid:durableId="1097478356">
    <w:abstractNumId w:val="29"/>
  </w:num>
  <w:num w:numId="37" w16cid:durableId="1890649833">
    <w:abstractNumId w:val="18"/>
  </w:num>
  <w:num w:numId="38" w16cid:durableId="1198851564">
    <w:abstractNumId w:val="35"/>
  </w:num>
  <w:num w:numId="39" w16cid:durableId="789708903">
    <w:abstractNumId w:val="4"/>
  </w:num>
  <w:num w:numId="40" w16cid:durableId="160511238">
    <w:abstractNumId w:val="30"/>
  </w:num>
  <w:num w:numId="41" w16cid:durableId="488063592">
    <w:abstractNumId w:val="9"/>
  </w:num>
  <w:num w:numId="42" w16cid:durableId="141867398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6C"/>
    <w:rsid w:val="00001699"/>
    <w:rsid w:val="00001E79"/>
    <w:rsid w:val="00002833"/>
    <w:rsid w:val="00003273"/>
    <w:rsid w:val="00004017"/>
    <w:rsid w:val="00012F6F"/>
    <w:rsid w:val="00014213"/>
    <w:rsid w:val="00014B55"/>
    <w:rsid w:val="00015827"/>
    <w:rsid w:val="00020E3E"/>
    <w:rsid w:val="00022B6F"/>
    <w:rsid w:val="00023BF3"/>
    <w:rsid w:val="0002467B"/>
    <w:rsid w:val="00024832"/>
    <w:rsid w:val="00026811"/>
    <w:rsid w:val="00030708"/>
    <w:rsid w:val="000313F0"/>
    <w:rsid w:val="0003546A"/>
    <w:rsid w:val="00035A2D"/>
    <w:rsid w:val="00043296"/>
    <w:rsid w:val="0004356D"/>
    <w:rsid w:val="00043951"/>
    <w:rsid w:val="00044701"/>
    <w:rsid w:val="00045296"/>
    <w:rsid w:val="0004666A"/>
    <w:rsid w:val="00051147"/>
    <w:rsid w:val="00051D5D"/>
    <w:rsid w:val="00052C6A"/>
    <w:rsid w:val="00055D61"/>
    <w:rsid w:val="00057DC9"/>
    <w:rsid w:val="0006219A"/>
    <w:rsid w:val="00062EB9"/>
    <w:rsid w:val="00065221"/>
    <w:rsid w:val="00072642"/>
    <w:rsid w:val="00072A2A"/>
    <w:rsid w:val="000752AB"/>
    <w:rsid w:val="00075E6C"/>
    <w:rsid w:val="00076B2E"/>
    <w:rsid w:val="000832ED"/>
    <w:rsid w:val="000839B7"/>
    <w:rsid w:val="00090171"/>
    <w:rsid w:val="000930EB"/>
    <w:rsid w:val="0009479E"/>
    <w:rsid w:val="00094E55"/>
    <w:rsid w:val="000A7F19"/>
    <w:rsid w:val="000B2951"/>
    <w:rsid w:val="000B29AD"/>
    <w:rsid w:val="000B3C1B"/>
    <w:rsid w:val="000B5CFD"/>
    <w:rsid w:val="000B76B5"/>
    <w:rsid w:val="000B790A"/>
    <w:rsid w:val="000B7C06"/>
    <w:rsid w:val="000C1680"/>
    <w:rsid w:val="000C5A9D"/>
    <w:rsid w:val="000C6372"/>
    <w:rsid w:val="000C7647"/>
    <w:rsid w:val="000D38AF"/>
    <w:rsid w:val="000D393B"/>
    <w:rsid w:val="000D3FBF"/>
    <w:rsid w:val="000D593F"/>
    <w:rsid w:val="000D5D15"/>
    <w:rsid w:val="000E00C0"/>
    <w:rsid w:val="000E392D"/>
    <w:rsid w:val="000F3679"/>
    <w:rsid w:val="000F36E8"/>
    <w:rsid w:val="000F3A2E"/>
    <w:rsid w:val="000F4288"/>
    <w:rsid w:val="000F4DC0"/>
    <w:rsid w:val="000F7165"/>
    <w:rsid w:val="000F7FD4"/>
    <w:rsid w:val="00102379"/>
    <w:rsid w:val="001065D6"/>
    <w:rsid w:val="001106F3"/>
    <w:rsid w:val="00113FF4"/>
    <w:rsid w:val="001156AC"/>
    <w:rsid w:val="00121252"/>
    <w:rsid w:val="00121A8C"/>
    <w:rsid w:val="00121F10"/>
    <w:rsid w:val="00124609"/>
    <w:rsid w:val="001254CE"/>
    <w:rsid w:val="00125514"/>
    <w:rsid w:val="00126AF9"/>
    <w:rsid w:val="00126CC7"/>
    <w:rsid w:val="00134CEA"/>
    <w:rsid w:val="00136A15"/>
    <w:rsid w:val="001422CC"/>
    <w:rsid w:val="001445F4"/>
    <w:rsid w:val="001476E4"/>
    <w:rsid w:val="00155056"/>
    <w:rsid w:val="00156C49"/>
    <w:rsid w:val="001617B6"/>
    <w:rsid w:val="0016383E"/>
    <w:rsid w:val="00165E66"/>
    <w:rsid w:val="00166526"/>
    <w:rsid w:val="00175A53"/>
    <w:rsid w:val="00177B1D"/>
    <w:rsid w:val="0018277D"/>
    <w:rsid w:val="00186BAC"/>
    <w:rsid w:val="00187E9A"/>
    <w:rsid w:val="00192851"/>
    <w:rsid w:val="00195AC3"/>
    <w:rsid w:val="00197706"/>
    <w:rsid w:val="001A033C"/>
    <w:rsid w:val="001A29AA"/>
    <w:rsid w:val="001A3DD1"/>
    <w:rsid w:val="001A5970"/>
    <w:rsid w:val="001B5F0F"/>
    <w:rsid w:val="001B7248"/>
    <w:rsid w:val="001B7983"/>
    <w:rsid w:val="001C726B"/>
    <w:rsid w:val="001C7BAE"/>
    <w:rsid w:val="001D05E2"/>
    <w:rsid w:val="001D0BF3"/>
    <w:rsid w:val="001D10DB"/>
    <w:rsid w:val="001D19CA"/>
    <w:rsid w:val="001D246B"/>
    <w:rsid w:val="001D4F92"/>
    <w:rsid w:val="001D66D4"/>
    <w:rsid w:val="001D717E"/>
    <w:rsid w:val="001E0E0E"/>
    <w:rsid w:val="001E31FA"/>
    <w:rsid w:val="001E3D67"/>
    <w:rsid w:val="001E4F86"/>
    <w:rsid w:val="001E64F6"/>
    <w:rsid w:val="001F0203"/>
    <w:rsid w:val="001F6DC3"/>
    <w:rsid w:val="001F6F37"/>
    <w:rsid w:val="00200BB3"/>
    <w:rsid w:val="0020733C"/>
    <w:rsid w:val="0021203E"/>
    <w:rsid w:val="00222BEB"/>
    <w:rsid w:val="00225E60"/>
    <w:rsid w:val="00227C39"/>
    <w:rsid w:val="0023108C"/>
    <w:rsid w:val="0023202C"/>
    <w:rsid w:val="002342AA"/>
    <w:rsid w:val="00234768"/>
    <w:rsid w:val="0023548B"/>
    <w:rsid w:val="00236203"/>
    <w:rsid w:val="00237B91"/>
    <w:rsid w:val="00240614"/>
    <w:rsid w:val="00240E46"/>
    <w:rsid w:val="00241E02"/>
    <w:rsid w:val="00245043"/>
    <w:rsid w:val="00245771"/>
    <w:rsid w:val="00245A3D"/>
    <w:rsid w:val="002547C4"/>
    <w:rsid w:val="002576CA"/>
    <w:rsid w:val="00257760"/>
    <w:rsid w:val="00260415"/>
    <w:rsid w:val="00261A87"/>
    <w:rsid w:val="00262627"/>
    <w:rsid w:val="0026463E"/>
    <w:rsid w:val="00270E3A"/>
    <w:rsid w:val="00277D6C"/>
    <w:rsid w:val="00280F15"/>
    <w:rsid w:val="00281431"/>
    <w:rsid w:val="00287BE7"/>
    <w:rsid w:val="00292D36"/>
    <w:rsid w:val="0029353F"/>
    <w:rsid w:val="00296591"/>
    <w:rsid w:val="00297281"/>
    <w:rsid w:val="002978A3"/>
    <w:rsid w:val="002A06A3"/>
    <w:rsid w:val="002A23CA"/>
    <w:rsid w:val="002A2E8C"/>
    <w:rsid w:val="002A4563"/>
    <w:rsid w:val="002A584F"/>
    <w:rsid w:val="002B01D5"/>
    <w:rsid w:val="002B57D7"/>
    <w:rsid w:val="002C2082"/>
    <w:rsid w:val="002C54E0"/>
    <w:rsid w:val="002C71CE"/>
    <w:rsid w:val="002D0D40"/>
    <w:rsid w:val="002D1B85"/>
    <w:rsid w:val="002D711A"/>
    <w:rsid w:val="002D7336"/>
    <w:rsid w:val="002D796D"/>
    <w:rsid w:val="002E1B2F"/>
    <w:rsid w:val="002E1B39"/>
    <w:rsid w:val="002E2CE2"/>
    <w:rsid w:val="002E3396"/>
    <w:rsid w:val="002E76A3"/>
    <w:rsid w:val="002F5AD2"/>
    <w:rsid w:val="002F6BF6"/>
    <w:rsid w:val="0030358B"/>
    <w:rsid w:val="00310950"/>
    <w:rsid w:val="0031149C"/>
    <w:rsid w:val="00313420"/>
    <w:rsid w:val="00313BAD"/>
    <w:rsid w:val="0032506D"/>
    <w:rsid w:val="00330A9A"/>
    <w:rsid w:val="00332CCD"/>
    <w:rsid w:val="00334F95"/>
    <w:rsid w:val="00343DF3"/>
    <w:rsid w:val="00346DB7"/>
    <w:rsid w:val="0034736E"/>
    <w:rsid w:val="00354E38"/>
    <w:rsid w:val="00357C08"/>
    <w:rsid w:val="00363FCD"/>
    <w:rsid w:val="00364180"/>
    <w:rsid w:val="0037219D"/>
    <w:rsid w:val="003722FA"/>
    <w:rsid w:val="00372792"/>
    <w:rsid w:val="0037442E"/>
    <w:rsid w:val="0038771C"/>
    <w:rsid w:val="00392A8F"/>
    <w:rsid w:val="00393D2C"/>
    <w:rsid w:val="0039405B"/>
    <w:rsid w:val="00394E78"/>
    <w:rsid w:val="003A1C92"/>
    <w:rsid w:val="003A541A"/>
    <w:rsid w:val="003A5842"/>
    <w:rsid w:val="003A6923"/>
    <w:rsid w:val="003B461B"/>
    <w:rsid w:val="003B560B"/>
    <w:rsid w:val="003B7CB3"/>
    <w:rsid w:val="003C0D9F"/>
    <w:rsid w:val="003C171D"/>
    <w:rsid w:val="003C2C67"/>
    <w:rsid w:val="003C2EA2"/>
    <w:rsid w:val="003C5BA4"/>
    <w:rsid w:val="003E2C71"/>
    <w:rsid w:val="003E3873"/>
    <w:rsid w:val="003E3E26"/>
    <w:rsid w:val="003E6C0E"/>
    <w:rsid w:val="003F127E"/>
    <w:rsid w:val="003F1295"/>
    <w:rsid w:val="003F1853"/>
    <w:rsid w:val="003F2882"/>
    <w:rsid w:val="003F3045"/>
    <w:rsid w:val="003F76FC"/>
    <w:rsid w:val="003F7AD3"/>
    <w:rsid w:val="004002EB"/>
    <w:rsid w:val="0040144E"/>
    <w:rsid w:val="0040404F"/>
    <w:rsid w:val="00405C57"/>
    <w:rsid w:val="004063C0"/>
    <w:rsid w:val="00412C7F"/>
    <w:rsid w:val="0041689E"/>
    <w:rsid w:val="00422EA5"/>
    <w:rsid w:val="004236C8"/>
    <w:rsid w:val="00425846"/>
    <w:rsid w:val="00427681"/>
    <w:rsid w:val="00427EF6"/>
    <w:rsid w:val="00433DB7"/>
    <w:rsid w:val="004351AB"/>
    <w:rsid w:val="00445CE7"/>
    <w:rsid w:val="00452C71"/>
    <w:rsid w:val="00453750"/>
    <w:rsid w:val="00453DD3"/>
    <w:rsid w:val="00456941"/>
    <w:rsid w:val="004639B3"/>
    <w:rsid w:val="004644F2"/>
    <w:rsid w:val="004669E3"/>
    <w:rsid w:val="004702EA"/>
    <w:rsid w:val="00481805"/>
    <w:rsid w:val="00482D02"/>
    <w:rsid w:val="004871B1"/>
    <w:rsid w:val="00490F5E"/>
    <w:rsid w:val="004910F2"/>
    <w:rsid w:val="00491C72"/>
    <w:rsid w:val="004A0127"/>
    <w:rsid w:val="004A3BA5"/>
    <w:rsid w:val="004A7227"/>
    <w:rsid w:val="004A7519"/>
    <w:rsid w:val="004B41CA"/>
    <w:rsid w:val="004B421E"/>
    <w:rsid w:val="004B4749"/>
    <w:rsid w:val="004C7125"/>
    <w:rsid w:val="004D3518"/>
    <w:rsid w:val="004D5D35"/>
    <w:rsid w:val="004D5DAF"/>
    <w:rsid w:val="004D62D6"/>
    <w:rsid w:val="004F0DAD"/>
    <w:rsid w:val="004F7AEE"/>
    <w:rsid w:val="00501EA8"/>
    <w:rsid w:val="00502D39"/>
    <w:rsid w:val="00503EBE"/>
    <w:rsid w:val="00504B46"/>
    <w:rsid w:val="00506E2C"/>
    <w:rsid w:val="00512952"/>
    <w:rsid w:val="005129A3"/>
    <w:rsid w:val="00514966"/>
    <w:rsid w:val="005150A6"/>
    <w:rsid w:val="005150D5"/>
    <w:rsid w:val="005157BB"/>
    <w:rsid w:val="00517590"/>
    <w:rsid w:val="0051759F"/>
    <w:rsid w:val="00522F8A"/>
    <w:rsid w:val="00524C63"/>
    <w:rsid w:val="0053416C"/>
    <w:rsid w:val="00537AFA"/>
    <w:rsid w:val="00541C2F"/>
    <w:rsid w:val="00543567"/>
    <w:rsid w:val="005457D1"/>
    <w:rsid w:val="00550380"/>
    <w:rsid w:val="00554D62"/>
    <w:rsid w:val="00561374"/>
    <w:rsid w:val="00563527"/>
    <w:rsid w:val="005651AD"/>
    <w:rsid w:val="00574579"/>
    <w:rsid w:val="005773B9"/>
    <w:rsid w:val="0058124E"/>
    <w:rsid w:val="005834E5"/>
    <w:rsid w:val="00584301"/>
    <w:rsid w:val="0058521E"/>
    <w:rsid w:val="00586200"/>
    <w:rsid w:val="005875A3"/>
    <w:rsid w:val="00597E80"/>
    <w:rsid w:val="005A3416"/>
    <w:rsid w:val="005A5146"/>
    <w:rsid w:val="005A646A"/>
    <w:rsid w:val="005B27FE"/>
    <w:rsid w:val="005B37C3"/>
    <w:rsid w:val="005B3FF2"/>
    <w:rsid w:val="005C0051"/>
    <w:rsid w:val="005C0A96"/>
    <w:rsid w:val="005C3E6D"/>
    <w:rsid w:val="005D6AC5"/>
    <w:rsid w:val="005E330B"/>
    <w:rsid w:val="005E350F"/>
    <w:rsid w:val="005E6D76"/>
    <w:rsid w:val="005F18C4"/>
    <w:rsid w:val="005F331D"/>
    <w:rsid w:val="005F3A7D"/>
    <w:rsid w:val="005F6035"/>
    <w:rsid w:val="005F61DF"/>
    <w:rsid w:val="005F6BA7"/>
    <w:rsid w:val="005F6D73"/>
    <w:rsid w:val="006023F9"/>
    <w:rsid w:val="00610559"/>
    <w:rsid w:val="00610ACB"/>
    <w:rsid w:val="00613095"/>
    <w:rsid w:val="00614722"/>
    <w:rsid w:val="00624145"/>
    <w:rsid w:val="006318B2"/>
    <w:rsid w:val="00632680"/>
    <w:rsid w:val="006328D3"/>
    <w:rsid w:val="006332F6"/>
    <w:rsid w:val="006361E7"/>
    <w:rsid w:val="00641096"/>
    <w:rsid w:val="00645EC0"/>
    <w:rsid w:val="00651E6E"/>
    <w:rsid w:val="0065216E"/>
    <w:rsid w:val="00652625"/>
    <w:rsid w:val="006534B2"/>
    <w:rsid w:val="006544EB"/>
    <w:rsid w:val="0065615D"/>
    <w:rsid w:val="00657011"/>
    <w:rsid w:val="0065798D"/>
    <w:rsid w:val="00664D8B"/>
    <w:rsid w:val="006650B5"/>
    <w:rsid w:val="006651B1"/>
    <w:rsid w:val="00665778"/>
    <w:rsid w:val="006738C4"/>
    <w:rsid w:val="00674FFB"/>
    <w:rsid w:val="006805B9"/>
    <w:rsid w:val="00680AE1"/>
    <w:rsid w:val="00682D0F"/>
    <w:rsid w:val="00683D6F"/>
    <w:rsid w:val="0068576C"/>
    <w:rsid w:val="00685BED"/>
    <w:rsid w:val="00691C09"/>
    <w:rsid w:val="00693CC9"/>
    <w:rsid w:val="00694E66"/>
    <w:rsid w:val="00696EDE"/>
    <w:rsid w:val="006A2112"/>
    <w:rsid w:val="006A59C4"/>
    <w:rsid w:val="006A5B34"/>
    <w:rsid w:val="006A5F5B"/>
    <w:rsid w:val="006A7ADD"/>
    <w:rsid w:val="006B1388"/>
    <w:rsid w:val="006B5820"/>
    <w:rsid w:val="006B5ED9"/>
    <w:rsid w:val="006C4B08"/>
    <w:rsid w:val="006C77A9"/>
    <w:rsid w:val="006D6B14"/>
    <w:rsid w:val="006E4076"/>
    <w:rsid w:val="006E5D03"/>
    <w:rsid w:val="006F128F"/>
    <w:rsid w:val="006F6247"/>
    <w:rsid w:val="006F6693"/>
    <w:rsid w:val="00704985"/>
    <w:rsid w:val="00707FE8"/>
    <w:rsid w:val="00711DDD"/>
    <w:rsid w:val="00715604"/>
    <w:rsid w:val="00717C3B"/>
    <w:rsid w:val="0072228D"/>
    <w:rsid w:val="00722B70"/>
    <w:rsid w:val="00724962"/>
    <w:rsid w:val="00724A0F"/>
    <w:rsid w:val="0073072C"/>
    <w:rsid w:val="00730C0B"/>
    <w:rsid w:val="007320B4"/>
    <w:rsid w:val="00732162"/>
    <w:rsid w:val="007361BF"/>
    <w:rsid w:val="00736732"/>
    <w:rsid w:val="00737611"/>
    <w:rsid w:val="00740CAF"/>
    <w:rsid w:val="0074462E"/>
    <w:rsid w:val="00744F4F"/>
    <w:rsid w:val="007462E1"/>
    <w:rsid w:val="00747FFD"/>
    <w:rsid w:val="00750CBE"/>
    <w:rsid w:val="007515C7"/>
    <w:rsid w:val="00753139"/>
    <w:rsid w:val="007548F7"/>
    <w:rsid w:val="007612D8"/>
    <w:rsid w:val="00766B5A"/>
    <w:rsid w:val="0076781B"/>
    <w:rsid w:val="00773BFA"/>
    <w:rsid w:val="007745A0"/>
    <w:rsid w:val="00783190"/>
    <w:rsid w:val="007834F2"/>
    <w:rsid w:val="00783F77"/>
    <w:rsid w:val="00791020"/>
    <w:rsid w:val="00791609"/>
    <w:rsid w:val="007A0A1B"/>
    <w:rsid w:val="007A4205"/>
    <w:rsid w:val="007A5F82"/>
    <w:rsid w:val="007B0A01"/>
    <w:rsid w:val="007B141C"/>
    <w:rsid w:val="007B2DDB"/>
    <w:rsid w:val="007B4457"/>
    <w:rsid w:val="007B56A4"/>
    <w:rsid w:val="007B5FC0"/>
    <w:rsid w:val="007B6538"/>
    <w:rsid w:val="007B6E54"/>
    <w:rsid w:val="007B75A4"/>
    <w:rsid w:val="007C1D33"/>
    <w:rsid w:val="007C2A1E"/>
    <w:rsid w:val="007C32DB"/>
    <w:rsid w:val="007C540C"/>
    <w:rsid w:val="007C7BF4"/>
    <w:rsid w:val="007D39CA"/>
    <w:rsid w:val="007D4CEE"/>
    <w:rsid w:val="007D5243"/>
    <w:rsid w:val="007E43B4"/>
    <w:rsid w:val="007F1A4C"/>
    <w:rsid w:val="007F1A7A"/>
    <w:rsid w:val="007F6559"/>
    <w:rsid w:val="007F78E6"/>
    <w:rsid w:val="00800FF6"/>
    <w:rsid w:val="008022C3"/>
    <w:rsid w:val="008041E6"/>
    <w:rsid w:val="008057B3"/>
    <w:rsid w:val="008065D2"/>
    <w:rsid w:val="008110BD"/>
    <w:rsid w:val="00814830"/>
    <w:rsid w:val="00814FD1"/>
    <w:rsid w:val="00816535"/>
    <w:rsid w:val="0082194C"/>
    <w:rsid w:val="008219B9"/>
    <w:rsid w:val="008220C4"/>
    <w:rsid w:val="008222FF"/>
    <w:rsid w:val="00822DEC"/>
    <w:rsid w:val="008241FF"/>
    <w:rsid w:val="0082778C"/>
    <w:rsid w:val="00830A99"/>
    <w:rsid w:val="008330F9"/>
    <w:rsid w:val="008358D1"/>
    <w:rsid w:val="00840233"/>
    <w:rsid w:val="00841100"/>
    <w:rsid w:val="008411E9"/>
    <w:rsid w:val="0084200F"/>
    <w:rsid w:val="00843B2C"/>
    <w:rsid w:val="0084601B"/>
    <w:rsid w:val="008471C4"/>
    <w:rsid w:val="00861234"/>
    <w:rsid w:val="00863C8F"/>
    <w:rsid w:val="00864699"/>
    <w:rsid w:val="00873531"/>
    <w:rsid w:val="008806C5"/>
    <w:rsid w:val="00881E81"/>
    <w:rsid w:val="00883AC5"/>
    <w:rsid w:val="00890FF0"/>
    <w:rsid w:val="00894D56"/>
    <w:rsid w:val="008A1847"/>
    <w:rsid w:val="008A4388"/>
    <w:rsid w:val="008A4900"/>
    <w:rsid w:val="008B1B6E"/>
    <w:rsid w:val="008B24A3"/>
    <w:rsid w:val="008B24DD"/>
    <w:rsid w:val="008B4455"/>
    <w:rsid w:val="008B5800"/>
    <w:rsid w:val="008B64F9"/>
    <w:rsid w:val="008C236B"/>
    <w:rsid w:val="008C3FCF"/>
    <w:rsid w:val="008C6BD2"/>
    <w:rsid w:val="008D0281"/>
    <w:rsid w:val="008D0D72"/>
    <w:rsid w:val="008D22A7"/>
    <w:rsid w:val="008D2742"/>
    <w:rsid w:val="008D7280"/>
    <w:rsid w:val="008E0172"/>
    <w:rsid w:val="008E3C4E"/>
    <w:rsid w:val="008E3EF4"/>
    <w:rsid w:val="008E49B3"/>
    <w:rsid w:val="008F31DD"/>
    <w:rsid w:val="008F4903"/>
    <w:rsid w:val="008F4F36"/>
    <w:rsid w:val="008F53B7"/>
    <w:rsid w:val="008F59AB"/>
    <w:rsid w:val="008F5DA7"/>
    <w:rsid w:val="008F6D45"/>
    <w:rsid w:val="009079F7"/>
    <w:rsid w:val="009148C6"/>
    <w:rsid w:val="00914FC5"/>
    <w:rsid w:val="00927DD2"/>
    <w:rsid w:val="009345D0"/>
    <w:rsid w:val="00935BEB"/>
    <w:rsid w:val="009406CA"/>
    <w:rsid w:val="00946994"/>
    <w:rsid w:val="009500A3"/>
    <w:rsid w:val="009635E5"/>
    <w:rsid w:val="0096774E"/>
    <w:rsid w:val="009708F7"/>
    <w:rsid w:val="0097239E"/>
    <w:rsid w:val="00972C50"/>
    <w:rsid w:val="00973844"/>
    <w:rsid w:val="009745A4"/>
    <w:rsid w:val="0098302F"/>
    <w:rsid w:val="009834C0"/>
    <w:rsid w:val="00983582"/>
    <w:rsid w:val="00983BD8"/>
    <w:rsid w:val="00984C95"/>
    <w:rsid w:val="00985554"/>
    <w:rsid w:val="00986AAC"/>
    <w:rsid w:val="00993469"/>
    <w:rsid w:val="009A1183"/>
    <w:rsid w:val="009A1C96"/>
    <w:rsid w:val="009A1DA2"/>
    <w:rsid w:val="009A3704"/>
    <w:rsid w:val="009A4739"/>
    <w:rsid w:val="009A674F"/>
    <w:rsid w:val="009A6F04"/>
    <w:rsid w:val="009B199C"/>
    <w:rsid w:val="009B3049"/>
    <w:rsid w:val="009B54C8"/>
    <w:rsid w:val="009B61F1"/>
    <w:rsid w:val="009B62E0"/>
    <w:rsid w:val="009C3D88"/>
    <w:rsid w:val="009C6400"/>
    <w:rsid w:val="009E1823"/>
    <w:rsid w:val="009E3858"/>
    <w:rsid w:val="009E5432"/>
    <w:rsid w:val="009E54BD"/>
    <w:rsid w:val="009E55BF"/>
    <w:rsid w:val="009E6998"/>
    <w:rsid w:val="009E70DD"/>
    <w:rsid w:val="009E7F3E"/>
    <w:rsid w:val="009F09DB"/>
    <w:rsid w:val="009F1FD0"/>
    <w:rsid w:val="009F2ED9"/>
    <w:rsid w:val="009F3231"/>
    <w:rsid w:val="009F5C58"/>
    <w:rsid w:val="009F7007"/>
    <w:rsid w:val="00A023A0"/>
    <w:rsid w:val="00A04AD2"/>
    <w:rsid w:val="00A060BB"/>
    <w:rsid w:val="00A07F52"/>
    <w:rsid w:val="00A1562B"/>
    <w:rsid w:val="00A170F4"/>
    <w:rsid w:val="00A17529"/>
    <w:rsid w:val="00A2559E"/>
    <w:rsid w:val="00A25FD9"/>
    <w:rsid w:val="00A272EF"/>
    <w:rsid w:val="00A323FD"/>
    <w:rsid w:val="00A40AC7"/>
    <w:rsid w:val="00A444CE"/>
    <w:rsid w:val="00A46BA8"/>
    <w:rsid w:val="00A4728D"/>
    <w:rsid w:val="00A47634"/>
    <w:rsid w:val="00A53904"/>
    <w:rsid w:val="00A612FE"/>
    <w:rsid w:val="00A707B8"/>
    <w:rsid w:val="00A75118"/>
    <w:rsid w:val="00A8559A"/>
    <w:rsid w:val="00A86646"/>
    <w:rsid w:val="00A921AF"/>
    <w:rsid w:val="00A92DAD"/>
    <w:rsid w:val="00A92EC3"/>
    <w:rsid w:val="00A93816"/>
    <w:rsid w:val="00A96CD1"/>
    <w:rsid w:val="00AA26B8"/>
    <w:rsid w:val="00AA6FB5"/>
    <w:rsid w:val="00AB08D4"/>
    <w:rsid w:val="00AB3FE2"/>
    <w:rsid w:val="00AB6EB4"/>
    <w:rsid w:val="00AC0D21"/>
    <w:rsid w:val="00AC3C4E"/>
    <w:rsid w:val="00AC452F"/>
    <w:rsid w:val="00AC4951"/>
    <w:rsid w:val="00AC4C1D"/>
    <w:rsid w:val="00AC6AAA"/>
    <w:rsid w:val="00AD2D7B"/>
    <w:rsid w:val="00AD3322"/>
    <w:rsid w:val="00AD61EE"/>
    <w:rsid w:val="00AD679B"/>
    <w:rsid w:val="00AD680A"/>
    <w:rsid w:val="00AD7E4E"/>
    <w:rsid w:val="00AE0BEF"/>
    <w:rsid w:val="00AE2D98"/>
    <w:rsid w:val="00AE747F"/>
    <w:rsid w:val="00AF34DE"/>
    <w:rsid w:val="00AF45FA"/>
    <w:rsid w:val="00AF4D58"/>
    <w:rsid w:val="00AF6666"/>
    <w:rsid w:val="00B05623"/>
    <w:rsid w:val="00B10154"/>
    <w:rsid w:val="00B13B66"/>
    <w:rsid w:val="00B14DD5"/>
    <w:rsid w:val="00B160E8"/>
    <w:rsid w:val="00B21BF5"/>
    <w:rsid w:val="00B254D6"/>
    <w:rsid w:val="00B27945"/>
    <w:rsid w:val="00B31909"/>
    <w:rsid w:val="00B32F16"/>
    <w:rsid w:val="00B40C2F"/>
    <w:rsid w:val="00B427E1"/>
    <w:rsid w:val="00B46BE7"/>
    <w:rsid w:val="00B53AB1"/>
    <w:rsid w:val="00B56D0A"/>
    <w:rsid w:val="00B65824"/>
    <w:rsid w:val="00B72665"/>
    <w:rsid w:val="00B81B44"/>
    <w:rsid w:val="00B829B3"/>
    <w:rsid w:val="00B838BE"/>
    <w:rsid w:val="00B90349"/>
    <w:rsid w:val="00B9053B"/>
    <w:rsid w:val="00B91085"/>
    <w:rsid w:val="00B93DEA"/>
    <w:rsid w:val="00B96E16"/>
    <w:rsid w:val="00B9771E"/>
    <w:rsid w:val="00BA489F"/>
    <w:rsid w:val="00BB660E"/>
    <w:rsid w:val="00BB68E2"/>
    <w:rsid w:val="00BC3422"/>
    <w:rsid w:val="00BD0820"/>
    <w:rsid w:val="00BD16E7"/>
    <w:rsid w:val="00BE2B45"/>
    <w:rsid w:val="00BF0052"/>
    <w:rsid w:val="00BF27CA"/>
    <w:rsid w:val="00BF3B71"/>
    <w:rsid w:val="00BF45ED"/>
    <w:rsid w:val="00C015B9"/>
    <w:rsid w:val="00C022F9"/>
    <w:rsid w:val="00C025FC"/>
    <w:rsid w:val="00C02CEC"/>
    <w:rsid w:val="00C032EA"/>
    <w:rsid w:val="00C03902"/>
    <w:rsid w:val="00C06EB5"/>
    <w:rsid w:val="00C10F7A"/>
    <w:rsid w:val="00C111F2"/>
    <w:rsid w:val="00C1145F"/>
    <w:rsid w:val="00C12B85"/>
    <w:rsid w:val="00C13EBB"/>
    <w:rsid w:val="00C15152"/>
    <w:rsid w:val="00C17649"/>
    <w:rsid w:val="00C25267"/>
    <w:rsid w:val="00C25925"/>
    <w:rsid w:val="00C326B8"/>
    <w:rsid w:val="00C36916"/>
    <w:rsid w:val="00C45753"/>
    <w:rsid w:val="00C478BB"/>
    <w:rsid w:val="00C47DEF"/>
    <w:rsid w:val="00C50120"/>
    <w:rsid w:val="00C502E4"/>
    <w:rsid w:val="00C524E0"/>
    <w:rsid w:val="00C55407"/>
    <w:rsid w:val="00C60F1E"/>
    <w:rsid w:val="00C632CE"/>
    <w:rsid w:val="00C637E1"/>
    <w:rsid w:val="00C676AB"/>
    <w:rsid w:val="00C70D50"/>
    <w:rsid w:val="00C70E7D"/>
    <w:rsid w:val="00C71667"/>
    <w:rsid w:val="00C74C0E"/>
    <w:rsid w:val="00C752E3"/>
    <w:rsid w:val="00C77EA9"/>
    <w:rsid w:val="00C81C9A"/>
    <w:rsid w:val="00C8243E"/>
    <w:rsid w:val="00C84C33"/>
    <w:rsid w:val="00C907D7"/>
    <w:rsid w:val="00C90FDE"/>
    <w:rsid w:val="00C92338"/>
    <w:rsid w:val="00C96ABA"/>
    <w:rsid w:val="00C975E3"/>
    <w:rsid w:val="00C978D5"/>
    <w:rsid w:val="00C97E0A"/>
    <w:rsid w:val="00CA0CE2"/>
    <w:rsid w:val="00CA2006"/>
    <w:rsid w:val="00CA24D2"/>
    <w:rsid w:val="00CA76ED"/>
    <w:rsid w:val="00CA7C3A"/>
    <w:rsid w:val="00CA7E82"/>
    <w:rsid w:val="00CB0E44"/>
    <w:rsid w:val="00CB72D8"/>
    <w:rsid w:val="00CC2DB2"/>
    <w:rsid w:val="00CC356A"/>
    <w:rsid w:val="00CD0307"/>
    <w:rsid w:val="00CD0F2B"/>
    <w:rsid w:val="00CD3D1B"/>
    <w:rsid w:val="00CE62B3"/>
    <w:rsid w:val="00CF0501"/>
    <w:rsid w:val="00CF2E2A"/>
    <w:rsid w:val="00CF7DCA"/>
    <w:rsid w:val="00D03B85"/>
    <w:rsid w:val="00D04775"/>
    <w:rsid w:val="00D072B9"/>
    <w:rsid w:val="00D12C2F"/>
    <w:rsid w:val="00D211E9"/>
    <w:rsid w:val="00D21999"/>
    <w:rsid w:val="00D2312F"/>
    <w:rsid w:val="00D269C1"/>
    <w:rsid w:val="00D31BDA"/>
    <w:rsid w:val="00D32C86"/>
    <w:rsid w:val="00D34492"/>
    <w:rsid w:val="00D36E0F"/>
    <w:rsid w:val="00D44953"/>
    <w:rsid w:val="00D458D7"/>
    <w:rsid w:val="00D47BD2"/>
    <w:rsid w:val="00D50327"/>
    <w:rsid w:val="00D542F3"/>
    <w:rsid w:val="00D543E5"/>
    <w:rsid w:val="00D55D90"/>
    <w:rsid w:val="00D5644B"/>
    <w:rsid w:val="00D56E25"/>
    <w:rsid w:val="00D57EA3"/>
    <w:rsid w:val="00D62970"/>
    <w:rsid w:val="00D6477F"/>
    <w:rsid w:val="00D66802"/>
    <w:rsid w:val="00D71896"/>
    <w:rsid w:val="00D718D7"/>
    <w:rsid w:val="00D73212"/>
    <w:rsid w:val="00D74B09"/>
    <w:rsid w:val="00D767E5"/>
    <w:rsid w:val="00D814B7"/>
    <w:rsid w:val="00D82C5B"/>
    <w:rsid w:val="00D83E74"/>
    <w:rsid w:val="00D8753A"/>
    <w:rsid w:val="00D90688"/>
    <w:rsid w:val="00D913E7"/>
    <w:rsid w:val="00D91D9C"/>
    <w:rsid w:val="00D94815"/>
    <w:rsid w:val="00DA3AAD"/>
    <w:rsid w:val="00DA5924"/>
    <w:rsid w:val="00DB1279"/>
    <w:rsid w:val="00DB312B"/>
    <w:rsid w:val="00DB4180"/>
    <w:rsid w:val="00DB63A4"/>
    <w:rsid w:val="00DC0046"/>
    <w:rsid w:val="00DC141A"/>
    <w:rsid w:val="00DC198C"/>
    <w:rsid w:val="00DC5654"/>
    <w:rsid w:val="00DC5860"/>
    <w:rsid w:val="00DC658F"/>
    <w:rsid w:val="00DC74C0"/>
    <w:rsid w:val="00DD2FB1"/>
    <w:rsid w:val="00DD5FE5"/>
    <w:rsid w:val="00DD6A80"/>
    <w:rsid w:val="00DE1164"/>
    <w:rsid w:val="00DE60CC"/>
    <w:rsid w:val="00E021A9"/>
    <w:rsid w:val="00E0429B"/>
    <w:rsid w:val="00E12AB4"/>
    <w:rsid w:val="00E2230B"/>
    <w:rsid w:val="00E237AE"/>
    <w:rsid w:val="00E2512A"/>
    <w:rsid w:val="00E26385"/>
    <w:rsid w:val="00E26AE7"/>
    <w:rsid w:val="00E26B32"/>
    <w:rsid w:val="00E26D87"/>
    <w:rsid w:val="00E31444"/>
    <w:rsid w:val="00E3600C"/>
    <w:rsid w:val="00E374B3"/>
    <w:rsid w:val="00E4049A"/>
    <w:rsid w:val="00E407B6"/>
    <w:rsid w:val="00E41EF1"/>
    <w:rsid w:val="00E42942"/>
    <w:rsid w:val="00E4368D"/>
    <w:rsid w:val="00E4498C"/>
    <w:rsid w:val="00E452D3"/>
    <w:rsid w:val="00E468A6"/>
    <w:rsid w:val="00E537EA"/>
    <w:rsid w:val="00E56BBE"/>
    <w:rsid w:val="00E63F8F"/>
    <w:rsid w:val="00E64985"/>
    <w:rsid w:val="00E71BDF"/>
    <w:rsid w:val="00E77042"/>
    <w:rsid w:val="00E811E9"/>
    <w:rsid w:val="00E83CA7"/>
    <w:rsid w:val="00E83D81"/>
    <w:rsid w:val="00E91AF8"/>
    <w:rsid w:val="00E926C3"/>
    <w:rsid w:val="00E94E60"/>
    <w:rsid w:val="00E96D6D"/>
    <w:rsid w:val="00E973DD"/>
    <w:rsid w:val="00EA1379"/>
    <w:rsid w:val="00EA157E"/>
    <w:rsid w:val="00EA21C9"/>
    <w:rsid w:val="00EB0253"/>
    <w:rsid w:val="00EB297D"/>
    <w:rsid w:val="00EB6260"/>
    <w:rsid w:val="00EB7C63"/>
    <w:rsid w:val="00EC171D"/>
    <w:rsid w:val="00ED1F13"/>
    <w:rsid w:val="00ED487E"/>
    <w:rsid w:val="00EE22C3"/>
    <w:rsid w:val="00EE57A9"/>
    <w:rsid w:val="00EE5F5B"/>
    <w:rsid w:val="00EE6C55"/>
    <w:rsid w:val="00EE7706"/>
    <w:rsid w:val="00EE7A0D"/>
    <w:rsid w:val="00EF0714"/>
    <w:rsid w:val="00EF0D21"/>
    <w:rsid w:val="00F041E6"/>
    <w:rsid w:val="00F16DEF"/>
    <w:rsid w:val="00F17CE1"/>
    <w:rsid w:val="00F2074C"/>
    <w:rsid w:val="00F2115C"/>
    <w:rsid w:val="00F22ABA"/>
    <w:rsid w:val="00F36B12"/>
    <w:rsid w:val="00F36F19"/>
    <w:rsid w:val="00F417C3"/>
    <w:rsid w:val="00F41B2B"/>
    <w:rsid w:val="00F42CBF"/>
    <w:rsid w:val="00F4792E"/>
    <w:rsid w:val="00F5271F"/>
    <w:rsid w:val="00F52BAD"/>
    <w:rsid w:val="00F5571D"/>
    <w:rsid w:val="00F60F9F"/>
    <w:rsid w:val="00F63BE7"/>
    <w:rsid w:val="00F64F08"/>
    <w:rsid w:val="00F734F5"/>
    <w:rsid w:val="00F76172"/>
    <w:rsid w:val="00F810E6"/>
    <w:rsid w:val="00F87631"/>
    <w:rsid w:val="00F909BE"/>
    <w:rsid w:val="00F93D4E"/>
    <w:rsid w:val="00F966B1"/>
    <w:rsid w:val="00F97D48"/>
    <w:rsid w:val="00FA0311"/>
    <w:rsid w:val="00FB0B91"/>
    <w:rsid w:val="00FB2A89"/>
    <w:rsid w:val="00FB712E"/>
    <w:rsid w:val="00FB7207"/>
    <w:rsid w:val="00FC42E5"/>
    <w:rsid w:val="00FC5873"/>
    <w:rsid w:val="00FD2658"/>
    <w:rsid w:val="00FD640F"/>
    <w:rsid w:val="00FD6B4C"/>
    <w:rsid w:val="00FD6BE9"/>
    <w:rsid w:val="00FE24E9"/>
    <w:rsid w:val="00FE35E1"/>
    <w:rsid w:val="00FE5C08"/>
    <w:rsid w:val="00FE64F1"/>
    <w:rsid w:val="00FE6F7F"/>
    <w:rsid w:val="00FF0C8D"/>
    <w:rsid w:val="00FF49CD"/>
    <w:rsid w:val="00FF4C64"/>
    <w:rsid w:val="00FF4E99"/>
    <w:rsid w:val="00FF7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7D48"/>
  <w15:docId w15:val="{217E1C90-52F2-4320-AF0B-0DC1BD3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C3FCF"/>
    <w:pPr>
      <w:keepLines/>
      <w:spacing w:before="120" w:after="120" w:line="252" w:lineRule="auto"/>
    </w:pPr>
    <w:rPr>
      <w:color w:val="232B39" w:themeColor="text1"/>
      <w:sz w:val="18"/>
    </w:rPr>
  </w:style>
  <w:style w:type="paragraph" w:styleId="Heading1">
    <w:name w:val="heading 1"/>
    <w:next w:val="Normal"/>
    <w:link w:val="Heading1Char"/>
    <w:qFormat/>
    <w:rsid w:val="00FE64F1"/>
    <w:pPr>
      <w:keepNext/>
      <w:keepLines/>
      <w:spacing w:before="240" w:line="240" w:lineRule="auto"/>
      <w:outlineLvl w:val="0"/>
    </w:pPr>
    <w:rPr>
      <w:rFonts w:asciiTheme="majorHAnsi" w:eastAsiaTheme="majorEastAsia" w:hAnsiTheme="majorHAnsi" w:cstheme="majorBidi"/>
      <w:bCs/>
      <w:color w:val="3A3467" w:themeColor="text2"/>
      <w:sz w:val="36"/>
      <w:szCs w:val="28"/>
    </w:rPr>
  </w:style>
  <w:style w:type="paragraph" w:styleId="Heading2">
    <w:name w:val="heading 2"/>
    <w:basedOn w:val="Normal"/>
    <w:next w:val="Normal"/>
    <w:link w:val="Heading2Char"/>
    <w:qFormat/>
    <w:rsid w:val="003E3873"/>
    <w:pPr>
      <w:keepNext/>
      <w:spacing w:before="200" w:after="160" w:line="240" w:lineRule="auto"/>
      <w:outlineLvl w:val="1"/>
    </w:pPr>
    <w:rPr>
      <w:rFonts w:asciiTheme="majorHAnsi" w:eastAsiaTheme="majorEastAsia" w:hAnsiTheme="majorHAnsi" w:cstheme="majorBidi"/>
      <w:bCs/>
      <w:color w:val="3A3467" w:themeColor="text2"/>
      <w:sz w:val="28"/>
      <w:szCs w:val="26"/>
    </w:rPr>
  </w:style>
  <w:style w:type="paragraph" w:styleId="Heading3">
    <w:name w:val="heading 3"/>
    <w:basedOn w:val="Normal"/>
    <w:next w:val="Normal"/>
    <w:link w:val="Heading3Char"/>
    <w:qFormat/>
    <w:rsid w:val="008C3FCF"/>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semiHidden/>
    <w:qFormat/>
    <w:rsid w:val="008C3FCF"/>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8C3FCF"/>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C3FCF"/>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8C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8C3FCF"/>
    <w:pPr>
      <w:spacing w:after="0" w:line="240" w:lineRule="auto"/>
    </w:pPr>
    <w:tblPr>
      <w:tblStyleRowBandSize w:val="1"/>
      <w:tblStyleColBandSize w:val="1"/>
      <w:tblBorders>
        <w:top w:val="single" w:sz="8" w:space="0" w:color="009CA7" w:themeColor="accent4"/>
        <w:left w:val="single" w:sz="8" w:space="0" w:color="009CA7" w:themeColor="accent4"/>
        <w:bottom w:val="single" w:sz="8" w:space="0" w:color="009CA7" w:themeColor="accent4"/>
        <w:right w:val="single" w:sz="8" w:space="0" w:color="009CA7" w:themeColor="accent4"/>
      </w:tblBorders>
    </w:tblPr>
    <w:tblStylePr w:type="firstRow">
      <w:pPr>
        <w:spacing w:before="0" w:after="0" w:line="240" w:lineRule="auto"/>
      </w:pPr>
      <w:rPr>
        <w:b/>
        <w:bCs/>
        <w:color w:val="FFFFFF" w:themeColor="background1"/>
      </w:rPr>
      <w:tblPr/>
      <w:tcPr>
        <w:shd w:val="clear" w:color="auto" w:fill="009CA7" w:themeFill="accent4"/>
      </w:tcPr>
    </w:tblStylePr>
    <w:tblStylePr w:type="lastRow">
      <w:pPr>
        <w:spacing w:before="0" w:after="0" w:line="240" w:lineRule="auto"/>
      </w:pPr>
      <w:rPr>
        <w:b/>
        <w:bCs/>
      </w:rPr>
      <w:tblPr/>
      <w:tcPr>
        <w:tcBorders>
          <w:top w:val="double" w:sz="6" w:space="0" w:color="009CA7" w:themeColor="accent4"/>
          <w:left w:val="single" w:sz="8" w:space="0" w:color="009CA7" w:themeColor="accent4"/>
          <w:bottom w:val="single" w:sz="8" w:space="0" w:color="009CA7" w:themeColor="accent4"/>
          <w:right w:val="single" w:sz="8" w:space="0" w:color="009CA7" w:themeColor="accent4"/>
        </w:tcBorders>
      </w:tcPr>
    </w:tblStylePr>
    <w:tblStylePr w:type="firstCol">
      <w:rPr>
        <w:b/>
        <w:bCs/>
      </w:rPr>
    </w:tblStylePr>
    <w:tblStylePr w:type="lastCol">
      <w:rPr>
        <w:b/>
        <w:bCs/>
      </w:rPr>
    </w:tblStylePr>
    <w:tblStylePr w:type="band1Vert">
      <w:tblPr/>
      <w:tcPr>
        <w:tcBorders>
          <w:top w:val="single" w:sz="8" w:space="0" w:color="009CA7" w:themeColor="accent4"/>
          <w:left w:val="single" w:sz="8" w:space="0" w:color="009CA7" w:themeColor="accent4"/>
          <w:bottom w:val="single" w:sz="8" w:space="0" w:color="009CA7" w:themeColor="accent4"/>
          <w:right w:val="single" w:sz="8" w:space="0" w:color="009CA7" w:themeColor="accent4"/>
        </w:tcBorders>
      </w:tcPr>
    </w:tblStylePr>
    <w:tblStylePr w:type="band1Horz">
      <w:tblPr/>
      <w:tcPr>
        <w:tcBorders>
          <w:top w:val="single" w:sz="8" w:space="0" w:color="009CA7" w:themeColor="accent4"/>
          <w:left w:val="single" w:sz="8" w:space="0" w:color="009CA7" w:themeColor="accent4"/>
          <w:bottom w:val="single" w:sz="8" w:space="0" w:color="009CA7" w:themeColor="accent4"/>
          <w:right w:val="single" w:sz="8" w:space="0" w:color="009CA7" w:themeColor="accent4"/>
        </w:tcBorders>
      </w:tcPr>
    </w:tblStylePr>
  </w:style>
  <w:style w:type="table" w:styleId="LightList-Accent1">
    <w:name w:val="Light List Accent 1"/>
    <w:basedOn w:val="TableNormal"/>
    <w:uiPriority w:val="61"/>
    <w:rsid w:val="008C3FCF"/>
    <w:pPr>
      <w:spacing w:after="0" w:line="240" w:lineRule="auto"/>
    </w:pPr>
    <w:tblPr>
      <w:tblStyleRowBandSize w:val="1"/>
      <w:tblStyleColBandSize w:val="1"/>
      <w:tblBorders>
        <w:top w:val="single" w:sz="8" w:space="0" w:color="00BAC7" w:themeColor="accent1"/>
        <w:left w:val="single" w:sz="8" w:space="0" w:color="00BAC7" w:themeColor="accent1"/>
        <w:bottom w:val="single" w:sz="8" w:space="0" w:color="00BAC7" w:themeColor="accent1"/>
        <w:right w:val="single" w:sz="8" w:space="0" w:color="00BAC7" w:themeColor="accent1"/>
      </w:tblBorders>
    </w:tblPr>
    <w:tblStylePr w:type="firstRow">
      <w:pPr>
        <w:spacing w:before="0" w:after="0" w:line="240" w:lineRule="auto"/>
      </w:pPr>
      <w:rPr>
        <w:b/>
        <w:bCs/>
        <w:color w:val="FFFFFF" w:themeColor="background1"/>
      </w:rPr>
      <w:tblPr/>
      <w:tcPr>
        <w:shd w:val="clear" w:color="auto" w:fill="00BAC7" w:themeFill="accent1"/>
      </w:tcPr>
    </w:tblStylePr>
    <w:tblStylePr w:type="lastRow">
      <w:pPr>
        <w:spacing w:before="0" w:after="0" w:line="240" w:lineRule="auto"/>
      </w:pPr>
      <w:rPr>
        <w:b/>
        <w:bCs/>
      </w:rPr>
      <w:tblPr/>
      <w:tcPr>
        <w:tcBorders>
          <w:top w:val="double" w:sz="6" w:space="0" w:color="00BAC7" w:themeColor="accent1"/>
          <w:left w:val="single" w:sz="8" w:space="0" w:color="00BAC7" w:themeColor="accent1"/>
          <w:bottom w:val="single" w:sz="8" w:space="0" w:color="00BAC7" w:themeColor="accent1"/>
          <w:right w:val="single" w:sz="8" w:space="0" w:color="00BAC7" w:themeColor="accent1"/>
        </w:tcBorders>
      </w:tcPr>
    </w:tblStylePr>
    <w:tblStylePr w:type="firstCol">
      <w:rPr>
        <w:b/>
        <w:bCs/>
      </w:rPr>
    </w:tblStylePr>
    <w:tblStylePr w:type="lastCol">
      <w:rPr>
        <w:b/>
        <w:bCs/>
      </w:rPr>
    </w:tblStylePr>
    <w:tblStylePr w:type="band1Vert">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tblStylePr w:type="band1Horz">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style>
  <w:style w:type="paragraph" w:styleId="TOC1">
    <w:name w:val="toc 1"/>
    <w:basedOn w:val="Normal"/>
    <w:next w:val="Normal"/>
    <w:uiPriority w:val="39"/>
    <w:semiHidden/>
    <w:rsid w:val="008C3FCF"/>
    <w:pPr>
      <w:pBdr>
        <w:bottom w:val="single" w:sz="12" w:space="4" w:color="auto"/>
      </w:pBdr>
      <w:tabs>
        <w:tab w:val="right" w:pos="9000"/>
      </w:tabs>
      <w:ind w:right="26"/>
    </w:pPr>
    <w:rPr>
      <w:sz w:val="24"/>
      <w:szCs w:val="24"/>
    </w:rPr>
  </w:style>
  <w:style w:type="paragraph" w:styleId="TOC2">
    <w:name w:val="toc 2"/>
    <w:next w:val="Normal"/>
    <w:uiPriority w:val="39"/>
    <w:semiHidden/>
    <w:rsid w:val="008C3FCF"/>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8C3FCF"/>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8C3FCF"/>
    <w:pPr>
      <w:spacing w:after="60" w:line="240" w:lineRule="auto"/>
    </w:pPr>
    <w:rPr>
      <w:sz w:val="16"/>
    </w:rPr>
  </w:style>
  <w:style w:type="paragraph" w:styleId="Index2">
    <w:name w:val="index 2"/>
    <w:basedOn w:val="Normal"/>
    <w:next w:val="Normal"/>
    <w:uiPriority w:val="99"/>
    <w:semiHidden/>
    <w:rsid w:val="008C3FCF"/>
    <w:pPr>
      <w:spacing w:after="0" w:line="240" w:lineRule="auto"/>
      <w:ind w:left="216"/>
    </w:pPr>
    <w:rPr>
      <w:sz w:val="16"/>
      <w:szCs w:val="16"/>
    </w:rPr>
  </w:style>
  <w:style w:type="character" w:styleId="Hyperlink">
    <w:name w:val="Hyperlink"/>
    <w:basedOn w:val="DefaultParagraphFont"/>
    <w:uiPriority w:val="99"/>
    <w:rsid w:val="008C3FCF"/>
    <w:rPr>
      <w:color w:val="004C97"/>
      <w:u w:val="none"/>
    </w:rPr>
  </w:style>
  <w:style w:type="character" w:customStyle="1" w:styleId="Heading1Char">
    <w:name w:val="Heading 1 Char"/>
    <w:basedOn w:val="DefaultParagraphFont"/>
    <w:link w:val="Heading1"/>
    <w:rsid w:val="00FE64F1"/>
    <w:rPr>
      <w:rFonts w:asciiTheme="majorHAnsi" w:eastAsiaTheme="majorEastAsia" w:hAnsiTheme="majorHAnsi" w:cstheme="majorBidi"/>
      <w:bCs/>
      <w:color w:val="3A3467" w:themeColor="text2"/>
      <w:sz w:val="36"/>
      <w:szCs w:val="28"/>
    </w:rPr>
  </w:style>
  <w:style w:type="character" w:customStyle="1" w:styleId="Heading2Char">
    <w:name w:val="Heading 2 Char"/>
    <w:basedOn w:val="DefaultParagraphFont"/>
    <w:link w:val="Heading2"/>
    <w:rsid w:val="003E3873"/>
    <w:rPr>
      <w:rFonts w:asciiTheme="majorHAnsi" w:eastAsiaTheme="majorEastAsia" w:hAnsiTheme="majorHAnsi" w:cstheme="majorBidi"/>
      <w:bCs/>
      <w:color w:val="3A3467" w:themeColor="text2"/>
      <w:sz w:val="28"/>
      <w:szCs w:val="26"/>
    </w:rPr>
  </w:style>
  <w:style w:type="paragraph" w:customStyle="1" w:styleId="Bullet1">
    <w:name w:val="Bullet 1"/>
    <w:uiPriority w:val="1"/>
    <w:qFormat/>
    <w:rsid w:val="00E2230B"/>
    <w:pPr>
      <w:keepLines/>
      <w:numPr>
        <w:numId w:val="1"/>
      </w:numPr>
      <w:spacing w:before="100" w:after="100" w:line="252" w:lineRule="auto"/>
      <w:ind w:left="288" w:hanging="288"/>
      <w:contextualSpacing/>
    </w:pPr>
    <w:rPr>
      <w:rFonts w:eastAsia="Times New Roman" w:cs="Calibri"/>
      <w:color w:val="232B39" w:themeColor="text1"/>
      <w:sz w:val="18"/>
    </w:rPr>
  </w:style>
  <w:style w:type="paragraph" w:customStyle="1" w:styleId="Bullet2">
    <w:name w:val="Bullet 2"/>
    <w:basedOn w:val="Bullet1"/>
    <w:uiPriority w:val="1"/>
    <w:qFormat/>
    <w:rsid w:val="008C3FCF"/>
    <w:pPr>
      <w:numPr>
        <w:ilvl w:val="1"/>
      </w:numPr>
    </w:pPr>
  </w:style>
  <w:style w:type="paragraph" w:customStyle="1" w:styleId="Bulletindent">
    <w:name w:val="Bullet indent"/>
    <w:basedOn w:val="Bullet2"/>
    <w:uiPriority w:val="9"/>
    <w:qFormat/>
    <w:rsid w:val="008C3FCF"/>
    <w:pPr>
      <w:numPr>
        <w:ilvl w:val="2"/>
      </w:numPr>
      <w:spacing w:line="264" w:lineRule="auto"/>
    </w:pPr>
  </w:style>
  <w:style w:type="paragraph" w:customStyle="1" w:styleId="Heading1numbered">
    <w:name w:val="Heading 1 numbered"/>
    <w:basedOn w:val="Heading1"/>
    <w:next w:val="NormalIndent"/>
    <w:uiPriority w:val="8"/>
    <w:semiHidden/>
    <w:qFormat/>
    <w:rsid w:val="008C3FCF"/>
    <w:pPr>
      <w:numPr>
        <w:ilvl w:val="2"/>
        <w:numId w:val="3"/>
      </w:numPr>
    </w:pPr>
  </w:style>
  <w:style w:type="paragraph" w:customStyle="1" w:styleId="Heading2numbered">
    <w:name w:val="Heading 2 numbered"/>
    <w:basedOn w:val="Heading2"/>
    <w:next w:val="NormalIndent"/>
    <w:uiPriority w:val="8"/>
    <w:semiHidden/>
    <w:qFormat/>
    <w:rsid w:val="008C3FCF"/>
    <w:pPr>
      <w:numPr>
        <w:ilvl w:val="3"/>
        <w:numId w:val="3"/>
      </w:numPr>
    </w:pPr>
  </w:style>
  <w:style w:type="paragraph" w:customStyle="1" w:styleId="Heading3numbered">
    <w:name w:val="Heading 3 numbered"/>
    <w:basedOn w:val="Heading3"/>
    <w:next w:val="NormalIndent"/>
    <w:uiPriority w:val="8"/>
    <w:semiHidden/>
    <w:qFormat/>
    <w:rsid w:val="008C3FCF"/>
    <w:pPr>
      <w:numPr>
        <w:ilvl w:val="4"/>
        <w:numId w:val="3"/>
      </w:numPr>
    </w:pPr>
  </w:style>
  <w:style w:type="character" w:customStyle="1" w:styleId="Heading3Char">
    <w:name w:val="Heading 3 Char"/>
    <w:basedOn w:val="DefaultParagraphFont"/>
    <w:link w:val="Heading3"/>
    <w:rsid w:val="008C3FCF"/>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8C3FCF"/>
    <w:pPr>
      <w:numPr>
        <w:ilvl w:val="5"/>
        <w:numId w:val="3"/>
      </w:numPr>
    </w:pPr>
  </w:style>
  <w:style w:type="character" w:customStyle="1" w:styleId="Heading4Char">
    <w:name w:val="Heading 4 Char"/>
    <w:basedOn w:val="DefaultParagraphFont"/>
    <w:link w:val="Heading4"/>
    <w:semiHidden/>
    <w:rsid w:val="008C3FCF"/>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8C3FCF"/>
    <w:pPr>
      <w:ind w:left="792"/>
    </w:pPr>
  </w:style>
  <w:style w:type="paragraph" w:customStyle="1" w:styleId="NoteNormal">
    <w:name w:val="Note Normal"/>
    <w:basedOn w:val="Normal"/>
    <w:qFormat/>
    <w:rsid w:val="008C3FCF"/>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8C3FCF"/>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8C3FCF"/>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rPr>
  </w:style>
  <w:style w:type="character" w:customStyle="1" w:styleId="SubtitleChar">
    <w:name w:val="Subtitle Char"/>
    <w:basedOn w:val="DefaultParagraphFont"/>
    <w:link w:val="Subtitle"/>
    <w:uiPriority w:val="45"/>
    <w:rsid w:val="008C3FCF"/>
    <w:rPr>
      <w:rFonts w:asciiTheme="majorHAnsi" w:eastAsia="Times New Roman" w:hAnsiTheme="majorHAnsi" w:cstheme="majorHAnsi"/>
      <w:caps/>
      <w:color w:val="FFFFFF" w:themeColor="background1"/>
      <w:sz w:val="27"/>
      <w:szCs w:val="27"/>
      <w:shd w:val="clear" w:color="auto" w:fill="232B39" w:themeFill="text1"/>
    </w:rPr>
  </w:style>
  <w:style w:type="paragraph" w:customStyle="1" w:styleId="TertiaryTitle">
    <w:name w:val="Tertiary Title"/>
    <w:next w:val="Normal"/>
    <w:uiPriority w:val="99"/>
    <w:semiHidden/>
    <w:rsid w:val="008C3FCF"/>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574579"/>
    <w:pPr>
      <w:shd w:val="clear" w:color="auto" w:fill="232B39" w:themeFill="text1"/>
      <w:spacing w:before="160" w:after="0" w:line="216" w:lineRule="auto"/>
      <w:ind w:left="446" w:right="4910"/>
      <w:jc w:val="right"/>
    </w:pPr>
    <w:rPr>
      <w:rFonts w:asciiTheme="majorHAnsi" w:eastAsia="Times New Roman" w:hAnsiTheme="majorHAnsi" w:cstheme="majorHAnsi"/>
      <w:color w:val="FFFFFF" w:themeColor="background1"/>
      <w:sz w:val="44"/>
      <w:szCs w:val="48"/>
    </w:rPr>
  </w:style>
  <w:style w:type="character" w:customStyle="1" w:styleId="TitleChar">
    <w:name w:val="Title Char"/>
    <w:basedOn w:val="DefaultParagraphFont"/>
    <w:link w:val="Title"/>
    <w:uiPriority w:val="44"/>
    <w:rsid w:val="00574579"/>
    <w:rPr>
      <w:rFonts w:asciiTheme="majorHAnsi" w:eastAsia="Times New Roman" w:hAnsiTheme="majorHAnsi" w:cstheme="majorHAnsi"/>
      <w:color w:val="FFFFFF" w:themeColor="background1"/>
      <w:sz w:val="44"/>
      <w:szCs w:val="48"/>
      <w:shd w:val="clear" w:color="auto" w:fill="232B39" w:themeFill="text1"/>
    </w:rPr>
  </w:style>
  <w:style w:type="paragraph" w:styleId="BalloonText">
    <w:name w:val="Balloon Text"/>
    <w:basedOn w:val="Normal"/>
    <w:link w:val="BalloonTextChar"/>
    <w:uiPriority w:val="99"/>
    <w:semiHidden/>
    <w:rsid w:val="008C3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FCF"/>
    <w:rPr>
      <w:rFonts w:ascii="Tahoma" w:hAnsi="Tahoma" w:cs="Tahoma"/>
      <w:color w:val="232B39" w:themeColor="text1"/>
      <w:sz w:val="16"/>
      <w:szCs w:val="16"/>
    </w:rPr>
  </w:style>
  <w:style w:type="paragraph" w:customStyle="1" w:styleId="Bulletindent2">
    <w:name w:val="Bullet indent 2"/>
    <w:basedOn w:val="Normal"/>
    <w:uiPriority w:val="9"/>
    <w:qFormat/>
    <w:rsid w:val="008C3FCF"/>
    <w:pPr>
      <w:numPr>
        <w:ilvl w:val="3"/>
        <w:numId w:val="1"/>
      </w:numPr>
      <w:contextualSpacing/>
    </w:pPr>
  </w:style>
  <w:style w:type="paragraph" w:styleId="IndexHeading">
    <w:name w:val="index heading"/>
    <w:basedOn w:val="Normal"/>
    <w:next w:val="Index1"/>
    <w:uiPriority w:val="99"/>
    <w:semiHidden/>
    <w:rsid w:val="008C3FCF"/>
    <w:rPr>
      <w:rFonts w:asciiTheme="majorHAnsi" w:eastAsiaTheme="majorEastAsia" w:hAnsiTheme="majorHAnsi" w:cstheme="majorBidi"/>
      <w:b/>
      <w:bCs/>
    </w:rPr>
  </w:style>
  <w:style w:type="paragraph" w:styleId="Header">
    <w:name w:val="header"/>
    <w:basedOn w:val="Normal"/>
    <w:link w:val="HeaderChar"/>
    <w:uiPriority w:val="99"/>
    <w:semiHidden/>
    <w:rsid w:val="008C3F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3FCF"/>
    <w:rPr>
      <w:color w:val="232B39" w:themeColor="text1"/>
      <w:sz w:val="18"/>
    </w:rPr>
  </w:style>
  <w:style w:type="paragraph" w:styleId="Footer">
    <w:name w:val="footer"/>
    <w:basedOn w:val="Normal"/>
    <w:link w:val="FooterChar"/>
    <w:uiPriority w:val="99"/>
    <w:semiHidden/>
    <w:rsid w:val="008C3FCF"/>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semiHidden/>
    <w:rsid w:val="008C3FCF"/>
    <w:rPr>
      <w:noProof/>
      <w:color w:val="232B39" w:themeColor="text1"/>
      <w:sz w:val="18"/>
      <w:szCs w:val="18"/>
    </w:rPr>
  </w:style>
  <w:style w:type="character" w:styleId="PageNumber">
    <w:name w:val="page number"/>
    <w:uiPriority w:val="49"/>
    <w:semiHidden/>
    <w:rsid w:val="008C3FCF"/>
    <w:rPr>
      <w:rFonts w:asciiTheme="minorHAnsi" w:hAnsiTheme="minorHAnsi"/>
      <w:b w:val="0"/>
      <w:color w:val="232B39" w:themeColor="text1"/>
    </w:rPr>
  </w:style>
  <w:style w:type="paragraph" w:styleId="TOCHeading">
    <w:name w:val="TOC Heading"/>
    <w:basedOn w:val="Heading1"/>
    <w:next w:val="Normal"/>
    <w:uiPriority w:val="38"/>
    <w:semiHidden/>
    <w:rsid w:val="008C3FCF"/>
    <w:pPr>
      <w:spacing w:before="480" w:after="720"/>
      <w:outlineLvl w:val="9"/>
    </w:pPr>
    <w:rPr>
      <w:spacing w:val="2"/>
    </w:rPr>
  </w:style>
  <w:style w:type="paragraph" w:customStyle="1" w:styleId="NormalTight">
    <w:name w:val="Normal Tight"/>
    <w:uiPriority w:val="99"/>
    <w:semiHidden/>
    <w:rsid w:val="008C3FCF"/>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8C3FCF"/>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8C3FCF"/>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8C3FCF"/>
    <w:pPr>
      <w:spacing w:before="3800"/>
      <w:ind w:right="1382"/>
    </w:pPr>
  </w:style>
  <w:style w:type="paragraph" w:styleId="TOC4">
    <w:name w:val="toc 4"/>
    <w:basedOn w:val="TOC1"/>
    <w:next w:val="Normal"/>
    <w:uiPriority w:val="39"/>
    <w:semiHidden/>
    <w:rsid w:val="008C3FCF"/>
    <w:pPr>
      <w:spacing w:before="280"/>
      <w:ind w:left="446" w:right="29" w:hanging="446"/>
    </w:pPr>
    <w:rPr>
      <w:noProof/>
      <w:lang w:eastAsia="en-US"/>
    </w:rPr>
  </w:style>
  <w:style w:type="paragraph" w:styleId="TOC5">
    <w:name w:val="toc 5"/>
    <w:basedOn w:val="TOC2"/>
    <w:next w:val="Normal"/>
    <w:uiPriority w:val="39"/>
    <w:semiHidden/>
    <w:rsid w:val="008C3FCF"/>
    <w:pPr>
      <w:ind w:left="1080" w:hanging="634"/>
    </w:pPr>
    <w:rPr>
      <w:lang w:eastAsia="en-US"/>
    </w:rPr>
  </w:style>
  <w:style w:type="paragraph" w:styleId="TOC6">
    <w:name w:val="toc 6"/>
    <w:basedOn w:val="TOC3"/>
    <w:next w:val="Normal"/>
    <w:uiPriority w:val="39"/>
    <w:semiHidden/>
    <w:rsid w:val="008C3FCF"/>
    <w:pPr>
      <w:ind w:left="1800" w:hanging="720"/>
    </w:pPr>
    <w:rPr>
      <w:lang w:eastAsia="en-US"/>
    </w:rPr>
  </w:style>
  <w:style w:type="table" w:customStyle="1" w:styleId="DTFtexttable">
    <w:name w:val="DTF text table"/>
    <w:basedOn w:val="TableNormal"/>
    <w:uiPriority w:val="99"/>
    <w:rsid w:val="008C3FCF"/>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A6E7EB" w:themeFill="background2"/>
      </w:tcPr>
    </w:tblStylePr>
    <w:tblStylePr w:type="lastRow">
      <w:rPr>
        <w:b/>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8C3FCF"/>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71D9E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A6E7EB" w:themeFill="background2"/>
      </w:tcPr>
    </w:tblStylePr>
    <w:tblStylePr w:type="lastRow">
      <w:rPr>
        <w:b/>
      </w:rPr>
      <w:tblPr/>
      <w:tcPr>
        <w:tcBorders>
          <w:top w:val="single" w:sz="6" w:space="0" w:color="00BAC7" w:themeColor="accent1"/>
          <w:left w:val="nil"/>
          <w:bottom w:val="single" w:sz="12" w:space="0" w:color="00BAC7"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8C3FCF"/>
    <w:pPr>
      <w:spacing w:before="60" w:after="60"/>
    </w:pPr>
    <w:rPr>
      <w:sz w:val="17"/>
    </w:rPr>
  </w:style>
  <w:style w:type="paragraph" w:customStyle="1" w:styleId="Tabletextright">
    <w:name w:val="Table text right"/>
    <w:basedOn w:val="Tabletext"/>
    <w:uiPriority w:val="5"/>
    <w:qFormat/>
    <w:rsid w:val="008C3FCF"/>
    <w:pPr>
      <w:jc w:val="right"/>
    </w:pPr>
  </w:style>
  <w:style w:type="paragraph" w:customStyle="1" w:styleId="Listnumindent2">
    <w:name w:val="List num indent 2"/>
    <w:basedOn w:val="Normal"/>
    <w:uiPriority w:val="9"/>
    <w:semiHidden/>
    <w:qFormat/>
    <w:rsid w:val="008C3FCF"/>
    <w:pPr>
      <w:numPr>
        <w:ilvl w:val="7"/>
        <w:numId w:val="3"/>
      </w:numPr>
      <w:spacing w:before="100"/>
      <w:contextualSpacing/>
    </w:pPr>
  </w:style>
  <w:style w:type="paragraph" w:customStyle="1" w:styleId="Listnumindent">
    <w:name w:val="List num indent"/>
    <w:basedOn w:val="Normal"/>
    <w:uiPriority w:val="9"/>
    <w:semiHidden/>
    <w:qFormat/>
    <w:rsid w:val="008C3FCF"/>
    <w:pPr>
      <w:numPr>
        <w:ilvl w:val="6"/>
        <w:numId w:val="3"/>
      </w:numPr>
      <w:spacing w:before="100"/>
    </w:pPr>
  </w:style>
  <w:style w:type="paragraph" w:customStyle="1" w:styleId="Listnum">
    <w:name w:val="List num"/>
    <w:basedOn w:val="Normal"/>
    <w:uiPriority w:val="2"/>
    <w:qFormat/>
    <w:rsid w:val="008C3FCF"/>
    <w:pPr>
      <w:numPr>
        <w:numId w:val="3"/>
      </w:numPr>
    </w:pPr>
  </w:style>
  <w:style w:type="paragraph" w:customStyle="1" w:styleId="Listnum2">
    <w:name w:val="List num 2"/>
    <w:basedOn w:val="Normal"/>
    <w:uiPriority w:val="2"/>
    <w:qFormat/>
    <w:rsid w:val="008C3FCF"/>
    <w:pPr>
      <w:numPr>
        <w:ilvl w:val="1"/>
        <w:numId w:val="3"/>
      </w:numPr>
    </w:pPr>
  </w:style>
  <w:style w:type="paragraph" w:customStyle="1" w:styleId="Tabletextcentred">
    <w:name w:val="Table text centred"/>
    <w:basedOn w:val="Tabletext"/>
    <w:uiPriority w:val="5"/>
    <w:qFormat/>
    <w:rsid w:val="008C3FCF"/>
    <w:pPr>
      <w:jc w:val="center"/>
    </w:pPr>
  </w:style>
  <w:style w:type="paragraph" w:customStyle="1" w:styleId="Tableheader">
    <w:name w:val="Table header"/>
    <w:basedOn w:val="Tabletext"/>
    <w:uiPriority w:val="5"/>
    <w:qFormat/>
    <w:rsid w:val="008C3FCF"/>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8C3FCF"/>
    <w:pPr>
      <w:numPr>
        <w:numId w:val="4"/>
      </w:numPr>
    </w:pPr>
  </w:style>
  <w:style w:type="paragraph" w:customStyle="1" w:styleId="Tabledash">
    <w:name w:val="Table dash"/>
    <w:basedOn w:val="Tablebullet"/>
    <w:uiPriority w:val="6"/>
    <w:rsid w:val="008C3FCF"/>
    <w:pPr>
      <w:numPr>
        <w:ilvl w:val="1"/>
      </w:numPr>
    </w:pPr>
  </w:style>
  <w:style w:type="paragraph" w:customStyle="1" w:styleId="Numpara">
    <w:name w:val="Num para"/>
    <w:basedOn w:val="ListParagraph"/>
    <w:uiPriority w:val="2"/>
    <w:qFormat/>
    <w:rsid w:val="008C3FCF"/>
    <w:pPr>
      <w:numPr>
        <w:numId w:val="2"/>
      </w:numPr>
      <w:tabs>
        <w:tab w:val="left" w:pos="540"/>
      </w:tabs>
    </w:pPr>
  </w:style>
  <w:style w:type="paragraph" w:styleId="ListParagraph">
    <w:name w:val="List Paragraph"/>
    <w:basedOn w:val="Normal"/>
    <w:uiPriority w:val="34"/>
    <w:qFormat/>
    <w:rsid w:val="008C3FCF"/>
    <w:pPr>
      <w:ind w:left="720"/>
      <w:contextualSpacing/>
    </w:pPr>
  </w:style>
  <w:style w:type="paragraph" w:styleId="FootnoteText">
    <w:name w:val="footnote text"/>
    <w:basedOn w:val="Normal"/>
    <w:link w:val="FootnoteTextChar"/>
    <w:uiPriority w:val="99"/>
    <w:rsid w:val="008C3FCF"/>
    <w:pPr>
      <w:spacing w:before="0" w:after="0" w:line="240" w:lineRule="auto"/>
    </w:pPr>
    <w:rPr>
      <w:sz w:val="17"/>
    </w:rPr>
  </w:style>
  <w:style w:type="character" w:customStyle="1" w:styleId="FootnoteTextChar">
    <w:name w:val="Footnote Text Char"/>
    <w:basedOn w:val="DefaultParagraphFont"/>
    <w:link w:val="FootnoteText"/>
    <w:uiPriority w:val="99"/>
    <w:rsid w:val="008C3FCF"/>
    <w:rPr>
      <w:color w:val="232B39" w:themeColor="text1"/>
      <w:sz w:val="17"/>
    </w:rPr>
  </w:style>
  <w:style w:type="character" w:styleId="FootnoteReference">
    <w:name w:val="footnote reference"/>
    <w:basedOn w:val="DefaultParagraphFont"/>
    <w:uiPriority w:val="99"/>
    <w:semiHidden/>
    <w:rsid w:val="008C3FCF"/>
    <w:rPr>
      <w:vertAlign w:val="superscript"/>
    </w:rPr>
  </w:style>
  <w:style w:type="paragraph" w:customStyle="1" w:styleId="Numparaindent">
    <w:name w:val="Num para indent"/>
    <w:basedOn w:val="Numpara"/>
    <w:uiPriority w:val="9"/>
    <w:semiHidden/>
    <w:qFormat/>
    <w:rsid w:val="008C3FCF"/>
    <w:pPr>
      <w:numPr>
        <w:ilvl w:val="8"/>
        <w:numId w:val="3"/>
      </w:numPr>
      <w:tabs>
        <w:tab w:val="clear" w:pos="540"/>
      </w:tabs>
    </w:pPr>
  </w:style>
  <w:style w:type="paragraph" w:customStyle="1" w:styleId="Tablenum1">
    <w:name w:val="Table num 1"/>
    <w:basedOn w:val="Normal"/>
    <w:uiPriority w:val="6"/>
    <w:rsid w:val="008C3FCF"/>
    <w:pPr>
      <w:numPr>
        <w:ilvl w:val="2"/>
        <w:numId w:val="4"/>
      </w:numPr>
      <w:spacing w:before="60" w:after="60"/>
    </w:pPr>
    <w:rPr>
      <w:sz w:val="17"/>
    </w:rPr>
  </w:style>
  <w:style w:type="paragraph" w:customStyle="1" w:styleId="Tablenum2">
    <w:name w:val="Table num 2"/>
    <w:basedOn w:val="Normal"/>
    <w:uiPriority w:val="6"/>
    <w:rsid w:val="008C3FCF"/>
    <w:pPr>
      <w:numPr>
        <w:ilvl w:val="3"/>
        <w:numId w:val="4"/>
      </w:numPr>
      <w:spacing w:before="60" w:after="60"/>
    </w:pPr>
    <w:rPr>
      <w:sz w:val="17"/>
    </w:rPr>
  </w:style>
  <w:style w:type="paragraph" w:customStyle="1" w:styleId="NoteNormalindent">
    <w:name w:val="Note Normal indent"/>
    <w:basedOn w:val="NoteNormal"/>
    <w:uiPriority w:val="9"/>
    <w:semiHidden/>
    <w:rsid w:val="008C3FCF"/>
    <w:pPr>
      <w:ind w:left="792"/>
    </w:pPr>
  </w:style>
  <w:style w:type="paragraph" w:styleId="Caption">
    <w:name w:val="caption"/>
    <w:basedOn w:val="Normal"/>
    <w:next w:val="Normal"/>
    <w:uiPriority w:val="5"/>
    <w:rsid w:val="00E4049A"/>
    <w:pPr>
      <w:spacing w:before="200" w:after="60" w:line="240" w:lineRule="auto"/>
    </w:pPr>
    <w:rPr>
      <w:rFonts w:ascii="VIC SemiBold" w:hAnsi="VIC SemiBold"/>
      <w:bCs/>
      <w:color w:val="auto"/>
      <w:szCs w:val="18"/>
    </w:rPr>
  </w:style>
  <w:style w:type="paragraph" w:customStyle="1" w:styleId="CM">
    <w:name w:val="CM"/>
    <w:next w:val="Normal"/>
    <w:uiPriority w:val="79"/>
    <w:rsid w:val="008C3FCF"/>
    <w:pPr>
      <w:spacing w:after="2000" w:line="240" w:lineRule="auto"/>
      <w:ind w:right="4910"/>
      <w:jc w:val="right"/>
    </w:pPr>
    <w:rPr>
      <w:caps/>
      <w:color w:val="FFFFFF" w:themeColor="background1"/>
    </w:rPr>
  </w:style>
  <w:style w:type="paragraph" w:customStyle="1" w:styleId="CoverSpacer">
    <w:name w:val="CoverSpacer"/>
    <w:basedOn w:val="Normal"/>
    <w:semiHidden/>
    <w:qFormat/>
    <w:rsid w:val="008C3FCF"/>
    <w:pPr>
      <w:spacing w:before="4600" w:after="0"/>
    </w:pPr>
  </w:style>
  <w:style w:type="character" w:styleId="FollowedHyperlink">
    <w:name w:val="FollowedHyperlink"/>
    <w:basedOn w:val="DefaultParagraphFont"/>
    <w:uiPriority w:val="99"/>
    <w:semiHidden/>
    <w:rsid w:val="008C3FCF"/>
    <w:rPr>
      <w:color w:val="808080" w:themeColor="background1" w:themeShade="80"/>
      <w:u w:val="none"/>
    </w:rPr>
  </w:style>
  <w:style w:type="character" w:customStyle="1" w:styleId="Heading5Char">
    <w:name w:val="Heading 5 Char"/>
    <w:basedOn w:val="DefaultParagraphFont"/>
    <w:link w:val="Heading5"/>
    <w:semiHidden/>
    <w:rsid w:val="008C3FCF"/>
    <w:rPr>
      <w:rFonts w:asciiTheme="majorHAnsi" w:eastAsiaTheme="majorEastAsia" w:hAnsiTheme="majorHAnsi" w:cstheme="majorBidi"/>
      <w:color w:val="3A3467" w:themeColor="text2"/>
      <w:sz w:val="18"/>
    </w:rPr>
  </w:style>
  <w:style w:type="character" w:styleId="PlaceholderText">
    <w:name w:val="Placeholder Text"/>
    <w:basedOn w:val="DefaultParagraphFont"/>
    <w:uiPriority w:val="99"/>
    <w:semiHidden/>
    <w:rsid w:val="008C3FCF"/>
    <w:rPr>
      <w:color w:val="808080"/>
    </w:rPr>
  </w:style>
  <w:style w:type="table" w:styleId="PlainTable4">
    <w:name w:val="Plain Table 4"/>
    <w:basedOn w:val="TableNormal"/>
    <w:uiPriority w:val="44"/>
    <w:rsid w:val="008C3F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651AD"/>
    <w:pPr>
      <w:pBdr>
        <w:top w:val="single" w:sz="12" w:space="6" w:color="A6E7EB" w:themeColor="background2"/>
        <w:bottom w:val="single" w:sz="12" w:space="4" w:color="A6E7EB" w:themeColor="background2"/>
      </w:pBdr>
      <w:tabs>
        <w:tab w:val="right" w:pos="8162"/>
      </w:tabs>
      <w:spacing w:before="60" w:after="60" w:line="240" w:lineRule="auto"/>
      <w:ind w:left="216" w:right="216"/>
    </w:pPr>
    <w:rPr>
      <w:i/>
      <w:iCs/>
      <w:szCs w:val="18"/>
    </w:rPr>
  </w:style>
  <w:style w:type="character" w:customStyle="1" w:styleId="QuoteChar">
    <w:name w:val="Quote Char"/>
    <w:basedOn w:val="DefaultParagraphFont"/>
    <w:link w:val="Quote"/>
    <w:uiPriority w:val="14"/>
    <w:rsid w:val="005651AD"/>
    <w:rPr>
      <w:i/>
      <w:iCs/>
      <w:color w:val="232B39" w:themeColor="text1"/>
      <w:sz w:val="18"/>
      <w:szCs w:val="18"/>
    </w:rPr>
  </w:style>
  <w:style w:type="paragraph" w:customStyle="1" w:styleId="ReportDate">
    <w:name w:val="ReportDate"/>
    <w:uiPriority w:val="79"/>
    <w:semiHidden/>
    <w:rsid w:val="008C3FCF"/>
    <w:pPr>
      <w:spacing w:after="0" w:line="240" w:lineRule="auto"/>
      <w:ind w:right="2909"/>
    </w:pPr>
    <w:rPr>
      <w:b/>
      <w:bCs/>
      <w:caps/>
    </w:rPr>
  </w:style>
  <w:style w:type="character" w:styleId="UnresolvedMention">
    <w:name w:val="Unresolved Mention"/>
    <w:basedOn w:val="DefaultParagraphFont"/>
    <w:uiPriority w:val="99"/>
    <w:semiHidden/>
    <w:rsid w:val="008C3FCF"/>
    <w:rPr>
      <w:color w:val="605E5C"/>
      <w:shd w:val="clear" w:color="auto" w:fill="E1DFDD"/>
    </w:rPr>
  </w:style>
  <w:style w:type="paragraph" w:styleId="Revision">
    <w:name w:val="Revision"/>
    <w:hidden/>
    <w:uiPriority w:val="99"/>
    <w:semiHidden/>
    <w:rsid w:val="00E26AE7"/>
    <w:pPr>
      <w:spacing w:after="0" w:line="240" w:lineRule="auto"/>
    </w:pPr>
    <w:rPr>
      <w:color w:val="232B39" w:themeColor="text1"/>
      <w:sz w:val="18"/>
    </w:rPr>
  </w:style>
  <w:style w:type="character" w:styleId="CommentReference">
    <w:name w:val="annotation reference"/>
    <w:basedOn w:val="DefaultParagraphFont"/>
    <w:uiPriority w:val="99"/>
    <w:semiHidden/>
    <w:unhideWhenUsed/>
    <w:rsid w:val="00BA489F"/>
    <w:rPr>
      <w:sz w:val="16"/>
      <w:szCs w:val="16"/>
    </w:rPr>
  </w:style>
  <w:style w:type="paragraph" w:styleId="CommentText">
    <w:name w:val="annotation text"/>
    <w:basedOn w:val="Normal"/>
    <w:link w:val="CommentTextChar"/>
    <w:uiPriority w:val="99"/>
    <w:unhideWhenUsed/>
    <w:rsid w:val="00BA489F"/>
    <w:pPr>
      <w:spacing w:line="240" w:lineRule="auto"/>
    </w:pPr>
    <w:rPr>
      <w:sz w:val="20"/>
    </w:rPr>
  </w:style>
  <w:style w:type="character" w:customStyle="1" w:styleId="CommentTextChar">
    <w:name w:val="Comment Text Char"/>
    <w:basedOn w:val="DefaultParagraphFont"/>
    <w:link w:val="CommentText"/>
    <w:uiPriority w:val="99"/>
    <w:rsid w:val="00BA489F"/>
    <w:rPr>
      <w:color w:val="232B39" w:themeColor="text1"/>
    </w:rPr>
  </w:style>
  <w:style w:type="paragraph" w:styleId="CommentSubject">
    <w:name w:val="annotation subject"/>
    <w:basedOn w:val="CommentText"/>
    <w:next w:val="CommentText"/>
    <w:link w:val="CommentSubjectChar"/>
    <w:uiPriority w:val="99"/>
    <w:semiHidden/>
    <w:unhideWhenUsed/>
    <w:rsid w:val="00BA489F"/>
    <w:rPr>
      <w:b/>
      <w:bCs/>
    </w:rPr>
  </w:style>
  <w:style w:type="character" w:customStyle="1" w:styleId="CommentSubjectChar">
    <w:name w:val="Comment Subject Char"/>
    <w:basedOn w:val="CommentTextChar"/>
    <w:link w:val="CommentSubject"/>
    <w:uiPriority w:val="99"/>
    <w:semiHidden/>
    <w:rsid w:val="00BA489F"/>
    <w:rPr>
      <w:b/>
      <w:bCs/>
      <w:color w:val="232B39" w:themeColor="text1"/>
    </w:rPr>
  </w:style>
  <w:style w:type="paragraph" w:customStyle="1" w:styleId="Quotesource">
    <w:name w:val="Quote source"/>
    <w:basedOn w:val="Quote"/>
    <w:qFormat/>
    <w:rsid w:val="001B5F0F"/>
    <w:rPr>
      <w:i w:val="0"/>
      <w:iCs w:val="0"/>
      <w:sz w:val="16"/>
      <w:szCs w:val="16"/>
    </w:rPr>
  </w:style>
  <w:style w:type="table" w:styleId="ListTable3-Accent1">
    <w:name w:val="List Table 3 Accent 1"/>
    <w:basedOn w:val="TableNormal"/>
    <w:uiPriority w:val="48"/>
    <w:rsid w:val="00261A87"/>
    <w:pPr>
      <w:spacing w:after="0" w:line="240" w:lineRule="auto"/>
    </w:pPr>
    <w:tblPr>
      <w:tblStyleRowBandSize w:val="1"/>
      <w:tblStyleColBandSize w:val="1"/>
      <w:tblBorders>
        <w:top w:val="single" w:sz="4" w:space="0" w:color="00BAC7" w:themeColor="accent1"/>
        <w:left w:val="single" w:sz="4" w:space="0" w:color="00BAC7" w:themeColor="accent1"/>
        <w:bottom w:val="single" w:sz="4" w:space="0" w:color="00BAC7" w:themeColor="accent1"/>
        <w:right w:val="single" w:sz="4" w:space="0" w:color="00BAC7" w:themeColor="accent1"/>
      </w:tblBorders>
    </w:tblPr>
    <w:tblStylePr w:type="firstRow">
      <w:rPr>
        <w:b/>
        <w:bCs/>
        <w:color w:val="FFFFFF" w:themeColor="background1"/>
      </w:rPr>
      <w:tblPr/>
      <w:tcPr>
        <w:shd w:val="clear" w:color="auto" w:fill="00BAC7" w:themeFill="accent1"/>
      </w:tcPr>
    </w:tblStylePr>
    <w:tblStylePr w:type="lastRow">
      <w:rPr>
        <w:b/>
        <w:bCs/>
      </w:rPr>
      <w:tblPr/>
      <w:tcPr>
        <w:tcBorders>
          <w:top w:val="double" w:sz="4" w:space="0" w:color="00BA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AC7" w:themeColor="accent1"/>
          <w:right w:val="single" w:sz="4" w:space="0" w:color="00BAC7" w:themeColor="accent1"/>
        </w:tcBorders>
      </w:tcPr>
    </w:tblStylePr>
    <w:tblStylePr w:type="band1Horz">
      <w:tblPr/>
      <w:tcPr>
        <w:tcBorders>
          <w:top w:val="single" w:sz="4" w:space="0" w:color="00BAC7" w:themeColor="accent1"/>
          <w:bottom w:val="single" w:sz="4" w:space="0" w:color="00BA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AC7" w:themeColor="accent1"/>
          <w:left w:val="nil"/>
        </w:tcBorders>
      </w:tcPr>
    </w:tblStylePr>
    <w:tblStylePr w:type="swCell">
      <w:tblPr/>
      <w:tcPr>
        <w:tcBorders>
          <w:top w:val="double" w:sz="4" w:space="0" w:color="00BAC7" w:themeColor="accent1"/>
          <w:right w:val="nil"/>
        </w:tcBorders>
      </w:tcPr>
    </w:tblStylePr>
  </w:style>
  <w:style w:type="paragraph" w:customStyle="1" w:styleId="Quotebullet">
    <w:name w:val="Quote bullet"/>
    <w:basedOn w:val="Quote"/>
    <w:qFormat/>
    <w:rsid w:val="00187E9A"/>
    <w:pPr>
      <w:numPr>
        <w:numId w:val="41"/>
      </w:numPr>
      <w:ind w:left="288" w:hanging="288"/>
    </w:pPr>
  </w:style>
  <w:style w:type="paragraph" w:styleId="NormalWeb">
    <w:name w:val="Normal (Web)"/>
    <w:basedOn w:val="Normal"/>
    <w:uiPriority w:val="99"/>
    <w:semiHidden/>
    <w:unhideWhenUsed/>
    <w:rsid w:val="00DC198C"/>
    <w:pPr>
      <w:keepLine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dnoteText">
    <w:name w:val="endnote text"/>
    <w:basedOn w:val="Normal"/>
    <w:link w:val="EndnoteTextChar"/>
    <w:uiPriority w:val="99"/>
    <w:semiHidden/>
    <w:unhideWhenUsed/>
    <w:rsid w:val="008D2742"/>
    <w:pPr>
      <w:spacing w:before="60" w:after="0" w:line="240" w:lineRule="auto"/>
    </w:pPr>
    <w:rPr>
      <w:sz w:val="16"/>
    </w:rPr>
  </w:style>
  <w:style w:type="character" w:customStyle="1" w:styleId="EndnoteTextChar">
    <w:name w:val="Endnote Text Char"/>
    <w:basedOn w:val="DefaultParagraphFont"/>
    <w:link w:val="EndnoteText"/>
    <w:uiPriority w:val="99"/>
    <w:semiHidden/>
    <w:rsid w:val="008D2742"/>
    <w:rPr>
      <w:color w:val="232B39" w:themeColor="text1"/>
      <w:sz w:val="16"/>
    </w:rPr>
  </w:style>
  <w:style w:type="character" w:styleId="EndnoteReference">
    <w:name w:val="endnote reference"/>
    <w:basedOn w:val="DefaultParagraphFont"/>
    <w:uiPriority w:val="99"/>
    <w:semiHidden/>
    <w:unhideWhenUsed/>
    <w:rsid w:val="005A5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0784">
      <w:bodyDiv w:val="1"/>
      <w:marLeft w:val="0"/>
      <w:marRight w:val="0"/>
      <w:marTop w:val="0"/>
      <w:marBottom w:val="0"/>
      <w:divBdr>
        <w:top w:val="none" w:sz="0" w:space="0" w:color="auto"/>
        <w:left w:val="none" w:sz="0" w:space="0" w:color="auto"/>
        <w:bottom w:val="none" w:sz="0" w:space="0" w:color="auto"/>
        <w:right w:val="none" w:sz="0" w:space="0" w:color="auto"/>
      </w:divBdr>
    </w:div>
    <w:div w:id="222835444">
      <w:bodyDiv w:val="1"/>
      <w:marLeft w:val="0"/>
      <w:marRight w:val="0"/>
      <w:marTop w:val="0"/>
      <w:marBottom w:val="0"/>
      <w:divBdr>
        <w:top w:val="none" w:sz="0" w:space="0" w:color="auto"/>
        <w:left w:val="none" w:sz="0" w:space="0" w:color="auto"/>
        <w:bottom w:val="none" w:sz="0" w:space="0" w:color="auto"/>
        <w:right w:val="none" w:sz="0" w:space="0" w:color="auto"/>
      </w:divBdr>
      <w:divsChild>
        <w:div w:id="1401442497">
          <w:marLeft w:val="0"/>
          <w:marRight w:val="0"/>
          <w:marTop w:val="0"/>
          <w:marBottom w:val="0"/>
          <w:divBdr>
            <w:top w:val="none" w:sz="0" w:space="0" w:color="auto"/>
            <w:left w:val="none" w:sz="0" w:space="0" w:color="auto"/>
            <w:bottom w:val="none" w:sz="0" w:space="0" w:color="auto"/>
            <w:right w:val="none" w:sz="0" w:space="0" w:color="auto"/>
          </w:divBdr>
        </w:div>
      </w:divsChild>
    </w:div>
    <w:div w:id="305866304">
      <w:bodyDiv w:val="1"/>
      <w:marLeft w:val="0"/>
      <w:marRight w:val="0"/>
      <w:marTop w:val="0"/>
      <w:marBottom w:val="0"/>
      <w:divBdr>
        <w:top w:val="none" w:sz="0" w:space="0" w:color="auto"/>
        <w:left w:val="none" w:sz="0" w:space="0" w:color="auto"/>
        <w:bottom w:val="none" w:sz="0" w:space="0" w:color="auto"/>
        <w:right w:val="none" w:sz="0" w:space="0" w:color="auto"/>
      </w:divBdr>
      <w:divsChild>
        <w:div w:id="1200124129">
          <w:marLeft w:val="0"/>
          <w:marRight w:val="0"/>
          <w:marTop w:val="0"/>
          <w:marBottom w:val="0"/>
          <w:divBdr>
            <w:top w:val="none" w:sz="0" w:space="0" w:color="auto"/>
            <w:left w:val="none" w:sz="0" w:space="0" w:color="auto"/>
            <w:bottom w:val="none" w:sz="0" w:space="0" w:color="auto"/>
            <w:right w:val="none" w:sz="0" w:space="0" w:color="auto"/>
          </w:divBdr>
        </w:div>
      </w:divsChild>
    </w:div>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25422393">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788208837">
      <w:bodyDiv w:val="1"/>
      <w:marLeft w:val="0"/>
      <w:marRight w:val="0"/>
      <w:marTop w:val="0"/>
      <w:marBottom w:val="0"/>
      <w:divBdr>
        <w:top w:val="none" w:sz="0" w:space="0" w:color="auto"/>
        <w:left w:val="none" w:sz="0" w:space="0" w:color="auto"/>
        <w:bottom w:val="none" w:sz="0" w:space="0" w:color="auto"/>
        <w:right w:val="none" w:sz="0" w:space="0" w:color="auto"/>
      </w:divBdr>
    </w:div>
    <w:div w:id="828669421">
      <w:bodyDiv w:val="1"/>
      <w:marLeft w:val="0"/>
      <w:marRight w:val="0"/>
      <w:marTop w:val="0"/>
      <w:marBottom w:val="0"/>
      <w:divBdr>
        <w:top w:val="none" w:sz="0" w:space="0" w:color="auto"/>
        <w:left w:val="none" w:sz="0" w:space="0" w:color="auto"/>
        <w:bottom w:val="none" w:sz="0" w:space="0" w:color="auto"/>
        <w:right w:val="none" w:sz="0" w:space="0" w:color="auto"/>
      </w:divBdr>
    </w:div>
    <w:div w:id="946547479">
      <w:bodyDiv w:val="1"/>
      <w:marLeft w:val="0"/>
      <w:marRight w:val="0"/>
      <w:marTop w:val="0"/>
      <w:marBottom w:val="0"/>
      <w:divBdr>
        <w:top w:val="none" w:sz="0" w:space="0" w:color="auto"/>
        <w:left w:val="none" w:sz="0" w:space="0" w:color="auto"/>
        <w:bottom w:val="none" w:sz="0" w:space="0" w:color="auto"/>
        <w:right w:val="none" w:sz="0" w:space="0" w:color="auto"/>
      </w:divBdr>
    </w:div>
    <w:div w:id="1026635660">
      <w:bodyDiv w:val="1"/>
      <w:marLeft w:val="0"/>
      <w:marRight w:val="0"/>
      <w:marTop w:val="0"/>
      <w:marBottom w:val="0"/>
      <w:divBdr>
        <w:top w:val="none" w:sz="0" w:space="0" w:color="auto"/>
        <w:left w:val="none" w:sz="0" w:space="0" w:color="auto"/>
        <w:bottom w:val="none" w:sz="0" w:space="0" w:color="auto"/>
        <w:right w:val="none" w:sz="0" w:space="0" w:color="auto"/>
      </w:divBdr>
    </w:div>
    <w:div w:id="1053776217">
      <w:bodyDiv w:val="1"/>
      <w:marLeft w:val="0"/>
      <w:marRight w:val="0"/>
      <w:marTop w:val="0"/>
      <w:marBottom w:val="0"/>
      <w:divBdr>
        <w:top w:val="none" w:sz="0" w:space="0" w:color="auto"/>
        <w:left w:val="none" w:sz="0" w:space="0" w:color="auto"/>
        <w:bottom w:val="none" w:sz="0" w:space="0" w:color="auto"/>
        <w:right w:val="none" w:sz="0" w:space="0" w:color="auto"/>
      </w:divBdr>
    </w:div>
    <w:div w:id="1112017328">
      <w:bodyDiv w:val="1"/>
      <w:marLeft w:val="0"/>
      <w:marRight w:val="0"/>
      <w:marTop w:val="0"/>
      <w:marBottom w:val="0"/>
      <w:divBdr>
        <w:top w:val="none" w:sz="0" w:space="0" w:color="auto"/>
        <w:left w:val="none" w:sz="0" w:space="0" w:color="auto"/>
        <w:bottom w:val="none" w:sz="0" w:space="0" w:color="auto"/>
        <w:right w:val="none" w:sz="0" w:space="0" w:color="auto"/>
      </w:divBdr>
    </w:div>
    <w:div w:id="1300650601">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722250117">
      <w:bodyDiv w:val="1"/>
      <w:marLeft w:val="0"/>
      <w:marRight w:val="0"/>
      <w:marTop w:val="0"/>
      <w:marBottom w:val="0"/>
      <w:divBdr>
        <w:top w:val="none" w:sz="0" w:space="0" w:color="auto"/>
        <w:left w:val="none" w:sz="0" w:space="0" w:color="auto"/>
        <w:bottom w:val="none" w:sz="0" w:space="0" w:color="auto"/>
        <w:right w:val="none" w:sz="0" w:space="0" w:color="auto"/>
      </w:divBdr>
    </w:div>
    <w:div w:id="1736586436">
      <w:bodyDiv w:val="1"/>
      <w:marLeft w:val="0"/>
      <w:marRight w:val="0"/>
      <w:marTop w:val="0"/>
      <w:marBottom w:val="0"/>
      <w:divBdr>
        <w:top w:val="none" w:sz="0" w:space="0" w:color="auto"/>
        <w:left w:val="none" w:sz="0" w:space="0" w:color="auto"/>
        <w:bottom w:val="none" w:sz="0" w:space="0" w:color="auto"/>
        <w:right w:val="none" w:sz="0" w:space="0" w:color="auto"/>
      </w:divBdr>
      <w:divsChild>
        <w:div w:id="965740873">
          <w:marLeft w:val="0"/>
          <w:marRight w:val="0"/>
          <w:marTop w:val="0"/>
          <w:marBottom w:val="0"/>
          <w:divBdr>
            <w:top w:val="none" w:sz="0" w:space="0" w:color="auto"/>
            <w:left w:val="none" w:sz="0" w:space="0" w:color="auto"/>
            <w:bottom w:val="none" w:sz="0" w:space="0" w:color="auto"/>
            <w:right w:val="none" w:sz="0" w:space="0" w:color="auto"/>
          </w:divBdr>
        </w:div>
      </w:divsChild>
    </w:div>
    <w:div w:id="1753550470">
      <w:bodyDiv w:val="1"/>
      <w:marLeft w:val="0"/>
      <w:marRight w:val="0"/>
      <w:marTop w:val="0"/>
      <w:marBottom w:val="0"/>
      <w:divBdr>
        <w:top w:val="none" w:sz="0" w:space="0" w:color="auto"/>
        <w:left w:val="none" w:sz="0" w:space="0" w:color="auto"/>
        <w:bottom w:val="none" w:sz="0" w:space="0" w:color="auto"/>
        <w:right w:val="none" w:sz="0" w:space="0" w:color="auto"/>
      </w:divBdr>
    </w:div>
    <w:div w:id="1780105687">
      <w:bodyDiv w:val="1"/>
      <w:marLeft w:val="0"/>
      <w:marRight w:val="0"/>
      <w:marTop w:val="0"/>
      <w:marBottom w:val="0"/>
      <w:divBdr>
        <w:top w:val="none" w:sz="0" w:space="0" w:color="auto"/>
        <w:left w:val="none" w:sz="0" w:space="0" w:color="auto"/>
        <w:bottom w:val="none" w:sz="0" w:space="0" w:color="auto"/>
        <w:right w:val="none" w:sz="0" w:space="0" w:color="auto"/>
      </w:divBdr>
    </w:div>
    <w:div w:id="1900901982">
      <w:bodyDiv w:val="1"/>
      <w:marLeft w:val="0"/>
      <w:marRight w:val="0"/>
      <w:marTop w:val="0"/>
      <w:marBottom w:val="0"/>
      <w:divBdr>
        <w:top w:val="none" w:sz="0" w:space="0" w:color="auto"/>
        <w:left w:val="none" w:sz="0" w:space="0" w:color="auto"/>
        <w:bottom w:val="none" w:sz="0" w:space="0" w:color="auto"/>
        <w:right w:val="none" w:sz="0" w:space="0" w:color="auto"/>
      </w:divBdr>
      <w:divsChild>
        <w:div w:id="1892031028">
          <w:marLeft w:val="547"/>
          <w:marRight w:val="0"/>
          <w:marTop w:val="0"/>
          <w:marBottom w:val="0"/>
          <w:divBdr>
            <w:top w:val="none" w:sz="0" w:space="0" w:color="auto"/>
            <w:left w:val="none" w:sz="0" w:space="0" w:color="auto"/>
            <w:bottom w:val="none" w:sz="0" w:space="0" w:color="auto"/>
            <w:right w:val="none" w:sz="0" w:space="0" w:color="auto"/>
          </w:divBdr>
        </w:div>
        <w:div w:id="599797433">
          <w:marLeft w:val="547"/>
          <w:marRight w:val="0"/>
          <w:marTop w:val="0"/>
          <w:marBottom w:val="0"/>
          <w:divBdr>
            <w:top w:val="none" w:sz="0" w:space="0" w:color="auto"/>
            <w:left w:val="none" w:sz="0" w:space="0" w:color="auto"/>
            <w:bottom w:val="none" w:sz="0" w:space="0" w:color="auto"/>
            <w:right w:val="none" w:sz="0" w:space="0" w:color="auto"/>
          </w:divBdr>
        </w:div>
        <w:div w:id="1233277104">
          <w:marLeft w:val="547"/>
          <w:marRight w:val="0"/>
          <w:marTop w:val="0"/>
          <w:marBottom w:val="0"/>
          <w:divBdr>
            <w:top w:val="none" w:sz="0" w:space="0" w:color="auto"/>
            <w:left w:val="none" w:sz="0" w:space="0" w:color="auto"/>
            <w:bottom w:val="none" w:sz="0" w:space="0" w:color="auto"/>
            <w:right w:val="none" w:sz="0" w:space="0" w:color="auto"/>
          </w:divBdr>
        </w:div>
        <w:div w:id="1544101876">
          <w:marLeft w:val="547"/>
          <w:marRight w:val="0"/>
          <w:marTop w:val="0"/>
          <w:marBottom w:val="0"/>
          <w:divBdr>
            <w:top w:val="none" w:sz="0" w:space="0" w:color="auto"/>
            <w:left w:val="none" w:sz="0" w:space="0" w:color="auto"/>
            <w:bottom w:val="none" w:sz="0" w:space="0" w:color="auto"/>
            <w:right w:val="none" w:sz="0" w:space="0" w:color="auto"/>
          </w:divBdr>
        </w:div>
      </w:divsChild>
    </w:div>
    <w:div w:id="1923172384">
      <w:bodyDiv w:val="1"/>
      <w:marLeft w:val="0"/>
      <w:marRight w:val="0"/>
      <w:marTop w:val="0"/>
      <w:marBottom w:val="0"/>
      <w:divBdr>
        <w:top w:val="none" w:sz="0" w:space="0" w:color="auto"/>
        <w:left w:val="none" w:sz="0" w:space="0" w:color="auto"/>
        <w:bottom w:val="none" w:sz="0" w:space="0" w:color="auto"/>
        <w:right w:val="none" w:sz="0" w:space="0" w:color="auto"/>
      </w:divBdr>
      <w:divsChild>
        <w:div w:id="165247858">
          <w:marLeft w:val="0"/>
          <w:marRight w:val="0"/>
          <w:marTop w:val="0"/>
          <w:marBottom w:val="0"/>
          <w:divBdr>
            <w:top w:val="none" w:sz="0" w:space="0" w:color="auto"/>
            <w:left w:val="none" w:sz="0" w:space="0" w:color="auto"/>
            <w:bottom w:val="none" w:sz="0" w:space="0" w:color="auto"/>
            <w:right w:val="none" w:sz="0" w:space="0" w:color="auto"/>
          </w:divBdr>
        </w:div>
      </w:divsChild>
    </w:div>
    <w:div w:id="2073500947">
      <w:bodyDiv w:val="1"/>
      <w:marLeft w:val="0"/>
      <w:marRight w:val="0"/>
      <w:marTop w:val="0"/>
      <w:marBottom w:val="0"/>
      <w:divBdr>
        <w:top w:val="none" w:sz="0" w:space="0" w:color="auto"/>
        <w:left w:val="none" w:sz="0" w:space="0" w:color="auto"/>
        <w:bottom w:val="none" w:sz="0" w:space="0" w:color="auto"/>
        <w:right w:val="none" w:sz="0" w:space="0" w:color="auto"/>
      </w:divBdr>
    </w:div>
    <w:div w:id="2110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12881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dtf.vic.gov.au/sites/default/files/document/Impact%20investment%20-%20The%20COMPASS%20Experience%20-%20Anglicare%20Victoria%20s%20experience%20in%20raising%20capital%20for%20the%20Compass%20Social%20Impact%20Bond.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yperlink" Target="https://impactinvestingaustralia.com/interested-in-invest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ocialventures.com.au/assets/Side-by-Side-Social-Impact-Bond-Information-Memorandum.pdf" TargetMode="External"/><Relationship Id="rId33" Type="http://schemas.openxmlformats.org/officeDocument/2006/relationships/hyperlink" Target="https://www.impactinvestinghub.org/impact-investor-director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dtf.vic.gov.au/sites/default/files/document/Guidance%20for%20the%20social%20services%20sector%20on%20engaging%20investors%20-%20Social%20Ventures%20Australia.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mpassleavingcare.org.au/wp-content/uploads/2020/06/COMPASS-Information-Memo.pdf" TargetMode="External"/><Relationship Id="rId32" Type="http://schemas.openxmlformats.org/officeDocument/2006/relationships/hyperlink" Target="https://www.socialventures.com.au/assets/Side-by-Side-Social-Impact-Bond-Information-Memorandum.pdf" TargetMode="External"/><Relationship Id="rId37"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s://www.dtf.vic.gov.au/sites/default/files/document/Guidance%20for%20the%20social%20services%20sector%20on%20engaging%20investors%20-%20Social%20Ventures%20Australia.PDF" TargetMode="External"/><Relationship Id="rId36" Type="http://schemas.openxmlformats.org/officeDocument/2006/relationships/hyperlink" Target="mailto:matt.donoghue@dtf.vic.gov.au"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compassleavingcare.org.au/wp-content/uploads/2020/06/COMPASS-Information-Memo.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dtf.vic.gov.au/sites/default/files/document/Impact%20investment%20-%20The%20COMPASS%20Experience%20-%20Anglicare%20Victoria%20s%20experience%20in%20raising%20capital%20for%20the%20Compass%20Social%20Impact%20Bond.DOCX" TargetMode="External"/><Relationship Id="rId30" Type="http://schemas.openxmlformats.org/officeDocument/2006/relationships/hyperlink" Target="https://www.dtf.vic.gov.au/funds-programs-and-policies/partnerships-addressing-disadvantage" TargetMode="External"/><Relationship Id="rId35" Type="http://schemas.openxmlformats.org/officeDocument/2006/relationships/hyperlink" Target="https://vicgov-my.sharepoint.com/personal/karen_cheah_dtf_vic_gov_au/Documents/pads@dtf.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Fact%20sheet.dotm" TargetMode="External"/></Relationships>
</file>

<file path=word/theme/theme1.xml><?xml version="1.0" encoding="utf-8"?>
<a:theme xmlns:a="http://schemas.openxmlformats.org/drawingml/2006/main" name="Office Theme">
  <a:themeElements>
    <a:clrScheme name="DTF Teal">
      <a:dk1>
        <a:srgbClr val="232B39"/>
      </a:dk1>
      <a:lt1>
        <a:sysClr val="window" lastClr="FFFFFF"/>
      </a:lt1>
      <a:dk2>
        <a:srgbClr val="3A3467"/>
      </a:dk2>
      <a:lt2>
        <a:srgbClr val="A6E7EB"/>
      </a:lt2>
      <a:accent1>
        <a:srgbClr val="00BAC7"/>
      </a:accent1>
      <a:accent2>
        <a:srgbClr val="71D9E0"/>
      </a:accent2>
      <a:accent3>
        <a:srgbClr val="4C9E61"/>
      </a:accent3>
      <a:accent4>
        <a:srgbClr val="009CA7"/>
      </a:accent4>
      <a:accent5>
        <a:srgbClr val="D3D5D7"/>
      </a:accent5>
      <a:accent6>
        <a:srgbClr val="F6884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8" ma:contentTypeDescription="Create a new document." ma:contentTypeScope="" ma:versionID="c9c68b040bd48731cdae6758973dbdf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9b6e12f9c41e4847285b3153f182a5f"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b0d6e9-e99b-40a9-aaa3-9b8d7d95b219">
      <UserInfo>
        <DisplayName>Liam Jackson (DTF)</DisplayName>
        <AccountId>435</AccountId>
        <AccountType/>
      </UserInfo>
      <UserInfo>
        <DisplayName>Hugh D Macintosh (DTF)</DisplayName>
        <AccountId>446</AccountId>
        <AccountType/>
      </UserInfo>
    </SharedWithUsers>
    <TaxCatchAll xmlns="15b0d6e9-e99b-40a9-aaa3-9b8d7d95b219" xsi:nil="true"/>
    <lcf76f155ced4ddcb4097134ff3c332f xmlns="51fffbad-fc14-48aa-b0d1-9be411fd36c8">
      <Terms xmlns="http://schemas.microsoft.com/office/infopath/2007/PartnerControls"/>
    </lcf76f155ced4ddcb4097134ff3c332f>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9DDDBD6-D287-4D18-A978-D4AA4FAA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29B0F-8739-4DC1-9474-90CE3A47FBDA}">
  <ds:schemaRefs>
    <ds:schemaRef ds:uri="http://schemas.microsoft.com/office/2006/metadata/properties"/>
    <ds:schemaRef ds:uri="http://schemas.microsoft.com/office/infopath/2007/PartnerControls"/>
    <ds:schemaRef ds:uri="15b0d6e9-e99b-40a9-aaa3-9b8d7d95b219"/>
    <ds:schemaRef ds:uri="51fffbad-fc14-48aa-b0d1-9be411fd36c8"/>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6B979051-017B-4124-B48D-B72A3F44B263}">
  <ds:schemaRefs>
    <ds:schemaRef ds:uri="http://schemas.microsoft.com/sharepoint/v3/contenttype/forms"/>
  </ds:schemaRefs>
</ds:datastoreItem>
</file>

<file path=customXml/itemProps4.xml><?xml version="1.0" encoding="utf-8"?>
<ds:datastoreItem xmlns:ds="http://schemas.openxmlformats.org/officeDocument/2006/customXml" ds:itemID="{8D2BDAD3-6C26-4570-9B53-FA9DFE8FCDD7}">
  <ds:schemaRefs>
    <ds:schemaRef ds:uri="http://schemas.openxmlformats.org/officeDocument/2006/bibliography"/>
  </ds:schemaRefs>
</ds:datastoreItem>
</file>

<file path=customXml/itemProps5.xml><?xml version="1.0" encoding="utf-8"?>
<ds:datastoreItem xmlns:ds="http://schemas.openxmlformats.org/officeDocument/2006/customXml" ds:itemID="{D663B164-C6C6-4870-8D2D-5CE11DF0F0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Fact sheet.dotm</Template>
  <TotalTime>3</TotalTime>
  <Pages>8</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17746</CharactersWithSpaces>
  <SharedDoc>false</SharedDoc>
  <HLinks>
    <vt:vector size="60" baseType="variant">
      <vt:variant>
        <vt:i4>6422640</vt:i4>
      </vt:variant>
      <vt:variant>
        <vt:i4>24</vt:i4>
      </vt:variant>
      <vt:variant>
        <vt:i4>0</vt:i4>
      </vt:variant>
      <vt:variant>
        <vt:i4>5</vt:i4>
      </vt:variant>
      <vt:variant>
        <vt:lpwstr>mailto:</vt:lpwstr>
      </vt:variant>
      <vt:variant>
        <vt:lpwstr/>
      </vt:variant>
      <vt:variant>
        <vt:i4>4128859</vt:i4>
      </vt:variant>
      <vt:variant>
        <vt:i4>21</vt:i4>
      </vt:variant>
      <vt:variant>
        <vt:i4>0</vt:i4>
      </vt:variant>
      <vt:variant>
        <vt:i4>5</vt:i4>
      </vt:variant>
      <vt:variant>
        <vt:lpwstr>mailto:matt.donoghue@dtf.vic.gov.au</vt:lpwstr>
      </vt:variant>
      <vt:variant>
        <vt:lpwstr/>
      </vt:variant>
      <vt:variant>
        <vt:i4>3080290</vt:i4>
      </vt:variant>
      <vt:variant>
        <vt:i4>18</vt:i4>
      </vt:variant>
      <vt:variant>
        <vt:i4>0</vt:i4>
      </vt:variant>
      <vt:variant>
        <vt:i4>5</vt:i4>
      </vt:variant>
      <vt:variant>
        <vt:lpwstr>https://vicgov-my.sharepoint.com/personal/karen_cheah_dtf_vic_gov_au/Documents/pads@dtf.vic.gov.au</vt:lpwstr>
      </vt:variant>
      <vt:variant>
        <vt:lpwstr/>
      </vt:variant>
      <vt:variant>
        <vt:i4>4390932</vt:i4>
      </vt:variant>
      <vt:variant>
        <vt:i4>15</vt:i4>
      </vt:variant>
      <vt:variant>
        <vt:i4>0</vt:i4>
      </vt:variant>
      <vt:variant>
        <vt:i4>5</vt:i4>
      </vt:variant>
      <vt:variant>
        <vt:lpwstr>https://impactinvestingaustralia.com/interested-in-investing/</vt:lpwstr>
      </vt:variant>
      <vt:variant>
        <vt:lpwstr/>
      </vt:variant>
      <vt:variant>
        <vt:i4>1703938</vt:i4>
      </vt:variant>
      <vt:variant>
        <vt:i4>12</vt:i4>
      </vt:variant>
      <vt:variant>
        <vt:i4>0</vt:i4>
      </vt:variant>
      <vt:variant>
        <vt:i4>5</vt:i4>
      </vt:variant>
      <vt:variant>
        <vt:lpwstr>https://www.impactinvestinghub.org/impact-investor-directory</vt:lpwstr>
      </vt:variant>
      <vt:variant>
        <vt:lpwstr/>
      </vt:variant>
      <vt:variant>
        <vt:i4>6291560</vt:i4>
      </vt:variant>
      <vt:variant>
        <vt:i4>9</vt:i4>
      </vt:variant>
      <vt:variant>
        <vt:i4>0</vt:i4>
      </vt:variant>
      <vt:variant>
        <vt:i4>5</vt:i4>
      </vt:variant>
      <vt:variant>
        <vt:lpwstr>https://www.socialventures.com.au/assets/Side-by-Side-Social-Impact-Bond-Information-Memorandum.pdf</vt:lpwstr>
      </vt:variant>
      <vt:variant>
        <vt:lpwstr/>
      </vt:variant>
      <vt:variant>
        <vt:i4>983069</vt:i4>
      </vt:variant>
      <vt:variant>
        <vt:i4>6</vt:i4>
      </vt:variant>
      <vt:variant>
        <vt:i4>0</vt:i4>
      </vt:variant>
      <vt:variant>
        <vt:i4>5</vt:i4>
      </vt:variant>
      <vt:variant>
        <vt:lpwstr>https://compassleavingcare.org.au/wp-content/uploads/2020/06/COMPASS-Information-Memo.pdf</vt:lpwstr>
      </vt:variant>
      <vt:variant>
        <vt:lpwstr/>
      </vt:variant>
      <vt:variant>
        <vt:i4>2687035</vt:i4>
      </vt:variant>
      <vt:variant>
        <vt:i4>3</vt:i4>
      </vt:variant>
      <vt:variant>
        <vt:i4>0</vt:i4>
      </vt:variant>
      <vt:variant>
        <vt:i4>5</vt:i4>
      </vt:variant>
      <vt:variant>
        <vt:lpwstr>https://www.dtf.vic.gov.au/funds-programs-and-policies/partnerships-addressing-disadvantage</vt:lpwstr>
      </vt:variant>
      <vt:variant>
        <vt:lpwstr/>
      </vt:variant>
      <vt:variant>
        <vt:i4>6291560</vt:i4>
      </vt:variant>
      <vt:variant>
        <vt:i4>3</vt:i4>
      </vt:variant>
      <vt:variant>
        <vt:i4>0</vt:i4>
      </vt:variant>
      <vt:variant>
        <vt:i4>5</vt:i4>
      </vt:variant>
      <vt:variant>
        <vt:lpwstr>https://www.socialventures.com.au/assets/Side-by-Side-Social-Impact-Bond-Information-Memorandum.pdf</vt:lpwstr>
      </vt:variant>
      <vt:variant>
        <vt:lpwstr/>
      </vt:variant>
      <vt:variant>
        <vt:i4>983069</vt:i4>
      </vt:variant>
      <vt:variant>
        <vt:i4>0</vt:i4>
      </vt:variant>
      <vt:variant>
        <vt:i4>0</vt:i4>
      </vt:variant>
      <vt:variant>
        <vt:i4>5</vt:i4>
      </vt:variant>
      <vt:variant>
        <vt:lpwstr>https://compassleavingcare.org.au/wp-content/uploads/2020/06/COMPASS-Information-Memo.pdf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Jackson (DTF)</dc:creator>
  <cp:keywords/>
  <dc:description/>
  <cp:lastModifiedBy>Wei Ting Ji (DTF)</cp:lastModifiedBy>
  <cp:revision>3</cp:revision>
  <cp:lastPrinted>2024-08-08T01:18:00Z</cp:lastPrinted>
  <dcterms:created xsi:type="dcterms:W3CDTF">2024-08-08T01:17:00Z</dcterms:created>
  <dcterms:modified xsi:type="dcterms:W3CDTF">2024-08-08T01:19:00Z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ontentTypeId">
    <vt:lpwstr>0x010100D7F26E76F30CE34D9343016789D147A8</vt:lpwstr>
  </property>
  <property fmtid="{D5CDD505-2E9C-101B-9397-08002B2CF9AE}" pid="5" name="MediaServiceImageTags">
    <vt:lpwstr/>
  </property>
  <property fmtid="{D5CDD505-2E9C-101B-9397-08002B2CF9AE}" pid="6" name="MSIP_Label_bb4ee517-5ca4-4fff-98d2-ed4f906edd6d_Enabled">
    <vt:lpwstr>true</vt:lpwstr>
  </property>
  <property fmtid="{D5CDD505-2E9C-101B-9397-08002B2CF9AE}" pid="7" name="MSIP_Label_bb4ee517-5ca4-4fff-98d2-ed4f906edd6d_SetDate">
    <vt:lpwstr>2024-07-02T00:31:45Z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44a1725a-4083-4643-b2e2-e4b248d3e20d</vt:lpwstr>
  </property>
  <property fmtid="{D5CDD505-2E9C-101B-9397-08002B2CF9AE}" pid="12" name="MSIP_Label_bb4ee517-5ca4-4fff-98d2-ed4f906edd6d_ContentBits">
    <vt:lpwstr>0</vt:lpwstr>
  </property>
</Properties>
</file>