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lank"/>
        <w:tblpPr w:leftFromText="181" w:rightFromText="2268" w:tblpY="1"/>
        <w:tblOverlap w:val="never"/>
        <w:tblW w:w="9854" w:type="dxa"/>
        <w:tblInd w:w="0" w:type="dxa"/>
        <w:tblLook w:val="04A0" w:firstRow="1" w:lastRow="0" w:firstColumn="1" w:lastColumn="0" w:noHBand="0" w:noVBand="1"/>
      </w:tblPr>
      <w:tblGrid>
        <w:gridCol w:w="9854"/>
      </w:tblGrid>
      <w:tr w:rsidR="00595DDF" w14:paraId="5E277633" w14:textId="77777777" w:rsidTr="002A1D47">
        <w:trPr>
          <w:cantSplit/>
          <w:trHeight w:hRule="exact" w:val="2169"/>
        </w:trPr>
        <w:tc>
          <w:tcPr>
            <w:tcW w:w="9854" w:type="dxa"/>
            <w:vAlign w:val="bottom"/>
          </w:tcPr>
          <w:sdt>
            <w:sdtPr>
              <w:rPr>
                <w:b/>
                <w:bCs/>
                <w:sz w:val="64"/>
                <w:szCs w:val="64"/>
              </w:rPr>
              <w:alias w:val="Title"/>
              <w:tag w:val=""/>
              <w:id w:val="1022743039"/>
              <w:placeholder>
                <w:docPart w:val="A47FABC0A5564D36A5ED23C77DA6DD44"/>
              </w:placeholder>
              <w:dataBinding w:prefixMappings="xmlns:ns0='http://purl.org/dc/elements/1.1/' xmlns:ns1='http://schemas.openxmlformats.org/package/2006/metadata/core-properties' " w:xpath="/ns1:coreProperties[1]/ns0:title[1]" w:storeItemID="{6C3C8BC8-F283-45AE-878A-BAB7291924A1}"/>
              <w:text/>
            </w:sdtPr>
            <w:sdtEndPr/>
            <w:sdtContent>
              <w:p w14:paraId="77A3B36E" w14:textId="2F5BA1E9" w:rsidR="00595DDF" w:rsidRPr="009967BA" w:rsidRDefault="006421DE" w:rsidP="002A1D47">
                <w:pPr>
                  <w:pStyle w:val="Title"/>
                  <w:rPr>
                    <w:b/>
                    <w:bCs/>
                    <w:sz w:val="64"/>
                    <w:szCs w:val="64"/>
                  </w:rPr>
                </w:pPr>
                <w:r>
                  <w:rPr>
                    <w:b/>
                    <w:bCs/>
                    <w:sz w:val="64"/>
                    <w:szCs w:val="64"/>
                  </w:rPr>
                  <w:t>Implementing the Early Intervention Investment Framework</w:t>
                </w:r>
              </w:p>
            </w:sdtContent>
          </w:sdt>
        </w:tc>
      </w:tr>
    </w:tbl>
    <w:p w14:paraId="2AEE6A74" w14:textId="77777777" w:rsidR="00595DDF" w:rsidRDefault="00595DDF" w:rsidP="00595DDF">
      <w:pPr>
        <w:framePr w:w="6691" w:h="11340" w:hRule="exact" w:wrap="around" w:vAnchor="page" w:hAnchor="margin" w:y="4821" w:anchorLock="1"/>
      </w:pPr>
    </w:p>
    <w:sdt>
      <w:sdtPr>
        <w:id w:val="-1226289295"/>
        <w:picture/>
      </w:sdtPr>
      <w:sdtEndPr/>
      <w:sdtContent>
        <w:p w14:paraId="1776BB83" w14:textId="77777777" w:rsidR="00595DDF" w:rsidRDefault="00595DDF" w:rsidP="00595DDF">
          <w:pPr>
            <w:framePr w:w="6691" w:h="10490" w:hRule="exact" w:wrap="around" w:vAnchor="page" w:hAnchor="margin" w:y="4821" w:anchorLock="1"/>
          </w:pPr>
          <w:r>
            <w:rPr>
              <w:noProof/>
              <w:lang w:eastAsia="en-AU"/>
            </w:rPr>
            <w:drawing>
              <wp:inline distT="0" distB="0" distL="0" distR="0" wp14:anchorId="4A87807A" wp14:editId="4B58A12F">
                <wp:extent cx="4257049" cy="6681624"/>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r:embed="rId12"/>
                        <a:srcRect l="22" r="22"/>
                        <a:stretch>
                          <a:fillRect/>
                        </a:stretch>
                      </pic:blipFill>
                      <pic:spPr bwMode="auto">
                        <a:xfrm>
                          <a:off x="0" y="0"/>
                          <a:ext cx="4257049" cy="6681624"/>
                        </a:xfrm>
                        <a:prstGeom prst="rect">
                          <a:avLst/>
                        </a:prstGeom>
                        <a:noFill/>
                        <a:ln>
                          <a:noFill/>
                        </a:ln>
                        <a:extLst>
                          <a:ext uri="{53640926-AAD7-44D8-BBD7-CCE9431645EC}">
                            <a14:shadowObscured xmlns:a14="http://schemas.microsoft.com/office/drawing/2010/main"/>
                          </a:ext>
                        </a:extLst>
                      </pic:spPr>
                    </pic:pic>
                  </a:graphicData>
                </a:graphic>
              </wp:inline>
            </w:drawing>
          </w:r>
        </w:p>
      </w:sdtContent>
    </w:sdt>
    <w:p w14:paraId="41043C20" w14:textId="77777777" w:rsidR="00595DDF" w:rsidRPr="008B6C03" w:rsidRDefault="00595DDF" w:rsidP="00595DDF">
      <w:pPr>
        <w:pStyle w:val="Coverimage"/>
        <w:framePr w:wrap="around"/>
      </w:pPr>
    </w:p>
    <w:p w14:paraId="5A835F8E" w14:textId="77777777" w:rsidR="00595DDF" w:rsidRPr="008B6C03" w:rsidRDefault="00595DDF" w:rsidP="00595DDF"/>
    <w:p w14:paraId="7CF5B2CF" w14:textId="3A406FAD" w:rsidR="00595DDF" w:rsidRPr="005F1046" w:rsidRDefault="002707CB" w:rsidP="00200A5A">
      <w:pPr>
        <w:pStyle w:val="Subtitle"/>
        <w:framePr w:w="2971" w:wrap="around" w:x="8461" w:y="7336"/>
        <w:rPr>
          <w:rFonts w:ascii="Arial" w:hAnsi="Arial" w:cs="Arial"/>
        </w:rPr>
      </w:pPr>
      <w:sdt>
        <w:sdtPr>
          <w:rPr>
            <w:rFonts w:ascii="Arial" w:hAnsi="Arial" w:cs="Arial"/>
          </w:rPr>
          <w:alias w:val="Subject"/>
          <w:tag w:val=""/>
          <w:id w:val="1522584976"/>
          <w:placeholder>
            <w:docPart w:val="E2CAEB4BA1D147A7BAC822B38A14F6EE"/>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C6191" w:rsidRPr="005F1046">
            <w:rPr>
              <w:rFonts w:ascii="Arial" w:hAnsi="Arial" w:cs="Arial"/>
            </w:rPr>
            <w:t xml:space="preserve">A </w:t>
          </w:r>
          <w:r w:rsidR="00FC6191">
            <w:rPr>
              <w:rFonts w:ascii="Arial" w:hAnsi="Arial" w:cs="Arial"/>
            </w:rPr>
            <w:t>r</w:t>
          </w:r>
          <w:r w:rsidR="00FC6191" w:rsidRPr="005F1046">
            <w:rPr>
              <w:rFonts w:ascii="Arial" w:hAnsi="Arial" w:cs="Arial"/>
            </w:rPr>
            <w:t>eport to the Victorian Department of Treasury and Finance</w:t>
          </w:r>
        </w:sdtContent>
      </w:sdt>
    </w:p>
    <w:p w14:paraId="78D9A270" w14:textId="7DDD006B" w:rsidR="00595DDF" w:rsidRPr="00923452" w:rsidRDefault="002707CB" w:rsidP="00200A5A">
      <w:pPr>
        <w:pStyle w:val="CoverDetails"/>
        <w:framePr w:w="2971" w:wrap="around" w:x="8461" w:y="7336"/>
        <w:rPr>
          <w:sz w:val="24"/>
          <w:szCs w:val="32"/>
        </w:rPr>
      </w:pPr>
      <w:sdt>
        <w:sdtPr>
          <w:rPr>
            <w:rFonts w:ascii="Arial" w:hAnsi="Arial" w:cs="Arial"/>
            <w:b w:val="0"/>
            <w:bCs/>
            <w:sz w:val="24"/>
            <w:szCs w:val="32"/>
          </w:rPr>
          <w:id w:val="-1258827507"/>
          <w:placeholder>
            <w:docPart w:val="E6F135526A99419D87E548E087F470DC"/>
          </w:placeholder>
          <w:date w:fullDate="2022-05-10T00:00:00Z">
            <w:dateFormat w:val="d MMMM yyyy"/>
            <w:lid w:val="en-AU"/>
            <w:storeMappedDataAs w:val="dateTime"/>
            <w:calendar w:val="gregorian"/>
          </w:date>
        </w:sdtPr>
        <w:sdtEndPr/>
        <w:sdtContent>
          <w:r w:rsidR="00853A8A">
            <w:rPr>
              <w:rFonts w:ascii="Arial" w:hAnsi="Arial" w:cs="Arial"/>
              <w:b w:val="0"/>
              <w:bCs/>
              <w:sz w:val="24"/>
              <w:szCs w:val="32"/>
            </w:rPr>
            <w:t>10 May 2022</w:t>
          </w:r>
        </w:sdtContent>
      </w:sdt>
    </w:p>
    <w:p w14:paraId="107FBE01" w14:textId="2FBA13EA" w:rsidR="001A105D" w:rsidRPr="006C2899" w:rsidRDefault="00595DDF" w:rsidP="006C2899">
      <w:pPr>
        <w:pStyle w:val="BodyText"/>
        <w:rPr>
          <w:rFonts w:asciiTheme="majorHAnsi" w:eastAsiaTheme="majorEastAsia" w:hAnsiTheme="majorHAnsi" w:cstheme="majorBidi"/>
          <w:color w:val="44546A" w:themeColor="text2"/>
          <w:spacing w:val="-4"/>
          <w:szCs w:val="26"/>
        </w:rPr>
      </w:pPr>
      <w:r>
        <w:br w:type="page"/>
      </w:r>
    </w:p>
    <w:p w14:paraId="029C78D8" w14:textId="563D80B7" w:rsidR="00182E67" w:rsidRPr="009B1E99" w:rsidRDefault="725360C1" w:rsidP="00ED20EA">
      <w:pPr>
        <w:pStyle w:val="Heading1"/>
        <w:numPr>
          <w:ilvl w:val="0"/>
          <w:numId w:val="19"/>
        </w:numPr>
        <w:spacing w:before="0" w:line="276" w:lineRule="auto"/>
        <w:rPr>
          <w:rFonts w:ascii="Arial" w:eastAsia="Arial" w:hAnsi="Arial" w:cs="Arial"/>
          <w:sz w:val="28"/>
          <w:szCs w:val="28"/>
          <w:lang w:eastAsia="en-AU"/>
        </w:rPr>
      </w:pPr>
      <w:r w:rsidRPr="009B1E99">
        <w:rPr>
          <w:rFonts w:ascii="Arial" w:eastAsia="Arial" w:hAnsi="Arial" w:cs="Arial"/>
          <w:sz w:val="28"/>
          <w:szCs w:val="28"/>
          <w:lang w:eastAsia="en-AU"/>
        </w:rPr>
        <w:lastRenderedPageBreak/>
        <w:t>INTRODUCTION</w:t>
      </w:r>
    </w:p>
    <w:p w14:paraId="7A606C07" w14:textId="77777777" w:rsidR="00182E67" w:rsidRPr="008E44DA" w:rsidRDefault="00182E67" w:rsidP="00ED20EA">
      <w:pPr>
        <w:spacing w:line="276" w:lineRule="auto"/>
        <w:rPr>
          <w:rFonts w:ascii="Arial" w:eastAsia="Arial" w:hAnsi="Arial" w:cs="Arial"/>
          <w:lang w:eastAsia="en-AU"/>
        </w:rPr>
      </w:pPr>
    </w:p>
    <w:p w14:paraId="3F46DBA9" w14:textId="621FF022" w:rsidR="49F94D9F" w:rsidRPr="008E44DA" w:rsidRDefault="49F94D9F" w:rsidP="009B1E99">
      <w:pPr>
        <w:spacing w:line="276" w:lineRule="auto"/>
        <w:jc w:val="both"/>
        <w:rPr>
          <w:rFonts w:ascii="Arial" w:eastAsia="Arial" w:hAnsi="Arial" w:cs="Arial"/>
          <w:color w:val="201F1E"/>
          <w:sz w:val="22"/>
          <w:szCs w:val="22"/>
        </w:rPr>
      </w:pPr>
      <w:r w:rsidRPr="008E44DA">
        <w:rPr>
          <w:rFonts w:ascii="Arial" w:eastAsia="Arial" w:hAnsi="Arial" w:cs="Arial"/>
          <w:color w:val="201F1E"/>
          <w:sz w:val="22"/>
          <w:szCs w:val="22"/>
          <w:lang w:eastAsia="en-AU"/>
        </w:rPr>
        <w:t>The Victorian Department of Treasury and Finance (DTF) is implementing and refining the Early Intervention Investment Framework (EIIF), a new budgeting tool designed to guide investment in early intervention initiatives</w:t>
      </w:r>
      <w:r w:rsidR="00AE1E19">
        <w:rPr>
          <w:rFonts w:ascii="Arial" w:eastAsia="Arial" w:hAnsi="Arial" w:cs="Arial"/>
          <w:color w:val="201F1E"/>
          <w:sz w:val="22"/>
          <w:szCs w:val="22"/>
          <w:lang w:eastAsia="en-AU"/>
        </w:rPr>
        <w:t xml:space="preserve"> with rigorous quantification requirements</w:t>
      </w:r>
      <w:r w:rsidRPr="008E44DA">
        <w:rPr>
          <w:rFonts w:ascii="Arial" w:eastAsia="Arial" w:hAnsi="Arial" w:cs="Arial"/>
          <w:color w:val="201F1E"/>
          <w:sz w:val="22"/>
          <w:szCs w:val="22"/>
          <w:lang w:eastAsia="en-AU"/>
        </w:rPr>
        <w:t xml:space="preserve">. The EIIF </w:t>
      </w:r>
      <w:r w:rsidR="36B1B4F0" w:rsidRPr="008E44DA">
        <w:rPr>
          <w:rFonts w:ascii="Arial" w:eastAsia="Arial" w:hAnsi="Arial" w:cs="Arial"/>
          <w:color w:val="201F1E"/>
          <w:sz w:val="22"/>
          <w:szCs w:val="22"/>
        </w:rPr>
        <w:t xml:space="preserve">seeks to facilitate a robust evidence base for better decision-making and collaboratively developed, quality proposals that deliver </w:t>
      </w:r>
      <w:r w:rsidR="00AE1E19">
        <w:rPr>
          <w:rFonts w:ascii="Arial" w:eastAsia="Arial" w:hAnsi="Arial" w:cs="Arial"/>
          <w:color w:val="201F1E"/>
          <w:sz w:val="22"/>
          <w:szCs w:val="22"/>
        </w:rPr>
        <w:t>avoided</w:t>
      </w:r>
      <w:r w:rsidR="00AE1E19" w:rsidRPr="008E44DA">
        <w:rPr>
          <w:rFonts w:ascii="Arial" w:eastAsia="Arial" w:hAnsi="Arial" w:cs="Arial"/>
          <w:color w:val="201F1E"/>
          <w:sz w:val="22"/>
          <w:szCs w:val="22"/>
        </w:rPr>
        <w:t xml:space="preserve"> </w:t>
      </w:r>
      <w:r w:rsidR="36B1B4F0" w:rsidRPr="008E44DA">
        <w:rPr>
          <w:rFonts w:ascii="Arial" w:eastAsia="Arial" w:hAnsi="Arial" w:cs="Arial"/>
          <w:color w:val="201F1E"/>
          <w:sz w:val="22"/>
          <w:szCs w:val="22"/>
        </w:rPr>
        <w:t xml:space="preserve">costs and better outcomes for Victorians. </w:t>
      </w:r>
      <w:r w:rsidRPr="008E44DA">
        <w:rPr>
          <w:rFonts w:ascii="Arial" w:eastAsia="Arial" w:hAnsi="Arial" w:cs="Arial"/>
          <w:color w:val="201F1E"/>
          <w:sz w:val="22"/>
          <w:szCs w:val="22"/>
          <w:lang w:eastAsia="en-AU"/>
        </w:rPr>
        <w:t xml:space="preserve">DTF has engaged </w:t>
      </w:r>
      <w:r w:rsidR="00A30163" w:rsidRPr="008E44DA">
        <w:rPr>
          <w:rFonts w:ascii="Arial" w:eastAsia="Arial" w:hAnsi="Arial" w:cs="Arial"/>
          <w:color w:val="201F1E"/>
          <w:sz w:val="22"/>
          <w:szCs w:val="22"/>
          <w:lang w:eastAsia="en-AU"/>
        </w:rPr>
        <w:t>t</w:t>
      </w:r>
      <w:r w:rsidRPr="008E44DA">
        <w:rPr>
          <w:rFonts w:ascii="Arial" w:eastAsia="Arial" w:hAnsi="Arial" w:cs="Arial"/>
          <w:color w:val="201F1E"/>
          <w:sz w:val="22"/>
          <w:szCs w:val="22"/>
          <w:lang w:eastAsia="en-AU"/>
        </w:rPr>
        <w:t>he Australia and New Zealand School of Government (ANZSOG) to develop a resea</w:t>
      </w:r>
      <w:r w:rsidR="1C764F96" w:rsidRPr="008E44DA">
        <w:rPr>
          <w:rFonts w:ascii="Arial" w:eastAsia="Arial" w:hAnsi="Arial" w:cs="Arial"/>
          <w:color w:val="201F1E"/>
          <w:sz w:val="22"/>
          <w:szCs w:val="22"/>
          <w:lang w:eastAsia="en-AU"/>
        </w:rPr>
        <w:t>rch and practice paper to aid in the refinement</w:t>
      </w:r>
      <w:r w:rsidRPr="008E44DA">
        <w:rPr>
          <w:rFonts w:ascii="Arial" w:eastAsia="Arial" w:hAnsi="Arial" w:cs="Arial"/>
          <w:color w:val="201F1E"/>
          <w:sz w:val="22"/>
          <w:szCs w:val="22"/>
          <w:lang w:eastAsia="en-AU"/>
        </w:rPr>
        <w:t xml:space="preserve"> and implementation of the EIIF. </w:t>
      </w:r>
    </w:p>
    <w:p w14:paraId="46CBE76F" w14:textId="5F576FD7" w:rsidR="36B1B4F0" w:rsidRPr="008E44DA" w:rsidRDefault="36B1B4F0" w:rsidP="009B1E99">
      <w:pPr>
        <w:spacing w:line="276" w:lineRule="auto"/>
        <w:jc w:val="both"/>
        <w:rPr>
          <w:rFonts w:ascii="Arial" w:eastAsia="Arial" w:hAnsi="Arial" w:cs="Arial"/>
          <w:color w:val="201F1E"/>
          <w:sz w:val="22"/>
          <w:szCs w:val="22"/>
        </w:rPr>
      </w:pPr>
    </w:p>
    <w:p w14:paraId="12E07CFD" w14:textId="0E26EE46" w:rsidR="36B1B4F0" w:rsidRPr="008E44DA" w:rsidRDefault="36B1B4F0" w:rsidP="009B1E99">
      <w:pPr>
        <w:spacing w:line="276" w:lineRule="auto"/>
        <w:jc w:val="both"/>
        <w:rPr>
          <w:rFonts w:ascii="Arial" w:eastAsia="Arial" w:hAnsi="Arial" w:cs="Arial"/>
          <w:color w:val="201F1E"/>
          <w:sz w:val="22"/>
          <w:szCs w:val="22"/>
        </w:rPr>
      </w:pPr>
      <w:r w:rsidRPr="008E44DA">
        <w:rPr>
          <w:rFonts w:ascii="Arial" w:eastAsia="Arial" w:hAnsi="Arial" w:cs="Arial"/>
          <w:color w:val="201F1E"/>
          <w:sz w:val="22"/>
          <w:szCs w:val="22"/>
        </w:rPr>
        <w:t xml:space="preserve">This paper considers what the most effective </w:t>
      </w:r>
      <w:r w:rsidR="00046237">
        <w:rPr>
          <w:rFonts w:ascii="Arial" w:eastAsia="Arial" w:hAnsi="Arial" w:cs="Arial"/>
          <w:color w:val="201F1E"/>
          <w:sz w:val="22"/>
          <w:szCs w:val="22"/>
        </w:rPr>
        <w:t>feature</w:t>
      </w:r>
      <w:r w:rsidR="00AE1E19">
        <w:rPr>
          <w:rFonts w:ascii="Arial" w:eastAsia="Arial" w:hAnsi="Arial" w:cs="Arial"/>
          <w:color w:val="201F1E"/>
          <w:sz w:val="22"/>
          <w:szCs w:val="22"/>
        </w:rPr>
        <w:t>s</w:t>
      </w:r>
      <w:r w:rsidR="00046237">
        <w:rPr>
          <w:rFonts w:ascii="Arial" w:eastAsia="Arial" w:hAnsi="Arial" w:cs="Arial"/>
          <w:color w:val="201F1E"/>
          <w:sz w:val="22"/>
          <w:szCs w:val="22"/>
        </w:rPr>
        <w:t xml:space="preserve"> are for </w:t>
      </w:r>
      <w:r w:rsidR="00FC6191">
        <w:rPr>
          <w:rFonts w:ascii="Arial" w:eastAsia="Arial" w:hAnsi="Arial" w:cs="Arial"/>
          <w:color w:val="201F1E"/>
          <w:sz w:val="22"/>
          <w:szCs w:val="22"/>
        </w:rPr>
        <w:t xml:space="preserve">the </w:t>
      </w:r>
      <w:r w:rsidRPr="008E44DA">
        <w:rPr>
          <w:rFonts w:ascii="Arial" w:eastAsia="Arial" w:hAnsi="Arial" w:cs="Arial"/>
          <w:color w:val="201F1E"/>
          <w:sz w:val="22"/>
          <w:szCs w:val="22"/>
        </w:rPr>
        <w:t xml:space="preserve">EIIF </w:t>
      </w:r>
      <w:r w:rsidR="00046237">
        <w:rPr>
          <w:rFonts w:ascii="Arial" w:eastAsia="Arial" w:hAnsi="Arial" w:cs="Arial"/>
          <w:color w:val="201F1E"/>
          <w:sz w:val="22"/>
          <w:szCs w:val="22"/>
        </w:rPr>
        <w:t>to support</w:t>
      </w:r>
      <w:r w:rsidRPr="008E44DA">
        <w:rPr>
          <w:rFonts w:ascii="Arial" w:eastAsia="Arial" w:hAnsi="Arial" w:cs="Arial"/>
          <w:color w:val="201F1E"/>
          <w:sz w:val="22"/>
          <w:szCs w:val="22"/>
        </w:rPr>
        <w:t xml:space="preserve"> budgetary decision making on long-term social services </w:t>
      </w:r>
      <w:r w:rsidR="00046237">
        <w:rPr>
          <w:rFonts w:ascii="Arial" w:eastAsia="Arial" w:hAnsi="Arial" w:cs="Arial"/>
          <w:color w:val="201F1E"/>
          <w:sz w:val="22"/>
          <w:szCs w:val="22"/>
        </w:rPr>
        <w:t>investments</w:t>
      </w:r>
      <w:r w:rsidRPr="008E44DA">
        <w:rPr>
          <w:rFonts w:ascii="Arial" w:eastAsia="Arial" w:hAnsi="Arial" w:cs="Arial"/>
          <w:color w:val="201F1E"/>
          <w:sz w:val="22"/>
          <w:szCs w:val="22"/>
        </w:rPr>
        <w:t>, and what is required to realise this. It does so with a focus on the feedback loop that exists between the technical aspects of the EIIF – the systems and tools within the</w:t>
      </w:r>
      <w:r w:rsidR="001103A1">
        <w:rPr>
          <w:rFonts w:ascii="Arial" w:eastAsia="Arial" w:hAnsi="Arial" w:cs="Arial"/>
          <w:color w:val="201F1E"/>
          <w:sz w:val="22"/>
          <w:szCs w:val="22"/>
        </w:rPr>
        <w:t xml:space="preserve"> budgeting process and broader </w:t>
      </w:r>
      <w:r w:rsidR="00D142BE">
        <w:rPr>
          <w:rFonts w:ascii="Arial" w:eastAsia="Arial" w:hAnsi="Arial" w:cs="Arial"/>
          <w:color w:val="201F1E"/>
          <w:sz w:val="22"/>
          <w:szCs w:val="22"/>
        </w:rPr>
        <w:t>g</w:t>
      </w:r>
      <w:r w:rsidRPr="008E44DA">
        <w:rPr>
          <w:rFonts w:ascii="Arial" w:eastAsia="Arial" w:hAnsi="Arial" w:cs="Arial"/>
          <w:color w:val="201F1E"/>
          <w:sz w:val="22"/>
          <w:szCs w:val="22"/>
        </w:rPr>
        <w:t>overnment – and organisational and individual behaviours and attitudes, as well as the changes that will support the implementation of the EIIF and continue to build it long-term.</w:t>
      </w:r>
    </w:p>
    <w:p w14:paraId="075C578F" w14:textId="264380CD" w:rsidR="00182E67" w:rsidRPr="008E44DA" w:rsidRDefault="00182E67" w:rsidP="009B1E99">
      <w:pPr>
        <w:spacing w:line="276" w:lineRule="auto"/>
        <w:jc w:val="both"/>
        <w:rPr>
          <w:rFonts w:ascii="Arial" w:eastAsia="Arial" w:hAnsi="Arial" w:cs="Arial"/>
          <w:color w:val="201F1E"/>
          <w:sz w:val="22"/>
          <w:szCs w:val="22"/>
          <w:lang w:eastAsia="en-AU"/>
        </w:rPr>
      </w:pPr>
    </w:p>
    <w:p w14:paraId="0EA76240" w14:textId="1FA0E38B" w:rsidR="00A237B5" w:rsidRPr="008E44DA" w:rsidRDefault="00753D03"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t>We have drawn</w:t>
      </w:r>
      <w:r w:rsidR="725360C1" w:rsidRPr="008E44DA">
        <w:rPr>
          <w:rFonts w:ascii="Arial" w:eastAsia="Arial" w:hAnsi="Arial" w:cs="Arial"/>
          <w:color w:val="201F1E"/>
          <w:sz w:val="22"/>
          <w:szCs w:val="22"/>
          <w:lang w:eastAsia="en-AU"/>
        </w:rPr>
        <w:t xml:space="preserve"> on </w:t>
      </w:r>
      <w:r w:rsidR="369F18B1" w:rsidRPr="008E44DA">
        <w:rPr>
          <w:rFonts w:ascii="Arial" w:eastAsia="Arial" w:hAnsi="Arial" w:cs="Arial"/>
          <w:color w:val="201F1E"/>
          <w:sz w:val="22"/>
          <w:szCs w:val="22"/>
        </w:rPr>
        <w:t xml:space="preserve">the government and budget experiences of ANZSOG staff, </w:t>
      </w:r>
      <w:r w:rsidR="725360C1" w:rsidRPr="008E44DA">
        <w:rPr>
          <w:rFonts w:ascii="Arial" w:eastAsia="Arial" w:hAnsi="Arial" w:cs="Arial"/>
          <w:color w:val="201F1E"/>
          <w:sz w:val="22"/>
          <w:szCs w:val="22"/>
        </w:rPr>
        <w:t>f</w:t>
      </w:r>
      <w:r w:rsidR="725360C1" w:rsidRPr="008E44DA">
        <w:rPr>
          <w:rFonts w:ascii="Arial" w:eastAsia="Arial" w:hAnsi="Arial" w:cs="Arial"/>
          <w:color w:val="201F1E"/>
          <w:sz w:val="22"/>
          <w:szCs w:val="22"/>
          <w:lang w:eastAsia="en-AU"/>
        </w:rPr>
        <w:t>indings from a high-level review of practitioner and scholarly literature</w:t>
      </w:r>
      <w:r w:rsidR="009679AC">
        <w:rPr>
          <w:rFonts w:ascii="Arial" w:eastAsia="Arial" w:hAnsi="Arial" w:cs="Arial"/>
          <w:color w:val="201F1E"/>
          <w:sz w:val="22"/>
          <w:szCs w:val="22"/>
          <w:lang w:eastAsia="en-AU"/>
        </w:rPr>
        <w:t xml:space="preserve"> (at Appendix 1)</w:t>
      </w:r>
      <w:r w:rsidR="725360C1" w:rsidRPr="008E44DA">
        <w:rPr>
          <w:rFonts w:ascii="Arial" w:eastAsia="Arial" w:hAnsi="Arial" w:cs="Arial"/>
          <w:color w:val="201F1E"/>
          <w:sz w:val="22"/>
          <w:szCs w:val="22"/>
          <w:lang w:eastAsia="en-AU"/>
        </w:rPr>
        <w:t xml:space="preserve"> </w:t>
      </w:r>
      <w:r w:rsidR="0C5CA3C5" w:rsidRPr="008E44DA">
        <w:rPr>
          <w:rFonts w:ascii="Arial" w:eastAsia="Arial" w:hAnsi="Arial" w:cs="Arial"/>
          <w:color w:val="201F1E"/>
          <w:sz w:val="22"/>
          <w:szCs w:val="22"/>
          <w:lang w:eastAsia="en-AU"/>
        </w:rPr>
        <w:t xml:space="preserve">and </w:t>
      </w:r>
      <w:r w:rsidR="725360C1" w:rsidRPr="008E44DA">
        <w:rPr>
          <w:rFonts w:ascii="Arial" w:eastAsia="Arial" w:hAnsi="Arial" w:cs="Arial"/>
          <w:color w:val="201F1E"/>
          <w:sz w:val="22"/>
          <w:szCs w:val="22"/>
          <w:lang w:eastAsia="en-AU"/>
        </w:rPr>
        <w:t>interviews from senior officials</w:t>
      </w:r>
      <w:r w:rsidR="00D3287F">
        <w:rPr>
          <w:rStyle w:val="FootnoteReference"/>
          <w:rFonts w:ascii="Arial" w:eastAsia="Arial" w:hAnsi="Arial" w:cs="Arial"/>
          <w:color w:val="201F1E"/>
          <w:sz w:val="22"/>
          <w:szCs w:val="22"/>
          <w:lang w:eastAsia="en-AU"/>
        </w:rPr>
        <w:footnoteReference w:id="2"/>
      </w:r>
      <w:r w:rsidR="725360C1" w:rsidRPr="008E44DA">
        <w:rPr>
          <w:rFonts w:ascii="Arial" w:eastAsia="Arial" w:hAnsi="Arial" w:cs="Arial"/>
          <w:color w:val="201F1E"/>
          <w:sz w:val="22"/>
          <w:szCs w:val="22"/>
          <w:lang w:eastAsia="en-AU"/>
        </w:rPr>
        <w:t xml:space="preserve"> from the Commonwealth</w:t>
      </w:r>
      <w:r w:rsidR="49F94D9F" w:rsidRPr="008E44DA">
        <w:rPr>
          <w:rFonts w:ascii="Arial" w:eastAsia="Arial" w:hAnsi="Arial" w:cs="Arial"/>
          <w:color w:val="201F1E"/>
          <w:sz w:val="22"/>
          <w:szCs w:val="22"/>
          <w:lang w:eastAsia="en-AU"/>
        </w:rPr>
        <w:t xml:space="preserve"> Department of Finance, Victorian Department of Treasury and Finance</w:t>
      </w:r>
      <w:r w:rsidR="725360C1" w:rsidRPr="008E44DA">
        <w:rPr>
          <w:rFonts w:ascii="Arial" w:eastAsia="Arial" w:hAnsi="Arial" w:cs="Arial"/>
          <w:color w:val="201F1E"/>
          <w:sz w:val="22"/>
          <w:szCs w:val="22"/>
          <w:lang w:eastAsia="en-AU"/>
        </w:rPr>
        <w:t>, New South Wales</w:t>
      </w:r>
      <w:r w:rsidR="49F94D9F" w:rsidRPr="008E44DA">
        <w:rPr>
          <w:rFonts w:ascii="Arial" w:eastAsia="Arial" w:hAnsi="Arial" w:cs="Arial"/>
          <w:color w:val="201F1E"/>
          <w:sz w:val="22"/>
          <w:szCs w:val="22"/>
          <w:lang w:eastAsia="en-AU"/>
        </w:rPr>
        <w:t xml:space="preserve"> Department of Treasury and </w:t>
      </w:r>
      <w:r w:rsidR="47460D17" w:rsidRPr="008E44DA">
        <w:rPr>
          <w:rFonts w:ascii="Arial" w:eastAsia="Arial" w:hAnsi="Arial" w:cs="Arial"/>
          <w:color w:val="000000" w:themeColor="text1"/>
          <w:sz w:val="22"/>
          <w:szCs w:val="22"/>
        </w:rPr>
        <w:t>Office of Social Impact Investment (OSII)</w:t>
      </w:r>
      <w:r w:rsidR="49F94D9F" w:rsidRPr="008E44DA">
        <w:rPr>
          <w:rFonts w:ascii="Arial" w:eastAsia="Arial" w:hAnsi="Arial" w:cs="Arial"/>
          <w:color w:val="201F1E"/>
          <w:sz w:val="22"/>
          <w:szCs w:val="22"/>
          <w:lang w:eastAsia="en-AU"/>
        </w:rPr>
        <w:t xml:space="preserve">, and New Zealand Department of Treasury </w:t>
      </w:r>
      <w:r w:rsidR="725360C1" w:rsidRPr="008E44DA">
        <w:rPr>
          <w:rFonts w:ascii="Arial" w:eastAsia="Arial" w:hAnsi="Arial" w:cs="Arial"/>
          <w:color w:val="201F1E"/>
          <w:sz w:val="22"/>
          <w:szCs w:val="22"/>
          <w:lang w:eastAsia="en-AU"/>
        </w:rPr>
        <w:t>who have direct knowledge</w:t>
      </w:r>
      <w:r w:rsidRPr="008E44DA">
        <w:rPr>
          <w:rFonts w:ascii="Arial" w:eastAsia="Arial" w:hAnsi="Arial" w:cs="Arial"/>
          <w:color w:val="201F1E"/>
          <w:sz w:val="22"/>
          <w:szCs w:val="22"/>
          <w:lang w:eastAsia="en-AU"/>
        </w:rPr>
        <w:t>,</w:t>
      </w:r>
      <w:r w:rsidR="725360C1" w:rsidRPr="008E44DA">
        <w:rPr>
          <w:rFonts w:ascii="Arial" w:eastAsia="Arial" w:hAnsi="Arial" w:cs="Arial"/>
          <w:color w:val="201F1E"/>
          <w:sz w:val="22"/>
          <w:szCs w:val="22"/>
          <w:lang w:eastAsia="en-AU"/>
        </w:rPr>
        <w:t xml:space="preserve"> </w:t>
      </w:r>
      <w:r w:rsidR="0098623D" w:rsidRPr="008E44DA">
        <w:rPr>
          <w:rFonts w:ascii="Arial" w:eastAsia="Arial" w:hAnsi="Arial" w:cs="Arial"/>
          <w:color w:val="201F1E"/>
          <w:sz w:val="22"/>
          <w:szCs w:val="22"/>
          <w:lang w:eastAsia="en-AU"/>
        </w:rPr>
        <w:t xml:space="preserve">experience and insight in how </w:t>
      </w:r>
      <w:r w:rsidR="725360C1" w:rsidRPr="008E44DA">
        <w:rPr>
          <w:rFonts w:ascii="Arial" w:eastAsia="Arial" w:hAnsi="Arial" w:cs="Arial"/>
          <w:color w:val="201F1E"/>
          <w:sz w:val="22"/>
          <w:szCs w:val="22"/>
          <w:lang w:eastAsia="en-AU"/>
        </w:rPr>
        <w:t>programs</w:t>
      </w:r>
      <w:r w:rsidR="005F27F5">
        <w:rPr>
          <w:rFonts w:ascii="Arial" w:eastAsia="Arial" w:hAnsi="Arial" w:cs="Arial"/>
          <w:color w:val="201F1E"/>
          <w:sz w:val="22"/>
          <w:szCs w:val="22"/>
          <w:lang w:eastAsia="en-AU"/>
        </w:rPr>
        <w:t xml:space="preserve"> with similar objectives</w:t>
      </w:r>
      <w:r w:rsidR="725360C1" w:rsidRPr="008E44DA">
        <w:rPr>
          <w:rFonts w:ascii="Arial" w:eastAsia="Arial" w:hAnsi="Arial" w:cs="Arial"/>
          <w:color w:val="201F1E"/>
          <w:sz w:val="22"/>
          <w:szCs w:val="22"/>
          <w:lang w:eastAsia="en-AU"/>
        </w:rPr>
        <w:t xml:space="preserve"> have been implemented</w:t>
      </w:r>
      <w:r w:rsidR="00046237">
        <w:rPr>
          <w:rFonts w:ascii="Arial" w:eastAsia="Arial" w:hAnsi="Arial" w:cs="Arial"/>
          <w:color w:val="201F1E"/>
          <w:sz w:val="22"/>
          <w:szCs w:val="22"/>
          <w:lang w:eastAsia="en-AU"/>
        </w:rPr>
        <w:t xml:space="preserve"> (albeit not at the same funding scale facilitated through EIIF)</w:t>
      </w:r>
      <w:r w:rsidR="725360C1" w:rsidRPr="008E44DA">
        <w:rPr>
          <w:rFonts w:ascii="Arial" w:eastAsia="Arial" w:hAnsi="Arial" w:cs="Arial"/>
          <w:color w:val="201F1E"/>
          <w:sz w:val="22"/>
          <w:szCs w:val="22"/>
          <w:lang w:eastAsia="en-AU"/>
        </w:rPr>
        <w:t xml:space="preserve">. This evidence base broadly concludes that cultural and </w:t>
      </w:r>
      <w:r w:rsidR="0098082F" w:rsidRPr="008E44DA">
        <w:rPr>
          <w:rFonts w:ascii="Arial" w:eastAsia="Arial" w:hAnsi="Arial" w:cs="Arial"/>
          <w:color w:val="201F1E"/>
          <w:sz w:val="22"/>
          <w:szCs w:val="22"/>
          <w:lang w:eastAsia="en-AU"/>
        </w:rPr>
        <w:t>behavioural</w:t>
      </w:r>
      <w:r w:rsidR="725360C1" w:rsidRPr="008E44DA">
        <w:rPr>
          <w:rFonts w:ascii="Arial" w:eastAsia="Arial" w:hAnsi="Arial" w:cs="Arial"/>
          <w:color w:val="201F1E"/>
          <w:sz w:val="22"/>
          <w:szCs w:val="22"/>
          <w:lang w:eastAsia="en-AU"/>
        </w:rPr>
        <w:t xml:space="preserve"> factors suc</w:t>
      </w:r>
      <w:r w:rsidR="00447E4E" w:rsidRPr="008E44DA">
        <w:rPr>
          <w:rFonts w:ascii="Arial" w:eastAsia="Arial" w:hAnsi="Arial" w:cs="Arial"/>
          <w:color w:val="201F1E"/>
          <w:sz w:val="22"/>
          <w:szCs w:val="22"/>
          <w:lang w:eastAsia="en-AU"/>
        </w:rPr>
        <w:t>h as</w:t>
      </w:r>
      <w:r w:rsidR="725360C1" w:rsidRPr="008E44DA">
        <w:rPr>
          <w:rFonts w:ascii="Arial" w:eastAsia="Arial" w:hAnsi="Arial" w:cs="Arial"/>
          <w:color w:val="201F1E"/>
          <w:sz w:val="22"/>
          <w:szCs w:val="22"/>
          <w:lang w:eastAsia="en-AU"/>
        </w:rPr>
        <w:t xml:space="preserve"> shared purpose, trust, and accountability are central to successful cross-boundary collaboration and long-term budgeting. </w:t>
      </w:r>
    </w:p>
    <w:p w14:paraId="5F1F9410" w14:textId="77777777" w:rsidR="001B2F1F" w:rsidRDefault="001B2F1F" w:rsidP="009B1E99">
      <w:pPr>
        <w:spacing w:line="276" w:lineRule="auto"/>
        <w:jc w:val="both"/>
        <w:rPr>
          <w:rFonts w:ascii="Arial" w:eastAsia="Arial" w:hAnsi="Arial" w:cs="Arial"/>
          <w:color w:val="201F1E"/>
          <w:sz w:val="22"/>
          <w:szCs w:val="22"/>
        </w:rPr>
      </w:pPr>
    </w:p>
    <w:p w14:paraId="2AA213A8" w14:textId="46FE5354" w:rsidR="00182E67" w:rsidRDefault="369F18B1" w:rsidP="009B1E99">
      <w:pPr>
        <w:spacing w:line="276" w:lineRule="auto"/>
        <w:jc w:val="both"/>
        <w:rPr>
          <w:rFonts w:ascii="Arial" w:eastAsia="Arial" w:hAnsi="Arial" w:cs="Arial"/>
          <w:color w:val="201F1E"/>
          <w:sz w:val="22"/>
          <w:szCs w:val="22"/>
        </w:rPr>
      </w:pPr>
      <w:r w:rsidRPr="36C9358D">
        <w:rPr>
          <w:rFonts w:ascii="Arial" w:eastAsia="Arial" w:hAnsi="Arial" w:cs="Arial"/>
          <w:color w:val="201F1E"/>
          <w:sz w:val="22"/>
          <w:szCs w:val="22"/>
        </w:rPr>
        <w:t xml:space="preserve">This paper aims to generate </w:t>
      </w:r>
      <w:r w:rsidR="00D142BE" w:rsidRPr="36C9358D">
        <w:rPr>
          <w:rFonts w:ascii="Arial" w:eastAsia="Arial" w:hAnsi="Arial" w:cs="Arial"/>
          <w:color w:val="201F1E"/>
          <w:sz w:val="22"/>
          <w:szCs w:val="22"/>
        </w:rPr>
        <w:t xml:space="preserve">discussion and learning </w:t>
      </w:r>
      <w:r w:rsidRPr="36C9358D">
        <w:rPr>
          <w:rFonts w:ascii="Arial" w:eastAsia="Arial" w:hAnsi="Arial" w:cs="Arial"/>
          <w:color w:val="201F1E"/>
          <w:sz w:val="22"/>
          <w:szCs w:val="22"/>
        </w:rPr>
        <w:t>within DTF and</w:t>
      </w:r>
      <w:r w:rsidR="00D142BE" w:rsidRPr="36C9358D">
        <w:rPr>
          <w:rFonts w:ascii="Arial" w:eastAsia="Arial" w:hAnsi="Arial" w:cs="Arial"/>
          <w:color w:val="201F1E"/>
          <w:sz w:val="22"/>
          <w:szCs w:val="22"/>
        </w:rPr>
        <w:t>,</w:t>
      </w:r>
      <w:r w:rsidRPr="36C9358D">
        <w:rPr>
          <w:rFonts w:ascii="Arial" w:eastAsia="Arial" w:hAnsi="Arial" w:cs="Arial"/>
          <w:color w:val="201F1E"/>
          <w:sz w:val="22"/>
          <w:szCs w:val="22"/>
        </w:rPr>
        <w:t xml:space="preserve"> in turn</w:t>
      </w:r>
      <w:r w:rsidR="00D142BE" w:rsidRPr="36C9358D">
        <w:rPr>
          <w:rFonts w:ascii="Arial" w:eastAsia="Arial" w:hAnsi="Arial" w:cs="Arial"/>
          <w:color w:val="201F1E"/>
          <w:sz w:val="22"/>
          <w:szCs w:val="22"/>
        </w:rPr>
        <w:t>,</w:t>
      </w:r>
      <w:r w:rsidRPr="36C9358D">
        <w:rPr>
          <w:rFonts w:ascii="Arial" w:eastAsia="Arial" w:hAnsi="Arial" w:cs="Arial"/>
          <w:color w:val="201F1E"/>
          <w:sz w:val="22"/>
          <w:szCs w:val="22"/>
        </w:rPr>
        <w:t xml:space="preserve"> the Victorian Public Service (VPS), encouraging individuals to consider the work still do be done to steward the successful and sustainable implementation of the EIIF. This paper draws out practical next steps for DTF that will have the greatest impact in improving processes and behaviours to bring about better outcomes through </w:t>
      </w:r>
      <w:r w:rsidR="00982304" w:rsidRPr="36C9358D">
        <w:rPr>
          <w:rFonts w:ascii="Arial" w:eastAsia="Arial" w:hAnsi="Arial" w:cs="Arial"/>
          <w:color w:val="201F1E"/>
          <w:sz w:val="22"/>
          <w:szCs w:val="22"/>
        </w:rPr>
        <w:t xml:space="preserve">more effective application of the </w:t>
      </w:r>
      <w:r w:rsidR="00A237B5" w:rsidRPr="36C9358D">
        <w:rPr>
          <w:rFonts w:ascii="Arial" w:eastAsia="Arial" w:hAnsi="Arial" w:cs="Arial"/>
          <w:color w:val="201F1E"/>
          <w:sz w:val="22"/>
          <w:szCs w:val="22"/>
        </w:rPr>
        <w:t xml:space="preserve">EIIF </w:t>
      </w:r>
      <w:r w:rsidR="00982304" w:rsidRPr="36C9358D">
        <w:rPr>
          <w:rFonts w:ascii="Arial" w:eastAsia="Arial" w:hAnsi="Arial" w:cs="Arial"/>
          <w:color w:val="201F1E"/>
          <w:sz w:val="22"/>
          <w:szCs w:val="22"/>
        </w:rPr>
        <w:t xml:space="preserve">and </w:t>
      </w:r>
      <w:r w:rsidRPr="36C9358D">
        <w:rPr>
          <w:rFonts w:ascii="Arial" w:eastAsia="Arial" w:hAnsi="Arial" w:cs="Arial"/>
          <w:color w:val="201F1E"/>
          <w:sz w:val="22"/>
          <w:szCs w:val="22"/>
        </w:rPr>
        <w:t>better allocation of resources.</w:t>
      </w:r>
      <w:r w:rsidR="00A237B5" w:rsidRPr="36C9358D">
        <w:rPr>
          <w:rFonts w:ascii="Arial" w:eastAsia="Arial" w:hAnsi="Arial" w:cs="Arial"/>
          <w:color w:val="201F1E"/>
          <w:sz w:val="22"/>
          <w:szCs w:val="22"/>
        </w:rPr>
        <w:t xml:space="preserve"> </w:t>
      </w:r>
    </w:p>
    <w:p w14:paraId="398C7009" w14:textId="77777777" w:rsidR="001B2F1F" w:rsidRPr="008E44DA" w:rsidRDefault="001B2F1F" w:rsidP="00ED20EA">
      <w:pPr>
        <w:spacing w:line="276" w:lineRule="auto"/>
        <w:rPr>
          <w:rFonts w:ascii="Arial" w:eastAsia="Arial" w:hAnsi="Arial" w:cs="Arial"/>
          <w:color w:val="201F1E"/>
          <w:sz w:val="22"/>
          <w:szCs w:val="22"/>
          <w:lang w:eastAsia="en-AU"/>
        </w:rPr>
      </w:pPr>
    </w:p>
    <w:p w14:paraId="278EC4D9" w14:textId="77777777" w:rsidR="00182E67" w:rsidRPr="009B1E99" w:rsidRDefault="725360C1" w:rsidP="00ED20EA">
      <w:pPr>
        <w:pStyle w:val="Heading1"/>
        <w:spacing w:before="0" w:line="276" w:lineRule="auto"/>
        <w:rPr>
          <w:rFonts w:ascii="Arial" w:eastAsia="Arial" w:hAnsi="Arial" w:cs="Arial"/>
          <w:sz w:val="28"/>
          <w:szCs w:val="28"/>
          <w:lang w:eastAsia="en-AU"/>
        </w:rPr>
      </w:pPr>
      <w:r w:rsidRPr="009B1E99">
        <w:rPr>
          <w:rFonts w:ascii="Arial" w:eastAsia="Arial" w:hAnsi="Arial" w:cs="Arial"/>
          <w:sz w:val="28"/>
          <w:szCs w:val="28"/>
          <w:lang w:eastAsia="en-AU"/>
        </w:rPr>
        <w:t>2.</w:t>
      </w:r>
      <w:r w:rsidR="00182E67" w:rsidRPr="009B1E99">
        <w:rPr>
          <w:rFonts w:ascii="Arial" w:hAnsi="Arial" w:cs="Arial"/>
          <w:sz w:val="28"/>
          <w:szCs w:val="28"/>
        </w:rPr>
        <w:tab/>
      </w:r>
      <w:r w:rsidRPr="009B1E99">
        <w:rPr>
          <w:rFonts w:ascii="Arial" w:eastAsia="Arial" w:hAnsi="Arial" w:cs="Arial"/>
          <w:sz w:val="28"/>
          <w:szCs w:val="28"/>
          <w:lang w:eastAsia="en-AU"/>
        </w:rPr>
        <w:t>THE EARLY INTERVENTION INVESTMENT FRAMEWORK</w:t>
      </w:r>
    </w:p>
    <w:p w14:paraId="3E073B39" w14:textId="77777777" w:rsidR="00182E67" w:rsidRPr="008E44DA" w:rsidRDefault="00182E67" w:rsidP="00ED20EA">
      <w:pPr>
        <w:spacing w:line="276" w:lineRule="auto"/>
        <w:rPr>
          <w:rFonts w:ascii="Arial" w:eastAsia="Arial" w:hAnsi="Arial" w:cs="Arial"/>
          <w:lang w:eastAsia="en-AU"/>
        </w:rPr>
      </w:pPr>
    </w:p>
    <w:p w14:paraId="32EE9C21" w14:textId="724B0608" w:rsidR="0014404C" w:rsidRDefault="008168E2" w:rsidP="009B1E99">
      <w:pPr>
        <w:spacing w:line="276" w:lineRule="auto"/>
        <w:jc w:val="both"/>
        <w:rPr>
          <w:rFonts w:ascii="Arial" w:eastAsia="Arial" w:hAnsi="Arial" w:cs="Arial"/>
          <w:color w:val="201F1E"/>
          <w:sz w:val="22"/>
          <w:szCs w:val="22"/>
        </w:rPr>
      </w:pPr>
      <w:r w:rsidRPr="48D74B65">
        <w:rPr>
          <w:rFonts w:ascii="Arial" w:eastAsia="Arial" w:hAnsi="Arial" w:cs="Arial"/>
          <w:color w:val="201F1E"/>
          <w:sz w:val="22"/>
          <w:szCs w:val="22"/>
        </w:rPr>
        <w:t>A convention</w:t>
      </w:r>
      <w:r w:rsidR="001052E5" w:rsidRPr="48D74B65">
        <w:rPr>
          <w:rFonts w:ascii="Arial" w:eastAsia="Arial" w:hAnsi="Arial" w:cs="Arial"/>
          <w:color w:val="201F1E"/>
          <w:sz w:val="22"/>
          <w:szCs w:val="22"/>
        </w:rPr>
        <w:t>al</w:t>
      </w:r>
      <w:r w:rsidRPr="48D74B65">
        <w:rPr>
          <w:rFonts w:ascii="Arial" w:eastAsia="Arial" w:hAnsi="Arial" w:cs="Arial"/>
          <w:color w:val="201F1E"/>
          <w:sz w:val="22"/>
          <w:szCs w:val="22"/>
        </w:rPr>
        <w:t xml:space="preserve"> view of b</w:t>
      </w:r>
      <w:r w:rsidR="0014404C" w:rsidRPr="48D74B65">
        <w:rPr>
          <w:rFonts w:ascii="Arial" w:eastAsia="Arial" w:hAnsi="Arial" w:cs="Arial"/>
          <w:color w:val="201F1E"/>
          <w:sz w:val="22"/>
          <w:szCs w:val="22"/>
        </w:rPr>
        <w:t xml:space="preserve">udgeting processes </w:t>
      </w:r>
      <w:r w:rsidR="007009FB" w:rsidRPr="48D74B65">
        <w:rPr>
          <w:rFonts w:ascii="Arial" w:eastAsia="Arial" w:hAnsi="Arial" w:cs="Arial"/>
          <w:color w:val="201F1E"/>
          <w:sz w:val="22"/>
          <w:szCs w:val="22"/>
        </w:rPr>
        <w:t>tend</w:t>
      </w:r>
      <w:r w:rsidR="00AA5EF0" w:rsidRPr="48D74B65">
        <w:rPr>
          <w:rFonts w:ascii="Arial" w:eastAsia="Arial" w:hAnsi="Arial" w:cs="Arial"/>
          <w:color w:val="201F1E"/>
          <w:sz w:val="22"/>
          <w:szCs w:val="22"/>
        </w:rPr>
        <w:t>s</w:t>
      </w:r>
      <w:r w:rsidR="007009FB" w:rsidRPr="48D74B65">
        <w:rPr>
          <w:rFonts w:ascii="Arial" w:eastAsia="Arial" w:hAnsi="Arial" w:cs="Arial"/>
          <w:color w:val="201F1E"/>
          <w:sz w:val="22"/>
          <w:szCs w:val="22"/>
        </w:rPr>
        <w:t xml:space="preserve"> to</w:t>
      </w:r>
      <w:r w:rsidR="0014404C" w:rsidRPr="48D74B65">
        <w:rPr>
          <w:rFonts w:ascii="Arial" w:eastAsia="Arial" w:hAnsi="Arial" w:cs="Arial"/>
          <w:color w:val="201F1E"/>
          <w:sz w:val="22"/>
          <w:szCs w:val="22"/>
        </w:rPr>
        <w:t xml:space="preserve"> focus on department-specific initiatives, rather than initiatives that span multiple departments, with an emphasis on addressing acute, immediate problems. This</w:t>
      </w:r>
      <w:r w:rsidR="00AA5EF0" w:rsidRPr="48D74B65">
        <w:rPr>
          <w:rFonts w:ascii="Arial" w:eastAsia="Arial" w:hAnsi="Arial" w:cs="Arial"/>
          <w:color w:val="201F1E"/>
          <w:sz w:val="22"/>
          <w:szCs w:val="22"/>
        </w:rPr>
        <w:t xml:space="preserve"> view</w:t>
      </w:r>
      <w:r w:rsidR="0014404C" w:rsidRPr="48D74B65">
        <w:rPr>
          <w:rFonts w:ascii="Arial" w:eastAsia="Arial" w:hAnsi="Arial" w:cs="Arial"/>
          <w:color w:val="201F1E"/>
          <w:sz w:val="22"/>
          <w:szCs w:val="22"/>
        </w:rPr>
        <w:t xml:space="preserve"> contributes to inefficiencies like duplicated effort with a lack of consideration of cross-departmental impacts with programs assessed on a department-basis </w:t>
      </w:r>
      <w:r w:rsidR="0014404C" w:rsidRPr="48D74B65">
        <w:rPr>
          <w:rFonts w:ascii="Arial" w:eastAsia="Arial" w:hAnsi="Arial" w:cs="Arial"/>
          <w:color w:val="201F1E"/>
          <w:sz w:val="22"/>
          <w:szCs w:val="22"/>
        </w:rPr>
        <w:lastRenderedPageBreak/>
        <w:t>rather than their overall merit. Additionally, it misses opportunities for pre-emptive, integrated responses which seek to prevent the issues becoming acute</w:t>
      </w:r>
    </w:p>
    <w:p w14:paraId="6AB60795" w14:textId="251B7AC6" w:rsidR="0014404C" w:rsidRDefault="0014404C" w:rsidP="009B1E99">
      <w:pPr>
        <w:spacing w:line="276" w:lineRule="auto"/>
        <w:jc w:val="both"/>
        <w:rPr>
          <w:rFonts w:ascii="Arial" w:eastAsia="Arial" w:hAnsi="Arial" w:cs="Arial"/>
          <w:color w:val="201F1E"/>
          <w:sz w:val="22"/>
          <w:szCs w:val="22"/>
        </w:rPr>
      </w:pPr>
    </w:p>
    <w:p w14:paraId="4618C910" w14:textId="2A41B7B3" w:rsidR="369F18B1" w:rsidRPr="008E44DA" w:rsidRDefault="369F18B1" w:rsidP="009B1E99">
      <w:pPr>
        <w:spacing w:line="276" w:lineRule="auto"/>
        <w:jc w:val="both"/>
        <w:rPr>
          <w:rFonts w:ascii="Arial" w:hAnsi="Arial" w:cs="Arial"/>
        </w:rPr>
      </w:pPr>
      <w:r w:rsidRPr="008E44DA">
        <w:rPr>
          <w:rFonts w:ascii="Arial" w:eastAsia="Arial" w:hAnsi="Arial" w:cs="Arial"/>
          <w:color w:val="201F1E"/>
          <w:sz w:val="22"/>
          <w:szCs w:val="22"/>
        </w:rPr>
        <w:t>This</w:t>
      </w:r>
      <w:r w:rsidR="00737438">
        <w:rPr>
          <w:rFonts w:ascii="Arial" w:eastAsia="Arial" w:hAnsi="Arial" w:cs="Arial"/>
          <w:color w:val="201F1E"/>
          <w:sz w:val="22"/>
          <w:szCs w:val="22"/>
        </w:rPr>
        <w:t xml:space="preserve"> aspect of</w:t>
      </w:r>
      <w:r w:rsidRPr="008E44DA">
        <w:rPr>
          <w:rFonts w:ascii="Arial" w:eastAsia="Arial" w:hAnsi="Arial" w:cs="Arial"/>
          <w:color w:val="201F1E"/>
          <w:sz w:val="22"/>
          <w:szCs w:val="22"/>
        </w:rPr>
        <w:t xml:space="preserve"> </w:t>
      </w:r>
      <w:r w:rsidR="00E942A3" w:rsidRPr="008E44DA">
        <w:rPr>
          <w:rFonts w:ascii="Arial" w:eastAsia="Arial" w:hAnsi="Arial" w:cs="Arial"/>
          <w:color w:val="201F1E"/>
          <w:sz w:val="22"/>
          <w:szCs w:val="22"/>
        </w:rPr>
        <w:t xml:space="preserve">inefficient </w:t>
      </w:r>
      <w:r w:rsidRPr="008E44DA">
        <w:rPr>
          <w:rFonts w:ascii="Arial" w:eastAsia="Arial" w:hAnsi="Arial" w:cs="Arial"/>
          <w:color w:val="201F1E"/>
          <w:sz w:val="22"/>
          <w:szCs w:val="22"/>
        </w:rPr>
        <w:t>fiscal management is exacerbated by a lack of relevant and agreed information needed to make informed decisions about the effectiveness of a program</w:t>
      </w:r>
      <w:r w:rsidR="005D3CE5">
        <w:rPr>
          <w:rFonts w:ascii="Arial" w:eastAsia="Arial" w:hAnsi="Arial" w:cs="Arial"/>
          <w:color w:val="201F1E"/>
          <w:sz w:val="22"/>
          <w:szCs w:val="22"/>
        </w:rPr>
        <w:t xml:space="preserve">, one of the critical </w:t>
      </w:r>
      <w:r w:rsidR="00AB34FB">
        <w:rPr>
          <w:rFonts w:ascii="Arial" w:eastAsia="Arial" w:hAnsi="Arial" w:cs="Arial"/>
          <w:color w:val="201F1E"/>
          <w:sz w:val="22"/>
          <w:szCs w:val="22"/>
        </w:rPr>
        <w:t>elements</w:t>
      </w:r>
      <w:r w:rsidR="00AB34FB" w:rsidRPr="008E44DA">
        <w:rPr>
          <w:rFonts w:ascii="Arial" w:eastAsia="Arial" w:hAnsi="Arial" w:cs="Arial"/>
          <w:color w:val="201F1E"/>
          <w:sz w:val="22"/>
          <w:szCs w:val="22"/>
        </w:rPr>
        <w:t xml:space="preserve"> </w:t>
      </w:r>
      <w:r w:rsidRPr="008E44DA">
        <w:rPr>
          <w:rFonts w:ascii="Arial" w:eastAsia="Arial" w:hAnsi="Arial" w:cs="Arial"/>
          <w:color w:val="201F1E"/>
          <w:sz w:val="22"/>
          <w:szCs w:val="22"/>
        </w:rPr>
        <w:t xml:space="preserve">needed </w:t>
      </w:r>
      <w:r w:rsidR="00737438">
        <w:rPr>
          <w:rFonts w:ascii="Arial" w:eastAsia="Arial" w:hAnsi="Arial" w:cs="Arial"/>
          <w:color w:val="201F1E"/>
          <w:sz w:val="22"/>
          <w:szCs w:val="22"/>
        </w:rPr>
        <w:t xml:space="preserve">to inform decision making to prioritise funding for initiatives with </w:t>
      </w:r>
      <w:r w:rsidRPr="008E44DA">
        <w:rPr>
          <w:rFonts w:ascii="Arial" w:eastAsia="Arial" w:hAnsi="Arial" w:cs="Arial"/>
          <w:color w:val="201F1E"/>
          <w:sz w:val="22"/>
          <w:szCs w:val="22"/>
        </w:rPr>
        <w:t>the greatest impact for citizens</w:t>
      </w:r>
      <w:r w:rsidR="00562164">
        <w:rPr>
          <w:rFonts w:ascii="Arial" w:eastAsia="Arial" w:hAnsi="Arial" w:cs="Arial"/>
          <w:color w:val="201F1E"/>
          <w:sz w:val="22"/>
          <w:szCs w:val="22"/>
        </w:rPr>
        <w:t xml:space="preserve"> </w:t>
      </w:r>
      <w:r w:rsidR="00904F5B">
        <w:rPr>
          <w:rFonts w:ascii="Arial" w:eastAsia="Arial" w:hAnsi="Arial" w:cs="Arial"/>
          <w:color w:val="201F1E"/>
          <w:sz w:val="22"/>
          <w:szCs w:val="22"/>
        </w:rPr>
        <w:t>and</w:t>
      </w:r>
      <w:r w:rsidR="00562164">
        <w:rPr>
          <w:rFonts w:ascii="Arial" w:eastAsia="Arial" w:hAnsi="Arial" w:cs="Arial"/>
          <w:color w:val="201F1E"/>
          <w:sz w:val="22"/>
          <w:szCs w:val="22"/>
        </w:rPr>
        <w:t xml:space="preserve"> the service system</w:t>
      </w:r>
      <w:r w:rsidRPr="008E44DA">
        <w:rPr>
          <w:rFonts w:ascii="Arial" w:eastAsia="Arial" w:hAnsi="Arial" w:cs="Arial"/>
          <w:color w:val="201F1E"/>
          <w:sz w:val="22"/>
          <w:szCs w:val="22"/>
        </w:rPr>
        <w:t xml:space="preserve">.  </w:t>
      </w:r>
    </w:p>
    <w:p w14:paraId="0A14CCA4" w14:textId="33810066" w:rsidR="002B722D" w:rsidRDefault="002B722D" w:rsidP="009B1E99">
      <w:pPr>
        <w:spacing w:line="276" w:lineRule="auto"/>
        <w:jc w:val="both"/>
        <w:rPr>
          <w:rFonts w:ascii="Arial" w:eastAsia="Arial" w:hAnsi="Arial" w:cs="Arial"/>
          <w:color w:val="201F1E"/>
          <w:sz w:val="22"/>
          <w:szCs w:val="22"/>
          <w:lang w:eastAsia="en-AU"/>
        </w:rPr>
      </w:pPr>
    </w:p>
    <w:p w14:paraId="76F90658" w14:textId="2C05B40A" w:rsidR="00A023A4" w:rsidRDefault="001A1387" w:rsidP="009B1E99">
      <w:pPr>
        <w:spacing w:line="276" w:lineRule="auto"/>
        <w:jc w:val="both"/>
        <w:rPr>
          <w:rFonts w:ascii="Arial" w:eastAsia="Arial" w:hAnsi="Arial" w:cs="Arial"/>
          <w:color w:val="201F1E"/>
          <w:sz w:val="22"/>
          <w:szCs w:val="22"/>
          <w:lang w:eastAsia="en-AU"/>
        </w:rPr>
      </w:pPr>
      <w:r>
        <w:rPr>
          <w:rFonts w:ascii="Arial" w:eastAsia="Arial" w:hAnsi="Arial" w:cs="Arial"/>
          <w:color w:val="201F1E"/>
          <w:sz w:val="22"/>
          <w:szCs w:val="22"/>
          <w:lang w:eastAsia="en-AU"/>
        </w:rPr>
        <w:t xml:space="preserve">Other factors, such as </w:t>
      </w:r>
      <w:r w:rsidR="00CB1886">
        <w:rPr>
          <w:rFonts w:ascii="Arial" w:eastAsia="Arial" w:hAnsi="Arial" w:cs="Arial"/>
          <w:color w:val="201F1E"/>
          <w:sz w:val="22"/>
          <w:szCs w:val="22"/>
          <w:lang w:eastAsia="en-AU"/>
        </w:rPr>
        <w:t>the fiscal impact of the</w:t>
      </w:r>
      <w:r w:rsidR="00A023A4">
        <w:rPr>
          <w:rFonts w:ascii="Arial" w:eastAsia="Arial" w:hAnsi="Arial" w:cs="Arial"/>
          <w:color w:val="201F1E"/>
          <w:sz w:val="22"/>
          <w:szCs w:val="22"/>
          <w:lang w:eastAsia="en-AU"/>
        </w:rPr>
        <w:t xml:space="preserve"> COVID-19 pa</w:t>
      </w:r>
      <w:r w:rsidR="007A7FF2">
        <w:rPr>
          <w:rFonts w:ascii="Arial" w:eastAsia="Arial" w:hAnsi="Arial" w:cs="Arial"/>
          <w:color w:val="201F1E"/>
          <w:sz w:val="22"/>
          <w:szCs w:val="22"/>
          <w:lang w:eastAsia="en-AU"/>
        </w:rPr>
        <w:t>ndemic</w:t>
      </w:r>
      <w:r>
        <w:rPr>
          <w:rFonts w:ascii="Arial" w:eastAsia="Arial" w:hAnsi="Arial" w:cs="Arial"/>
          <w:color w:val="201F1E"/>
          <w:sz w:val="22"/>
          <w:szCs w:val="22"/>
          <w:lang w:eastAsia="en-AU"/>
        </w:rPr>
        <w:t xml:space="preserve"> stimulus</w:t>
      </w:r>
      <w:r w:rsidR="007A7FF2">
        <w:rPr>
          <w:rFonts w:ascii="Arial" w:eastAsia="Arial" w:hAnsi="Arial" w:cs="Arial"/>
          <w:color w:val="201F1E"/>
          <w:sz w:val="22"/>
          <w:szCs w:val="22"/>
          <w:lang w:eastAsia="en-AU"/>
        </w:rPr>
        <w:t xml:space="preserve"> and a pre-existing trend</w:t>
      </w:r>
      <w:r w:rsidR="00A023A4">
        <w:rPr>
          <w:rFonts w:ascii="Arial" w:eastAsia="Arial" w:hAnsi="Arial" w:cs="Arial"/>
          <w:color w:val="201F1E"/>
          <w:sz w:val="22"/>
          <w:szCs w:val="22"/>
          <w:lang w:eastAsia="en-AU"/>
        </w:rPr>
        <w:t xml:space="preserve"> towards acute costs growing above population</w:t>
      </w:r>
      <w:r>
        <w:rPr>
          <w:rFonts w:ascii="Arial" w:eastAsia="Arial" w:hAnsi="Arial" w:cs="Arial"/>
          <w:color w:val="201F1E"/>
          <w:sz w:val="22"/>
          <w:szCs w:val="22"/>
          <w:lang w:eastAsia="en-AU"/>
        </w:rPr>
        <w:t xml:space="preserve">, can </w:t>
      </w:r>
      <w:r w:rsidR="00DE55A4">
        <w:rPr>
          <w:rFonts w:ascii="Arial" w:eastAsia="Arial" w:hAnsi="Arial" w:cs="Arial"/>
          <w:color w:val="201F1E"/>
          <w:sz w:val="22"/>
          <w:szCs w:val="22"/>
          <w:lang w:eastAsia="en-AU"/>
        </w:rPr>
        <w:t xml:space="preserve">further </w:t>
      </w:r>
      <w:r w:rsidR="006354B1">
        <w:rPr>
          <w:rFonts w:ascii="Arial" w:eastAsia="Arial" w:hAnsi="Arial" w:cs="Arial"/>
          <w:color w:val="201F1E"/>
          <w:sz w:val="22"/>
          <w:szCs w:val="22"/>
          <w:lang w:eastAsia="en-AU"/>
        </w:rPr>
        <w:t>enhance the need for</w:t>
      </w:r>
      <w:r w:rsidR="007A7FF2">
        <w:rPr>
          <w:rFonts w:ascii="Arial" w:eastAsia="Arial" w:hAnsi="Arial" w:cs="Arial"/>
          <w:color w:val="201F1E"/>
          <w:sz w:val="22"/>
          <w:szCs w:val="22"/>
          <w:lang w:eastAsia="en-AU"/>
        </w:rPr>
        <w:t xml:space="preserve"> both greater efficiency and </w:t>
      </w:r>
      <w:r w:rsidR="00A023A4" w:rsidRPr="008E44DA">
        <w:rPr>
          <w:rFonts w:ascii="Arial" w:eastAsia="Arial" w:hAnsi="Arial" w:cs="Arial"/>
          <w:color w:val="201F1E"/>
          <w:sz w:val="22"/>
          <w:szCs w:val="22"/>
          <w:lang w:eastAsia="en-AU"/>
        </w:rPr>
        <w:t xml:space="preserve">services that </w:t>
      </w:r>
      <w:r w:rsidR="00A023A4">
        <w:rPr>
          <w:rFonts w:ascii="Arial" w:eastAsia="Arial" w:hAnsi="Arial" w:cs="Arial"/>
          <w:color w:val="201F1E"/>
          <w:sz w:val="22"/>
          <w:szCs w:val="22"/>
          <w:lang w:eastAsia="en-AU"/>
        </w:rPr>
        <w:t>address</w:t>
      </w:r>
      <w:r w:rsidR="00A023A4" w:rsidRPr="008E44DA">
        <w:rPr>
          <w:rFonts w:ascii="Arial" w:eastAsia="Arial" w:hAnsi="Arial" w:cs="Arial"/>
          <w:color w:val="201F1E"/>
          <w:sz w:val="22"/>
          <w:szCs w:val="22"/>
          <w:lang w:eastAsia="en-AU"/>
        </w:rPr>
        <w:t xml:space="preserve"> the acute impacts of a range of societal problems.</w:t>
      </w:r>
    </w:p>
    <w:p w14:paraId="2E333196" w14:textId="77777777" w:rsidR="002B722D" w:rsidRPr="008E44DA" w:rsidRDefault="002B722D" w:rsidP="009B1E99">
      <w:pPr>
        <w:spacing w:line="276" w:lineRule="auto"/>
        <w:jc w:val="both"/>
        <w:rPr>
          <w:rFonts w:ascii="Arial" w:eastAsia="Arial" w:hAnsi="Arial" w:cs="Arial"/>
          <w:color w:val="201F1E"/>
          <w:sz w:val="22"/>
          <w:szCs w:val="22"/>
          <w:lang w:eastAsia="en-AU"/>
        </w:rPr>
      </w:pPr>
    </w:p>
    <w:p w14:paraId="38949A07" w14:textId="55EB79A7" w:rsidR="369F18B1" w:rsidRPr="008E44DA" w:rsidRDefault="369F18B1" w:rsidP="009B1E99">
      <w:pPr>
        <w:spacing w:line="276" w:lineRule="auto"/>
        <w:jc w:val="both"/>
        <w:rPr>
          <w:rFonts w:ascii="Arial" w:hAnsi="Arial" w:cs="Arial"/>
        </w:rPr>
      </w:pPr>
      <w:r w:rsidRPr="008E44DA">
        <w:rPr>
          <w:rFonts w:ascii="Arial" w:eastAsia="Arial" w:hAnsi="Arial" w:cs="Arial"/>
          <w:color w:val="201F1E"/>
          <w:sz w:val="22"/>
          <w:szCs w:val="22"/>
        </w:rPr>
        <w:t xml:space="preserve">A well-designed mechanism </w:t>
      </w:r>
      <w:r w:rsidR="002201FA" w:rsidRPr="008E44DA">
        <w:rPr>
          <w:rFonts w:ascii="Arial" w:eastAsia="Arial" w:hAnsi="Arial" w:cs="Arial"/>
          <w:color w:val="201F1E"/>
          <w:sz w:val="22"/>
          <w:szCs w:val="22"/>
        </w:rPr>
        <w:t>is</w:t>
      </w:r>
      <w:r w:rsidRPr="008E44DA">
        <w:rPr>
          <w:rFonts w:ascii="Arial" w:eastAsia="Arial" w:hAnsi="Arial" w:cs="Arial"/>
          <w:color w:val="201F1E"/>
          <w:sz w:val="22"/>
          <w:szCs w:val="22"/>
        </w:rPr>
        <w:t xml:space="preserve"> a necessary precondition to</w:t>
      </w:r>
      <w:r w:rsidR="008F0246">
        <w:rPr>
          <w:rFonts w:ascii="Arial" w:eastAsia="Arial" w:hAnsi="Arial" w:cs="Arial"/>
          <w:color w:val="201F1E"/>
          <w:sz w:val="22"/>
          <w:szCs w:val="22"/>
        </w:rPr>
        <w:t xml:space="preserve"> addressing</w:t>
      </w:r>
      <w:r w:rsidRPr="008E44DA">
        <w:rPr>
          <w:rFonts w:ascii="Arial" w:eastAsia="Arial" w:hAnsi="Arial" w:cs="Arial"/>
          <w:color w:val="201F1E"/>
          <w:sz w:val="22"/>
          <w:szCs w:val="22"/>
        </w:rPr>
        <w:t xml:space="preserve"> these two situations. The EIIF is one such mechanism. Announced in the 2021-22 Budget, the EIIF is being implemented to guide the </w:t>
      </w:r>
      <w:r w:rsidR="00F60371">
        <w:rPr>
          <w:rFonts w:ascii="Arial" w:eastAsia="Arial" w:hAnsi="Arial" w:cs="Arial"/>
          <w:color w:val="201F1E"/>
          <w:sz w:val="22"/>
          <w:szCs w:val="22"/>
        </w:rPr>
        <w:t>G</w:t>
      </w:r>
      <w:r w:rsidR="00F60371" w:rsidRPr="008E44DA">
        <w:rPr>
          <w:rFonts w:ascii="Arial" w:eastAsia="Arial" w:hAnsi="Arial" w:cs="Arial"/>
          <w:color w:val="201F1E"/>
          <w:sz w:val="22"/>
          <w:szCs w:val="22"/>
        </w:rPr>
        <w:t xml:space="preserve">overnment’s </w:t>
      </w:r>
      <w:r w:rsidRPr="008E44DA">
        <w:rPr>
          <w:rFonts w:ascii="Arial" w:eastAsia="Arial" w:hAnsi="Arial" w:cs="Arial"/>
          <w:color w:val="201F1E"/>
          <w:sz w:val="22"/>
          <w:szCs w:val="22"/>
        </w:rPr>
        <w:t xml:space="preserve">budget consideration of early intervention programs. The EIIF operates on the principle that </w:t>
      </w:r>
      <w:r w:rsidR="00023466">
        <w:rPr>
          <w:rFonts w:ascii="Arial" w:eastAsia="Arial" w:hAnsi="Arial" w:cs="Arial"/>
          <w:color w:val="201F1E"/>
          <w:sz w:val="22"/>
          <w:szCs w:val="22"/>
        </w:rPr>
        <w:t xml:space="preserve">effective </w:t>
      </w:r>
      <w:r w:rsidRPr="008E44DA">
        <w:rPr>
          <w:rFonts w:ascii="Arial" w:eastAsia="Arial" w:hAnsi="Arial" w:cs="Arial"/>
          <w:color w:val="201F1E"/>
          <w:sz w:val="22"/>
          <w:szCs w:val="22"/>
        </w:rPr>
        <w:t>early intervention services can lead to better client outcomes and reduce the need for acute downstream services, meaning avoid</w:t>
      </w:r>
      <w:r w:rsidR="004F6632">
        <w:rPr>
          <w:rFonts w:ascii="Arial" w:eastAsia="Arial" w:hAnsi="Arial" w:cs="Arial"/>
          <w:color w:val="201F1E"/>
          <w:sz w:val="22"/>
          <w:szCs w:val="22"/>
        </w:rPr>
        <w:t>ed</w:t>
      </w:r>
      <w:r w:rsidRPr="008E44DA">
        <w:rPr>
          <w:rFonts w:ascii="Arial" w:eastAsia="Arial" w:hAnsi="Arial" w:cs="Arial"/>
          <w:color w:val="201F1E"/>
          <w:sz w:val="22"/>
          <w:szCs w:val="22"/>
        </w:rPr>
        <w:t xml:space="preserve"> costs in the future. The EIIF links investment with the quantifiable impacts of </w:t>
      </w:r>
      <w:r w:rsidR="002F1DFD">
        <w:rPr>
          <w:rFonts w:ascii="Arial" w:eastAsia="Arial" w:hAnsi="Arial" w:cs="Arial"/>
          <w:color w:val="201F1E"/>
          <w:sz w:val="22"/>
          <w:szCs w:val="22"/>
        </w:rPr>
        <w:t>an</w:t>
      </w:r>
      <w:r w:rsidRPr="008E44DA">
        <w:rPr>
          <w:rFonts w:ascii="Arial" w:eastAsia="Arial" w:hAnsi="Arial" w:cs="Arial"/>
          <w:color w:val="201F1E"/>
          <w:sz w:val="22"/>
          <w:szCs w:val="22"/>
        </w:rPr>
        <w:t xml:space="preserve"> intervention program. When making a case for EIIF funding, line agencies are required to quantify the impacts of an initiative in terms of:</w:t>
      </w:r>
    </w:p>
    <w:p w14:paraId="1341E8B4" w14:textId="77777777" w:rsidR="00182E67" w:rsidRPr="008E44DA" w:rsidRDefault="00182E67" w:rsidP="009B1E99">
      <w:pPr>
        <w:spacing w:line="276" w:lineRule="auto"/>
        <w:jc w:val="both"/>
        <w:rPr>
          <w:rFonts w:ascii="Arial" w:eastAsia="Arial" w:hAnsi="Arial" w:cs="Arial"/>
          <w:color w:val="201F1E"/>
          <w:sz w:val="22"/>
          <w:szCs w:val="22"/>
          <w:lang w:eastAsia="en-AU"/>
        </w:rPr>
      </w:pPr>
    </w:p>
    <w:p w14:paraId="62890772" w14:textId="7D080048" w:rsidR="00182E67" w:rsidRPr="008E44DA" w:rsidRDefault="725360C1" w:rsidP="009B1E99">
      <w:pPr>
        <w:pStyle w:val="ListParagraph"/>
        <w:numPr>
          <w:ilvl w:val="0"/>
          <w:numId w:val="20"/>
        </w:numPr>
        <w:spacing w:line="276" w:lineRule="auto"/>
        <w:jc w:val="both"/>
        <w:rPr>
          <w:rFonts w:ascii="Arial" w:eastAsia="Arial" w:hAnsi="Arial" w:cs="Arial"/>
          <w:color w:val="201F1E"/>
          <w:sz w:val="22"/>
          <w:szCs w:val="22"/>
          <w:lang w:eastAsia="en-AU"/>
        </w:rPr>
      </w:pPr>
      <w:r w:rsidRPr="008E44DA">
        <w:rPr>
          <w:rFonts w:ascii="Arial" w:eastAsia="Arial" w:hAnsi="Arial" w:cs="Arial"/>
          <w:b/>
          <w:bCs/>
          <w:color w:val="201F1E"/>
          <w:sz w:val="22"/>
          <w:szCs w:val="22"/>
          <w:lang w:eastAsia="en-AU"/>
        </w:rPr>
        <w:t>Improved outcomes:</w:t>
      </w:r>
      <w:r w:rsidRPr="008E44DA">
        <w:rPr>
          <w:rFonts w:ascii="Arial" w:eastAsia="Arial" w:hAnsi="Arial" w:cs="Arial"/>
          <w:color w:val="201F1E"/>
          <w:sz w:val="22"/>
          <w:szCs w:val="22"/>
          <w:lang w:eastAsia="en-AU"/>
        </w:rPr>
        <w:t xml:space="preserve"> the quantified impacts across select outcome measures on the lives of service users and their families, the broader community, and the service system e.g. increased workforce participation, reduced recidivism rates, increased social connectedness</w:t>
      </w:r>
      <w:r w:rsidR="00DB4C86">
        <w:rPr>
          <w:rFonts w:ascii="Arial" w:eastAsia="Arial" w:hAnsi="Arial" w:cs="Arial"/>
          <w:color w:val="201F1E"/>
          <w:sz w:val="22"/>
          <w:szCs w:val="22"/>
          <w:lang w:eastAsia="en-AU"/>
        </w:rPr>
        <w:t>; and</w:t>
      </w:r>
    </w:p>
    <w:p w14:paraId="3DEF9A3F" w14:textId="77777777" w:rsidR="00182E67" w:rsidRPr="008E44DA" w:rsidRDefault="00182E67" w:rsidP="009B1E99">
      <w:pPr>
        <w:spacing w:line="276" w:lineRule="auto"/>
        <w:jc w:val="both"/>
        <w:rPr>
          <w:rFonts w:ascii="Arial" w:eastAsia="Arial" w:hAnsi="Arial" w:cs="Arial"/>
          <w:color w:val="201F1E"/>
          <w:sz w:val="22"/>
          <w:szCs w:val="22"/>
          <w:lang w:eastAsia="en-AU"/>
        </w:rPr>
      </w:pPr>
    </w:p>
    <w:p w14:paraId="2BFD4A11" w14:textId="375AF124" w:rsidR="00182E67" w:rsidRPr="008E44DA" w:rsidRDefault="725360C1" w:rsidP="009B1E99">
      <w:pPr>
        <w:pStyle w:val="ListParagraph"/>
        <w:numPr>
          <w:ilvl w:val="0"/>
          <w:numId w:val="20"/>
        </w:numPr>
        <w:spacing w:line="276" w:lineRule="auto"/>
        <w:jc w:val="both"/>
        <w:rPr>
          <w:rFonts w:ascii="Arial" w:eastAsia="Arial" w:hAnsi="Arial" w:cs="Arial"/>
          <w:color w:val="201F1E"/>
          <w:sz w:val="22"/>
          <w:szCs w:val="22"/>
          <w:lang w:eastAsia="en-AU"/>
        </w:rPr>
      </w:pPr>
      <w:r w:rsidRPr="008E44DA">
        <w:rPr>
          <w:rFonts w:ascii="Arial" w:eastAsia="Arial" w:hAnsi="Arial" w:cs="Arial"/>
          <w:b/>
          <w:bCs/>
          <w:color w:val="201F1E"/>
          <w:sz w:val="22"/>
          <w:szCs w:val="22"/>
          <w:lang w:eastAsia="en-AU"/>
        </w:rPr>
        <w:t xml:space="preserve">Avoided costs: </w:t>
      </w:r>
      <w:r w:rsidRPr="008E44DA">
        <w:rPr>
          <w:rFonts w:ascii="Arial" w:eastAsia="Arial" w:hAnsi="Arial" w:cs="Arial"/>
          <w:color w:val="201F1E"/>
          <w:sz w:val="22"/>
          <w:szCs w:val="22"/>
          <w:lang w:eastAsia="en-AU"/>
        </w:rPr>
        <w:t xml:space="preserve">the monetised value </w:t>
      </w:r>
      <w:r w:rsidR="00D700B2" w:rsidRPr="008E44DA">
        <w:rPr>
          <w:rFonts w:ascii="Arial" w:eastAsia="Arial" w:hAnsi="Arial" w:cs="Arial"/>
          <w:color w:val="201F1E"/>
          <w:sz w:val="22"/>
          <w:szCs w:val="22"/>
          <w:lang w:eastAsia="en-AU"/>
        </w:rPr>
        <w:t xml:space="preserve">for </w:t>
      </w:r>
      <w:r w:rsidR="001103A1">
        <w:rPr>
          <w:rFonts w:ascii="Arial" w:eastAsia="Arial" w:hAnsi="Arial" w:cs="Arial"/>
          <w:color w:val="201F1E"/>
          <w:sz w:val="22"/>
          <w:szCs w:val="22"/>
          <w:lang w:eastAsia="en-AU"/>
        </w:rPr>
        <w:t>G</w:t>
      </w:r>
      <w:r w:rsidR="001103A1" w:rsidRPr="008E44DA">
        <w:rPr>
          <w:rFonts w:ascii="Arial" w:eastAsia="Arial" w:hAnsi="Arial" w:cs="Arial"/>
          <w:color w:val="201F1E"/>
          <w:sz w:val="22"/>
          <w:szCs w:val="22"/>
          <w:lang w:eastAsia="en-AU"/>
        </w:rPr>
        <w:t xml:space="preserve">overnment </w:t>
      </w:r>
      <w:r w:rsidRPr="008E44DA">
        <w:rPr>
          <w:rFonts w:ascii="Arial" w:eastAsia="Arial" w:hAnsi="Arial" w:cs="Arial"/>
          <w:color w:val="201F1E"/>
          <w:sz w:val="22"/>
          <w:szCs w:val="22"/>
          <w:lang w:eastAsia="en-AU"/>
        </w:rPr>
        <w:t xml:space="preserve">of the expected reduction on future acute service expenditure compared to the expected trajectory if an early intervention initiative did not take place </w:t>
      </w:r>
      <w:bookmarkStart w:id="0" w:name="_Int_eR9z9Dik"/>
      <w:r w:rsidRPr="008E44DA">
        <w:rPr>
          <w:rFonts w:ascii="Arial" w:eastAsia="Arial" w:hAnsi="Arial" w:cs="Arial"/>
          <w:color w:val="201F1E"/>
          <w:sz w:val="22"/>
          <w:szCs w:val="22"/>
          <w:lang w:eastAsia="en-AU"/>
        </w:rPr>
        <w:t>e.g.</w:t>
      </w:r>
      <w:bookmarkEnd w:id="0"/>
      <w:r w:rsidRPr="008E44DA">
        <w:rPr>
          <w:rFonts w:ascii="Arial" w:eastAsia="Arial" w:hAnsi="Arial" w:cs="Arial"/>
          <w:color w:val="201F1E"/>
          <w:sz w:val="22"/>
          <w:szCs w:val="22"/>
          <w:lang w:eastAsia="en-AU"/>
        </w:rPr>
        <w:t xml:space="preserve"> reduced emergency department presentations, reduced hospital bed days, reduced demand for housing assistance</w:t>
      </w:r>
      <w:r w:rsidR="49F94D9F" w:rsidRPr="008E44DA">
        <w:rPr>
          <w:rFonts w:ascii="Arial" w:eastAsia="Arial" w:hAnsi="Arial" w:cs="Arial"/>
          <w:color w:val="201F1E"/>
          <w:sz w:val="22"/>
          <w:szCs w:val="22"/>
          <w:lang w:eastAsia="en-AU"/>
        </w:rPr>
        <w:t>.</w:t>
      </w:r>
    </w:p>
    <w:p w14:paraId="2F0F2639" w14:textId="77777777" w:rsidR="00182E67" w:rsidRPr="008E44DA" w:rsidRDefault="00182E67" w:rsidP="009B1E99">
      <w:pPr>
        <w:spacing w:line="276" w:lineRule="auto"/>
        <w:jc w:val="both"/>
        <w:rPr>
          <w:rFonts w:ascii="Arial" w:eastAsia="Arial" w:hAnsi="Arial" w:cs="Arial"/>
          <w:color w:val="201F1E"/>
          <w:sz w:val="22"/>
          <w:szCs w:val="22"/>
          <w:lang w:eastAsia="en-AU"/>
        </w:rPr>
      </w:pPr>
    </w:p>
    <w:p w14:paraId="7DF0B994" w14:textId="45A6CE64" w:rsidR="006E0231" w:rsidRPr="008E44DA" w:rsidRDefault="00E46596" w:rsidP="009B1E99">
      <w:pPr>
        <w:spacing w:line="276" w:lineRule="auto"/>
        <w:jc w:val="both"/>
        <w:rPr>
          <w:rFonts w:ascii="Arial" w:eastAsia="Arial" w:hAnsi="Arial" w:cs="Arial"/>
          <w:color w:val="201F1E"/>
          <w:sz w:val="22"/>
          <w:szCs w:val="22"/>
          <w:lang w:eastAsia="en-AU"/>
        </w:rPr>
      </w:pPr>
      <w:r>
        <w:rPr>
          <w:rFonts w:ascii="Arial" w:eastAsia="Arial" w:hAnsi="Arial" w:cs="Arial"/>
          <w:color w:val="201F1E"/>
          <w:sz w:val="22"/>
          <w:szCs w:val="22"/>
          <w:lang w:eastAsia="en-AU"/>
        </w:rPr>
        <w:t xml:space="preserve">The </w:t>
      </w:r>
      <w:r w:rsidR="00AB34FB">
        <w:rPr>
          <w:rFonts w:ascii="Arial" w:eastAsia="Arial" w:hAnsi="Arial" w:cs="Arial"/>
          <w:color w:val="201F1E"/>
          <w:sz w:val="22"/>
          <w:szCs w:val="22"/>
          <w:lang w:eastAsia="en-AU"/>
        </w:rPr>
        <w:t>EI</w:t>
      </w:r>
      <w:r w:rsidR="000418F4">
        <w:rPr>
          <w:rFonts w:ascii="Arial" w:eastAsia="Arial" w:hAnsi="Arial" w:cs="Arial"/>
          <w:color w:val="201F1E"/>
          <w:sz w:val="22"/>
          <w:szCs w:val="22"/>
          <w:lang w:eastAsia="en-AU"/>
        </w:rPr>
        <w:t>I</w:t>
      </w:r>
      <w:r w:rsidR="00AB34FB">
        <w:rPr>
          <w:rFonts w:ascii="Arial" w:eastAsia="Arial" w:hAnsi="Arial" w:cs="Arial"/>
          <w:color w:val="201F1E"/>
          <w:sz w:val="22"/>
          <w:szCs w:val="22"/>
          <w:lang w:eastAsia="en-AU"/>
        </w:rPr>
        <w:t>F</w:t>
      </w:r>
      <w:r>
        <w:rPr>
          <w:rFonts w:ascii="Arial" w:eastAsia="Arial" w:hAnsi="Arial" w:cs="Arial"/>
          <w:color w:val="201F1E"/>
          <w:sz w:val="22"/>
          <w:szCs w:val="22"/>
          <w:lang w:eastAsia="en-AU"/>
        </w:rPr>
        <w:t xml:space="preserve"> has </w:t>
      </w:r>
      <w:r w:rsidR="009C1530">
        <w:rPr>
          <w:rFonts w:ascii="Arial" w:eastAsia="Arial" w:hAnsi="Arial" w:cs="Arial"/>
          <w:color w:val="201F1E"/>
          <w:sz w:val="22"/>
          <w:szCs w:val="22"/>
          <w:lang w:eastAsia="en-AU"/>
        </w:rPr>
        <w:t xml:space="preserve">created a change in the way DTF and line departments engage. </w:t>
      </w:r>
      <w:r w:rsidR="725360C1" w:rsidRPr="008E44DA">
        <w:rPr>
          <w:rFonts w:ascii="Arial" w:eastAsia="Arial" w:hAnsi="Arial" w:cs="Arial"/>
          <w:color w:val="201F1E"/>
          <w:sz w:val="22"/>
          <w:szCs w:val="22"/>
          <w:lang w:eastAsia="en-AU"/>
        </w:rPr>
        <w:t xml:space="preserve">DTF </w:t>
      </w:r>
      <w:r w:rsidR="11C6BAB5" w:rsidRPr="008E44DA">
        <w:rPr>
          <w:rFonts w:ascii="Arial" w:eastAsia="Arial" w:hAnsi="Arial" w:cs="Arial"/>
          <w:color w:val="201F1E"/>
          <w:sz w:val="22"/>
          <w:szCs w:val="22"/>
          <w:lang w:eastAsia="en-AU"/>
        </w:rPr>
        <w:t>is working</w:t>
      </w:r>
      <w:r w:rsidR="725360C1" w:rsidRPr="008E44DA">
        <w:rPr>
          <w:rFonts w:ascii="Arial" w:eastAsia="Arial" w:hAnsi="Arial" w:cs="Arial"/>
          <w:color w:val="201F1E"/>
          <w:sz w:val="22"/>
          <w:szCs w:val="22"/>
          <w:lang w:eastAsia="en-AU"/>
        </w:rPr>
        <w:t xml:space="preserve"> with line agencies to identify and refine outcome measures and </w:t>
      </w:r>
      <w:r w:rsidR="00285AF0">
        <w:rPr>
          <w:rFonts w:ascii="Arial" w:eastAsia="Arial" w:hAnsi="Arial" w:cs="Arial"/>
          <w:color w:val="201F1E"/>
          <w:sz w:val="22"/>
          <w:szCs w:val="22"/>
          <w:lang w:eastAsia="en-AU"/>
        </w:rPr>
        <w:t xml:space="preserve">annual </w:t>
      </w:r>
      <w:r w:rsidR="725360C1" w:rsidRPr="008E44DA">
        <w:rPr>
          <w:rFonts w:ascii="Arial" w:eastAsia="Arial" w:hAnsi="Arial" w:cs="Arial"/>
          <w:color w:val="201F1E"/>
          <w:sz w:val="22"/>
          <w:szCs w:val="22"/>
          <w:lang w:eastAsia="en-AU"/>
        </w:rPr>
        <w:t xml:space="preserve">targets, ensuring that they are well-defined, based on a variable that can be monitored and measured, and demonstrate a causal link between action and outcome. </w:t>
      </w:r>
      <w:r w:rsidR="00D31249">
        <w:rPr>
          <w:rFonts w:ascii="Arial" w:eastAsia="Arial" w:hAnsi="Arial" w:cs="Arial"/>
          <w:color w:val="201F1E"/>
          <w:sz w:val="22"/>
          <w:szCs w:val="22"/>
          <w:lang w:eastAsia="en-AU"/>
        </w:rPr>
        <w:t xml:space="preserve">This reaffirms </w:t>
      </w:r>
      <w:r w:rsidR="00AB34FB">
        <w:rPr>
          <w:rFonts w:ascii="Arial" w:eastAsia="Arial" w:hAnsi="Arial" w:cs="Arial"/>
          <w:color w:val="201F1E"/>
          <w:sz w:val="22"/>
          <w:szCs w:val="22"/>
          <w:lang w:eastAsia="en-AU"/>
        </w:rPr>
        <w:t xml:space="preserve">that </w:t>
      </w:r>
      <w:r w:rsidR="00D31249">
        <w:rPr>
          <w:rFonts w:ascii="Arial" w:eastAsia="Arial" w:hAnsi="Arial" w:cs="Arial"/>
          <w:color w:val="201F1E"/>
          <w:sz w:val="22"/>
          <w:szCs w:val="22"/>
          <w:lang w:eastAsia="en-AU"/>
        </w:rPr>
        <w:t>a</w:t>
      </w:r>
      <w:r w:rsidR="00D31249" w:rsidRPr="008E44DA">
        <w:rPr>
          <w:rFonts w:ascii="Arial" w:eastAsia="Arial" w:hAnsi="Arial" w:cs="Arial"/>
          <w:sz w:val="22"/>
          <w:szCs w:val="22"/>
        </w:rPr>
        <w:t xml:space="preserve"> central financing agency’s role is not just to say no to proposals, but to promote better policymaking and proposals that ultimately provide greater benefits for citizens.</w:t>
      </w:r>
    </w:p>
    <w:p w14:paraId="5288270B" w14:textId="77777777" w:rsidR="006E0231" w:rsidRPr="008E44DA" w:rsidRDefault="006E0231" w:rsidP="009B1E99">
      <w:pPr>
        <w:spacing w:line="276" w:lineRule="auto"/>
        <w:jc w:val="both"/>
        <w:rPr>
          <w:rFonts w:ascii="Arial" w:eastAsia="Arial" w:hAnsi="Arial" w:cs="Arial"/>
          <w:color w:val="201F1E"/>
          <w:sz w:val="22"/>
          <w:szCs w:val="22"/>
          <w:lang w:eastAsia="en-AU"/>
        </w:rPr>
      </w:pPr>
    </w:p>
    <w:p w14:paraId="00F9C58C" w14:textId="2B489A30" w:rsidR="006E0231" w:rsidRPr="008E44DA" w:rsidRDefault="725360C1"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t xml:space="preserve">DTF has also </w:t>
      </w:r>
      <w:r w:rsidR="49F94D9F" w:rsidRPr="008E44DA">
        <w:rPr>
          <w:rFonts w:ascii="Arial" w:eastAsia="Arial" w:hAnsi="Arial" w:cs="Arial"/>
          <w:color w:val="201F1E"/>
          <w:sz w:val="22"/>
          <w:szCs w:val="22"/>
          <w:lang w:eastAsia="en-AU"/>
        </w:rPr>
        <w:t>made considerable progress in developing</w:t>
      </w:r>
      <w:r w:rsidRPr="008E44DA">
        <w:rPr>
          <w:rFonts w:ascii="Arial" w:eastAsia="Arial" w:hAnsi="Arial" w:cs="Arial"/>
          <w:color w:val="201F1E"/>
          <w:sz w:val="22"/>
          <w:szCs w:val="22"/>
          <w:lang w:eastAsia="en-AU"/>
        </w:rPr>
        <w:t xml:space="preserve"> avoided cost budget guidance to assist agencies in setting the parameters and framework for avoided cost estimation under the EIIF. These include defining the proposed cohort, specifying how the </w:t>
      </w:r>
      <w:r w:rsidR="00867398" w:rsidRPr="008E44DA">
        <w:rPr>
          <w:rFonts w:ascii="Arial" w:eastAsia="Arial" w:hAnsi="Arial" w:cs="Arial"/>
          <w:color w:val="201F1E"/>
          <w:sz w:val="22"/>
          <w:szCs w:val="22"/>
          <w:lang w:eastAsia="en-AU"/>
        </w:rPr>
        <w:t>initiative</w:t>
      </w:r>
      <w:r w:rsidRPr="008E44DA">
        <w:rPr>
          <w:rFonts w:ascii="Arial" w:eastAsia="Arial" w:hAnsi="Arial" w:cs="Arial"/>
          <w:color w:val="201F1E"/>
          <w:sz w:val="22"/>
          <w:szCs w:val="22"/>
          <w:lang w:eastAsia="en-AU"/>
        </w:rPr>
        <w:t xml:space="preserve"> will impact the lives of this cohort, and estimating the cost of initial and downstream reduction on service demand. This is a collaborative process that facilitates the production of </w:t>
      </w:r>
      <w:r w:rsidR="00AE1E19">
        <w:rPr>
          <w:rFonts w:ascii="Arial" w:eastAsia="Arial" w:hAnsi="Arial" w:cs="Arial"/>
          <w:color w:val="201F1E"/>
          <w:sz w:val="22"/>
          <w:szCs w:val="22"/>
          <w:lang w:eastAsia="en-AU"/>
        </w:rPr>
        <w:t xml:space="preserve">reasonable and more consistent </w:t>
      </w:r>
      <w:r w:rsidR="00834CE3">
        <w:rPr>
          <w:rFonts w:ascii="Arial" w:eastAsia="Arial" w:hAnsi="Arial" w:cs="Arial"/>
          <w:color w:val="201F1E"/>
          <w:sz w:val="22"/>
          <w:szCs w:val="22"/>
          <w:lang w:eastAsia="en-AU"/>
        </w:rPr>
        <w:t xml:space="preserve">measurement across </w:t>
      </w:r>
      <w:r w:rsidRPr="008E44DA">
        <w:rPr>
          <w:rFonts w:ascii="Arial" w:eastAsia="Arial" w:hAnsi="Arial" w:cs="Arial"/>
          <w:color w:val="201F1E"/>
          <w:sz w:val="22"/>
          <w:szCs w:val="22"/>
          <w:lang w:eastAsia="en-AU"/>
        </w:rPr>
        <w:t>EIIF initiatives.</w:t>
      </w:r>
    </w:p>
    <w:p w14:paraId="1C437195" w14:textId="77777777" w:rsidR="006E0231" w:rsidRPr="008E44DA" w:rsidRDefault="006E0231" w:rsidP="009B1E99">
      <w:pPr>
        <w:spacing w:line="276" w:lineRule="auto"/>
        <w:jc w:val="both"/>
        <w:rPr>
          <w:rFonts w:ascii="Arial" w:eastAsia="Arial" w:hAnsi="Arial" w:cs="Arial"/>
          <w:color w:val="201F1E"/>
          <w:sz w:val="22"/>
          <w:szCs w:val="22"/>
          <w:lang w:eastAsia="en-AU"/>
        </w:rPr>
      </w:pPr>
    </w:p>
    <w:p w14:paraId="514992B0" w14:textId="2CA92B90" w:rsidR="000359E6" w:rsidRPr="008E44DA" w:rsidRDefault="49F94D9F"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t>Agencies</w:t>
      </w:r>
      <w:r w:rsidR="725360C1" w:rsidRPr="008E44DA">
        <w:rPr>
          <w:rFonts w:ascii="Arial" w:eastAsia="Arial" w:hAnsi="Arial" w:cs="Arial"/>
          <w:color w:val="201F1E"/>
          <w:sz w:val="22"/>
          <w:szCs w:val="22"/>
          <w:lang w:eastAsia="en-AU"/>
        </w:rPr>
        <w:t xml:space="preserve"> provide regular reports on the progress of EIIF funded initiatives against outcome measures</w:t>
      </w:r>
      <w:r w:rsidR="00285AF0">
        <w:rPr>
          <w:rFonts w:ascii="Arial" w:eastAsia="Arial" w:hAnsi="Arial" w:cs="Arial"/>
          <w:color w:val="201F1E"/>
          <w:sz w:val="22"/>
          <w:szCs w:val="22"/>
          <w:lang w:eastAsia="en-AU"/>
        </w:rPr>
        <w:t xml:space="preserve"> and annual targets</w:t>
      </w:r>
      <w:r w:rsidR="725360C1" w:rsidRPr="008E44DA">
        <w:rPr>
          <w:rFonts w:ascii="Arial" w:eastAsia="Arial" w:hAnsi="Arial" w:cs="Arial"/>
          <w:color w:val="201F1E"/>
          <w:sz w:val="22"/>
          <w:szCs w:val="22"/>
          <w:lang w:eastAsia="en-AU"/>
        </w:rPr>
        <w:t xml:space="preserve">. This information </w:t>
      </w:r>
      <w:r w:rsidR="00737438">
        <w:rPr>
          <w:rFonts w:ascii="Arial" w:eastAsia="Arial" w:hAnsi="Arial" w:cs="Arial"/>
          <w:color w:val="201F1E"/>
          <w:sz w:val="22"/>
          <w:szCs w:val="22"/>
          <w:lang w:eastAsia="en-AU"/>
        </w:rPr>
        <w:t xml:space="preserve">on </w:t>
      </w:r>
      <w:r w:rsidR="00AB34FB">
        <w:rPr>
          <w:rFonts w:ascii="Arial" w:eastAsia="Arial" w:hAnsi="Arial" w:cs="Arial"/>
          <w:color w:val="201F1E"/>
          <w:sz w:val="22"/>
          <w:szCs w:val="22"/>
          <w:lang w:eastAsia="en-AU"/>
        </w:rPr>
        <w:t xml:space="preserve">the </w:t>
      </w:r>
      <w:r w:rsidR="00737438">
        <w:rPr>
          <w:rFonts w:ascii="Arial" w:eastAsia="Arial" w:hAnsi="Arial" w:cs="Arial"/>
          <w:color w:val="201F1E"/>
          <w:sz w:val="22"/>
          <w:szCs w:val="22"/>
          <w:lang w:eastAsia="en-AU"/>
        </w:rPr>
        <w:t xml:space="preserve">effectiveness </w:t>
      </w:r>
      <w:r w:rsidR="725360C1" w:rsidRPr="008E44DA">
        <w:rPr>
          <w:rFonts w:ascii="Arial" w:eastAsia="Arial" w:hAnsi="Arial" w:cs="Arial"/>
          <w:color w:val="201F1E"/>
          <w:sz w:val="22"/>
          <w:szCs w:val="22"/>
          <w:lang w:eastAsia="en-AU"/>
        </w:rPr>
        <w:t xml:space="preserve">will help </w:t>
      </w:r>
      <w:r w:rsidR="0022380F" w:rsidRPr="008E44DA">
        <w:rPr>
          <w:rFonts w:ascii="Arial" w:eastAsia="Arial" w:hAnsi="Arial" w:cs="Arial"/>
          <w:color w:val="201F1E"/>
          <w:sz w:val="22"/>
          <w:szCs w:val="22"/>
          <w:lang w:eastAsia="en-AU"/>
        </w:rPr>
        <w:t xml:space="preserve">guide </w:t>
      </w:r>
      <w:r w:rsidR="725360C1" w:rsidRPr="008E44DA">
        <w:rPr>
          <w:rFonts w:ascii="Arial" w:eastAsia="Arial" w:hAnsi="Arial" w:cs="Arial"/>
          <w:color w:val="201F1E"/>
          <w:sz w:val="22"/>
          <w:szCs w:val="22"/>
          <w:lang w:eastAsia="en-AU"/>
        </w:rPr>
        <w:t xml:space="preserve">reinvestment and support the </w:t>
      </w:r>
      <w:r w:rsidR="00EF6FA3" w:rsidRPr="008E44DA">
        <w:rPr>
          <w:rFonts w:ascii="Arial" w:eastAsia="Arial" w:hAnsi="Arial" w:cs="Arial"/>
          <w:color w:val="201F1E"/>
          <w:sz w:val="22"/>
          <w:szCs w:val="22"/>
          <w:lang w:eastAsia="en-AU"/>
        </w:rPr>
        <w:t xml:space="preserve">growth of investment in </w:t>
      </w:r>
      <w:r w:rsidR="725360C1" w:rsidRPr="008E44DA">
        <w:rPr>
          <w:rFonts w:ascii="Arial" w:eastAsia="Arial" w:hAnsi="Arial" w:cs="Arial"/>
          <w:color w:val="201F1E"/>
          <w:sz w:val="22"/>
          <w:szCs w:val="22"/>
          <w:lang w:eastAsia="en-AU"/>
        </w:rPr>
        <w:t xml:space="preserve">early </w:t>
      </w:r>
      <w:r w:rsidRPr="008E44DA">
        <w:rPr>
          <w:rFonts w:ascii="Arial" w:eastAsia="Arial" w:hAnsi="Arial" w:cs="Arial"/>
          <w:color w:val="201F1E"/>
          <w:sz w:val="22"/>
          <w:szCs w:val="22"/>
          <w:lang w:eastAsia="en-AU"/>
        </w:rPr>
        <w:t>intervention</w:t>
      </w:r>
      <w:r w:rsidR="725360C1" w:rsidRPr="008E44DA">
        <w:rPr>
          <w:rFonts w:ascii="Arial" w:eastAsia="Arial" w:hAnsi="Arial" w:cs="Arial"/>
          <w:color w:val="201F1E"/>
          <w:sz w:val="22"/>
          <w:szCs w:val="22"/>
          <w:lang w:eastAsia="en-AU"/>
        </w:rPr>
        <w:t xml:space="preserve">. </w:t>
      </w:r>
    </w:p>
    <w:p w14:paraId="5BDD1E4F" w14:textId="77777777" w:rsidR="000359E6" w:rsidRPr="008E44DA" w:rsidRDefault="000359E6" w:rsidP="009B1E99">
      <w:pPr>
        <w:spacing w:line="276" w:lineRule="auto"/>
        <w:jc w:val="both"/>
        <w:rPr>
          <w:rFonts w:ascii="Arial" w:eastAsia="Arial" w:hAnsi="Arial" w:cs="Arial"/>
          <w:color w:val="201F1E"/>
          <w:sz w:val="22"/>
          <w:szCs w:val="22"/>
          <w:lang w:eastAsia="en-AU"/>
        </w:rPr>
      </w:pPr>
    </w:p>
    <w:p w14:paraId="59C58490" w14:textId="5E6E3344" w:rsidR="14D356EA" w:rsidRPr="008E44DA" w:rsidRDefault="14D356EA"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t xml:space="preserve">Setting and tracking the impacts of EIIF-funded initiatives will help the Victorian Government understand what is being achieved and the most effective and efficient strategies for improving outcomes for Victorians. </w:t>
      </w:r>
      <w:r w:rsidR="49F94D9F" w:rsidRPr="008E44DA">
        <w:rPr>
          <w:rFonts w:ascii="Arial" w:eastAsia="Arial" w:hAnsi="Arial" w:cs="Arial"/>
          <w:color w:val="201F1E"/>
          <w:sz w:val="22"/>
          <w:szCs w:val="22"/>
          <w:lang w:eastAsia="en-AU"/>
        </w:rPr>
        <w:t xml:space="preserve">In this way, the EIIF can be seen as a better budgeting process and </w:t>
      </w:r>
      <w:r w:rsidR="00344661">
        <w:rPr>
          <w:rFonts w:ascii="Arial" w:eastAsia="Arial" w:hAnsi="Arial" w:cs="Arial"/>
          <w:color w:val="201F1E"/>
          <w:sz w:val="22"/>
          <w:szCs w:val="22"/>
          <w:lang w:eastAsia="en-AU"/>
        </w:rPr>
        <w:t xml:space="preserve">an </w:t>
      </w:r>
      <w:r w:rsidR="49F94D9F" w:rsidRPr="008E44DA">
        <w:rPr>
          <w:rFonts w:ascii="Arial" w:eastAsia="Arial" w:hAnsi="Arial" w:cs="Arial"/>
          <w:color w:val="201F1E"/>
          <w:sz w:val="22"/>
          <w:szCs w:val="22"/>
          <w:lang w:eastAsia="en-AU"/>
        </w:rPr>
        <w:t xml:space="preserve">investment in the evidence-led decision-making capability of the </w:t>
      </w:r>
      <w:r w:rsidR="369F18B1" w:rsidRPr="008E44DA">
        <w:rPr>
          <w:rFonts w:ascii="Arial" w:eastAsia="Arial" w:hAnsi="Arial" w:cs="Arial"/>
          <w:color w:val="201F1E"/>
          <w:sz w:val="22"/>
          <w:szCs w:val="22"/>
          <w:lang w:eastAsia="en-AU"/>
        </w:rPr>
        <w:t xml:space="preserve">VPS. </w:t>
      </w:r>
      <w:r w:rsidR="36B1B4F0" w:rsidRPr="008E44DA">
        <w:rPr>
          <w:rFonts w:ascii="Arial" w:eastAsia="Arial" w:hAnsi="Arial" w:cs="Arial"/>
          <w:color w:val="201F1E"/>
          <w:sz w:val="22"/>
          <w:szCs w:val="22"/>
          <w:lang w:eastAsia="en-AU"/>
        </w:rPr>
        <w:t>While this is being initiated in a tight fiscal environment, the princip</w:t>
      </w:r>
      <w:r w:rsidR="002F1DFD">
        <w:rPr>
          <w:rFonts w:ascii="Arial" w:eastAsia="Arial" w:hAnsi="Arial" w:cs="Arial"/>
          <w:color w:val="201F1E"/>
          <w:sz w:val="22"/>
          <w:szCs w:val="22"/>
          <w:lang w:eastAsia="en-AU"/>
        </w:rPr>
        <w:t>le</w:t>
      </w:r>
      <w:r w:rsidR="36B1B4F0" w:rsidRPr="008E44DA">
        <w:rPr>
          <w:rFonts w:ascii="Arial" w:eastAsia="Arial" w:hAnsi="Arial" w:cs="Arial"/>
          <w:color w:val="201F1E"/>
          <w:sz w:val="22"/>
          <w:szCs w:val="22"/>
          <w:lang w:eastAsia="en-AU"/>
        </w:rPr>
        <w:t>s and practices of the EIIF apply equally in times of growth as the framework is fundamentally concerned with</w:t>
      </w:r>
      <w:r w:rsidR="369F18B1" w:rsidRPr="008E44DA">
        <w:rPr>
          <w:rFonts w:ascii="Arial" w:eastAsia="Arial" w:hAnsi="Arial" w:cs="Arial"/>
          <w:color w:val="201F1E"/>
          <w:sz w:val="22"/>
          <w:szCs w:val="22"/>
          <w:lang w:eastAsia="en-AU"/>
        </w:rPr>
        <w:t xml:space="preserve"> intervening at a point which is both more effective for service users and more efficient, thus reducing the call on budget capacity</w:t>
      </w:r>
      <w:r w:rsidR="0006611F">
        <w:rPr>
          <w:rFonts w:ascii="Arial" w:eastAsia="Arial" w:hAnsi="Arial" w:cs="Arial"/>
          <w:color w:val="201F1E"/>
          <w:sz w:val="22"/>
          <w:szCs w:val="22"/>
          <w:lang w:eastAsia="en-AU"/>
        </w:rPr>
        <w:t xml:space="preserve">, and </w:t>
      </w:r>
      <w:r w:rsidR="00BF4233">
        <w:rPr>
          <w:rFonts w:ascii="Arial" w:eastAsia="Arial" w:hAnsi="Arial" w:cs="Arial"/>
          <w:color w:val="201F1E"/>
          <w:sz w:val="22"/>
          <w:szCs w:val="22"/>
          <w:lang w:eastAsia="en-AU"/>
        </w:rPr>
        <w:t>providing</w:t>
      </w:r>
      <w:r w:rsidR="00247192">
        <w:rPr>
          <w:rFonts w:ascii="Arial" w:eastAsia="Arial" w:hAnsi="Arial" w:cs="Arial"/>
          <w:color w:val="201F1E"/>
          <w:sz w:val="22"/>
          <w:szCs w:val="22"/>
          <w:lang w:eastAsia="en-AU"/>
        </w:rPr>
        <w:t xml:space="preserve"> </w:t>
      </w:r>
      <w:r w:rsidR="004F6632">
        <w:rPr>
          <w:rFonts w:ascii="Arial" w:eastAsia="Arial" w:hAnsi="Arial" w:cs="Arial"/>
          <w:color w:val="201F1E"/>
          <w:sz w:val="22"/>
          <w:szCs w:val="22"/>
          <w:lang w:eastAsia="en-AU"/>
        </w:rPr>
        <w:t>greater</w:t>
      </w:r>
      <w:r w:rsidR="00247192">
        <w:rPr>
          <w:rFonts w:ascii="Arial" w:eastAsia="Arial" w:hAnsi="Arial" w:cs="Arial"/>
          <w:color w:val="201F1E"/>
          <w:sz w:val="22"/>
          <w:szCs w:val="22"/>
          <w:lang w:eastAsia="en-AU"/>
        </w:rPr>
        <w:t xml:space="preserve"> confidence </w:t>
      </w:r>
      <w:r w:rsidR="004F6632">
        <w:rPr>
          <w:rFonts w:ascii="Arial" w:eastAsia="Arial" w:hAnsi="Arial" w:cs="Arial"/>
          <w:color w:val="201F1E"/>
          <w:sz w:val="22"/>
          <w:szCs w:val="22"/>
          <w:lang w:eastAsia="en-AU"/>
        </w:rPr>
        <w:t>in</w:t>
      </w:r>
      <w:r w:rsidR="00BF4233">
        <w:rPr>
          <w:rFonts w:ascii="Arial" w:eastAsia="Arial" w:hAnsi="Arial" w:cs="Arial"/>
          <w:color w:val="201F1E"/>
          <w:sz w:val="22"/>
          <w:szCs w:val="22"/>
          <w:lang w:eastAsia="en-AU"/>
        </w:rPr>
        <w:t xml:space="preserve"> investment</w:t>
      </w:r>
      <w:r w:rsidR="004F6632">
        <w:rPr>
          <w:rFonts w:ascii="Arial" w:eastAsia="Arial" w:hAnsi="Arial" w:cs="Arial"/>
          <w:color w:val="201F1E"/>
          <w:sz w:val="22"/>
          <w:szCs w:val="22"/>
          <w:lang w:eastAsia="en-AU"/>
        </w:rPr>
        <w:t>s</w:t>
      </w:r>
      <w:r w:rsidR="00AB34FB">
        <w:rPr>
          <w:rFonts w:ascii="Arial" w:eastAsia="Arial" w:hAnsi="Arial" w:cs="Arial"/>
          <w:color w:val="201F1E"/>
          <w:sz w:val="22"/>
          <w:szCs w:val="22"/>
          <w:lang w:eastAsia="en-AU"/>
        </w:rPr>
        <w:t>.</w:t>
      </w:r>
    </w:p>
    <w:p w14:paraId="74FA126A" w14:textId="4AF0019F" w:rsidR="369F18B1" w:rsidRPr="008E44DA" w:rsidRDefault="369F18B1" w:rsidP="009B1E99">
      <w:pPr>
        <w:spacing w:line="276" w:lineRule="auto"/>
        <w:jc w:val="both"/>
        <w:rPr>
          <w:rFonts w:ascii="Arial" w:eastAsia="Arial" w:hAnsi="Arial" w:cs="Arial"/>
          <w:color w:val="201F1E"/>
          <w:sz w:val="22"/>
          <w:szCs w:val="22"/>
          <w:lang w:eastAsia="en-AU"/>
        </w:rPr>
      </w:pPr>
    </w:p>
    <w:p w14:paraId="5D819498" w14:textId="410EE362" w:rsidR="00A26F51" w:rsidRDefault="0F7481BA"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t xml:space="preserve">In recognition of the intersectional nature of social services, where benefits and costs are diffused across multiple </w:t>
      </w:r>
      <w:r w:rsidR="00426EEF" w:rsidRPr="008E44DA">
        <w:rPr>
          <w:rFonts w:ascii="Arial" w:eastAsia="Arial" w:hAnsi="Arial" w:cs="Arial"/>
          <w:color w:val="201F1E"/>
          <w:sz w:val="22"/>
          <w:szCs w:val="22"/>
          <w:lang w:eastAsia="en-AU"/>
        </w:rPr>
        <w:t>portfolios</w:t>
      </w:r>
      <w:r w:rsidRPr="008E44DA">
        <w:rPr>
          <w:rFonts w:ascii="Arial" w:eastAsia="Arial" w:hAnsi="Arial" w:cs="Arial"/>
          <w:color w:val="201F1E"/>
          <w:sz w:val="22"/>
          <w:szCs w:val="22"/>
          <w:lang w:eastAsia="en-AU"/>
        </w:rPr>
        <w:t xml:space="preserve">, the EIIF adopts a benefit sharing approach. Benefits from avoided costs are shared across agencies as </w:t>
      </w:r>
      <w:r w:rsidR="00A26F51">
        <w:rPr>
          <w:rFonts w:ascii="Arial" w:eastAsia="Arial" w:hAnsi="Arial" w:cs="Arial"/>
          <w:color w:val="201F1E"/>
          <w:sz w:val="22"/>
          <w:szCs w:val="22"/>
          <w:lang w:eastAsia="en-AU"/>
        </w:rPr>
        <w:t xml:space="preserve">ongoing </w:t>
      </w:r>
      <w:r w:rsidRPr="008E44DA">
        <w:rPr>
          <w:rFonts w:ascii="Arial" w:eastAsia="Arial" w:hAnsi="Arial" w:cs="Arial"/>
          <w:color w:val="201F1E"/>
          <w:sz w:val="22"/>
          <w:szCs w:val="22"/>
          <w:lang w:eastAsia="en-AU"/>
        </w:rPr>
        <w:t>EIIF dividends</w:t>
      </w:r>
      <w:r w:rsidR="00A26F51">
        <w:rPr>
          <w:rFonts w:ascii="Arial" w:eastAsia="Arial" w:hAnsi="Arial" w:cs="Arial"/>
          <w:color w:val="201F1E"/>
          <w:sz w:val="22"/>
          <w:szCs w:val="22"/>
          <w:lang w:eastAsia="en-AU"/>
        </w:rPr>
        <w:t>, reflecting where avoided cost are estimated to accrue – with</w:t>
      </w:r>
      <w:r w:rsidRPr="008E44DA">
        <w:rPr>
          <w:rFonts w:ascii="Arial" w:eastAsia="Arial" w:hAnsi="Arial" w:cs="Arial"/>
          <w:color w:val="201F1E"/>
          <w:sz w:val="22"/>
          <w:szCs w:val="22"/>
          <w:lang w:eastAsia="en-AU"/>
        </w:rPr>
        <w:t xml:space="preserve"> agencies </w:t>
      </w:r>
      <w:r w:rsidR="009C4639" w:rsidRPr="008E44DA">
        <w:rPr>
          <w:rFonts w:ascii="Arial" w:eastAsia="Arial" w:hAnsi="Arial" w:cs="Arial"/>
          <w:color w:val="201F1E"/>
          <w:sz w:val="22"/>
          <w:szCs w:val="22"/>
          <w:lang w:eastAsia="en-AU"/>
        </w:rPr>
        <w:t>retain</w:t>
      </w:r>
      <w:r w:rsidR="00A26F51">
        <w:rPr>
          <w:rFonts w:ascii="Arial" w:eastAsia="Arial" w:hAnsi="Arial" w:cs="Arial"/>
          <w:color w:val="201F1E"/>
          <w:sz w:val="22"/>
          <w:szCs w:val="22"/>
          <w:lang w:eastAsia="en-AU"/>
        </w:rPr>
        <w:t>ing</w:t>
      </w:r>
      <w:r w:rsidR="009C4639" w:rsidRPr="008E44DA">
        <w:rPr>
          <w:rFonts w:ascii="Arial" w:eastAsia="Arial" w:hAnsi="Arial" w:cs="Arial"/>
          <w:color w:val="201F1E"/>
          <w:sz w:val="22"/>
          <w:szCs w:val="22"/>
          <w:lang w:eastAsia="en-AU"/>
        </w:rPr>
        <w:t xml:space="preserve"> any upside risk </w:t>
      </w:r>
      <w:r w:rsidR="009C4639">
        <w:rPr>
          <w:rFonts w:ascii="Arial" w:eastAsia="Arial" w:hAnsi="Arial" w:cs="Arial"/>
          <w:color w:val="201F1E"/>
          <w:sz w:val="22"/>
          <w:szCs w:val="22"/>
          <w:lang w:eastAsia="en-AU"/>
        </w:rPr>
        <w:t>associated with</w:t>
      </w:r>
      <w:r w:rsidRPr="008E44DA">
        <w:rPr>
          <w:rFonts w:ascii="Arial" w:eastAsia="Arial" w:hAnsi="Arial" w:cs="Arial"/>
          <w:color w:val="201F1E"/>
          <w:sz w:val="22"/>
          <w:szCs w:val="22"/>
          <w:lang w:eastAsia="en-AU"/>
        </w:rPr>
        <w:t xml:space="preserve"> reduced service use</w:t>
      </w:r>
      <w:r w:rsidR="00384DA0">
        <w:rPr>
          <w:rFonts w:ascii="Arial" w:eastAsia="Arial" w:hAnsi="Arial" w:cs="Arial"/>
          <w:color w:val="201F1E"/>
          <w:sz w:val="22"/>
          <w:szCs w:val="22"/>
          <w:lang w:eastAsia="en-AU"/>
        </w:rPr>
        <w:t xml:space="preserve">, such as </w:t>
      </w:r>
      <w:r w:rsidR="00AB34FB">
        <w:rPr>
          <w:rFonts w:ascii="Arial" w:eastAsia="Arial" w:hAnsi="Arial" w:cs="Arial"/>
          <w:color w:val="201F1E"/>
          <w:sz w:val="22"/>
          <w:szCs w:val="22"/>
          <w:lang w:eastAsia="en-AU"/>
        </w:rPr>
        <w:t>reduce</w:t>
      </w:r>
      <w:r w:rsidR="00384DA0">
        <w:rPr>
          <w:rFonts w:ascii="Arial" w:eastAsia="Arial" w:hAnsi="Arial" w:cs="Arial"/>
          <w:color w:val="201F1E"/>
          <w:sz w:val="22"/>
          <w:szCs w:val="22"/>
          <w:lang w:eastAsia="en-AU"/>
        </w:rPr>
        <w:t>d pressure on services enhancing</w:t>
      </w:r>
      <w:r w:rsidR="00AB34FB">
        <w:rPr>
          <w:rFonts w:ascii="Arial" w:eastAsia="Arial" w:hAnsi="Arial" w:cs="Arial"/>
          <w:color w:val="201F1E"/>
          <w:sz w:val="22"/>
          <w:szCs w:val="22"/>
          <w:lang w:eastAsia="en-AU"/>
        </w:rPr>
        <w:t xml:space="preserve"> wor</w:t>
      </w:r>
      <w:r w:rsidR="00384DA0">
        <w:rPr>
          <w:rFonts w:ascii="Arial" w:eastAsia="Arial" w:hAnsi="Arial" w:cs="Arial"/>
          <w:color w:val="201F1E"/>
          <w:sz w:val="22"/>
          <w:szCs w:val="22"/>
          <w:lang w:eastAsia="en-AU"/>
        </w:rPr>
        <w:t>kforce attraction and retention</w:t>
      </w:r>
      <w:r w:rsidR="00AB34FB">
        <w:rPr>
          <w:rFonts w:ascii="Arial" w:eastAsia="Arial" w:hAnsi="Arial" w:cs="Arial"/>
          <w:color w:val="201F1E"/>
          <w:sz w:val="22"/>
          <w:szCs w:val="22"/>
          <w:lang w:eastAsia="en-AU"/>
        </w:rPr>
        <w:t>.</w:t>
      </w:r>
      <w:r w:rsidRPr="008E44DA">
        <w:rPr>
          <w:rFonts w:ascii="Arial" w:eastAsia="Arial" w:hAnsi="Arial" w:cs="Arial"/>
          <w:color w:val="201F1E"/>
          <w:sz w:val="22"/>
          <w:szCs w:val="22"/>
          <w:lang w:eastAsia="en-AU"/>
        </w:rPr>
        <w:t xml:space="preserve"> </w:t>
      </w:r>
    </w:p>
    <w:p w14:paraId="456007CC" w14:textId="77777777" w:rsidR="00A26F51" w:rsidRDefault="00A26F51" w:rsidP="009B1E99">
      <w:pPr>
        <w:spacing w:line="276" w:lineRule="auto"/>
        <w:jc w:val="both"/>
        <w:rPr>
          <w:rFonts w:ascii="Arial" w:eastAsia="Arial" w:hAnsi="Arial" w:cs="Arial"/>
          <w:color w:val="201F1E"/>
          <w:sz w:val="22"/>
          <w:szCs w:val="22"/>
          <w:lang w:eastAsia="en-AU"/>
        </w:rPr>
      </w:pPr>
    </w:p>
    <w:p w14:paraId="19EE7F54" w14:textId="6D2A655A" w:rsidR="00182E67" w:rsidRPr="008E44DA" w:rsidRDefault="0F7481BA"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t xml:space="preserve">Operating with discretional power, the Expenditure Review Committee (ERC) will ring-fence EIIF dividends to respective agencies to </w:t>
      </w:r>
      <w:r w:rsidR="00A26F51">
        <w:rPr>
          <w:rFonts w:ascii="Arial" w:eastAsia="Arial" w:hAnsi="Arial" w:cs="Arial"/>
          <w:color w:val="201F1E"/>
          <w:sz w:val="22"/>
          <w:szCs w:val="22"/>
          <w:lang w:eastAsia="en-AU"/>
        </w:rPr>
        <w:t xml:space="preserve">allow them to </w:t>
      </w:r>
      <w:r w:rsidR="00AB34FB">
        <w:rPr>
          <w:rFonts w:ascii="Arial" w:eastAsia="Arial" w:hAnsi="Arial" w:cs="Arial"/>
          <w:color w:val="201F1E"/>
          <w:sz w:val="22"/>
          <w:szCs w:val="22"/>
          <w:lang w:eastAsia="en-AU"/>
        </w:rPr>
        <w:t xml:space="preserve">be </w:t>
      </w:r>
      <w:r w:rsidRPr="008E44DA">
        <w:rPr>
          <w:rFonts w:ascii="Arial" w:eastAsia="Arial" w:hAnsi="Arial" w:cs="Arial"/>
          <w:color w:val="201F1E"/>
          <w:sz w:val="22"/>
          <w:szCs w:val="22"/>
          <w:lang w:eastAsia="en-AU"/>
        </w:rPr>
        <w:t>reinvest</w:t>
      </w:r>
      <w:r w:rsidR="00AB34FB">
        <w:rPr>
          <w:rFonts w:ascii="Arial" w:eastAsia="Arial" w:hAnsi="Arial" w:cs="Arial"/>
          <w:color w:val="201F1E"/>
          <w:sz w:val="22"/>
          <w:szCs w:val="22"/>
          <w:lang w:eastAsia="en-AU"/>
        </w:rPr>
        <w:t xml:space="preserve">ed </w:t>
      </w:r>
      <w:r w:rsidRPr="008E44DA">
        <w:rPr>
          <w:rFonts w:ascii="Arial" w:eastAsia="Arial" w:hAnsi="Arial" w:cs="Arial"/>
          <w:color w:val="201F1E"/>
          <w:sz w:val="22"/>
          <w:szCs w:val="22"/>
          <w:lang w:eastAsia="en-AU"/>
        </w:rPr>
        <w:t>in future early intervention initiatives</w:t>
      </w:r>
      <w:r w:rsidR="00AA4039">
        <w:rPr>
          <w:rFonts w:ascii="Arial" w:eastAsia="Arial" w:hAnsi="Arial" w:cs="Arial"/>
          <w:color w:val="201F1E"/>
          <w:sz w:val="22"/>
          <w:szCs w:val="22"/>
          <w:lang w:eastAsia="en-AU"/>
        </w:rPr>
        <w:t xml:space="preserve"> through the budget process</w:t>
      </w:r>
      <w:r w:rsidRPr="008E44DA">
        <w:rPr>
          <w:rFonts w:ascii="Arial" w:eastAsia="Arial" w:hAnsi="Arial" w:cs="Arial"/>
          <w:color w:val="201F1E"/>
          <w:sz w:val="22"/>
          <w:szCs w:val="22"/>
          <w:lang w:eastAsia="en-AU"/>
        </w:rPr>
        <w:t xml:space="preserve">. This </w:t>
      </w:r>
      <w:r w:rsidR="00C74ECA" w:rsidRPr="008E44DA">
        <w:rPr>
          <w:rFonts w:ascii="Arial" w:eastAsia="Arial" w:hAnsi="Arial" w:cs="Arial"/>
          <w:color w:val="201F1E"/>
          <w:sz w:val="22"/>
          <w:szCs w:val="22"/>
          <w:lang w:eastAsia="en-AU"/>
        </w:rPr>
        <w:t>model</w:t>
      </w:r>
      <w:r w:rsidRPr="008E44DA">
        <w:rPr>
          <w:rFonts w:ascii="Arial" w:eastAsia="Arial" w:hAnsi="Arial" w:cs="Arial"/>
          <w:color w:val="201F1E"/>
          <w:sz w:val="22"/>
          <w:szCs w:val="22"/>
          <w:lang w:eastAsia="en-AU"/>
        </w:rPr>
        <w:t xml:space="preserve"> operates on the principle that benefit sharing will incentivise agencies to develop more EIIF initiatives and increase the fiscal return and funds available to ERC to invest in future early intervention initiatives.</w:t>
      </w:r>
    </w:p>
    <w:p w14:paraId="1C831847" w14:textId="2D604D08" w:rsidR="00182E67" w:rsidRPr="008E44DA" w:rsidRDefault="00182E67" w:rsidP="009B1E99">
      <w:pPr>
        <w:spacing w:line="276" w:lineRule="auto"/>
        <w:jc w:val="both"/>
        <w:rPr>
          <w:rFonts w:ascii="Arial" w:eastAsia="Arial" w:hAnsi="Arial" w:cs="Arial"/>
          <w:color w:val="201F1E"/>
          <w:sz w:val="22"/>
          <w:szCs w:val="22"/>
          <w:lang w:eastAsia="en-AU"/>
        </w:rPr>
      </w:pPr>
    </w:p>
    <w:p w14:paraId="48EC55C7" w14:textId="2AAA5F79" w:rsidR="00182E67" w:rsidRPr="009B1E99" w:rsidRDefault="49F94D9F" w:rsidP="00ED20EA">
      <w:pPr>
        <w:pStyle w:val="Heading1"/>
        <w:spacing w:before="0" w:line="276" w:lineRule="auto"/>
        <w:rPr>
          <w:rFonts w:ascii="Arial" w:eastAsia="Arial" w:hAnsi="Arial" w:cs="Arial"/>
          <w:sz w:val="28"/>
          <w:szCs w:val="28"/>
          <w:lang w:eastAsia="en-AU"/>
        </w:rPr>
      </w:pPr>
      <w:r w:rsidRPr="009B1E99">
        <w:rPr>
          <w:rFonts w:ascii="Arial" w:eastAsia="Arial" w:hAnsi="Arial" w:cs="Arial"/>
          <w:sz w:val="28"/>
          <w:szCs w:val="28"/>
          <w:lang w:eastAsia="en-AU"/>
        </w:rPr>
        <w:t>3.</w:t>
      </w:r>
      <w:r w:rsidR="00182E67" w:rsidRPr="009B1E99">
        <w:rPr>
          <w:rFonts w:ascii="Arial" w:hAnsi="Arial" w:cs="Arial"/>
          <w:sz w:val="28"/>
          <w:szCs w:val="28"/>
        </w:rPr>
        <w:tab/>
      </w:r>
      <w:r w:rsidR="5AFA42C3" w:rsidRPr="009B1E99">
        <w:rPr>
          <w:rFonts w:ascii="Arial" w:eastAsia="Arial" w:hAnsi="Arial" w:cs="Arial"/>
          <w:sz w:val="28"/>
          <w:szCs w:val="28"/>
          <w:lang w:eastAsia="en-AU"/>
        </w:rPr>
        <w:t>BUDGET PROCESSES AND THE ROLES OF CENTRAL AND LINE AGENCIES</w:t>
      </w:r>
    </w:p>
    <w:p w14:paraId="73A0275F" w14:textId="65B52D59" w:rsidR="00182E67" w:rsidRPr="008E44DA" w:rsidRDefault="00182E67" w:rsidP="00ED20EA">
      <w:pPr>
        <w:spacing w:line="276" w:lineRule="auto"/>
        <w:rPr>
          <w:rFonts w:ascii="Arial" w:eastAsia="Arial" w:hAnsi="Arial" w:cs="Arial"/>
          <w:color w:val="201F1E"/>
          <w:sz w:val="22"/>
          <w:szCs w:val="22"/>
          <w:lang w:eastAsia="en-AU"/>
        </w:rPr>
      </w:pPr>
    </w:p>
    <w:p w14:paraId="7206CD66" w14:textId="65902D06" w:rsidR="00182E67" w:rsidRPr="008E44DA" w:rsidRDefault="000020B8" w:rsidP="009B1E99">
      <w:pPr>
        <w:spacing w:line="276" w:lineRule="auto"/>
        <w:jc w:val="both"/>
        <w:rPr>
          <w:rFonts w:ascii="Arial" w:eastAsia="Arial" w:hAnsi="Arial" w:cs="Arial"/>
          <w:sz w:val="22"/>
          <w:szCs w:val="22"/>
          <w:lang w:val="en-US"/>
        </w:rPr>
      </w:pPr>
      <w:r w:rsidRPr="000020B8">
        <w:rPr>
          <w:rFonts w:ascii="Arial" w:eastAsia="Arial" w:hAnsi="Arial" w:cs="Arial"/>
          <w:color w:val="201F1E"/>
          <w:sz w:val="22"/>
          <w:szCs w:val="22"/>
          <w:lang w:eastAsia="en-AU"/>
        </w:rPr>
        <w:t xml:space="preserve"> </w:t>
      </w:r>
      <w:r>
        <w:rPr>
          <w:rFonts w:ascii="Arial" w:eastAsia="Arial" w:hAnsi="Arial" w:cs="Arial"/>
          <w:color w:val="201F1E"/>
          <w:sz w:val="22"/>
          <w:szCs w:val="22"/>
          <w:lang w:eastAsia="en-AU"/>
        </w:rPr>
        <w:t>A way to gain insight into the budget process is to think about it in terms of</w:t>
      </w:r>
      <w:r w:rsidR="00555B8A">
        <w:rPr>
          <w:rFonts w:ascii="Arial" w:eastAsia="Arial" w:hAnsi="Arial" w:cs="Arial"/>
          <w:color w:val="201F1E"/>
          <w:sz w:val="22"/>
          <w:szCs w:val="22"/>
          <w:lang w:eastAsia="en-AU"/>
        </w:rPr>
        <w:t xml:space="preserve"> </w:t>
      </w:r>
      <w:r w:rsidR="6150D5D1" w:rsidRPr="008E44DA">
        <w:rPr>
          <w:rFonts w:ascii="Arial" w:eastAsia="Arial" w:hAnsi="Arial" w:cs="Arial"/>
          <w:color w:val="201F1E"/>
          <w:sz w:val="22"/>
          <w:szCs w:val="22"/>
          <w:lang w:eastAsia="en-AU"/>
        </w:rPr>
        <w:t>the Tragedy of the Commons</w:t>
      </w:r>
      <w:r w:rsidR="7A71F753" w:rsidRPr="008E44DA">
        <w:rPr>
          <w:rFonts w:ascii="Arial" w:eastAsia="Arial" w:hAnsi="Arial" w:cs="Arial"/>
          <w:sz w:val="22"/>
          <w:szCs w:val="22"/>
          <w:lang w:eastAsia="en-AU"/>
        </w:rPr>
        <w:t xml:space="preserve">. </w:t>
      </w:r>
      <w:r w:rsidR="369F18B1" w:rsidRPr="008E44DA">
        <w:rPr>
          <w:rFonts w:ascii="Arial" w:eastAsia="Arial" w:hAnsi="Arial" w:cs="Arial"/>
          <w:sz w:val="22"/>
          <w:szCs w:val="22"/>
          <w:lang w:val="en-US"/>
        </w:rPr>
        <w:t>The Tragedy of the Commons is an economic theory that refers to a situation where individuals with access to a shared resource act in their own self-interest, and not in the common interest of all users, leading to the depletion of the resource.</w:t>
      </w:r>
      <w:r w:rsidR="00182E67" w:rsidRPr="008E44DA">
        <w:rPr>
          <w:rStyle w:val="FootnoteReference"/>
          <w:rFonts w:ascii="Arial" w:eastAsia="Arial" w:hAnsi="Arial" w:cs="Arial"/>
          <w:sz w:val="22"/>
          <w:szCs w:val="22"/>
          <w:lang w:val="en-US"/>
        </w:rPr>
        <w:footnoteReference w:id="3"/>
      </w:r>
    </w:p>
    <w:p w14:paraId="4B6B3C3D" w14:textId="6BDB40AF" w:rsidR="00182E67" w:rsidRPr="008E44DA" w:rsidRDefault="00182E67" w:rsidP="009B1E99">
      <w:pPr>
        <w:spacing w:line="276" w:lineRule="auto"/>
        <w:jc w:val="both"/>
        <w:rPr>
          <w:rFonts w:ascii="Arial" w:eastAsia="Arial" w:hAnsi="Arial" w:cs="Arial"/>
          <w:sz w:val="22"/>
          <w:szCs w:val="22"/>
          <w:lang w:val="en-US"/>
        </w:rPr>
      </w:pPr>
    </w:p>
    <w:p w14:paraId="69739727" w14:textId="5A63CAFD" w:rsidR="00182E67" w:rsidRPr="008E44DA" w:rsidRDefault="369F18B1" w:rsidP="009B1E99">
      <w:pPr>
        <w:spacing w:line="276" w:lineRule="auto"/>
        <w:jc w:val="both"/>
        <w:rPr>
          <w:rStyle w:val="FootnoteReference"/>
          <w:rFonts w:ascii="Arial" w:eastAsia="Arial" w:hAnsi="Arial" w:cs="Arial"/>
          <w:sz w:val="22"/>
          <w:szCs w:val="22"/>
        </w:rPr>
      </w:pPr>
      <w:r w:rsidRPr="008E44DA">
        <w:rPr>
          <w:rFonts w:ascii="Arial" w:eastAsia="Arial" w:hAnsi="Arial" w:cs="Arial"/>
          <w:sz w:val="22"/>
          <w:szCs w:val="22"/>
          <w:lang w:val="en-US"/>
        </w:rPr>
        <w:t>A budget process functions to allocate a common pool of financial resources across stakeholders. During the budget process in government, line agencies develop and propose initiatives that they will implement and be responsible for</w:t>
      </w:r>
      <w:r w:rsidR="00457AC9" w:rsidRPr="008E44DA">
        <w:rPr>
          <w:rFonts w:ascii="Arial" w:eastAsia="Arial" w:hAnsi="Arial" w:cs="Arial"/>
          <w:sz w:val="22"/>
          <w:szCs w:val="22"/>
          <w:lang w:val="en-US"/>
        </w:rPr>
        <w:t>,</w:t>
      </w:r>
      <w:r w:rsidRPr="008E44DA">
        <w:rPr>
          <w:rFonts w:ascii="Arial" w:eastAsia="Arial" w:hAnsi="Arial" w:cs="Arial"/>
          <w:sz w:val="22"/>
          <w:szCs w:val="22"/>
          <w:lang w:val="en-US"/>
        </w:rPr>
        <w:t xml:space="preserve"> and which will draw from that common funding pool over a short-to-medium term timeframe. Each line agency has specific foci, goals and responsibilities, proposing initiatives to meet them. In this way, the process incentivises line agencies to secure a maximum allocation of resources to pursue their own specific objectives, rather than balance the needs of the broader commons.</w:t>
      </w:r>
    </w:p>
    <w:p w14:paraId="63CD9590" w14:textId="2556382A" w:rsidR="00182E67" w:rsidRPr="008E44DA" w:rsidRDefault="00182E67" w:rsidP="009B1E99">
      <w:pPr>
        <w:spacing w:line="276" w:lineRule="auto"/>
        <w:jc w:val="both"/>
        <w:rPr>
          <w:rFonts w:ascii="Arial" w:eastAsia="Arial" w:hAnsi="Arial" w:cs="Arial"/>
          <w:sz w:val="22"/>
          <w:szCs w:val="22"/>
          <w:lang w:val="en-US"/>
        </w:rPr>
      </w:pPr>
    </w:p>
    <w:p w14:paraId="0A0A1592" w14:textId="7435979D" w:rsidR="00182E67" w:rsidRPr="008E44DA" w:rsidRDefault="00AB34FB" w:rsidP="009B1E99">
      <w:pPr>
        <w:spacing w:line="276" w:lineRule="auto"/>
        <w:jc w:val="both"/>
        <w:rPr>
          <w:rFonts w:ascii="Arial" w:eastAsia="Arial" w:hAnsi="Arial" w:cs="Arial"/>
          <w:sz w:val="22"/>
          <w:szCs w:val="22"/>
        </w:rPr>
      </w:pPr>
      <w:r w:rsidRPr="008E44DA">
        <w:rPr>
          <w:rFonts w:ascii="Arial" w:eastAsia="Arial" w:hAnsi="Arial" w:cs="Arial"/>
          <w:sz w:val="22"/>
          <w:szCs w:val="22"/>
          <w:lang w:val="en-US"/>
        </w:rPr>
        <w:t>Without the budget process</w:t>
      </w:r>
      <w:r>
        <w:rPr>
          <w:rFonts w:ascii="Arial" w:eastAsia="Arial" w:hAnsi="Arial" w:cs="Arial"/>
          <w:sz w:val="22"/>
          <w:szCs w:val="22"/>
          <w:lang w:val="en-US"/>
        </w:rPr>
        <w:t xml:space="preserve"> applying certain limits</w:t>
      </w:r>
      <w:r w:rsidR="369F18B1" w:rsidRPr="008E44DA">
        <w:rPr>
          <w:rFonts w:ascii="Arial" w:eastAsia="Arial" w:hAnsi="Arial" w:cs="Arial"/>
          <w:sz w:val="22"/>
          <w:szCs w:val="22"/>
          <w:lang w:val="en-US"/>
        </w:rPr>
        <w:t xml:space="preserve">, shared financial resources may easily be overexploited, which is a risk all commons face. </w:t>
      </w:r>
      <w:r w:rsidR="369F18B1" w:rsidRPr="008E44DA">
        <w:rPr>
          <w:rFonts w:ascii="Arial" w:eastAsia="Arial" w:hAnsi="Arial" w:cs="Arial"/>
          <w:sz w:val="22"/>
          <w:szCs w:val="22"/>
        </w:rPr>
        <w:t>Political economist Elinor Ostrom</w:t>
      </w:r>
      <w:r w:rsidR="369F18B1" w:rsidRPr="008E44DA">
        <w:rPr>
          <w:rFonts w:ascii="Arial" w:eastAsia="Arial" w:hAnsi="Arial" w:cs="Arial"/>
          <w:b/>
          <w:bCs/>
          <w:sz w:val="22"/>
          <w:szCs w:val="22"/>
        </w:rPr>
        <w:t xml:space="preserve"> </w:t>
      </w:r>
      <w:r w:rsidR="369F18B1" w:rsidRPr="008E44DA">
        <w:rPr>
          <w:rFonts w:ascii="Arial" w:eastAsia="Arial" w:hAnsi="Arial" w:cs="Arial"/>
          <w:sz w:val="22"/>
          <w:szCs w:val="22"/>
        </w:rPr>
        <w:t>outlined a set of rules for managing the commons. These include clearly defined boundaries around who is entitled to access and to what, the need for collaborative decision making, and continued transparency and accountability around processes and performance.</w:t>
      </w:r>
      <w:r w:rsidR="00182E67" w:rsidRPr="008E44DA">
        <w:rPr>
          <w:rStyle w:val="FootnoteReference"/>
          <w:rFonts w:ascii="Arial" w:eastAsia="Arial" w:hAnsi="Arial" w:cs="Arial"/>
          <w:sz w:val="22"/>
          <w:szCs w:val="22"/>
        </w:rPr>
        <w:footnoteReference w:id="4"/>
      </w:r>
    </w:p>
    <w:p w14:paraId="5871C742" w14:textId="7F7D0A7B" w:rsidR="00182E67" w:rsidRPr="008E44DA" w:rsidRDefault="00182E67" w:rsidP="009B1E99">
      <w:pPr>
        <w:spacing w:line="276" w:lineRule="auto"/>
        <w:jc w:val="both"/>
        <w:rPr>
          <w:rFonts w:ascii="Arial" w:eastAsia="Arial" w:hAnsi="Arial" w:cs="Arial"/>
          <w:sz w:val="22"/>
          <w:szCs w:val="22"/>
        </w:rPr>
      </w:pPr>
    </w:p>
    <w:p w14:paraId="5B0170E7" w14:textId="3C30DBDF" w:rsidR="00182E67" w:rsidRPr="008E44DA" w:rsidRDefault="369F18B1" w:rsidP="009B1E99">
      <w:pPr>
        <w:spacing w:line="276" w:lineRule="auto"/>
        <w:jc w:val="both"/>
        <w:rPr>
          <w:rFonts w:ascii="Arial" w:eastAsia="Arial" w:hAnsi="Arial" w:cs="Arial"/>
          <w:sz w:val="22"/>
          <w:szCs w:val="22"/>
        </w:rPr>
      </w:pPr>
      <w:r w:rsidRPr="36C9358D">
        <w:rPr>
          <w:rFonts w:ascii="Arial" w:eastAsia="Arial" w:hAnsi="Arial" w:cs="Arial"/>
          <w:sz w:val="22"/>
          <w:szCs w:val="22"/>
        </w:rPr>
        <w:t xml:space="preserve">The roles of central financing and coordination agencies, such as DTF and the Department of Premier and Cabinet, are to manage their jurisdiction’s financial commons. </w:t>
      </w:r>
      <w:r w:rsidR="36B1B4F0" w:rsidRPr="36C9358D">
        <w:rPr>
          <w:rFonts w:ascii="Arial" w:eastAsia="Arial" w:hAnsi="Arial" w:cs="Arial"/>
          <w:color w:val="000000" w:themeColor="text1"/>
          <w:sz w:val="22"/>
          <w:szCs w:val="22"/>
        </w:rPr>
        <w:t xml:space="preserve">These agencies take a whole-of-government approach, providing economic, financial and resource management advice and tools to help the </w:t>
      </w:r>
      <w:r w:rsidR="001103A1" w:rsidRPr="36C9358D">
        <w:rPr>
          <w:rFonts w:ascii="Arial" w:eastAsia="Arial" w:hAnsi="Arial" w:cs="Arial"/>
          <w:color w:val="000000" w:themeColor="text1"/>
          <w:sz w:val="22"/>
          <w:szCs w:val="22"/>
        </w:rPr>
        <w:t xml:space="preserve">Government </w:t>
      </w:r>
      <w:r w:rsidR="36B1B4F0" w:rsidRPr="36C9358D">
        <w:rPr>
          <w:rFonts w:ascii="Arial" w:eastAsia="Arial" w:hAnsi="Arial" w:cs="Arial"/>
          <w:color w:val="000000" w:themeColor="text1"/>
          <w:sz w:val="22"/>
          <w:szCs w:val="22"/>
        </w:rPr>
        <w:t>deliver policies and common services for the public. In this way, DTF can be seen as the steward of the common</w:t>
      </w:r>
      <w:r w:rsidR="00EB2F2D" w:rsidRPr="36C9358D">
        <w:rPr>
          <w:rFonts w:ascii="Arial" w:eastAsia="Arial" w:hAnsi="Arial" w:cs="Arial"/>
          <w:color w:val="000000" w:themeColor="text1"/>
          <w:sz w:val="22"/>
          <w:szCs w:val="22"/>
        </w:rPr>
        <w:t>s</w:t>
      </w:r>
      <w:r w:rsidR="36B1B4F0" w:rsidRPr="36C9358D">
        <w:rPr>
          <w:rFonts w:ascii="Arial" w:eastAsia="Arial" w:hAnsi="Arial" w:cs="Arial"/>
          <w:color w:val="000000" w:themeColor="text1"/>
          <w:sz w:val="22"/>
          <w:szCs w:val="22"/>
        </w:rPr>
        <w:t>. This</w:t>
      </w:r>
      <w:r w:rsidR="002743D2" w:rsidRPr="36C9358D">
        <w:rPr>
          <w:rFonts w:ascii="Arial" w:eastAsia="Arial" w:hAnsi="Arial" w:cs="Arial"/>
          <w:color w:val="000000" w:themeColor="text1"/>
          <w:sz w:val="22"/>
          <w:szCs w:val="22"/>
        </w:rPr>
        <w:t xml:space="preserve"> is a role that</w:t>
      </w:r>
      <w:r w:rsidR="36B1B4F0" w:rsidRPr="36C9358D">
        <w:rPr>
          <w:rFonts w:ascii="Arial" w:eastAsia="Arial" w:hAnsi="Arial" w:cs="Arial"/>
          <w:color w:val="000000" w:themeColor="text1"/>
          <w:sz w:val="22"/>
          <w:szCs w:val="22"/>
        </w:rPr>
        <w:t xml:space="preserve"> seeks to resolve issues through the passage of annual appropriation legislation. It also involves long-term considerations and planning to ensure sustainable budgeting and the optimisation of fiscal resources to achieve value-for-money outcomes. L</w:t>
      </w:r>
      <w:r w:rsidRPr="36C9358D">
        <w:rPr>
          <w:rFonts w:ascii="Arial" w:eastAsia="Arial" w:hAnsi="Arial" w:cs="Arial"/>
          <w:sz w:val="22"/>
          <w:szCs w:val="22"/>
        </w:rPr>
        <w:t>ine agencies, b</w:t>
      </w:r>
      <w:r w:rsidR="002743D2" w:rsidRPr="36C9358D">
        <w:rPr>
          <w:rFonts w:ascii="Arial" w:eastAsia="Arial" w:hAnsi="Arial" w:cs="Arial"/>
          <w:sz w:val="22"/>
          <w:szCs w:val="22"/>
        </w:rPr>
        <w:t>y</w:t>
      </w:r>
      <w:r w:rsidRPr="36C9358D">
        <w:rPr>
          <w:rFonts w:ascii="Arial" w:eastAsia="Arial" w:hAnsi="Arial" w:cs="Arial"/>
          <w:sz w:val="22"/>
          <w:szCs w:val="22"/>
        </w:rPr>
        <w:t xml:space="preserve"> way of contrast, are primarily concerned with how they can secure resources, working under the instruction of Ministers who want them to maximise allocations and spend </w:t>
      </w:r>
      <w:r w:rsidR="00FB5CA0" w:rsidRPr="36C9358D">
        <w:rPr>
          <w:rFonts w:ascii="Arial" w:eastAsia="Arial" w:hAnsi="Arial" w:cs="Arial"/>
          <w:sz w:val="22"/>
          <w:szCs w:val="22"/>
        </w:rPr>
        <w:t>them</w:t>
      </w:r>
      <w:r w:rsidRPr="36C9358D">
        <w:rPr>
          <w:rFonts w:ascii="Arial" w:eastAsia="Arial" w:hAnsi="Arial" w:cs="Arial"/>
          <w:sz w:val="22"/>
          <w:szCs w:val="22"/>
        </w:rPr>
        <w:t xml:space="preserve"> well to help more members of the public.</w:t>
      </w:r>
      <w:r w:rsidR="00774DBF" w:rsidRPr="36C9358D">
        <w:rPr>
          <w:rFonts w:ascii="Arial" w:eastAsia="Arial" w:hAnsi="Arial" w:cs="Arial"/>
          <w:sz w:val="22"/>
          <w:szCs w:val="22"/>
        </w:rPr>
        <w:t xml:space="preserve"> In some instances, roles overlap where </w:t>
      </w:r>
      <w:r w:rsidR="00C5701F" w:rsidRPr="36C9358D">
        <w:rPr>
          <w:rFonts w:ascii="Arial" w:eastAsia="Arial" w:hAnsi="Arial" w:cs="Arial"/>
          <w:sz w:val="22"/>
          <w:szCs w:val="22"/>
        </w:rPr>
        <w:t>central and line agencies proactively work together to developed cross-portfolio solutions and strengthen businesses cases in collaboration.</w:t>
      </w:r>
    </w:p>
    <w:p w14:paraId="27D5F2A6" w14:textId="648DCE47" w:rsidR="00182E67" w:rsidRPr="008E44DA" w:rsidRDefault="00182E67" w:rsidP="009B1E99">
      <w:pPr>
        <w:spacing w:line="276" w:lineRule="auto"/>
        <w:jc w:val="both"/>
        <w:rPr>
          <w:rFonts w:ascii="Arial" w:eastAsia="Arial" w:hAnsi="Arial" w:cs="Arial"/>
          <w:sz w:val="22"/>
          <w:szCs w:val="22"/>
        </w:rPr>
      </w:pPr>
    </w:p>
    <w:p w14:paraId="7ACF6A9F" w14:textId="18387387" w:rsidR="00182E67" w:rsidRPr="008E44DA" w:rsidRDefault="369F18B1" w:rsidP="009B1E99">
      <w:pPr>
        <w:spacing w:line="276" w:lineRule="auto"/>
        <w:jc w:val="both"/>
        <w:rPr>
          <w:rFonts w:ascii="Arial" w:eastAsia="Calibri" w:hAnsi="Arial" w:cs="Arial"/>
        </w:rPr>
      </w:pPr>
      <w:r w:rsidRPr="008E44DA">
        <w:rPr>
          <w:rFonts w:ascii="Arial" w:eastAsia="Arial" w:hAnsi="Arial" w:cs="Arial"/>
          <w:sz w:val="22"/>
          <w:szCs w:val="22"/>
        </w:rPr>
        <w:t xml:space="preserve">Accordingly, during the budget process, DTF must sit in judgement, making recommendations to </w:t>
      </w:r>
      <w:r w:rsidR="00F60371">
        <w:rPr>
          <w:rFonts w:ascii="Arial" w:eastAsia="Arial" w:hAnsi="Arial" w:cs="Arial"/>
          <w:sz w:val="22"/>
          <w:szCs w:val="22"/>
        </w:rPr>
        <w:t>G</w:t>
      </w:r>
      <w:r w:rsidR="00F60371" w:rsidRPr="008E44DA">
        <w:rPr>
          <w:rFonts w:ascii="Arial" w:eastAsia="Arial" w:hAnsi="Arial" w:cs="Arial"/>
          <w:sz w:val="22"/>
          <w:szCs w:val="22"/>
        </w:rPr>
        <w:t xml:space="preserve">overnment </w:t>
      </w:r>
      <w:r w:rsidRPr="008E44DA">
        <w:rPr>
          <w:rFonts w:ascii="Arial" w:eastAsia="Arial" w:hAnsi="Arial" w:cs="Arial"/>
          <w:sz w:val="22"/>
          <w:szCs w:val="22"/>
        </w:rPr>
        <w:t>based on how reasonable estimates are, which proposals should receive funding, and which programs are underperforming and should be abandoned. Essentially, the central financing agencies act as gatekeepers into the commons, and the fence-builders within it, by determining which parts of the financial commons the line agencies can access to pursue their goals. These fundamental roles will remain irrespective of the budget process.</w:t>
      </w:r>
    </w:p>
    <w:p w14:paraId="7EFA0416" w14:textId="6D43A226" w:rsidR="00182E67" w:rsidRPr="008E44DA" w:rsidRDefault="00182E67" w:rsidP="009B1E99">
      <w:pPr>
        <w:spacing w:line="276" w:lineRule="auto"/>
        <w:jc w:val="both"/>
        <w:rPr>
          <w:rFonts w:ascii="Arial" w:hAnsi="Arial" w:cs="Arial"/>
        </w:rPr>
      </w:pPr>
    </w:p>
    <w:p w14:paraId="07C0FD04" w14:textId="66F0F73A" w:rsidR="00A26F51" w:rsidRDefault="369F18B1" w:rsidP="009B1E99">
      <w:pPr>
        <w:spacing w:line="276" w:lineRule="auto"/>
        <w:jc w:val="both"/>
        <w:rPr>
          <w:rFonts w:ascii="Arial" w:eastAsia="Arial" w:hAnsi="Arial" w:cs="Arial"/>
          <w:sz w:val="22"/>
          <w:szCs w:val="22"/>
        </w:rPr>
      </w:pPr>
      <w:r w:rsidRPr="008E44DA">
        <w:rPr>
          <w:rFonts w:ascii="Arial" w:eastAsia="Arial" w:hAnsi="Arial" w:cs="Arial"/>
          <w:sz w:val="22"/>
          <w:szCs w:val="22"/>
        </w:rPr>
        <w:t xml:space="preserve">While the budgeting process averts a broader tragedy of the commons, there is still a </w:t>
      </w:r>
      <w:r w:rsidR="00A76F0F">
        <w:rPr>
          <w:rFonts w:ascii="Arial" w:eastAsia="Arial" w:hAnsi="Arial" w:cs="Arial"/>
          <w:sz w:val="22"/>
          <w:szCs w:val="22"/>
        </w:rPr>
        <w:t>‘</w:t>
      </w:r>
      <w:r w:rsidRPr="008E44DA">
        <w:rPr>
          <w:rFonts w:ascii="Arial" w:eastAsia="Arial" w:hAnsi="Arial" w:cs="Arial"/>
          <w:sz w:val="22"/>
          <w:szCs w:val="22"/>
        </w:rPr>
        <w:t>Budgetary Tragedy of the Commons</w:t>
      </w:r>
      <w:r w:rsidR="00A76F0F">
        <w:rPr>
          <w:rFonts w:ascii="Arial" w:eastAsia="Arial" w:hAnsi="Arial" w:cs="Arial"/>
          <w:sz w:val="22"/>
          <w:szCs w:val="22"/>
        </w:rPr>
        <w:t>’</w:t>
      </w:r>
      <w:r w:rsidRPr="008E44DA">
        <w:rPr>
          <w:rFonts w:ascii="Arial" w:eastAsia="Arial" w:hAnsi="Arial" w:cs="Arial"/>
          <w:sz w:val="22"/>
          <w:szCs w:val="22"/>
        </w:rPr>
        <w:t xml:space="preserve"> where the shared financial resources are not utilised in a way that optimises outcomes for citizens. One challenge of the budgeting process is that it discourages collaboration between siloed departments</w:t>
      </w:r>
      <w:r w:rsidR="00A26F51">
        <w:rPr>
          <w:rFonts w:ascii="Arial" w:eastAsia="Arial" w:hAnsi="Arial" w:cs="Arial"/>
          <w:sz w:val="22"/>
          <w:szCs w:val="22"/>
        </w:rPr>
        <w:t>, which means miss</w:t>
      </w:r>
      <w:r w:rsidR="004F6632">
        <w:rPr>
          <w:rFonts w:ascii="Arial" w:eastAsia="Arial" w:hAnsi="Arial" w:cs="Arial"/>
          <w:sz w:val="22"/>
          <w:szCs w:val="22"/>
        </w:rPr>
        <w:t>ed</w:t>
      </w:r>
      <w:r w:rsidR="00A26F51">
        <w:rPr>
          <w:rFonts w:ascii="Arial" w:eastAsia="Arial" w:hAnsi="Arial" w:cs="Arial"/>
          <w:sz w:val="22"/>
          <w:szCs w:val="22"/>
        </w:rPr>
        <w:t xml:space="preserve"> </w:t>
      </w:r>
      <w:r w:rsidR="004F6632">
        <w:rPr>
          <w:rFonts w:ascii="Arial" w:eastAsia="Arial" w:hAnsi="Arial" w:cs="Arial"/>
          <w:sz w:val="22"/>
          <w:szCs w:val="22"/>
        </w:rPr>
        <w:t>opportunities to invest in</w:t>
      </w:r>
      <w:r w:rsidR="00A26F51">
        <w:rPr>
          <w:rFonts w:ascii="Arial" w:eastAsia="Arial" w:hAnsi="Arial" w:cs="Arial"/>
          <w:sz w:val="22"/>
          <w:szCs w:val="22"/>
        </w:rPr>
        <w:t xml:space="preserve"> valuable cross-portfolio early intervention </w:t>
      </w:r>
      <w:r w:rsidR="004F6632">
        <w:rPr>
          <w:rFonts w:ascii="Arial" w:eastAsia="Arial" w:hAnsi="Arial" w:cs="Arial"/>
          <w:sz w:val="22"/>
          <w:szCs w:val="22"/>
        </w:rPr>
        <w:t>initiatives</w:t>
      </w:r>
      <w:r w:rsidRPr="008E44DA">
        <w:rPr>
          <w:rFonts w:ascii="Arial" w:eastAsia="Arial" w:hAnsi="Arial" w:cs="Arial"/>
          <w:sz w:val="22"/>
          <w:szCs w:val="22"/>
        </w:rPr>
        <w:t xml:space="preserve">. </w:t>
      </w:r>
    </w:p>
    <w:p w14:paraId="3A49B7E7" w14:textId="77777777" w:rsidR="00A26F51" w:rsidRDefault="00A26F51" w:rsidP="009B1E99">
      <w:pPr>
        <w:spacing w:line="276" w:lineRule="auto"/>
        <w:jc w:val="both"/>
        <w:rPr>
          <w:rFonts w:ascii="Arial" w:eastAsia="Arial" w:hAnsi="Arial" w:cs="Arial"/>
          <w:sz w:val="22"/>
          <w:szCs w:val="22"/>
        </w:rPr>
      </w:pPr>
    </w:p>
    <w:p w14:paraId="242A8BC0" w14:textId="1A0929CF" w:rsidR="00182E67" w:rsidRPr="008E44DA" w:rsidRDefault="369F18B1" w:rsidP="009B1E99">
      <w:pPr>
        <w:spacing w:line="276" w:lineRule="auto"/>
        <w:jc w:val="both"/>
        <w:rPr>
          <w:rFonts w:ascii="Arial" w:hAnsi="Arial" w:cs="Arial"/>
        </w:rPr>
      </w:pPr>
      <w:r w:rsidRPr="008E44DA">
        <w:rPr>
          <w:rFonts w:ascii="Arial" w:eastAsia="Arial" w:hAnsi="Arial" w:cs="Arial"/>
          <w:sz w:val="22"/>
          <w:szCs w:val="22"/>
          <w:lang w:val="en-US"/>
        </w:rPr>
        <w:t>As Lord Andrew Adonis observes, “pooling</w:t>
      </w:r>
      <w:r w:rsidRPr="008E44DA">
        <w:rPr>
          <w:rFonts w:ascii="Arial" w:eastAsia="Arial" w:hAnsi="Arial" w:cs="Arial"/>
          <w:sz w:val="22"/>
          <w:szCs w:val="22"/>
        </w:rPr>
        <w:t xml:space="preserve"> budgets between government departments is probably more difficult than negotiating international treaties.”</w:t>
      </w:r>
      <w:r w:rsidR="00182E67" w:rsidRPr="008E44DA">
        <w:rPr>
          <w:rStyle w:val="FootnoteReference"/>
          <w:rFonts w:ascii="Arial" w:eastAsia="Arial" w:hAnsi="Arial" w:cs="Arial"/>
          <w:sz w:val="22"/>
          <w:szCs w:val="22"/>
        </w:rPr>
        <w:footnoteReference w:id="5"/>
      </w:r>
      <w:r w:rsidRPr="008E44DA">
        <w:rPr>
          <w:rFonts w:ascii="Arial" w:eastAsia="Arial" w:hAnsi="Arial" w:cs="Arial"/>
          <w:sz w:val="22"/>
          <w:szCs w:val="22"/>
        </w:rPr>
        <w:t xml:space="preserve"> This is particularly true in social policy areas, where potential interventions and their associated beneficial outcomes stretch across multiple line agencies. Another challenge is that the budgeting process, when combined with the electoral cycle, encourages short-term thinking across government. This can mean </w:t>
      </w:r>
      <w:r w:rsidR="00A26F51" w:rsidRPr="008E44DA">
        <w:rPr>
          <w:rFonts w:ascii="Arial" w:eastAsia="Arial" w:hAnsi="Arial" w:cs="Arial"/>
          <w:sz w:val="22"/>
          <w:szCs w:val="22"/>
        </w:rPr>
        <w:t>early intervention</w:t>
      </w:r>
      <w:r w:rsidRPr="008E44DA">
        <w:rPr>
          <w:rFonts w:ascii="Arial" w:eastAsia="Arial" w:hAnsi="Arial" w:cs="Arial"/>
          <w:sz w:val="22"/>
          <w:szCs w:val="22"/>
        </w:rPr>
        <w:t xml:space="preserve"> initiatives that will realise </w:t>
      </w:r>
      <w:r w:rsidR="00AB34FB">
        <w:rPr>
          <w:rFonts w:ascii="Arial" w:eastAsia="Arial" w:hAnsi="Arial" w:cs="Arial"/>
          <w:sz w:val="22"/>
          <w:szCs w:val="22"/>
        </w:rPr>
        <w:t xml:space="preserve">opportunities for savings and reinvestment </w:t>
      </w:r>
      <w:r w:rsidRPr="008E44DA">
        <w:rPr>
          <w:rFonts w:ascii="Arial" w:eastAsia="Arial" w:hAnsi="Arial" w:cs="Arial"/>
          <w:sz w:val="22"/>
          <w:szCs w:val="22"/>
        </w:rPr>
        <w:t>over the longer-term, are not funded adequately.</w:t>
      </w:r>
    </w:p>
    <w:p w14:paraId="5E18E0AC" w14:textId="0AAA27C9" w:rsidR="00182E67" w:rsidRDefault="00182E67" w:rsidP="00ED20EA">
      <w:pPr>
        <w:spacing w:line="276" w:lineRule="auto"/>
        <w:rPr>
          <w:rFonts w:ascii="Arial" w:eastAsia="Arial" w:hAnsi="Arial" w:cs="Arial"/>
          <w:color w:val="201F1E"/>
          <w:sz w:val="22"/>
          <w:szCs w:val="22"/>
          <w:lang w:eastAsia="en-AU"/>
        </w:rPr>
      </w:pPr>
    </w:p>
    <w:tbl>
      <w:tblPr>
        <w:tblStyle w:val="TableGrid"/>
        <w:tblW w:w="0" w:type="auto"/>
        <w:shd w:val="clear" w:color="auto" w:fill="DEEAF6" w:themeFill="accent5" w:themeFillTint="33"/>
        <w:tblLook w:val="04A0" w:firstRow="1" w:lastRow="0" w:firstColumn="1" w:lastColumn="0" w:noHBand="0" w:noVBand="1"/>
      </w:tblPr>
      <w:tblGrid>
        <w:gridCol w:w="9016"/>
      </w:tblGrid>
      <w:tr w:rsidR="002D3087" w14:paraId="392932C0" w14:textId="77777777" w:rsidTr="00D36C4F">
        <w:tc>
          <w:tcPr>
            <w:tcW w:w="9016" w:type="dxa"/>
            <w:shd w:val="clear" w:color="auto" w:fill="DEEAF6" w:themeFill="accent5" w:themeFillTint="33"/>
          </w:tcPr>
          <w:p w14:paraId="0621D8A9" w14:textId="330E58DF" w:rsidR="00354D7B" w:rsidRDefault="002D3087" w:rsidP="00ED20EA">
            <w:pPr>
              <w:spacing w:line="276" w:lineRule="auto"/>
              <w:rPr>
                <w:rFonts w:ascii="Arial" w:eastAsia="Arial" w:hAnsi="Arial" w:cs="Arial"/>
                <w:b/>
                <w:bCs/>
                <w:sz w:val="22"/>
                <w:szCs w:val="22"/>
              </w:rPr>
            </w:pPr>
            <w:r w:rsidRPr="008E44DA">
              <w:rPr>
                <w:rFonts w:ascii="Arial" w:eastAsia="Arial" w:hAnsi="Arial" w:cs="Arial"/>
                <w:b/>
                <w:bCs/>
                <w:sz w:val="22"/>
                <w:szCs w:val="22"/>
              </w:rPr>
              <w:t>Question</w:t>
            </w:r>
            <w:r>
              <w:rPr>
                <w:rFonts w:ascii="Arial" w:eastAsia="Arial" w:hAnsi="Arial" w:cs="Arial"/>
                <w:b/>
                <w:bCs/>
                <w:sz w:val="22"/>
                <w:szCs w:val="22"/>
              </w:rPr>
              <w:t>s</w:t>
            </w:r>
            <w:r w:rsidRPr="008E44DA">
              <w:rPr>
                <w:rFonts w:ascii="Arial" w:eastAsia="Arial" w:hAnsi="Arial" w:cs="Arial"/>
                <w:b/>
                <w:bCs/>
                <w:sz w:val="22"/>
                <w:szCs w:val="22"/>
              </w:rPr>
              <w:t xml:space="preserve"> to consider</w:t>
            </w:r>
            <w:r w:rsidR="00354D7B">
              <w:rPr>
                <w:rFonts w:ascii="Arial" w:eastAsia="Arial" w:hAnsi="Arial" w:cs="Arial"/>
                <w:b/>
                <w:bCs/>
                <w:sz w:val="22"/>
                <w:szCs w:val="22"/>
              </w:rPr>
              <w:t>.</w:t>
            </w:r>
          </w:p>
          <w:p w14:paraId="649F2BEF" w14:textId="299B96DF" w:rsidR="002D3087" w:rsidRPr="00D36C4F" w:rsidRDefault="00965AA1" w:rsidP="00D36C4F">
            <w:pPr>
              <w:pStyle w:val="ListParagraph"/>
              <w:numPr>
                <w:ilvl w:val="0"/>
                <w:numId w:val="21"/>
              </w:numPr>
              <w:spacing w:line="276" w:lineRule="auto"/>
              <w:rPr>
                <w:rFonts w:ascii="Arial" w:eastAsia="Arial" w:hAnsi="Arial" w:cs="Arial"/>
                <w:sz w:val="22"/>
                <w:szCs w:val="22"/>
              </w:rPr>
            </w:pPr>
            <w:r>
              <w:rPr>
                <w:rFonts w:ascii="Arial" w:eastAsia="Arial" w:hAnsi="Arial" w:cs="Arial"/>
                <w:sz w:val="22"/>
                <w:szCs w:val="22"/>
              </w:rPr>
              <w:t>What steps can</w:t>
            </w:r>
            <w:r w:rsidR="002D3087" w:rsidRPr="00D36C4F">
              <w:rPr>
                <w:rFonts w:ascii="Arial" w:eastAsia="Arial" w:hAnsi="Arial" w:cs="Arial"/>
                <w:sz w:val="22"/>
                <w:szCs w:val="22"/>
              </w:rPr>
              <w:t xml:space="preserve"> </w:t>
            </w:r>
            <w:r w:rsidR="00376BB2">
              <w:rPr>
                <w:rFonts w:ascii="Arial" w:eastAsia="Arial" w:hAnsi="Arial" w:cs="Arial"/>
                <w:sz w:val="22"/>
                <w:szCs w:val="22"/>
              </w:rPr>
              <w:t>be</w:t>
            </w:r>
            <w:r w:rsidR="002D3087" w:rsidRPr="00D36C4F">
              <w:rPr>
                <w:rFonts w:ascii="Arial" w:eastAsia="Arial" w:hAnsi="Arial" w:cs="Arial"/>
                <w:sz w:val="22"/>
                <w:szCs w:val="22"/>
              </w:rPr>
              <w:t xml:space="preserve"> </w:t>
            </w:r>
            <w:r>
              <w:rPr>
                <w:rFonts w:ascii="Arial" w:eastAsia="Arial" w:hAnsi="Arial" w:cs="Arial"/>
                <w:sz w:val="22"/>
                <w:szCs w:val="22"/>
              </w:rPr>
              <w:t>take</w:t>
            </w:r>
            <w:r w:rsidR="00376BB2">
              <w:rPr>
                <w:rFonts w:ascii="Arial" w:eastAsia="Arial" w:hAnsi="Arial" w:cs="Arial"/>
                <w:sz w:val="22"/>
                <w:szCs w:val="22"/>
              </w:rPr>
              <w:t>n</w:t>
            </w:r>
            <w:r>
              <w:rPr>
                <w:rFonts w:ascii="Arial" w:eastAsia="Arial" w:hAnsi="Arial" w:cs="Arial"/>
                <w:sz w:val="22"/>
                <w:szCs w:val="22"/>
              </w:rPr>
              <w:t xml:space="preserve"> to </w:t>
            </w:r>
            <w:r w:rsidR="002D3087" w:rsidRPr="00D36C4F">
              <w:rPr>
                <w:rFonts w:ascii="Arial" w:eastAsia="Arial" w:hAnsi="Arial" w:cs="Arial"/>
                <w:sz w:val="22"/>
                <w:szCs w:val="22"/>
              </w:rPr>
              <w:t>address the Budgetary Tragedy of the Commons</w:t>
            </w:r>
            <w:r w:rsidR="00334FFD" w:rsidRPr="00D36C4F">
              <w:rPr>
                <w:rFonts w:ascii="Arial" w:eastAsia="Arial" w:hAnsi="Arial" w:cs="Arial"/>
                <w:sz w:val="22"/>
                <w:szCs w:val="22"/>
              </w:rPr>
              <w:t>?</w:t>
            </w:r>
          </w:p>
          <w:p w14:paraId="6A0767E2" w14:textId="65B18026" w:rsidR="00EF4EDC" w:rsidRPr="00D36C4F" w:rsidRDefault="00EF4EDC" w:rsidP="00D36C4F">
            <w:pPr>
              <w:pStyle w:val="ListParagraph"/>
              <w:numPr>
                <w:ilvl w:val="0"/>
                <w:numId w:val="21"/>
              </w:numPr>
              <w:spacing w:line="276" w:lineRule="auto"/>
              <w:rPr>
                <w:rFonts w:ascii="Arial" w:eastAsia="Arial" w:hAnsi="Arial" w:cs="Arial"/>
                <w:color w:val="201F1E"/>
                <w:sz w:val="22"/>
                <w:szCs w:val="22"/>
                <w:lang w:eastAsia="en-AU"/>
              </w:rPr>
            </w:pPr>
            <w:r w:rsidRPr="00D36C4F">
              <w:rPr>
                <w:rFonts w:ascii="Arial" w:eastAsia="Arial" w:hAnsi="Arial" w:cs="Arial"/>
                <w:sz w:val="22"/>
                <w:szCs w:val="22"/>
                <w:lang w:eastAsia="en-AU"/>
              </w:rPr>
              <w:t xml:space="preserve">What practices </w:t>
            </w:r>
            <w:r w:rsidR="00BA749F" w:rsidRPr="00D36C4F">
              <w:rPr>
                <w:rFonts w:ascii="Arial" w:eastAsia="Arial" w:hAnsi="Arial" w:cs="Arial"/>
                <w:sz w:val="22"/>
                <w:szCs w:val="22"/>
                <w:lang w:eastAsia="en-AU"/>
              </w:rPr>
              <w:t xml:space="preserve">from </w:t>
            </w:r>
            <w:r w:rsidR="00AD0BC0" w:rsidRPr="00D36C4F">
              <w:rPr>
                <w:rFonts w:ascii="Arial" w:eastAsia="Arial" w:hAnsi="Arial" w:cs="Arial"/>
                <w:sz w:val="22"/>
                <w:szCs w:val="22"/>
                <w:lang w:eastAsia="en-AU"/>
              </w:rPr>
              <w:t>other areas (e.g. negotiating international treaties</w:t>
            </w:r>
            <w:r w:rsidR="00184FDB" w:rsidRPr="00D36C4F">
              <w:rPr>
                <w:rFonts w:ascii="Arial" w:eastAsia="Arial" w:hAnsi="Arial" w:cs="Arial"/>
                <w:sz w:val="22"/>
                <w:szCs w:val="22"/>
                <w:lang w:eastAsia="en-AU"/>
              </w:rPr>
              <w:t xml:space="preserve"> or protecting the </w:t>
            </w:r>
            <w:r w:rsidR="003D43CA" w:rsidRPr="00D36C4F">
              <w:rPr>
                <w:rFonts w:ascii="Arial" w:eastAsia="Arial" w:hAnsi="Arial" w:cs="Arial"/>
                <w:sz w:val="22"/>
                <w:szCs w:val="22"/>
                <w:lang w:eastAsia="en-AU"/>
              </w:rPr>
              <w:t>environmental commons</w:t>
            </w:r>
            <w:r w:rsidR="00013F4B" w:rsidRPr="00D36C4F">
              <w:rPr>
                <w:rFonts w:ascii="Arial" w:eastAsia="Arial" w:hAnsi="Arial" w:cs="Arial"/>
                <w:sz w:val="22"/>
                <w:szCs w:val="22"/>
                <w:lang w:eastAsia="en-AU"/>
              </w:rPr>
              <w:t>)</w:t>
            </w:r>
            <w:r w:rsidR="003D43CA" w:rsidRPr="00D36C4F">
              <w:rPr>
                <w:rFonts w:ascii="Arial" w:eastAsia="Arial" w:hAnsi="Arial" w:cs="Arial"/>
                <w:sz w:val="22"/>
                <w:szCs w:val="22"/>
                <w:lang w:eastAsia="en-AU"/>
              </w:rPr>
              <w:t xml:space="preserve"> could </w:t>
            </w:r>
            <w:r w:rsidR="00935864">
              <w:rPr>
                <w:rFonts w:ascii="Arial" w:eastAsia="Arial" w:hAnsi="Arial" w:cs="Arial"/>
                <w:sz w:val="22"/>
                <w:szCs w:val="22"/>
                <w:lang w:eastAsia="en-AU"/>
              </w:rPr>
              <w:t>be drawn</w:t>
            </w:r>
            <w:r w:rsidR="007B507E" w:rsidRPr="00D36C4F">
              <w:rPr>
                <w:rFonts w:ascii="Arial" w:eastAsia="Arial" w:hAnsi="Arial" w:cs="Arial"/>
                <w:sz w:val="22"/>
                <w:szCs w:val="22"/>
                <w:lang w:eastAsia="en-AU"/>
              </w:rPr>
              <w:t xml:space="preserve"> on </w:t>
            </w:r>
            <w:r w:rsidR="00AF71B6" w:rsidRPr="00D36C4F">
              <w:rPr>
                <w:rFonts w:ascii="Arial" w:eastAsia="Arial" w:hAnsi="Arial" w:cs="Arial"/>
                <w:sz w:val="22"/>
                <w:szCs w:val="22"/>
                <w:lang w:eastAsia="en-AU"/>
              </w:rPr>
              <w:t xml:space="preserve">to </w:t>
            </w:r>
            <w:r w:rsidR="00BA749F" w:rsidRPr="00D36C4F">
              <w:rPr>
                <w:rFonts w:ascii="Arial" w:eastAsia="Arial" w:hAnsi="Arial" w:cs="Arial"/>
                <w:sz w:val="22"/>
                <w:szCs w:val="22"/>
                <w:lang w:eastAsia="en-AU"/>
              </w:rPr>
              <w:t>support the implementation of the EIIF?</w:t>
            </w:r>
          </w:p>
        </w:tc>
      </w:tr>
    </w:tbl>
    <w:p w14:paraId="04E89F60" w14:textId="77777777" w:rsidR="002D3087" w:rsidRPr="008E44DA" w:rsidRDefault="002D3087" w:rsidP="00ED20EA">
      <w:pPr>
        <w:spacing w:line="276" w:lineRule="auto"/>
        <w:rPr>
          <w:rFonts w:ascii="Arial" w:eastAsia="Arial" w:hAnsi="Arial" w:cs="Arial"/>
          <w:color w:val="201F1E"/>
          <w:sz w:val="22"/>
          <w:szCs w:val="22"/>
          <w:lang w:eastAsia="en-AU"/>
        </w:rPr>
      </w:pPr>
    </w:p>
    <w:p w14:paraId="6D977861" w14:textId="02E8CBA9" w:rsidR="009B1E99" w:rsidRDefault="009B1E99">
      <w:pPr>
        <w:rPr>
          <w:rFonts w:ascii="Arial" w:eastAsia="Arial" w:hAnsi="Arial" w:cs="Arial"/>
          <w:color w:val="201F1E"/>
          <w:sz w:val="22"/>
          <w:szCs w:val="22"/>
          <w:lang w:eastAsia="en-AU"/>
        </w:rPr>
      </w:pPr>
      <w:r>
        <w:rPr>
          <w:rFonts w:ascii="Arial" w:eastAsia="Arial" w:hAnsi="Arial" w:cs="Arial"/>
          <w:color w:val="201F1E"/>
          <w:sz w:val="22"/>
          <w:szCs w:val="22"/>
          <w:lang w:eastAsia="en-AU"/>
        </w:rPr>
        <w:br w:type="page"/>
      </w:r>
    </w:p>
    <w:p w14:paraId="37D9B1F1" w14:textId="77777777" w:rsidR="00182E67" w:rsidRPr="008E44DA" w:rsidRDefault="00182E67" w:rsidP="00ED20EA">
      <w:pPr>
        <w:spacing w:line="276" w:lineRule="auto"/>
        <w:rPr>
          <w:rFonts w:ascii="Arial" w:eastAsia="Arial" w:hAnsi="Arial" w:cs="Arial"/>
          <w:color w:val="201F1E"/>
          <w:sz w:val="22"/>
          <w:szCs w:val="22"/>
          <w:lang w:eastAsia="en-AU"/>
        </w:rPr>
      </w:pPr>
    </w:p>
    <w:p w14:paraId="66F20A49" w14:textId="3DE77A92" w:rsidR="00182E67" w:rsidRPr="009B1E99" w:rsidRDefault="49F94D9F" w:rsidP="00ED20EA">
      <w:pPr>
        <w:pStyle w:val="Heading1"/>
        <w:spacing w:before="0" w:line="276" w:lineRule="auto"/>
        <w:rPr>
          <w:rFonts w:ascii="Arial" w:eastAsia="Arial" w:hAnsi="Arial" w:cs="Arial"/>
          <w:sz w:val="28"/>
          <w:szCs w:val="28"/>
          <w:lang w:eastAsia="en-AU"/>
        </w:rPr>
      </w:pPr>
      <w:r w:rsidRPr="009B1E99">
        <w:rPr>
          <w:rFonts w:ascii="Arial" w:eastAsia="Arial" w:hAnsi="Arial" w:cs="Arial"/>
          <w:sz w:val="28"/>
          <w:szCs w:val="28"/>
          <w:lang w:eastAsia="en-AU"/>
        </w:rPr>
        <w:t>4.</w:t>
      </w:r>
      <w:r w:rsidR="725360C1" w:rsidRPr="009B1E99">
        <w:rPr>
          <w:rFonts w:ascii="Arial" w:hAnsi="Arial" w:cs="Arial"/>
          <w:sz w:val="28"/>
          <w:szCs w:val="28"/>
        </w:rPr>
        <w:tab/>
      </w:r>
      <w:r w:rsidRPr="009B1E99">
        <w:rPr>
          <w:rFonts w:ascii="Arial" w:eastAsia="Arial" w:hAnsi="Arial" w:cs="Arial"/>
          <w:sz w:val="28"/>
          <w:szCs w:val="28"/>
          <w:lang w:eastAsia="en-AU"/>
        </w:rPr>
        <w:t>IMPLEMENTING THE EIIF WITHIN THE BUDGET PROCESS</w:t>
      </w:r>
    </w:p>
    <w:p w14:paraId="07A42BB6" w14:textId="368B37FD" w:rsidR="00C12BA4" w:rsidRPr="008E44DA" w:rsidRDefault="00C12BA4" w:rsidP="00ED20EA">
      <w:pPr>
        <w:spacing w:line="276" w:lineRule="auto"/>
        <w:rPr>
          <w:rFonts w:ascii="Arial" w:hAnsi="Arial" w:cs="Arial"/>
        </w:rPr>
      </w:pPr>
    </w:p>
    <w:p w14:paraId="28E3F5C8" w14:textId="7372A78F" w:rsidR="369F18B1" w:rsidRPr="008E44DA" w:rsidRDefault="369F18B1" w:rsidP="009B1E99">
      <w:pPr>
        <w:spacing w:line="276" w:lineRule="auto"/>
        <w:jc w:val="both"/>
        <w:rPr>
          <w:rFonts w:ascii="Arial" w:hAnsi="Arial" w:cs="Arial"/>
        </w:rPr>
      </w:pPr>
      <w:r w:rsidRPr="008E44DA">
        <w:rPr>
          <w:rFonts w:ascii="Arial" w:eastAsia="Arial" w:hAnsi="Arial" w:cs="Arial"/>
          <w:sz w:val="22"/>
          <w:szCs w:val="22"/>
        </w:rPr>
        <w:t xml:space="preserve">We </w:t>
      </w:r>
      <w:r w:rsidR="00587FBF" w:rsidRPr="008E44DA">
        <w:rPr>
          <w:rFonts w:ascii="Arial" w:eastAsia="Arial" w:hAnsi="Arial" w:cs="Arial"/>
          <w:sz w:val="22"/>
          <w:szCs w:val="22"/>
        </w:rPr>
        <w:t>view</w:t>
      </w:r>
      <w:r w:rsidRPr="008E44DA">
        <w:rPr>
          <w:rFonts w:ascii="Arial" w:eastAsia="Arial" w:hAnsi="Arial" w:cs="Arial"/>
          <w:sz w:val="22"/>
          <w:szCs w:val="22"/>
        </w:rPr>
        <w:t xml:space="preserve"> the EIIF </w:t>
      </w:r>
      <w:bookmarkStart w:id="1" w:name="_Int_0Cn7YhSN"/>
      <w:r w:rsidRPr="008E44DA">
        <w:rPr>
          <w:rFonts w:ascii="Arial" w:eastAsia="Arial" w:hAnsi="Arial" w:cs="Arial"/>
          <w:sz w:val="22"/>
          <w:szCs w:val="22"/>
        </w:rPr>
        <w:t>as a means to</w:t>
      </w:r>
      <w:bookmarkEnd w:id="1"/>
      <w:r w:rsidRPr="008E44DA">
        <w:rPr>
          <w:rFonts w:ascii="Arial" w:eastAsia="Arial" w:hAnsi="Arial" w:cs="Arial"/>
          <w:sz w:val="22"/>
          <w:szCs w:val="22"/>
        </w:rPr>
        <w:t xml:space="preserve"> help address th</w:t>
      </w:r>
      <w:r w:rsidR="00551CC8" w:rsidRPr="008E44DA">
        <w:rPr>
          <w:rFonts w:ascii="Arial" w:eastAsia="Arial" w:hAnsi="Arial" w:cs="Arial"/>
          <w:sz w:val="22"/>
          <w:szCs w:val="22"/>
        </w:rPr>
        <w:t>e</w:t>
      </w:r>
      <w:r w:rsidRPr="008E44DA">
        <w:rPr>
          <w:rFonts w:ascii="Arial" w:eastAsia="Arial" w:hAnsi="Arial" w:cs="Arial"/>
          <w:sz w:val="22"/>
          <w:szCs w:val="22"/>
        </w:rPr>
        <w:t xml:space="preserve"> Budgetary Tragedy of the Commons. Not only does it provide more flexibility across the budgeting process – essentially removing and altering some of the fences that line agencies can access in the commons – it also encourages line agencies to focus on the common good and longer-term planning when developing budgetary initiatives.</w:t>
      </w:r>
    </w:p>
    <w:p w14:paraId="52206052" w14:textId="4AE34A1B" w:rsidR="369F18B1" w:rsidRPr="008E44DA" w:rsidRDefault="369F18B1" w:rsidP="009B1E99">
      <w:pPr>
        <w:spacing w:line="276" w:lineRule="auto"/>
        <w:jc w:val="both"/>
        <w:rPr>
          <w:rFonts w:ascii="Arial" w:hAnsi="Arial" w:cs="Arial"/>
        </w:rPr>
      </w:pPr>
      <w:r w:rsidRPr="008E44DA">
        <w:rPr>
          <w:rFonts w:ascii="Arial" w:eastAsia="Arial" w:hAnsi="Arial" w:cs="Arial"/>
          <w:sz w:val="22"/>
          <w:szCs w:val="22"/>
        </w:rPr>
        <w:t xml:space="preserve"> </w:t>
      </w:r>
    </w:p>
    <w:p w14:paraId="56BAD396" w14:textId="39644249" w:rsidR="369F18B1" w:rsidRPr="008E44DA" w:rsidRDefault="369F18B1" w:rsidP="009B1E99">
      <w:pPr>
        <w:spacing w:line="276" w:lineRule="auto"/>
        <w:jc w:val="both"/>
        <w:rPr>
          <w:rFonts w:ascii="Arial" w:eastAsia="Arial" w:hAnsi="Arial" w:cs="Arial"/>
          <w:sz w:val="22"/>
          <w:szCs w:val="22"/>
        </w:rPr>
      </w:pPr>
      <w:r w:rsidRPr="008E44DA">
        <w:rPr>
          <w:rFonts w:ascii="Arial" w:eastAsia="Arial" w:hAnsi="Arial" w:cs="Arial"/>
          <w:sz w:val="22"/>
          <w:szCs w:val="22"/>
        </w:rPr>
        <w:t>This conception of the EIIF aligns with how the budgetary officials interviewed as part of this project saw their role. Collectively, they viewed the role of central financing agencies as not just gatekeepers and fence-builders of the commons, but the stewards who promote better use of shared resources over the longer term. A central financing agency’s role is not just to say no to proposals, but to promote better policymaking and proposals that ultimately provide greater benefits for citizens.</w:t>
      </w:r>
      <w:r w:rsidR="008F2B84" w:rsidRPr="008E44DA">
        <w:rPr>
          <w:rFonts w:ascii="Arial" w:eastAsia="Arial" w:hAnsi="Arial" w:cs="Arial"/>
          <w:sz w:val="22"/>
          <w:szCs w:val="22"/>
        </w:rPr>
        <w:t xml:space="preserve"> </w:t>
      </w:r>
      <w:r w:rsidRPr="008E44DA">
        <w:rPr>
          <w:rFonts w:ascii="Arial" w:eastAsia="Arial" w:hAnsi="Arial" w:cs="Arial"/>
          <w:sz w:val="22"/>
          <w:szCs w:val="22"/>
        </w:rPr>
        <w:t xml:space="preserve">There was a consensus among the interviewees that a feedback loop exists between the technical aspects of the budgetary process and behavioural and attitudinal forces. A central financing agency may very well create new tools and processes; however, the right behavioural and attitudinal changes are </w:t>
      </w:r>
      <w:r w:rsidR="00A40129">
        <w:rPr>
          <w:rFonts w:ascii="Arial" w:eastAsia="Arial" w:hAnsi="Arial" w:cs="Arial"/>
          <w:sz w:val="22"/>
          <w:szCs w:val="22"/>
        </w:rPr>
        <w:t>also</w:t>
      </w:r>
      <w:r w:rsidR="00A40129" w:rsidRPr="008E44DA">
        <w:rPr>
          <w:rFonts w:ascii="Arial" w:eastAsia="Arial" w:hAnsi="Arial" w:cs="Arial"/>
          <w:sz w:val="22"/>
          <w:szCs w:val="22"/>
        </w:rPr>
        <w:t xml:space="preserve"> </w:t>
      </w:r>
      <w:r w:rsidRPr="008E44DA">
        <w:rPr>
          <w:rFonts w:ascii="Arial" w:eastAsia="Arial" w:hAnsi="Arial" w:cs="Arial"/>
          <w:sz w:val="22"/>
          <w:szCs w:val="22"/>
        </w:rPr>
        <w:t>required to create a culture that drives demand for these t</w:t>
      </w:r>
      <w:r w:rsidR="003948C9" w:rsidRPr="008E44DA">
        <w:rPr>
          <w:rFonts w:ascii="Arial" w:eastAsia="Arial" w:hAnsi="Arial" w:cs="Arial"/>
          <w:sz w:val="22"/>
          <w:szCs w:val="22"/>
        </w:rPr>
        <w:t>echnical solutions</w:t>
      </w:r>
      <w:r w:rsidRPr="008E44DA">
        <w:rPr>
          <w:rFonts w:ascii="Arial" w:eastAsia="Arial" w:hAnsi="Arial" w:cs="Arial"/>
          <w:sz w:val="22"/>
          <w:szCs w:val="22"/>
        </w:rPr>
        <w:t xml:space="preserve">. </w:t>
      </w:r>
    </w:p>
    <w:p w14:paraId="79C88783" w14:textId="5DF1BF1C" w:rsidR="369F18B1" w:rsidRPr="008E44DA" w:rsidRDefault="369F18B1" w:rsidP="009B1E99">
      <w:pPr>
        <w:spacing w:line="276" w:lineRule="auto"/>
        <w:jc w:val="both"/>
        <w:rPr>
          <w:rFonts w:ascii="Arial" w:eastAsia="Arial" w:hAnsi="Arial" w:cs="Arial"/>
          <w:sz w:val="22"/>
          <w:szCs w:val="22"/>
        </w:rPr>
      </w:pPr>
    </w:p>
    <w:p w14:paraId="15D27949" w14:textId="652C38CD" w:rsidR="369F18B1" w:rsidRDefault="369F18B1" w:rsidP="006F12FB">
      <w:pPr>
        <w:spacing w:line="276" w:lineRule="auto"/>
        <w:jc w:val="both"/>
        <w:rPr>
          <w:rFonts w:ascii="Arial" w:eastAsia="Arial" w:hAnsi="Arial" w:cs="Arial"/>
          <w:sz w:val="22"/>
          <w:szCs w:val="22"/>
        </w:rPr>
      </w:pPr>
      <w:r w:rsidRPr="008E44DA">
        <w:rPr>
          <w:rFonts w:ascii="Arial" w:eastAsia="Arial" w:hAnsi="Arial" w:cs="Arial"/>
          <w:sz w:val="22"/>
          <w:szCs w:val="22"/>
        </w:rPr>
        <w:t xml:space="preserve">To balance the </w:t>
      </w:r>
      <w:r w:rsidR="00A40129">
        <w:rPr>
          <w:rFonts w:ascii="Arial" w:eastAsia="Arial" w:hAnsi="Arial" w:cs="Arial"/>
          <w:sz w:val="22"/>
          <w:szCs w:val="22"/>
        </w:rPr>
        <w:t xml:space="preserve">technical and adaptive </w:t>
      </w:r>
      <w:r w:rsidRPr="008E44DA">
        <w:rPr>
          <w:rFonts w:ascii="Arial" w:eastAsia="Arial" w:hAnsi="Arial" w:cs="Arial"/>
          <w:sz w:val="22"/>
          <w:szCs w:val="22"/>
        </w:rPr>
        <w:t xml:space="preserve">challenges that interviewees identified when implementing a mechanism such as the EIIF, we suggest that DTF consider the Adaptive Leadership Framework. The </w:t>
      </w:r>
      <w:r w:rsidR="00F34947" w:rsidRPr="008E44DA">
        <w:rPr>
          <w:rFonts w:ascii="Arial" w:eastAsia="Arial" w:hAnsi="Arial" w:cs="Arial"/>
          <w:sz w:val="22"/>
          <w:szCs w:val="22"/>
        </w:rPr>
        <w:t>Adaptive Leadership Framework</w:t>
      </w:r>
      <w:r w:rsidRPr="008E44DA">
        <w:rPr>
          <w:rFonts w:ascii="Arial" w:eastAsia="Arial" w:hAnsi="Arial" w:cs="Arial"/>
          <w:sz w:val="22"/>
          <w:szCs w:val="22"/>
        </w:rPr>
        <w:t xml:space="preserve"> was developed by Ron Heifetz and Marty Linksy </w:t>
      </w:r>
      <w:r w:rsidR="001535EA" w:rsidRPr="008E44DA">
        <w:rPr>
          <w:rFonts w:ascii="Arial" w:eastAsia="Arial" w:hAnsi="Arial" w:cs="Arial"/>
          <w:sz w:val="22"/>
          <w:szCs w:val="22"/>
        </w:rPr>
        <w:t>of</w:t>
      </w:r>
      <w:r w:rsidRPr="008E44DA">
        <w:rPr>
          <w:rFonts w:ascii="Arial" w:eastAsia="Arial" w:hAnsi="Arial" w:cs="Arial"/>
          <w:sz w:val="22"/>
          <w:szCs w:val="22"/>
        </w:rPr>
        <w:t xml:space="preserve"> the Harvard Kennedy School. Heife</w:t>
      </w:r>
      <w:r w:rsidR="00B161DD">
        <w:rPr>
          <w:rFonts w:ascii="Arial" w:eastAsia="Arial" w:hAnsi="Arial" w:cs="Arial"/>
          <w:sz w:val="22"/>
          <w:szCs w:val="22"/>
        </w:rPr>
        <w:t>t</w:t>
      </w:r>
      <w:r w:rsidRPr="008E44DA">
        <w:rPr>
          <w:rFonts w:ascii="Arial" w:eastAsia="Arial" w:hAnsi="Arial" w:cs="Arial"/>
          <w:sz w:val="22"/>
          <w:szCs w:val="22"/>
        </w:rPr>
        <w:t>z and Linsky distinguish between technical problems and adaptive challenges. As outlined in Figure 1, technical problems have a clear problem definition and clear solution that can be provided by an authority figure who possesses the appropriate knowledge, skills or resources. Adaptive challenges have an unclear problem definitions and solutions that require learning by the relevant stakeholders instead of the authority figure.</w:t>
      </w:r>
      <w:r w:rsidR="6D882F6F" w:rsidRPr="008E44DA">
        <w:rPr>
          <w:rFonts w:ascii="Arial" w:eastAsia="Arial" w:hAnsi="Arial" w:cs="Arial"/>
          <w:color w:val="201F1E"/>
          <w:sz w:val="22"/>
          <w:szCs w:val="22"/>
          <w:lang w:eastAsia="en-AU"/>
        </w:rPr>
        <w:t xml:space="preserve"> </w:t>
      </w:r>
      <w:r w:rsidRPr="008E44DA">
        <w:rPr>
          <w:rFonts w:ascii="Arial" w:eastAsia="Arial" w:hAnsi="Arial" w:cs="Arial"/>
          <w:sz w:val="22"/>
          <w:szCs w:val="22"/>
        </w:rPr>
        <w:t>Most problems are not neatly packaged as technical or adaptive, but rather are a mix of both elements being intertwined.</w:t>
      </w:r>
      <w:r w:rsidRPr="008E44DA">
        <w:rPr>
          <w:rStyle w:val="FootnoteReference"/>
          <w:rFonts w:ascii="Arial" w:eastAsia="Arial" w:hAnsi="Arial" w:cs="Arial"/>
          <w:sz w:val="22"/>
          <w:szCs w:val="22"/>
        </w:rPr>
        <w:footnoteReference w:id="6"/>
      </w:r>
    </w:p>
    <w:p w14:paraId="6C8C0390" w14:textId="77777777" w:rsidR="006F12FB" w:rsidRDefault="006F12FB" w:rsidP="009B1E99">
      <w:pPr>
        <w:spacing w:line="276" w:lineRule="auto"/>
        <w:jc w:val="both"/>
        <w:rPr>
          <w:rFonts w:ascii="Arial" w:eastAsia="Arial" w:hAnsi="Arial" w:cs="Arial"/>
          <w:sz w:val="22"/>
          <w:szCs w:val="22"/>
        </w:rPr>
      </w:pPr>
    </w:p>
    <w:p w14:paraId="6D1914D6" w14:textId="5E3E63AC" w:rsidR="369F18B1" w:rsidRPr="008E44DA" w:rsidRDefault="369F18B1" w:rsidP="00ED20EA">
      <w:pPr>
        <w:spacing w:line="276" w:lineRule="auto"/>
        <w:rPr>
          <w:rFonts w:ascii="Arial" w:hAnsi="Arial" w:cs="Arial"/>
        </w:rPr>
      </w:pPr>
      <w:r w:rsidRPr="008E44DA">
        <w:rPr>
          <w:rFonts w:ascii="Arial" w:eastAsia="Arial" w:hAnsi="Arial" w:cs="Arial"/>
          <w:b/>
          <w:bCs/>
          <w:sz w:val="22"/>
          <w:szCs w:val="22"/>
        </w:rPr>
        <w:t>Figure 1. Distinguishing technical problems and adaptive challenges</w:t>
      </w:r>
    </w:p>
    <w:tbl>
      <w:tblPr>
        <w:tblStyle w:val="TableGrid"/>
        <w:tblW w:w="0" w:type="auto"/>
        <w:tblLayout w:type="fixed"/>
        <w:tblLook w:val="04A0" w:firstRow="1" w:lastRow="0" w:firstColumn="1" w:lastColumn="0" w:noHBand="0" w:noVBand="1"/>
      </w:tblPr>
      <w:tblGrid>
        <w:gridCol w:w="2250"/>
        <w:gridCol w:w="2250"/>
        <w:gridCol w:w="2250"/>
        <w:gridCol w:w="2025"/>
      </w:tblGrid>
      <w:tr w:rsidR="369F18B1" w:rsidRPr="008E44DA" w14:paraId="5A25FC45" w14:textId="77777777" w:rsidTr="369F18B1">
        <w:tc>
          <w:tcPr>
            <w:tcW w:w="2250" w:type="dxa"/>
            <w:tcBorders>
              <w:top w:val="single" w:sz="8" w:space="0" w:color="auto"/>
              <w:left w:val="single" w:sz="8" w:space="0" w:color="auto"/>
              <w:bottom w:val="single" w:sz="8" w:space="0" w:color="auto"/>
              <w:right w:val="single" w:sz="8" w:space="0" w:color="auto"/>
            </w:tcBorders>
          </w:tcPr>
          <w:p w14:paraId="246A27EE" w14:textId="3127767A" w:rsidR="369F18B1" w:rsidRPr="008E44DA" w:rsidRDefault="369F18B1" w:rsidP="00ED20EA">
            <w:pPr>
              <w:spacing w:line="276" w:lineRule="auto"/>
              <w:rPr>
                <w:rFonts w:ascii="Arial" w:hAnsi="Arial" w:cs="Arial"/>
              </w:rPr>
            </w:pPr>
            <w:r w:rsidRPr="008E44DA">
              <w:rPr>
                <w:rFonts w:ascii="Arial" w:eastAsia="Arial" w:hAnsi="Arial" w:cs="Arial"/>
                <w:b/>
                <w:bCs/>
                <w:sz w:val="22"/>
                <w:szCs w:val="22"/>
              </w:rPr>
              <w:t>Kind of challenge</w:t>
            </w:r>
          </w:p>
        </w:tc>
        <w:tc>
          <w:tcPr>
            <w:tcW w:w="2250" w:type="dxa"/>
            <w:tcBorders>
              <w:top w:val="single" w:sz="8" w:space="0" w:color="auto"/>
              <w:left w:val="single" w:sz="8" w:space="0" w:color="auto"/>
              <w:bottom w:val="single" w:sz="8" w:space="0" w:color="auto"/>
              <w:right w:val="single" w:sz="8" w:space="0" w:color="auto"/>
            </w:tcBorders>
          </w:tcPr>
          <w:p w14:paraId="38613264" w14:textId="085275EA" w:rsidR="369F18B1" w:rsidRPr="008E44DA" w:rsidRDefault="369F18B1" w:rsidP="00ED20EA">
            <w:pPr>
              <w:spacing w:line="276" w:lineRule="auto"/>
              <w:rPr>
                <w:rFonts w:ascii="Arial" w:hAnsi="Arial" w:cs="Arial"/>
              </w:rPr>
            </w:pPr>
            <w:r w:rsidRPr="008E44DA">
              <w:rPr>
                <w:rFonts w:ascii="Arial" w:eastAsia="Arial" w:hAnsi="Arial" w:cs="Arial"/>
                <w:b/>
                <w:bCs/>
                <w:sz w:val="22"/>
                <w:szCs w:val="22"/>
              </w:rPr>
              <w:t>Problem definition</w:t>
            </w:r>
          </w:p>
        </w:tc>
        <w:tc>
          <w:tcPr>
            <w:tcW w:w="2250" w:type="dxa"/>
            <w:tcBorders>
              <w:top w:val="single" w:sz="8" w:space="0" w:color="auto"/>
              <w:left w:val="single" w:sz="8" w:space="0" w:color="auto"/>
              <w:bottom w:val="single" w:sz="8" w:space="0" w:color="auto"/>
              <w:right w:val="single" w:sz="8" w:space="0" w:color="auto"/>
            </w:tcBorders>
          </w:tcPr>
          <w:p w14:paraId="5CC542EF" w14:textId="18A79B3C" w:rsidR="369F18B1" w:rsidRPr="008E44DA" w:rsidRDefault="369F18B1" w:rsidP="00ED20EA">
            <w:pPr>
              <w:spacing w:line="276" w:lineRule="auto"/>
              <w:rPr>
                <w:rFonts w:ascii="Arial" w:hAnsi="Arial" w:cs="Arial"/>
              </w:rPr>
            </w:pPr>
            <w:r w:rsidRPr="008E44DA">
              <w:rPr>
                <w:rFonts w:ascii="Arial" w:eastAsia="Arial" w:hAnsi="Arial" w:cs="Arial"/>
                <w:b/>
                <w:bCs/>
                <w:sz w:val="22"/>
                <w:szCs w:val="22"/>
              </w:rPr>
              <w:t>Solution</w:t>
            </w:r>
          </w:p>
        </w:tc>
        <w:tc>
          <w:tcPr>
            <w:tcW w:w="2025" w:type="dxa"/>
            <w:tcBorders>
              <w:top w:val="single" w:sz="8" w:space="0" w:color="auto"/>
              <w:left w:val="single" w:sz="8" w:space="0" w:color="auto"/>
              <w:bottom w:val="single" w:sz="8" w:space="0" w:color="auto"/>
              <w:right w:val="single" w:sz="8" w:space="0" w:color="auto"/>
            </w:tcBorders>
          </w:tcPr>
          <w:p w14:paraId="4658A835" w14:textId="2FEE7BF0" w:rsidR="369F18B1" w:rsidRPr="008E44DA" w:rsidRDefault="369F18B1" w:rsidP="00ED20EA">
            <w:pPr>
              <w:spacing w:line="276" w:lineRule="auto"/>
              <w:rPr>
                <w:rFonts w:ascii="Arial" w:hAnsi="Arial" w:cs="Arial"/>
              </w:rPr>
            </w:pPr>
            <w:r w:rsidRPr="008E44DA">
              <w:rPr>
                <w:rFonts w:ascii="Arial" w:eastAsia="Arial" w:hAnsi="Arial" w:cs="Arial"/>
                <w:b/>
                <w:bCs/>
                <w:sz w:val="22"/>
                <w:szCs w:val="22"/>
              </w:rPr>
              <w:t>Locus of work</w:t>
            </w:r>
          </w:p>
        </w:tc>
      </w:tr>
      <w:tr w:rsidR="369F18B1" w:rsidRPr="008E44DA" w14:paraId="20A8244A" w14:textId="77777777" w:rsidTr="369F18B1">
        <w:tc>
          <w:tcPr>
            <w:tcW w:w="2250" w:type="dxa"/>
            <w:tcBorders>
              <w:top w:val="single" w:sz="8" w:space="0" w:color="auto"/>
              <w:left w:val="single" w:sz="8" w:space="0" w:color="auto"/>
              <w:bottom w:val="single" w:sz="8" w:space="0" w:color="auto"/>
              <w:right w:val="single" w:sz="8" w:space="0" w:color="auto"/>
            </w:tcBorders>
          </w:tcPr>
          <w:p w14:paraId="7B6CA732" w14:textId="79C2CFD3" w:rsidR="369F18B1" w:rsidRPr="008E44DA" w:rsidRDefault="369F18B1" w:rsidP="00ED20EA">
            <w:pPr>
              <w:spacing w:line="276" w:lineRule="auto"/>
              <w:rPr>
                <w:rFonts w:ascii="Arial" w:hAnsi="Arial" w:cs="Arial"/>
              </w:rPr>
            </w:pPr>
            <w:r w:rsidRPr="008E44DA">
              <w:rPr>
                <w:rFonts w:ascii="Arial" w:eastAsia="Arial" w:hAnsi="Arial" w:cs="Arial"/>
                <w:i/>
                <w:iCs/>
                <w:sz w:val="22"/>
                <w:szCs w:val="22"/>
              </w:rPr>
              <w:t>Technical</w:t>
            </w:r>
          </w:p>
        </w:tc>
        <w:tc>
          <w:tcPr>
            <w:tcW w:w="2250" w:type="dxa"/>
            <w:tcBorders>
              <w:top w:val="single" w:sz="8" w:space="0" w:color="auto"/>
              <w:left w:val="single" w:sz="8" w:space="0" w:color="auto"/>
              <w:bottom w:val="single" w:sz="8" w:space="0" w:color="auto"/>
              <w:right w:val="single" w:sz="8" w:space="0" w:color="auto"/>
            </w:tcBorders>
          </w:tcPr>
          <w:p w14:paraId="65C205C1" w14:textId="28C65401" w:rsidR="369F18B1" w:rsidRPr="008E44DA" w:rsidRDefault="369F18B1" w:rsidP="00ED20EA">
            <w:pPr>
              <w:spacing w:line="276" w:lineRule="auto"/>
              <w:rPr>
                <w:rFonts w:ascii="Arial" w:hAnsi="Arial" w:cs="Arial"/>
              </w:rPr>
            </w:pPr>
            <w:r w:rsidRPr="008E44DA">
              <w:rPr>
                <w:rFonts w:ascii="Arial" w:eastAsia="Arial" w:hAnsi="Arial" w:cs="Arial"/>
                <w:sz w:val="22"/>
                <w:szCs w:val="22"/>
              </w:rPr>
              <w:t>Clear</w:t>
            </w:r>
          </w:p>
        </w:tc>
        <w:tc>
          <w:tcPr>
            <w:tcW w:w="2250" w:type="dxa"/>
            <w:tcBorders>
              <w:top w:val="single" w:sz="8" w:space="0" w:color="auto"/>
              <w:left w:val="single" w:sz="8" w:space="0" w:color="auto"/>
              <w:bottom w:val="single" w:sz="8" w:space="0" w:color="auto"/>
              <w:right w:val="single" w:sz="8" w:space="0" w:color="auto"/>
            </w:tcBorders>
          </w:tcPr>
          <w:p w14:paraId="4AE36BEC" w14:textId="70E21B56" w:rsidR="369F18B1" w:rsidRPr="008E44DA" w:rsidRDefault="369F18B1" w:rsidP="00ED20EA">
            <w:pPr>
              <w:spacing w:line="276" w:lineRule="auto"/>
              <w:rPr>
                <w:rFonts w:ascii="Arial" w:hAnsi="Arial" w:cs="Arial"/>
              </w:rPr>
            </w:pPr>
            <w:r w:rsidRPr="008E44DA">
              <w:rPr>
                <w:rFonts w:ascii="Arial" w:eastAsia="Arial" w:hAnsi="Arial" w:cs="Arial"/>
                <w:sz w:val="22"/>
                <w:szCs w:val="22"/>
              </w:rPr>
              <w:t>Clear</w:t>
            </w:r>
          </w:p>
        </w:tc>
        <w:tc>
          <w:tcPr>
            <w:tcW w:w="2025" w:type="dxa"/>
            <w:tcBorders>
              <w:top w:val="single" w:sz="8" w:space="0" w:color="auto"/>
              <w:left w:val="single" w:sz="8" w:space="0" w:color="auto"/>
              <w:bottom w:val="single" w:sz="8" w:space="0" w:color="auto"/>
              <w:right w:val="single" w:sz="8" w:space="0" w:color="auto"/>
            </w:tcBorders>
          </w:tcPr>
          <w:p w14:paraId="32AE65DE" w14:textId="13DBD419" w:rsidR="369F18B1" w:rsidRPr="008E44DA" w:rsidRDefault="369F18B1" w:rsidP="00ED20EA">
            <w:pPr>
              <w:spacing w:line="276" w:lineRule="auto"/>
              <w:rPr>
                <w:rFonts w:ascii="Arial" w:hAnsi="Arial" w:cs="Arial"/>
              </w:rPr>
            </w:pPr>
            <w:r w:rsidRPr="008E44DA">
              <w:rPr>
                <w:rFonts w:ascii="Arial" w:eastAsia="Arial" w:hAnsi="Arial" w:cs="Arial"/>
                <w:sz w:val="22"/>
                <w:szCs w:val="22"/>
              </w:rPr>
              <w:t>Authority</w:t>
            </w:r>
          </w:p>
        </w:tc>
      </w:tr>
      <w:tr w:rsidR="369F18B1" w:rsidRPr="008E44DA" w14:paraId="26127CB9" w14:textId="77777777" w:rsidTr="369F18B1">
        <w:tc>
          <w:tcPr>
            <w:tcW w:w="2250" w:type="dxa"/>
            <w:tcBorders>
              <w:top w:val="single" w:sz="8" w:space="0" w:color="auto"/>
              <w:left w:val="single" w:sz="8" w:space="0" w:color="auto"/>
              <w:bottom w:val="single" w:sz="8" w:space="0" w:color="auto"/>
              <w:right w:val="single" w:sz="8" w:space="0" w:color="auto"/>
            </w:tcBorders>
          </w:tcPr>
          <w:p w14:paraId="509F6443" w14:textId="754A34D7" w:rsidR="369F18B1" w:rsidRPr="008E44DA" w:rsidRDefault="369F18B1" w:rsidP="00ED20EA">
            <w:pPr>
              <w:spacing w:line="276" w:lineRule="auto"/>
              <w:rPr>
                <w:rFonts w:ascii="Arial" w:hAnsi="Arial" w:cs="Arial"/>
              </w:rPr>
            </w:pPr>
            <w:r w:rsidRPr="008E44DA">
              <w:rPr>
                <w:rFonts w:ascii="Arial" w:eastAsia="Arial" w:hAnsi="Arial" w:cs="Arial"/>
                <w:i/>
                <w:iCs/>
                <w:sz w:val="22"/>
                <w:szCs w:val="22"/>
              </w:rPr>
              <w:t>Technical and adaptive</w:t>
            </w:r>
          </w:p>
        </w:tc>
        <w:tc>
          <w:tcPr>
            <w:tcW w:w="2250" w:type="dxa"/>
            <w:tcBorders>
              <w:top w:val="single" w:sz="8" w:space="0" w:color="auto"/>
              <w:left w:val="single" w:sz="8" w:space="0" w:color="auto"/>
              <w:bottom w:val="single" w:sz="8" w:space="0" w:color="auto"/>
              <w:right w:val="single" w:sz="8" w:space="0" w:color="auto"/>
            </w:tcBorders>
          </w:tcPr>
          <w:p w14:paraId="2A3A0B79" w14:textId="3F20BECD" w:rsidR="369F18B1" w:rsidRPr="008E44DA" w:rsidRDefault="369F18B1" w:rsidP="00ED20EA">
            <w:pPr>
              <w:spacing w:line="276" w:lineRule="auto"/>
              <w:rPr>
                <w:rFonts w:ascii="Arial" w:hAnsi="Arial" w:cs="Arial"/>
              </w:rPr>
            </w:pPr>
            <w:r w:rsidRPr="008E44DA">
              <w:rPr>
                <w:rFonts w:ascii="Arial" w:eastAsia="Arial" w:hAnsi="Arial" w:cs="Arial"/>
                <w:sz w:val="22"/>
                <w:szCs w:val="22"/>
              </w:rPr>
              <w:t>Clear</w:t>
            </w:r>
          </w:p>
        </w:tc>
        <w:tc>
          <w:tcPr>
            <w:tcW w:w="2250" w:type="dxa"/>
            <w:tcBorders>
              <w:top w:val="single" w:sz="8" w:space="0" w:color="auto"/>
              <w:left w:val="single" w:sz="8" w:space="0" w:color="auto"/>
              <w:bottom w:val="single" w:sz="8" w:space="0" w:color="auto"/>
              <w:right w:val="single" w:sz="8" w:space="0" w:color="auto"/>
            </w:tcBorders>
          </w:tcPr>
          <w:p w14:paraId="54390DB0" w14:textId="2C9F96B8" w:rsidR="369F18B1" w:rsidRPr="008E44DA" w:rsidRDefault="369F18B1" w:rsidP="00ED20EA">
            <w:pPr>
              <w:spacing w:line="276" w:lineRule="auto"/>
              <w:rPr>
                <w:rFonts w:ascii="Arial" w:hAnsi="Arial" w:cs="Arial"/>
              </w:rPr>
            </w:pPr>
            <w:r w:rsidRPr="008E44DA">
              <w:rPr>
                <w:rFonts w:ascii="Arial" w:eastAsia="Arial" w:hAnsi="Arial" w:cs="Arial"/>
                <w:sz w:val="22"/>
                <w:szCs w:val="22"/>
              </w:rPr>
              <w:t>Requires learning</w:t>
            </w:r>
          </w:p>
        </w:tc>
        <w:tc>
          <w:tcPr>
            <w:tcW w:w="2025" w:type="dxa"/>
            <w:tcBorders>
              <w:top w:val="single" w:sz="8" w:space="0" w:color="auto"/>
              <w:left w:val="single" w:sz="8" w:space="0" w:color="auto"/>
              <w:bottom w:val="single" w:sz="8" w:space="0" w:color="auto"/>
              <w:right w:val="single" w:sz="8" w:space="0" w:color="auto"/>
            </w:tcBorders>
          </w:tcPr>
          <w:p w14:paraId="64E006D2" w14:textId="4D143D3D" w:rsidR="369F18B1" w:rsidRPr="008E44DA" w:rsidRDefault="369F18B1" w:rsidP="00ED20EA">
            <w:pPr>
              <w:spacing w:line="276" w:lineRule="auto"/>
              <w:rPr>
                <w:rFonts w:ascii="Arial" w:hAnsi="Arial" w:cs="Arial"/>
              </w:rPr>
            </w:pPr>
            <w:r w:rsidRPr="008E44DA">
              <w:rPr>
                <w:rFonts w:ascii="Arial" w:eastAsia="Arial" w:hAnsi="Arial" w:cs="Arial"/>
                <w:sz w:val="22"/>
                <w:szCs w:val="22"/>
              </w:rPr>
              <w:t>Authority and stakeholders</w:t>
            </w:r>
          </w:p>
        </w:tc>
      </w:tr>
      <w:tr w:rsidR="369F18B1" w:rsidRPr="008E44DA" w14:paraId="21113D50" w14:textId="77777777" w:rsidTr="369F18B1">
        <w:tc>
          <w:tcPr>
            <w:tcW w:w="2250" w:type="dxa"/>
            <w:tcBorders>
              <w:top w:val="single" w:sz="8" w:space="0" w:color="auto"/>
              <w:left w:val="single" w:sz="8" w:space="0" w:color="auto"/>
              <w:bottom w:val="single" w:sz="8" w:space="0" w:color="auto"/>
              <w:right w:val="single" w:sz="8" w:space="0" w:color="auto"/>
            </w:tcBorders>
          </w:tcPr>
          <w:p w14:paraId="209FAE58" w14:textId="146340E0" w:rsidR="369F18B1" w:rsidRPr="008E44DA" w:rsidRDefault="369F18B1" w:rsidP="00ED20EA">
            <w:pPr>
              <w:spacing w:line="276" w:lineRule="auto"/>
              <w:rPr>
                <w:rFonts w:ascii="Arial" w:hAnsi="Arial" w:cs="Arial"/>
              </w:rPr>
            </w:pPr>
            <w:r w:rsidRPr="008E44DA">
              <w:rPr>
                <w:rFonts w:ascii="Arial" w:eastAsia="Arial" w:hAnsi="Arial" w:cs="Arial"/>
                <w:i/>
                <w:iCs/>
                <w:sz w:val="22"/>
                <w:szCs w:val="22"/>
              </w:rPr>
              <w:t>Adaptive</w:t>
            </w:r>
          </w:p>
        </w:tc>
        <w:tc>
          <w:tcPr>
            <w:tcW w:w="2250" w:type="dxa"/>
            <w:tcBorders>
              <w:top w:val="single" w:sz="8" w:space="0" w:color="auto"/>
              <w:left w:val="single" w:sz="8" w:space="0" w:color="auto"/>
              <w:bottom w:val="single" w:sz="8" w:space="0" w:color="auto"/>
              <w:right w:val="single" w:sz="8" w:space="0" w:color="auto"/>
            </w:tcBorders>
          </w:tcPr>
          <w:p w14:paraId="42D0F542" w14:textId="46718027" w:rsidR="369F18B1" w:rsidRPr="008E44DA" w:rsidRDefault="369F18B1" w:rsidP="00ED20EA">
            <w:pPr>
              <w:spacing w:line="276" w:lineRule="auto"/>
              <w:rPr>
                <w:rFonts w:ascii="Arial" w:hAnsi="Arial" w:cs="Arial"/>
              </w:rPr>
            </w:pPr>
            <w:r w:rsidRPr="008E44DA">
              <w:rPr>
                <w:rFonts w:ascii="Arial" w:eastAsia="Arial" w:hAnsi="Arial" w:cs="Arial"/>
                <w:sz w:val="22"/>
                <w:szCs w:val="22"/>
              </w:rPr>
              <w:t>Requires learning</w:t>
            </w:r>
          </w:p>
        </w:tc>
        <w:tc>
          <w:tcPr>
            <w:tcW w:w="2250" w:type="dxa"/>
            <w:tcBorders>
              <w:top w:val="single" w:sz="8" w:space="0" w:color="auto"/>
              <w:left w:val="single" w:sz="8" w:space="0" w:color="auto"/>
              <w:bottom w:val="single" w:sz="8" w:space="0" w:color="auto"/>
              <w:right w:val="single" w:sz="8" w:space="0" w:color="auto"/>
            </w:tcBorders>
          </w:tcPr>
          <w:p w14:paraId="5A0687C6" w14:textId="5C7B36B2" w:rsidR="369F18B1" w:rsidRPr="008E44DA" w:rsidRDefault="369F18B1" w:rsidP="00ED20EA">
            <w:pPr>
              <w:spacing w:line="276" w:lineRule="auto"/>
              <w:rPr>
                <w:rFonts w:ascii="Arial" w:hAnsi="Arial" w:cs="Arial"/>
              </w:rPr>
            </w:pPr>
            <w:r w:rsidRPr="008E44DA">
              <w:rPr>
                <w:rFonts w:ascii="Arial" w:eastAsia="Arial" w:hAnsi="Arial" w:cs="Arial"/>
                <w:sz w:val="22"/>
                <w:szCs w:val="22"/>
              </w:rPr>
              <w:t>Requires learning</w:t>
            </w:r>
          </w:p>
        </w:tc>
        <w:tc>
          <w:tcPr>
            <w:tcW w:w="2025" w:type="dxa"/>
            <w:tcBorders>
              <w:top w:val="single" w:sz="8" w:space="0" w:color="auto"/>
              <w:left w:val="single" w:sz="8" w:space="0" w:color="auto"/>
              <w:bottom w:val="single" w:sz="8" w:space="0" w:color="auto"/>
              <w:right w:val="single" w:sz="8" w:space="0" w:color="auto"/>
            </w:tcBorders>
          </w:tcPr>
          <w:p w14:paraId="04DF2CFF" w14:textId="1D335ACE" w:rsidR="369F18B1" w:rsidRPr="008E44DA" w:rsidRDefault="369F18B1" w:rsidP="00ED20EA">
            <w:pPr>
              <w:spacing w:line="276" w:lineRule="auto"/>
              <w:rPr>
                <w:rFonts w:ascii="Arial" w:hAnsi="Arial" w:cs="Arial"/>
              </w:rPr>
            </w:pPr>
            <w:r w:rsidRPr="008E44DA">
              <w:rPr>
                <w:rFonts w:ascii="Arial" w:eastAsia="Arial" w:hAnsi="Arial" w:cs="Arial"/>
                <w:sz w:val="22"/>
                <w:szCs w:val="22"/>
              </w:rPr>
              <w:t>Stakeholders</w:t>
            </w:r>
          </w:p>
        </w:tc>
      </w:tr>
    </w:tbl>
    <w:p w14:paraId="1D878DC4" w14:textId="53600B3B" w:rsidR="369F18B1" w:rsidRPr="008E44DA" w:rsidRDefault="369F18B1" w:rsidP="00ED20EA">
      <w:pPr>
        <w:spacing w:line="276" w:lineRule="auto"/>
        <w:rPr>
          <w:rFonts w:ascii="Arial" w:hAnsi="Arial" w:cs="Arial"/>
        </w:rPr>
      </w:pPr>
      <w:r w:rsidRPr="008E44DA">
        <w:rPr>
          <w:rFonts w:ascii="Arial" w:eastAsia="Arial" w:hAnsi="Arial" w:cs="Arial"/>
          <w:sz w:val="22"/>
          <w:szCs w:val="22"/>
        </w:rPr>
        <w:t xml:space="preserve">From: </w:t>
      </w:r>
      <w:r w:rsidR="00B161DD" w:rsidRPr="008E44DA">
        <w:rPr>
          <w:rFonts w:ascii="Arial" w:eastAsia="Arial" w:hAnsi="Arial" w:cs="Arial"/>
          <w:sz w:val="22"/>
          <w:szCs w:val="22"/>
        </w:rPr>
        <w:t>Heifetz</w:t>
      </w:r>
      <w:r w:rsidRPr="008E44DA">
        <w:rPr>
          <w:rFonts w:ascii="Arial" w:eastAsia="Arial" w:hAnsi="Arial" w:cs="Arial"/>
          <w:sz w:val="22"/>
          <w:szCs w:val="22"/>
        </w:rPr>
        <w:t xml:space="preserve">, Grashow and Linsky, </w:t>
      </w:r>
      <w:r w:rsidRPr="00384DA0">
        <w:rPr>
          <w:rFonts w:ascii="Arial" w:eastAsia="Arial" w:hAnsi="Arial" w:cs="Arial"/>
          <w:i/>
          <w:sz w:val="22"/>
          <w:szCs w:val="22"/>
        </w:rPr>
        <w:t>T</w:t>
      </w:r>
      <w:r w:rsidRPr="008E44DA">
        <w:rPr>
          <w:rFonts w:ascii="Arial" w:eastAsia="Arial" w:hAnsi="Arial" w:cs="Arial"/>
          <w:i/>
          <w:iCs/>
          <w:sz w:val="22"/>
          <w:szCs w:val="22"/>
        </w:rPr>
        <w:t>he Practice of Adaptive Leadership,</w:t>
      </w:r>
      <w:r w:rsidRPr="008E44DA">
        <w:rPr>
          <w:rFonts w:ascii="Arial" w:eastAsia="Arial" w:hAnsi="Arial" w:cs="Arial"/>
          <w:sz w:val="22"/>
          <w:szCs w:val="22"/>
        </w:rPr>
        <w:t xml:space="preserve"> p. 20</w:t>
      </w:r>
    </w:p>
    <w:p w14:paraId="3440BA5D" w14:textId="3333282D" w:rsidR="369F18B1" w:rsidRPr="008E44DA" w:rsidRDefault="369F18B1" w:rsidP="00ED20EA">
      <w:pPr>
        <w:spacing w:line="276" w:lineRule="auto"/>
        <w:rPr>
          <w:rFonts w:ascii="Arial" w:eastAsia="Arial" w:hAnsi="Arial" w:cs="Arial"/>
          <w:b/>
          <w:bCs/>
          <w:sz w:val="22"/>
          <w:szCs w:val="22"/>
        </w:rPr>
      </w:pPr>
    </w:p>
    <w:p w14:paraId="1D495188" w14:textId="0014DA17" w:rsidR="369F18B1" w:rsidRPr="008E44DA" w:rsidRDefault="369F18B1"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sz w:val="22"/>
          <w:szCs w:val="22"/>
        </w:rPr>
        <w:t xml:space="preserve">We can apply the adaptive leadership model to examine ways of bringing about change. </w:t>
      </w:r>
      <w:r w:rsidRPr="008E44DA">
        <w:rPr>
          <w:rFonts w:ascii="Arial" w:eastAsia="Arial" w:hAnsi="Arial" w:cs="Arial"/>
          <w:color w:val="201F1E"/>
          <w:sz w:val="22"/>
          <w:szCs w:val="22"/>
        </w:rPr>
        <w:t xml:space="preserve">Where technical change generally occurs through incremental adjustments and applying existing expertise and problem-solving processes, adaptive change deals with systemic problems that require organisations and individuals to challenge their beliefs and behaviours, </w:t>
      </w:r>
      <w:r w:rsidRPr="008E44DA">
        <w:rPr>
          <w:rFonts w:ascii="Arial" w:eastAsia="Arial" w:hAnsi="Arial" w:cs="Arial"/>
          <w:color w:val="201F1E"/>
          <w:sz w:val="22"/>
          <w:szCs w:val="22"/>
        </w:rPr>
        <w:lastRenderedPageBreak/>
        <w:t>develop new competencies, and work collectively. Through a process of repetition, changes at the behavioural and cultural level inform technical aspects and implementation, as new standards and values are baked into practice.</w:t>
      </w:r>
      <w:r w:rsidRPr="008E44DA">
        <w:rPr>
          <w:rStyle w:val="FootnoteReference"/>
          <w:rFonts w:ascii="Arial" w:eastAsia="Arial" w:hAnsi="Arial" w:cs="Arial"/>
          <w:color w:val="201F1E"/>
          <w:sz w:val="22"/>
          <w:szCs w:val="22"/>
          <w:lang w:eastAsia="en-AU"/>
        </w:rPr>
        <w:footnoteReference w:id="7"/>
      </w:r>
      <w:r w:rsidRPr="008E44DA">
        <w:rPr>
          <w:rFonts w:ascii="Arial" w:eastAsia="Arial" w:hAnsi="Arial" w:cs="Arial"/>
          <w:color w:val="201F1E"/>
          <w:sz w:val="22"/>
          <w:szCs w:val="22"/>
          <w:lang w:eastAsia="en-AU"/>
        </w:rPr>
        <w:t xml:space="preserve">  </w:t>
      </w:r>
    </w:p>
    <w:p w14:paraId="548E4C4B" w14:textId="2873538B" w:rsidR="369F18B1" w:rsidRPr="008E44DA" w:rsidRDefault="369F18B1" w:rsidP="009B1E99">
      <w:pPr>
        <w:spacing w:line="276" w:lineRule="auto"/>
        <w:jc w:val="both"/>
        <w:rPr>
          <w:rFonts w:ascii="Arial" w:eastAsia="Arial" w:hAnsi="Arial" w:cs="Arial"/>
          <w:color w:val="201F1E"/>
          <w:sz w:val="22"/>
          <w:szCs w:val="22"/>
        </w:rPr>
      </w:pPr>
    </w:p>
    <w:p w14:paraId="4CFEA1F9" w14:textId="6F4D0844" w:rsidR="369F18B1" w:rsidRPr="008E44DA" w:rsidRDefault="369F18B1" w:rsidP="009B1E99">
      <w:pPr>
        <w:spacing w:line="276" w:lineRule="auto"/>
        <w:jc w:val="both"/>
        <w:rPr>
          <w:rFonts w:ascii="Arial" w:eastAsia="Arial" w:hAnsi="Arial" w:cs="Arial"/>
          <w:sz w:val="22"/>
          <w:szCs w:val="22"/>
        </w:rPr>
      </w:pPr>
      <w:r w:rsidRPr="008E44DA">
        <w:rPr>
          <w:rFonts w:ascii="Arial" w:eastAsia="Arial" w:hAnsi="Arial" w:cs="Arial"/>
          <w:sz w:val="22"/>
          <w:szCs w:val="22"/>
        </w:rPr>
        <w:t>Heifetz argues that the most common leadership failures are produced by treating adaptive challenges as they are technical problems. In such situations, people generally seek out technical tweaks or turn to an authority figure to provide a solution</w:t>
      </w:r>
      <w:r w:rsidRPr="008E44DA">
        <w:rPr>
          <w:rFonts w:ascii="Arial" w:eastAsia="Arial" w:hAnsi="Arial" w:cs="Arial"/>
          <w:color w:val="201F1E"/>
          <w:sz w:val="22"/>
          <w:szCs w:val="22"/>
        </w:rPr>
        <w:t>.</w:t>
      </w:r>
      <w:r w:rsidRPr="008E44DA">
        <w:rPr>
          <w:rStyle w:val="FootnoteReference"/>
          <w:rFonts w:ascii="Arial" w:eastAsia="Arial" w:hAnsi="Arial" w:cs="Arial"/>
          <w:sz w:val="22"/>
          <w:szCs w:val="22"/>
        </w:rPr>
        <w:footnoteReference w:id="8"/>
      </w:r>
      <w:r w:rsidRPr="008E44DA">
        <w:rPr>
          <w:rFonts w:ascii="Arial" w:eastAsia="Arial" w:hAnsi="Arial" w:cs="Arial"/>
          <w:sz w:val="22"/>
          <w:szCs w:val="22"/>
        </w:rPr>
        <w:t xml:space="preserve"> That technical solution might provide temporary relief, but it fails to address the underlying problem by avoiding the necessary adaptive work.</w:t>
      </w:r>
      <w:r w:rsidRPr="008E44DA">
        <w:rPr>
          <w:rStyle w:val="FootnoteReference"/>
          <w:rFonts w:ascii="Arial" w:eastAsia="Arial" w:hAnsi="Arial" w:cs="Arial"/>
          <w:lang w:val="en-US"/>
        </w:rPr>
        <w:footnoteReference w:id="9"/>
      </w:r>
    </w:p>
    <w:p w14:paraId="5B796559" w14:textId="33401B20" w:rsidR="369F18B1" w:rsidRPr="008E44DA" w:rsidRDefault="369F18B1" w:rsidP="009B1E99">
      <w:pPr>
        <w:spacing w:line="276" w:lineRule="auto"/>
        <w:jc w:val="both"/>
        <w:rPr>
          <w:rFonts w:ascii="Arial" w:eastAsia="Arial" w:hAnsi="Arial" w:cs="Arial"/>
          <w:sz w:val="22"/>
          <w:szCs w:val="22"/>
        </w:rPr>
      </w:pPr>
    </w:p>
    <w:p w14:paraId="79AB8DBE" w14:textId="671C29BA" w:rsidR="369F18B1" w:rsidRPr="008E44DA" w:rsidRDefault="369F18B1" w:rsidP="009B1E99">
      <w:pPr>
        <w:spacing w:line="276" w:lineRule="auto"/>
        <w:jc w:val="both"/>
        <w:rPr>
          <w:rFonts w:ascii="Arial" w:eastAsia="Arial" w:hAnsi="Arial" w:cs="Arial"/>
          <w:sz w:val="22"/>
          <w:szCs w:val="22"/>
        </w:rPr>
      </w:pPr>
      <w:r w:rsidRPr="008E44DA">
        <w:rPr>
          <w:rFonts w:ascii="Arial" w:eastAsia="Arial" w:hAnsi="Arial" w:cs="Arial"/>
          <w:sz w:val="22"/>
          <w:szCs w:val="22"/>
        </w:rPr>
        <w:t>Take, for instance, a family member who approaches you with a request to borrow $1,000 to pay off a bank loan they will default on tomorrow. You could view this as a clear problem definition (the person needs $1,000) that has a clear technical solution (you, the authority, give the person $1,000). However, this may only address the problem in the short term, with the family member returning to you in a month seeking more money. Alternatively, you could view it as an adaptive challenge where there needs to be learning by the family member</w:t>
      </w:r>
      <w:r w:rsidR="00222F77">
        <w:rPr>
          <w:rFonts w:ascii="Arial" w:eastAsia="Arial" w:hAnsi="Arial" w:cs="Arial"/>
          <w:sz w:val="22"/>
          <w:szCs w:val="22"/>
        </w:rPr>
        <w:t>,</w:t>
      </w:r>
      <w:r w:rsidRPr="008E44DA">
        <w:rPr>
          <w:rFonts w:ascii="Arial" w:eastAsia="Arial" w:hAnsi="Arial" w:cs="Arial"/>
          <w:sz w:val="22"/>
          <w:szCs w:val="22"/>
        </w:rPr>
        <w:t xml:space="preserve"> yourself</w:t>
      </w:r>
      <w:r w:rsidR="00222F77">
        <w:rPr>
          <w:rFonts w:ascii="Arial" w:eastAsia="Arial" w:hAnsi="Arial" w:cs="Arial"/>
          <w:sz w:val="22"/>
          <w:szCs w:val="22"/>
        </w:rPr>
        <w:t xml:space="preserve"> and possibly others</w:t>
      </w:r>
      <w:r w:rsidRPr="008E44DA">
        <w:rPr>
          <w:rFonts w:ascii="Arial" w:eastAsia="Arial" w:hAnsi="Arial" w:cs="Arial"/>
          <w:sz w:val="22"/>
          <w:szCs w:val="22"/>
        </w:rPr>
        <w:t xml:space="preserve"> to define the problem and generate a solution. In this scenario, you might explore why the family member is defaulting on the loan, and what behaviours or attitudes they need to change to prevent them from ending up in this situation again. </w:t>
      </w:r>
    </w:p>
    <w:p w14:paraId="017B20AE" w14:textId="07F9D351" w:rsidR="369F18B1" w:rsidRPr="008E44DA" w:rsidRDefault="369F18B1" w:rsidP="009B1E99">
      <w:pPr>
        <w:spacing w:line="276" w:lineRule="auto"/>
        <w:jc w:val="both"/>
        <w:rPr>
          <w:rFonts w:ascii="Arial" w:eastAsia="Arial" w:hAnsi="Arial" w:cs="Arial"/>
          <w:sz w:val="22"/>
          <w:szCs w:val="22"/>
        </w:rPr>
      </w:pPr>
      <w:r w:rsidRPr="008E44DA">
        <w:rPr>
          <w:rFonts w:ascii="Arial" w:eastAsia="Arial" w:hAnsi="Arial" w:cs="Arial"/>
          <w:sz w:val="22"/>
          <w:szCs w:val="22"/>
        </w:rPr>
        <w:t xml:space="preserve"> </w:t>
      </w:r>
    </w:p>
    <w:p w14:paraId="2EFDDEDD" w14:textId="7809C831" w:rsidR="00834CE3" w:rsidRDefault="369F18B1"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sz w:val="22"/>
          <w:szCs w:val="22"/>
        </w:rPr>
        <w:t xml:space="preserve">We view the implementation of the EIIF as a situation where there are both technical problems and adaptive challenges present. </w:t>
      </w:r>
      <w:r w:rsidR="49F94D9F" w:rsidRPr="008E44DA">
        <w:rPr>
          <w:rFonts w:ascii="Arial" w:eastAsia="Arial" w:hAnsi="Arial" w:cs="Arial"/>
          <w:color w:val="201F1E"/>
          <w:sz w:val="22"/>
          <w:szCs w:val="22"/>
          <w:lang w:eastAsia="en-AU"/>
        </w:rPr>
        <w:t>DTF has made significant progress in advancing the technical aspects of EIIF</w:t>
      </w:r>
      <w:r w:rsidR="00285AF0">
        <w:rPr>
          <w:rFonts w:ascii="Arial" w:eastAsia="Arial" w:hAnsi="Arial" w:cs="Arial"/>
          <w:color w:val="201F1E"/>
          <w:sz w:val="22"/>
          <w:szCs w:val="22"/>
          <w:lang w:eastAsia="en-AU"/>
        </w:rPr>
        <w:t>, including growing</w:t>
      </w:r>
      <w:r w:rsidR="00A40129">
        <w:rPr>
          <w:rFonts w:ascii="Arial" w:eastAsia="Arial" w:hAnsi="Arial" w:cs="Arial"/>
          <w:color w:val="201F1E"/>
          <w:sz w:val="22"/>
          <w:szCs w:val="22"/>
          <w:lang w:eastAsia="en-AU"/>
        </w:rPr>
        <w:t xml:space="preserve"> internal capability to quantify outcomes and avoided costs</w:t>
      </w:r>
      <w:r w:rsidR="49F94D9F" w:rsidRPr="008E44DA">
        <w:rPr>
          <w:rFonts w:ascii="Arial" w:eastAsia="Arial" w:hAnsi="Arial" w:cs="Arial"/>
          <w:color w:val="201F1E"/>
          <w:sz w:val="22"/>
          <w:szCs w:val="22"/>
          <w:lang w:eastAsia="en-AU"/>
        </w:rPr>
        <w:t xml:space="preserve"> and </w:t>
      </w:r>
      <w:r w:rsidR="00834CE3">
        <w:rPr>
          <w:rFonts w:ascii="Arial" w:eastAsia="Arial" w:hAnsi="Arial" w:cs="Arial"/>
          <w:color w:val="201F1E"/>
          <w:sz w:val="22"/>
          <w:szCs w:val="22"/>
          <w:lang w:eastAsia="en-AU"/>
        </w:rPr>
        <w:t xml:space="preserve">the positive incentive generated from a </w:t>
      </w:r>
      <w:r w:rsidR="49F94D9F" w:rsidRPr="008E44DA">
        <w:rPr>
          <w:rFonts w:ascii="Arial" w:eastAsia="Arial" w:hAnsi="Arial" w:cs="Arial"/>
          <w:color w:val="201F1E"/>
          <w:sz w:val="22"/>
          <w:szCs w:val="22"/>
          <w:lang w:eastAsia="en-AU"/>
        </w:rPr>
        <w:t xml:space="preserve">reinvestment </w:t>
      </w:r>
      <w:r w:rsidR="000C69C0">
        <w:rPr>
          <w:rFonts w:ascii="Arial" w:eastAsia="Arial" w:hAnsi="Arial" w:cs="Arial"/>
          <w:color w:val="201F1E"/>
          <w:sz w:val="22"/>
          <w:szCs w:val="22"/>
          <w:lang w:eastAsia="en-AU"/>
        </w:rPr>
        <w:t>approach</w:t>
      </w:r>
      <w:r w:rsidR="49F94D9F" w:rsidRPr="008E44DA">
        <w:rPr>
          <w:rFonts w:ascii="Arial" w:eastAsia="Arial" w:hAnsi="Arial" w:cs="Arial"/>
          <w:color w:val="201F1E"/>
          <w:sz w:val="22"/>
          <w:szCs w:val="22"/>
          <w:lang w:eastAsia="en-AU"/>
        </w:rPr>
        <w:t xml:space="preserve">. </w:t>
      </w:r>
    </w:p>
    <w:p w14:paraId="3DCEB156" w14:textId="77777777" w:rsidR="00834CE3" w:rsidRDefault="00834CE3" w:rsidP="009B1E99">
      <w:pPr>
        <w:spacing w:line="276" w:lineRule="auto"/>
        <w:jc w:val="both"/>
        <w:rPr>
          <w:rFonts w:ascii="Arial" w:eastAsia="Arial" w:hAnsi="Arial" w:cs="Arial"/>
          <w:color w:val="201F1E"/>
          <w:sz w:val="22"/>
          <w:szCs w:val="22"/>
          <w:lang w:eastAsia="en-AU"/>
        </w:rPr>
      </w:pPr>
    </w:p>
    <w:p w14:paraId="630FA404" w14:textId="63558BE8" w:rsidR="000C69C0" w:rsidRDefault="49F94D9F"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t xml:space="preserve">The fact that these have not been straightforward tasks, with DTF having developed a </w:t>
      </w:r>
      <w:r w:rsidR="000C69C0">
        <w:rPr>
          <w:rFonts w:ascii="Arial" w:eastAsia="Arial" w:hAnsi="Arial" w:cs="Arial"/>
          <w:color w:val="201F1E"/>
          <w:sz w:val="22"/>
          <w:szCs w:val="22"/>
          <w:lang w:eastAsia="en-AU"/>
        </w:rPr>
        <w:t xml:space="preserve">new fiscal </w:t>
      </w:r>
      <w:r w:rsidRPr="008E44DA">
        <w:rPr>
          <w:rFonts w:ascii="Arial" w:eastAsia="Arial" w:hAnsi="Arial" w:cs="Arial"/>
          <w:color w:val="201F1E"/>
          <w:sz w:val="22"/>
          <w:szCs w:val="22"/>
          <w:lang w:eastAsia="en-AU"/>
        </w:rPr>
        <w:t>tool that does not necessarily fit within the standard parameters of the budgeting process</w:t>
      </w:r>
      <w:r w:rsidR="4EACB2DA" w:rsidRPr="008E44DA">
        <w:rPr>
          <w:rFonts w:ascii="Arial" w:eastAsia="Arial" w:hAnsi="Arial" w:cs="Arial"/>
          <w:color w:val="201F1E"/>
          <w:sz w:val="22"/>
          <w:szCs w:val="22"/>
          <w:lang w:eastAsia="en-AU"/>
        </w:rPr>
        <w:t xml:space="preserve"> and fundamentals of cost benefit analysis, can obscure how much remains to be done to maximise the prospect of </w:t>
      </w:r>
      <w:r w:rsidR="00386E75">
        <w:rPr>
          <w:rFonts w:ascii="Arial" w:eastAsia="Arial" w:hAnsi="Arial" w:cs="Arial"/>
          <w:color w:val="201F1E"/>
          <w:sz w:val="22"/>
          <w:szCs w:val="22"/>
          <w:lang w:eastAsia="en-AU"/>
        </w:rPr>
        <w:t xml:space="preserve">its </w:t>
      </w:r>
      <w:r w:rsidR="4EACB2DA" w:rsidRPr="008E44DA">
        <w:rPr>
          <w:rFonts w:ascii="Arial" w:eastAsia="Arial" w:hAnsi="Arial" w:cs="Arial"/>
          <w:color w:val="201F1E"/>
          <w:sz w:val="22"/>
          <w:szCs w:val="22"/>
          <w:lang w:eastAsia="en-AU"/>
        </w:rPr>
        <w:t xml:space="preserve">adoption. </w:t>
      </w:r>
    </w:p>
    <w:p w14:paraId="1F9EE071" w14:textId="77777777" w:rsidR="000C69C0" w:rsidRDefault="000C69C0" w:rsidP="009B1E99">
      <w:pPr>
        <w:spacing w:line="276" w:lineRule="auto"/>
        <w:jc w:val="both"/>
        <w:rPr>
          <w:rFonts w:ascii="Arial" w:eastAsia="Arial" w:hAnsi="Arial" w:cs="Arial"/>
          <w:color w:val="201F1E"/>
          <w:sz w:val="22"/>
          <w:szCs w:val="22"/>
          <w:lang w:eastAsia="en-AU"/>
        </w:rPr>
      </w:pPr>
    </w:p>
    <w:p w14:paraId="4F28317E" w14:textId="5C6E206B" w:rsidR="369F18B1" w:rsidRPr="008E44DA" w:rsidRDefault="00AB2EA2" w:rsidP="009B1E99">
      <w:pPr>
        <w:spacing w:line="276" w:lineRule="auto"/>
        <w:jc w:val="both"/>
        <w:rPr>
          <w:rFonts w:ascii="Arial" w:eastAsia="Arial" w:hAnsi="Arial" w:cs="Arial"/>
          <w:color w:val="201F1E"/>
          <w:sz w:val="22"/>
          <w:szCs w:val="22"/>
          <w:lang w:eastAsia="en-AU"/>
        </w:rPr>
      </w:pPr>
      <w:r>
        <w:rPr>
          <w:rFonts w:ascii="Arial" w:eastAsia="Arial" w:hAnsi="Arial" w:cs="Arial"/>
          <w:color w:val="201F1E"/>
          <w:sz w:val="22"/>
          <w:szCs w:val="22"/>
          <w:lang w:eastAsia="en-AU"/>
        </w:rPr>
        <w:t xml:space="preserve">At the current stage of </w:t>
      </w:r>
      <w:r w:rsidR="001A5378">
        <w:rPr>
          <w:rFonts w:ascii="Arial" w:eastAsia="Arial" w:hAnsi="Arial" w:cs="Arial"/>
          <w:color w:val="201F1E"/>
          <w:sz w:val="22"/>
          <w:szCs w:val="22"/>
          <w:lang w:eastAsia="en-AU"/>
        </w:rPr>
        <w:t>implementing the EIIF,</w:t>
      </w:r>
      <w:r w:rsidR="00285AF0">
        <w:rPr>
          <w:rFonts w:ascii="Arial" w:eastAsia="Arial" w:hAnsi="Arial" w:cs="Arial"/>
          <w:color w:val="201F1E"/>
          <w:sz w:val="22"/>
          <w:szCs w:val="22"/>
          <w:lang w:eastAsia="en-AU"/>
        </w:rPr>
        <w:t xml:space="preserve"> DTF </w:t>
      </w:r>
      <w:r w:rsidR="001E7476">
        <w:rPr>
          <w:rFonts w:ascii="Arial" w:eastAsia="Arial" w:hAnsi="Arial" w:cs="Arial"/>
          <w:color w:val="201F1E"/>
          <w:sz w:val="22"/>
          <w:szCs w:val="22"/>
          <w:lang w:eastAsia="en-AU"/>
        </w:rPr>
        <w:t>faces some</w:t>
      </w:r>
      <w:r w:rsidR="00285AF0">
        <w:rPr>
          <w:rFonts w:ascii="Arial" w:eastAsia="Arial" w:hAnsi="Arial" w:cs="Arial"/>
          <w:color w:val="201F1E"/>
          <w:sz w:val="22"/>
          <w:szCs w:val="22"/>
          <w:lang w:eastAsia="en-AU"/>
        </w:rPr>
        <w:t xml:space="preserve"> complex choices. </w:t>
      </w:r>
      <w:r w:rsidR="4EACB2DA" w:rsidRPr="008E44DA">
        <w:rPr>
          <w:rFonts w:ascii="Arial" w:eastAsia="Arial" w:hAnsi="Arial" w:cs="Arial"/>
          <w:color w:val="201F1E"/>
          <w:sz w:val="22"/>
          <w:szCs w:val="22"/>
          <w:lang w:eastAsia="en-AU"/>
        </w:rPr>
        <w:t xml:space="preserve">There is a risk of diminishing returns in focusing on further technical refinements, when instead the threshold should be that both central and line agencies have verified the tools and trust the outputs. </w:t>
      </w:r>
      <w:r w:rsidR="1FA677DF" w:rsidRPr="008E44DA">
        <w:rPr>
          <w:rFonts w:ascii="Arial" w:eastAsia="Arial" w:hAnsi="Arial" w:cs="Arial"/>
          <w:color w:val="201F1E"/>
          <w:sz w:val="22"/>
          <w:szCs w:val="22"/>
          <w:lang w:eastAsia="en-AU"/>
        </w:rPr>
        <w:t>It is due to the significant</w:t>
      </w:r>
      <w:r w:rsidR="007737C6">
        <w:rPr>
          <w:rFonts w:ascii="Arial" w:eastAsia="Arial" w:hAnsi="Arial" w:cs="Arial"/>
          <w:color w:val="201F1E"/>
          <w:sz w:val="22"/>
          <w:szCs w:val="22"/>
          <w:lang w:eastAsia="en-AU"/>
        </w:rPr>
        <w:t xml:space="preserve"> </w:t>
      </w:r>
      <w:r w:rsidR="1FA677DF" w:rsidRPr="008E44DA">
        <w:rPr>
          <w:rFonts w:ascii="Arial" w:eastAsia="Arial" w:hAnsi="Arial" w:cs="Arial"/>
          <w:color w:val="201F1E"/>
          <w:sz w:val="22"/>
          <w:szCs w:val="22"/>
          <w:lang w:eastAsia="en-AU"/>
        </w:rPr>
        <w:t>progress which DTF has made in advancing the technical aspects that the bulk of the discussion below focuses on the adaptive changes that are still required</w:t>
      </w:r>
      <w:r w:rsidR="001A5378">
        <w:rPr>
          <w:rFonts w:ascii="Arial" w:eastAsia="Arial" w:hAnsi="Arial" w:cs="Arial"/>
          <w:color w:val="201F1E"/>
          <w:sz w:val="22"/>
          <w:szCs w:val="22"/>
          <w:lang w:eastAsia="en-AU"/>
        </w:rPr>
        <w:t>.</w:t>
      </w:r>
    </w:p>
    <w:p w14:paraId="3ECDE226" w14:textId="5BEDD3C9" w:rsidR="369F18B1" w:rsidRPr="008E44DA" w:rsidRDefault="369F18B1" w:rsidP="009B1E99">
      <w:pPr>
        <w:spacing w:line="276" w:lineRule="auto"/>
        <w:jc w:val="both"/>
        <w:rPr>
          <w:rFonts w:ascii="Arial" w:eastAsia="Arial" w:hAnsi="Arial" w:cs="Arial"/>
          <w:color w:val="201F1E"/>
          <w:sz w:val="22"/>
          <w:szCs w:val="22"/>
          <w:lang w:eastAsia="en-AU"/>
        </w:rPr>
      </w:pPr>
    </w:p>
    <w:p w14:paraId="30AA1452" w14:textId="2D481F12" w:rsidR="00B5351F" w:rsidRPr="008E44DA" w:rsidRDefault="1FA677DF" w:rsidP="009B1E99">
      <w:pPr>
        <w:spacing w:line="276" w:lineRule="auto"/>
        <w:jc w:val="both"/>
        <w:rPr>
          <w:rFonts w:ascii="Arial" w:eastAsia="Arial" w:hAnsi="Arial" w:cs="Arial"/>
          <w:sz w:val="22"/>
          <w:szCs w:val="22"/>
        </w:rPr>
      </w:pPr>
      <w:r w:rsidRPr="008E44DA">
        <w:rPr>
          <w:rFonts w:ascii="Arial" w:eastAsia="Arial" w:hAnsi="Arial" w:cs="Arial"/>
          <w:color w:val="201F1E"/>
          <w:sz w:val="22"/>
          <w:szCs w:val="22"/>
          <w:lang w:eastAsia="en-AU"/>
        </w:rPr>
        <w:t>T</w:t>
      </w:r>
      <w:r w:rsidR="369F18B1" w:rsidRPr="008E44DA">
        <w:rPr>
          <w:rFonts w:ascii="Arial" w:eastAsia="Arial" w:hAnsi="Arial" w:cs="Arial"/>
          <w:sz w:val="22"/>
          <w:szCs w:val="22"/>
        </w:rPr>
        <w:t xml:space="preserve">he implementation of the EIIF is not something ANZSOG can </w:t>
      </w:r>
      <w:r w:rsidR="000C69C0">
        <w:rPr>
          <w:rFonts w:ascii="Arial" w:eastAsia="Arial" w:hAnsi="Arial" w:cs="Arial"/>
          <w:sz w:val="22"/>
          <w:szCs w:val="22"/>
        </w:rPr>
        <w:t xml:space="preserve">refine </w:t>
      </w:r>
      <w:r w:rsidR="369F18B1" w:rsidRPr="008E44DA">
        <w:rPr>
          <w:rFonts w:ascii="Arial" w:eastAsia="Arial" w:hAnsi="Arial" w:cs="Arial"/>
          <w:sz w:val="22"/>
          <w:szCs w:val="22"/>
        </w:rPr>
        <w:t xml:space="preserve">with certain prescriptive solutions. Instead, this paper poses questions and tests </w:t>
      </w:r>
      <w:r w:rsidR="7E1DA8EB" w:rsidRPr="008E44DA">
        <w:rPr>
          <w:rFonts w:ascii="Arial" w:eastAsia="Arial" w:hAnsi="Arial" w:cs="Arial"/>
          <w:color w:val="201F1E"/>
          <w:sz w:val="22"/>
          <w:szCs w:val="22"/>
          <w:lang w:eastAsia="en-AU"/>
        </w:rPr>
        <w:t>identified features of the EIIF against the practical experiences of other jurisdictions to model potential paths that DTF may take,</w:t>
      </w:r>
      <w:r w:rsidR="00256615" w:rsidRPr="008E44DA">
        <w:rPr>
          <w:rFonts w:ascii="Arial" w:eastAsia="Arial" w:hAnsi="Arial" w:cs="Arial"/>
          <w:color w:val="201F1E"/>
          <w:sz w:val="22"/>
          <w:szCs w:val="22"/>
          <w:lang w:eastAsia="en-AU"/>
        </w:rPr>
        <w:t xml:space="preserve"> </w:t>
      </w:r>
      <w:r w:rsidR="000C557F">
        <w:rPr>
          <w:rFonts w:ascii="Arial" w:eastAsia="Arial" w:hAnsi="Arial" w:cs="Arial"/>
          <w:color w:val="201F1E"/>
          <w:sz w:val="22"/>
          <w:szCs w:val="22"/>
          <w:lang w:eastAsia="en-AU"/>
        </w:rPr>
        <w:t>particularly by</w:t>
      </w:r>
      <w:r w:rsidR="00E70DF3">
        <w:rPr>
          <w:rFonts w:ascii="Arial" w:eastAsia="Arial" w:hAnsi="Arial" w:cs="Arial"/>
          <w:color w:val="201F1E"/>
          <w:sz w:val="22"/>
          <w:szCs w:val="22"/>
          <w:lang w:eastAsia="en-AU"/>
        </w:rPr>
        <w:t xml:space="preserve"> </w:t>
      </w:r>
      <w:r w:rsidR="7E1DA8EB" w:rsidRPr="008E44DA">
        <w:rPr>
          <w:rFonts w:ascii="Arial" w:eastAsia="Arial" w:hAnsi="Arial" w:cs="Arial"/>
          <w:color w:val="201F1E"/>
          <w:sz w:val="22"/>
          <w:szCs w:val="22"/>
          <w:lang w:eastAsia="en-AU"/>
        </w:rPr>
        <w:t xml:space="preserve">applying the </w:t>
      </w:r>
      <w:r w:rsidR="369F18B1" w:rsidRPr="008E44DA">
        <w:rPr>
          <w:rFonts w:ascii="Arial" w:eastAsia="Arial" w:hAnsi="Arial" w:cs="Arial"/>
          <w:sz w:val="22"/>
          <w:szCs w:val="22"/>
        </w:rPr>
        <w:t>adaptive leadership model to the areas of</w:t>
      </w:r>
      <w:r w:rsidR="66D0BE1C" w:rsidRPr="008E44DA">
        <w:rPr>
          <w:rFonts w:ascii="Arial" w:eastAsia="Arial" w:hAnsi="Arial" w:cs="Arial"/>
          <w:sz w:val="22"/>
          <w:szCs w:val="22"/>
        </w:rPr>
        <w:t xml:space="preserve"> outcomes measures, </w:t>
      </w:r>
      <w:r w:rsidR="1623FFA1" w:rsidRPr="008E44DA">
        <w:rPr>
          <w:rFonts w:ascii="Arial" w:eastAsia="Arial" w:hAnsi="Arial" w:cs="Arial"/>
          <w:sz w:val="22"/>
          <w:szCs w:val="22"/>
        </w:rPr>
        <w:t>risk sharing, and incentives</w:t>
      </w:r>
      <w:r w:rsidR="1AC394C7" w:rsidRPr="008E44DA">
        <w:rPr>
          <w:rFonts w:ascii="Arial" w:eastAsia="Arial" w:hAnsi="Arial" w:cs="Arial"/>
          <w:sz w:val="22"/>
          <w:szCs w:val="22"/>
        </w:rPr>
        <w:t>.</w:t>
      </w:r>
      <w:r w:rsidR="7E1DA8EB" w:rsidRPr="008E44DA">
        <w:rPr>
          <w:rFonts w:ascii="Arial" w:eastAsia="Arial" w:hAnsi="Arial" w:cs="Arial"/>
          <w:color w:val="201F1E"/>
          <w:sz w:val="22"/>
          <w:szCs w:val="22"/>
          <w:lang w:eastAsia="en-AU"/>
        </w:rPr>
        <w:t xml:space="preserve"> Our aim in doing so is to support</w:t>
      </w:r>
      <w:r w:rsidR="369F18B1" w:rsidRPr="008E44DA">
        <w:rPr>
          <w:rFonts w:ascii="Arial" w:eastAsia="Arial" w:hAnsi="Arial" w:cs="Arial"/>
          <w:color w:val="201F1E"/>
          <w:sz w:val="22"/>
          <w:szCs w:val="22"/>
        </w:rPr>
        <w:t xml:space="preserve"> DTF’s own learning and </w:t>
      </w:r>
      <w:r w:rsidR="369F18B1" w:rsidRPr="008E44DA">
        <w:rPr>
          <w:rFonts w:ascii="Arial" w:eastAsia="Arial" w:hAnsi="Arial" w:cs="Arial"/>
          <w:color w:val="201F1E"/>
          <w:sz w:val="22"/>
          <w:szCs w:val="22"/>
        </w:rPr>
        <w:lastRenderedPageBreak/>
        <w:t>encourage internal leadership of the adaptive work require</w:t>
      </w:r>
      <w:r w:rsidR="009009DC">
        <w:rPr>
          <w:rFonts w:ascii="Arial" w:eastAsia="Arial" w:hAnsi="Arial" w:cs="Arial"/>
          <w:color w:val="201F1E"/>
          <w:sz w:val="22"/>
          <w:szCs w:val="22"/>
        </w:rPr>
        <w:t>d</w:t>
      </w:r>
      <w:r w:rsidR="369F18B1" w:rsidRPr="008E44DA">
        <w:rPr>
          <w:rFonts w:ascii="Arial" w:eastAsia="Arial" w:hAnsi="Arial" w:cs="Arial"/>
          <w:color w:val="201F1E"/>
          <w:sz w:val="22"/>
          <w:szCs w:val="22"/>
        </w:rPr>
        <w:t xml:space="preserve"> to optimise the potential and impact the EIIF.</w:t>
      </w:r>
    </w:p>
    <w:p w14:paraId="33E13B69" w14:textId="3523BEEC" w:rsidR="00B5351F" w:rsidRDefault="00B5351F" w:rsidP="00ED20EA">
      <w:pPr>
        <w:spacing w:line="276" w:lineRule="auto"/>
        <w:rPr>
          <w:rFonts w:ascii="Arial" w:eastAsia="Arial" w:hAnsi="Arial" w:cs="Arial"/>
          <w:color w:val="201F1E"/>
          <w:sz w:val="22"/>
          <w:szCs w:val="22"/>
        </w:rPr>
      </w:pPr>
    </w:p>
    <w:tbl>
      <w:tblPr>
        <w:tblStyle w:val="TableGrid"/>
        <w:tblW w:w="0" w:type="auto"/>
        <w:shd w:val="clear" w:color="auto" w:fill="DEEAF6" w:themeFill="accent5" w:themeFillTint="33"/>
        <w:tblLook w:val="04A0" w:firstRow="1" w:lastRow="0" w:firstColumn="1" w:lastColumn="0" w:noHBand="0" w:noVBand="1"/>
      </w:tblPr>
      <w:tblGrid>
        <w:gridCol w:w="9016"/>
      </w:tblGrid>
      <w:tr w:rsidR="00806CAB" w14:paraId="769DCA7B" w14:textId="77777777" w:rsidTr="00D36C4F">
        <w:tc>
          <w:tcPr>
            <w:tcW w:w="9016" w:type="dxa"/>
            <w:shd w:val="clear" w:color="auto" w:fill="DEEAF6" w:themeFill="accent5" w:themeFillTint="33"/>
          </w:tcPr>
          <w:p w14:paraId="42C362A9" w14:textId="75502F79" w:rsidR="00806CAB" w:rsidRDefault="00806CAB" w:rsidP="00ED20EA">
            <w:pPr>
              <w:spacing w:line="276" w:lineRule="auto"/>
              <w:rPr>
                <w:rFonts w:ascii="Arial" w:eastAsia="Arial" w:hAnsi="Arial" w:cs="Arial"/>
                <w:b/>
                <w:bCs/>
                <w:color w:val="201F1E"/>
                <w:sz w:val="22"/>
                <w:szCs w:val="22"/>
              </w:rPr>
            </w:pPr>
            <w:r w:rsidRPr="008E44DA">
              <w:rPr>
                <w:rFonts w:ascii="Arial" w:eastAsia="Arial" w:hAnsi="Arial" w:cs="Arial"/>
                <w:b/>
                <w:bCs/>
                <w:color w:val="201F1E"/>
                <w:sz w:val="22"/>
                <w:szCs w:val="22"/>
              </w:rPr>
              <w:t>Question</w:t>
            </w:r>
            <w:r w:rsidR="00CF6B62">
              <w:rPr>
                <w:rFonts w:ascii="Arial" w:eastAsia="Arial" w:hAnsi="Arial" w:cs="Arial"/>
                <w:b/>
                <w:bCs/>
                <w:color w:val="201F1E"/>
                <w:sz w:val="22"/>
                <w:szCs w:val="22"/>
              </w:rPr>
              <w:t>s</w:t>
            </w:r>
            <w:r w:rsidRPr="008E44DA">
              <w:rPr>
                <w:rFonts w:ascii="Arial" w:eastAsia="Arial" w:hAnsi="Arial" w:cs="Arial"/>
                <w:b/>
                <w:bCs/>
                <w:color w:val="201F1E"/>
                <w:sz w:val="22"/>
                <w:szCs w:val="22"/>
              </w:rPr>
              <w:t xml:space="preserve"> to consider: </w:t>
            </w:r>
          </w:p>
          <w:p w14:paraId="6CD31A28" w14:textId="2AD2911C" w:rsidR="00806CAB" w:rsidRPr="00D36C4F" w:rsidRDefault="002A3B9F" w:rsidP="00D36C4F">
            <w:pPr>
              <w:pStyle w:val="ListParagraph"/>
              <w:numPr>
                <w:ilvl w:val="0"/>
                <w:numId w:val="22"/>
              </w:numPr>
              <w:spacing w:line="276" w:lineRule="auto"/>
              <w:rPr>
                <w:rFonts w:ascii="Arial" w:eastAsia="Arial" w:hAnsi="Arial" w:cs="Arial"/>
                <w:color w:val="201F1E"/>
                <w:sz w:val="22"/>
                <w:szCs w:val="22"/>
              </w:rPr>
            </w:pPr>
            <w:r>
              <w:rPr>
                <w:rFonts w:ascii="Arial" w:eastAsia="Arial" w:hAnsi="Arial" w:cs="Arial"/>
                <w:color w:val="201F1E"/>
                <w:sz w:val="22"/>
                <w:szCs w:val="22"/>
              </w:rPr>
              <w:t>How do different stakeholders</w:t>
            </w:r>
            <w:r w:rsidR="00430D06">
              <w:rPr>
                <w:rFonts w:ascii="Arial" w:eastAsia="Arial" w:hAnsi="Arial" w:cs="Arial"/>
                <w:color w:val="201F1E"/>
                <w:sz w:val="22"/>
                <w:szCs w:val="22"/>
              </w:rPr>
              <w:t xml:space="preserve"> view the EIIF and the challenges surrounding </w:t>
            </w:r>
            <w:r w:rsidR="00CA5C23">
              <w:rPr>
                <w:rFonts w:ascii="Arial" w:eastAsia="Arial" w:hAnsi="Arial" w:cs="Arial"/>
                <w:color w:val="201F1E"/>
                <w:sz w:val="22"/>
                <w:szCs w:val="22"/>
              </w:rPr>
              <w:t>its implementation? What learning</w:t>
            </w:r>
            <w:r w:rsidR="00A01242">
              <w:rPr>
                <w:rFonts w:ascii="Arial" w:eastAsia="Arial" w:hAnsi="Arial" w:cs="Arial"/>
                <w:color w:val="201F1E"/>
                <w:sz w:val="22"/>
                <w:szCs w:val="22"/>
              </w:rPr>
              <w:t xml:space="preserve"> needs to occur</w:t>
            </w:r>
            <w:r w:rsidR="002F7C58">
              <w:rPr>
                <w:rFonts w:ascii="Arial" w:eastAsia="Arial" w:hAnsi="Arial" w:cs="Arial"/>
                <w:color w:val="201F1E"/>
                <w:sz w:val="22"/>
                <w:szCs w:val="22"/>
              </w:rPr>
              <w:t xml:space="preserve"> at DTF, line agencies</w:t>
            </w:r>
            <w:r w:rsidR="00CA5C23">
              <w:rPr>
                <w:rFonts w:ascii="Arial" w:eastAsia="Arial" w:hAnsi="Arial" w:cs="Arial"/>
                <w:color w:val="201F1E"/>
                <w:sz w:val="22"/>
                <w:szCs w:val="22"/>
              </w:rPr>
              <w:t xml:space="preserve"> </w:t>
            </w:r>
            <w:r w:rsidR="005C2012">
              <w:rPr>
                <w:rFonts w:ascii="Arial" w:eastAsia="Arial" w:hAnsi="Arial" w:cs="Arial"/>
                <w:color w:val="201F1E"/>
                <w:sz w:val="22"/>
                <w:szCs w:val="22"/>
              </w:rPr>
              <w:t xml:space="preserve">and with other stakeholders </w:t>
            </w:r>
            <w:r w:rsidR="004F6338">
              <w:rPr>
                <w:rFonts w:ascii="Arial" w:eastAsia="Arial" w:hAnsi="Arial" w:cs="Arial"/>
                <w:color w:val="201F1E"/>
                <w:sz w:val="22"/>
                <w:szCs w:val="22"/>
              </w:rPr>
              <w:t>to successfully implement the EIIF?</w:t>
            </w:r>
          </w:p>
          <w:p w14:paraId="1D0C296C" w14:textId="5A237A5E" w:rsidR="00806CAB" w:rsidRPr="00D36C4F" w:rsidRDefault="005C05EA" w:rsidP="00D36C4F">
            <w:pPr>
              <w:pStyle w:val="ListParagraph"/>
              <w:numPr>
                <w:ilvl w:val="0"/>
                <w:numId w:val="22"/>
              </w:numPr>
              <w:spacing w:line="276" w:lineRule="auto"/>
              <w:rPr>
                <w:rFonts w:ascii="Arial" w:eastAsia="Arial" w:hAnsi="Arial" w:cs="Arial"/>
                <w:color w:val="201F1E"/>
                <w:sz w:val="22"/>
                <w:szCs w:val="22"/>
              </w:rPr>
            </w:pPr>
            <w:r>
              <w:rPr>
                <w:rFonts w:ascii="Arial" w:eastAsia="Arial" w:hAnsi="Arial" w:cs="Arial"/>
                <w:color w:val="201F1E"/>
                <w:sz w:val="22"/>
                <w:szCs w:val="22"/>
              </w:rPr>
              <w:t xml:space="preserve">What technical </w:t>
            </w:r>
            <w:r w:rsidR="00A01242">
              <w:rPr>
                <w:rFonts w:ascii="Arial" w:eastAsia="Arial" w:hAnsi="Arial" w:cs="Arial"/>
                <w:color w:val="201F1E"/>
                <w:sz w:val="22"/>
                <w:szCs w:val="22"/>
              </w:rPr>
              <w:t>problems exist in implementing the EIIF? What adaptive challenges exist in implementing the EIIF?</w:t>
            </w:r>
          </w:p>
        </w:tc>
      </w:tr>
    </w:tbl>
    <w:p w14:paraId="21E75DA0" w14:textId="77777777" w:rsidR="00981C16" w:rsidRPr="008E44DA" w:rsidRDefault="00981C16" w:rsidP="00ED20EA">
      <w:pPr>
        <w:spacing w:line="276" w:lineRule="auto"/>
        <w:rPr>
          <w:rFonts w:ascii="Arial" w:eastAsia="Arial" w:hAnsi="Arial" w:cs="Arial"/>
          <w:color w:val="201F1E"/>
          <w:sz w:val="22"/>
          <w:szCs w:val="22"/>
        </w:rPr>
      </w:pPr>
    </w:p>
    <w:p w14:paraId="0D48E98F" w14:textId="5ACC1420" w:rsidR="0C5CA3C5" w:rsidRPr="008E44DA" w:rsidRDefault="0C5CA3C5" w:rsidP="00ED20EA">
      <w:pPr>
        <w:spacing w:line="276" w:lineRule="auto"/>
        <w:rPr>
          <w:rFonts w:ascii="Arial" w:eastAsia="Arial" w:hAnsi="Arial" w:cs="Arial"/>
          <w:color w:val="201F1E"/>
          <w:sz w:val="22"/>
          <w:szCs w:val="22"/>
        </w:rPr>
      </w:pPr>
    </w:p>
    <w:p w14:paraId="79E85DA9" w14:textId="68D31C01" w:rsidR="00182E67" w:rsidRPr="009B1E99" w:rsidRDefault="725360C1" w:rsidP="00ED20EA">
      <w:pPr>
        <w:pStyle w:val="Heading2"/>
        <w:spacing w:before="0" w:line="276" w:lineRule="auto"/>
        <w:rPr>
          <w:rFonts w:ascii="Arial" w:hAnsi="Arial" w:cs="Arial"/>
        </w:rPr>
      </w:pPr>
      <w:r w:rsidRPr="009B1E99">
        <w:rPr>
          <w:rFonts w:ascii="Arial" w:hAnsi="Arial" w:cs="Arial"/>
        </w:rPr>
        <w:t>4.1</w:t>
      </w:r>
      <w:r w:rsidR="00182E67" w:rsidRPr="008E44DA">
        <w:rPr>
          <w:rFonts w:ascii="Arial" w:hAnsi="Arial" w:cs="Arial"/>
        </w:rPr>
        <w:tab/>
      </w:r>
      <w:r w:rsidRPr="009B1E99">
        <w:rPr>
          <w:rFonts w:ascii="Arial" w:hAnsi="Arial" w:cs="Arial"/>
        </w:rPr>
        <w:t>Outcome Measures</w:t>
      </w:r>
    </w:p>
    <w:p w14:paraId="3C134FEB" w14:textId="77777777" w:rsidR="00472C31" w:rsidRPr="008E44DA" w:rsidRDefault="00472C31" w:rsidP="00ED20EA">
      <w:pPr>
        <w:spacing w:line="276" w:lineRule="auto"/>
        <w:rPr>
          <w:rFonts w:ascii="Arial" w:hAnsi="Arial" w:cs="Arial"/>
          <w:lang w:eastAsia="en-AU"/>
        </w:rPr>
      </w:pPr>
    </w:p>
    <w:p w14:paraId="7382C5ED" w14:textId="5565B68F" w:rsidR="725360C1" w:rsidRPr="008E44DA" w:rsidRDefault="003017D6" w:rsidP="009B1E99">
      <w:pPr>
        <w:spacing w:line="276" w:lineRule="auto"/>
        <w:jc w:val="both"/>
        <w:rPr>
          <w:rFonts w:ascii="Arial" w:eastAsia="Arial" w:hAnsi="Arial" w:cs="Arial"/>
          <w:color w:val="201F1E"/>
          <w:sz w:val="22"/>
          <w:szCs w:val="22"/>
          <w:lang w:eastAsia="en-AU"/>
        </w:rPr>
      </w:pPr>
      <w:r>
        <w:rPr>
          <w:rFonts w:ascii="Arial" w:eastAsia="Arial" w:hAnsi="Arial" w:cs="Arial"/>
          <w:color w:val="000000" w:themeColor="text1"/>
          <w:sz w:val="22"/>
          <w:szCs w:val="22"/>
        </w:rPr>
        <w:t>Considering</w:t>
      </w:r>
      <w:r w:rsidR="00F12B54">
        <w:rPr>
          <w:rFonts w:ascii="Arial" w:eastAsia="Arial" w:hAnsi="Arial" w:cs="Arial"/>
          <w:color w:val="000000" w:themeColor="text1"/>
          <w:sz w:val="22"/>
          <w:szCs w:val="22"/>
        </w:rPr>
        <w:t xml:space="preserve"> the design of</w:t>
      </w:r>
      <w:r>
        <w:rPr>
          <w:rFonts w:ascii="Arial" w:eastAsia="Arial" w:hAnsi="Arial" w:cs="Arial"/>
          <w:color w:val="000000" w:themeColor="text1"/>
          <w:sz w:val="22"/>
          <w:szCs w:val="22"/>
        </w:rPr>
        <w:t xml:space="preserve"> s</w:t>
      </w:r>
      <w:r w:rsidR="0C5CA3C5" w:rsidRPr="008E44DA">
        <w:rPr>
          <w:rFonts w:ascii="Arial" w:eastAsia="Arial" w:hAnsi="Arial" w:cs="Arial"/>
          <w:color w:val="000000" w:themeColor="text1"/>
          <w:sz w:val="22"/>
          <w:szCs w:val="22"/>
        </w:rPr>
        <w:t xml:space="preserve">ocial policy interventions and their second order effects do not </w:t>
      </w:r>
      <w:r w:rsidR="44075188" w:rsidRPr="008E44DA">
        <w:rPr>
          <w:rFonts w:ascii="Arial" w:eastAsia="Arial" w:hAnsi="Arial" w:cs="Arial"/>
          <w:color w:val="000000" w:themeColor="text1"/>
          <w:sz w:val="22"/>
          <w:szCs w:val="22"/>
        </w:rPr>
        <w:t xml:space="preserve">typically </w:t>
      </w:r>
      <w:r w:rsidR="0C5CA3C5" w:rsidRPr="008E44DA">
        <w:rPr>
          <w:rFonts w:ascii="Arial" w:eastAsia="Arial" w:hAnsi="Arial" w:cs="Arial"/>
          <w:color w:val="000000" w:themeColor="text1"/>
          <w:sz w:val="22"/>
          <w:szCs w:val="22"/>
        </w:rPr>
        <w:t>fit within Trea</w:t>
      </w:r>
      <w:r w:rsidR="00882AA1" w:rsidRPr="008E44DA">
        <w:rPr>
          <w:rFonts w:ascii="Arial" w:eastAsia="Arial" w:hAnsi="Arial" w:cs="Arial"/>
          <w:color w:val="000000" w:themeColor="text1"/>
          <w:sz w:val="22"/>
          <w:szCs w:val="22"/>
        </w:rPr>
        <w:t>sury</w:t>
      </w:r>
      <w:r w:rsidR="0C5CA3C5" w:rsidRPr="008E44DA">
        <w:rPr>
          <w:rFonts w:ascii="Arial" w:eastAsia="Arial" w:hAnsi="Arial" w:cs="Arial"/>
          <w:color w:val="000000" w:themeColor="text1"/>
          <w:sz w:val="22"/>
          <w:szCs w:val="22"/>
        </w:rPr>
        <w:t>’s cost benefit analysis model, as the second and third order effects of an initiative lack tangibility, particularly in terms of quantifying long-term impacts.</w:t>
      </w:r>
      <w:r w:rsidR="0C5CA3C5" w:rsidRPr="008E44DA">
        <w:rPr>
          <w:rFonts w:ascii="Arial" w:eastAsia="Arial" w:hAnsi="Arial" w:cs="Arial"/>
          <w:b/>
          <w:bCs/>
          <w:color w:val="000000" w:themeColor="text1"/>
          <w:sz w:val="22"/>
          <w:szCs w:val="22"/>
        </w:rPr>
        <w:t xml:space="preserve"> </w:t>
      </w:r>
      <w:r w:rsidR="0C5CA3C5" w:rsidRPr="008E44DA">
        <w:rPr>
          <w:rFonts w:ascii="Arial" w:eastAsia="Arial" w:hAnsi="Arial" w:cs="Arial"/>
          <w:color w:val="000000" w:themeColor="text1"/>
          <w:sz w:val="22"/>
          <w:szCs w:val="22"/>
        </w:rPr>
        <w:t>The EIIF seeks to</w:t>
      </w:r>
      <w:r w:rsidR="004282B6" w:rsidRPr="008E44DA">
        <w:rPr>
          <w:rFonts w:ascii="Arial" w:eastAsia="Arial" w:hAnsi="Arial" w:cs="Arial"/>
          <w:color w:val="000000" w:themeColor="text1"/>
          <w:sz w:val="22"/>
          <w:szCs w:val="22"/>
        </w:rPr>
        <w:t xml:space="preserve"> bridge this divide, using impact measures to </w:t>
      </w:r>
      <w:r w:rsidR="0C5CA3C5" w:rsidRPr="008E44DA">
        <w:rPr>
          <w:rStyle w:val="eop"/>
          <w:rFonts w:ascii="Arial" w:eastAsia="Arial" w:hAnsi="Arial" w:cs="Arial"/>
          <w:color w:val="000000" w:themeColor="text1"/>
          <w:sz w:val="22"/>
          <w:szCs w:val="22"/>
        </w:rPr>
        <w:t xml:space="preserve">model a trajectory for second and third order effects within the budgeting process. </w:t>
      </w:r>
      <w:r w:rsidR="725360C1" w:rsidRPr="008E44DA">
        <w:rPr>
          <w:rFonts w:ascii="Arial" w:eastAsia="Arial" w:hAnsi="Arial" w:cs="Arial"/>
          <w:color w:val="201F1E"/>
          <w:sz w:val="22"/>
          <w:szCs w:val="22"/>
          <w:lang w:eastAsia="en-AU"/>
        </w:rPr>
        <w:t xml:space="preserve">With this comes a clear and quantified understanding of the anticipated impact of a program and a greater level of certainty upon which DTF can </w:t>
      </w:r>
      <w:r w:rsidR="00312898">
        <w:rPr>
          <w:rFonts w:ascii="Arial" w:eastAsia="Arial" w:hAnsi="Arial" w:cs="Arial"/>
          <w:color w:val="201F1E"/>
          <w:sz w:val="22"/>
          <w:szCs w:val="22"/>
          <w:lang w:eastAsia="en-AU"/>
        </w:rPr>
        <w:t xml:space="preserve">provide advice to Government to </w:t>
      </w:r>
      <w:r w:rsidR="725360C1" w:rsidRPr="008E44DA">
        <w:rPr>
          <w:rFonts w:ascii="Arial" w:eastAsia="Arial" w:hAnsi="Arial" w:cs="Arial"/>
          <w:color w:val="201F1E"/>
          <w:sz w:val="22"/>
          <w:szCs w:val="22"/>
          <w:lang w:eastAsia="en-AU"/>
        </w:rPr>
        <w:t xml:space="preserve">make </w:t>
      </w:r>
      <w:r w:rsidR="00312898">
        <w:rPr>
          <w:rFonts w:ascii="Arial" w:eastAsia="Arial" w:hAnsi="Arial" w:cs="Arial"/>
          <w:color w:val="201F1E"/>
          <w:sz w:val="22"/>
          <w:szCs w:val="22"/>
          <w:lang w:eastAsia="en-AU"/>
        </w:rPr>
        <w:t xml:space="preserve">its investment </w:t>
      </w:r>
      <w:r w:rsidR="725360C1" w:rsidRPr="008E44DA">
        <w:rPr>
          <w:rFonts w:ascii="Arial" w:eastAsia="Arial" w:hAnsi="Arial" w:cs="Arial"/>
          <w:color w:val="201F1E"/>
          <w:sz w:val="22"/>
          <w:szCs w:val="22"/>
          <w:lang w:eastAsia="en-AU"/>
        </w:rPr>
        <w:t>decision.</w:t>
      </w:r>
    </w:p>
    <w:p w14:paraId="7F751EE2" w14:textId="11B0FC25" w:rsidR="0C5CA3C5" w:rsidRPr="008E44DA" w:rsidRDefault="0C5CA3C5" w:rsidP="009B1E99">
      <w:pPr>
        <w:spacing w:line="276" w:lineRule="auto"/>
        <w:jc w:val="both"/>
        <w:rPr>
          <w:rFonts w:ascii="Arial" w:eastAsia="Arial" w:hAnsi="Arial" w:cs="Arial"/>
          <w:color w:val="201F1E"/>
          <w:sz w:val="22"/>
          <w:szCs w:val="22"/>
          <w:lang w:eastAsia="en-AU"/>
        </w:rPr>
      </w:pPr>
    </w:p>
    <w:p w14:paraId="0667DFEA" w14:textId="04EE4C87" w:rsidR="23B4EF31" w:rsidRPr="008E44DA" w:rsidRDefault="23B4EF31"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t>Across the jurisdictions interviewed, there was a consensus that proponents of initiatives should a</w:t>
      </w:r>
      <w:r w:rsidR="00A96890" w:rsidRPr="008E44DA">
        <w:rPr>
          <w:rFonts w:ascii="Arial" w:eastAsia="Arial" w:hAnsi="Arial" w:cs="Arial"/>
          <w:color w:val="201F1E"/>
          <w:sz w:val="22"/>
          <w:szCs w:val="22"/>
          <w:lang w:eastAsia="en-AU"/>
        </w:rPr>
        <w:t>dopt</w:t>
      </w:r>
      <w:r w:rsidR="004C3E5D" w:rsidRPr="008E44DA">
        <w:rPr>
          <w:rFonts w:ascii="Arial" w:eastAsia="Arial" w:hAnsi="Arial" w:cs="Arial"/>
          <w:color w:val="201F1E"/>
          <w:sz w:val="22"/>
          <w:szCs w:val="22"/>
          <w:lang w:eastAsia="en-AU"/>
        </w:rPr>
        <w:t xml:space="preserve"> </w:t>
      </w:r>
      <w:r w:rsidR="00D8359C" w:rsidRPr="008E44DA">
        <w:rPr>
          <w:rFonts w:ascii="Arial" w:eastAsia="Arial" w:hAnsi="Arial" w:cs="Arial"/>
          <w:color w:val="201F1E"/>
          <w:sz w:val="22"/>
          <w:szCs w:val="22"/>
          <w:lang w:eastAsia="en-AU"/>
        </w:rPr>
        <w:t>a</w:t>
      </w:r>
      <w:r w:rsidRPr="008E44DA">
        <w:rPr>
          <w:rFonts w:ascii="Arial" w:eastAsia="Arial" w:hAnsi="Arial" w:cs="Arial"/>
          <w:color w:val="201F1E"/>
          <w:sz w:val="22"/>
          <w:szCs w:val="22"/>
          <w:lang w:eastAsia="en-AU"/>
        </w:rPr>
        <w:t xml:space="preserve"> technical mindset</w:t>
      </w:r>
      <w:r w:rsidR="000C69C0">
        <w:rPr>
          <w:rFonts w:ascii="Arial" w:eastAsia="Arial" w:hAnsi="Arial" w:cs="Arial"/>
          <w:color w:val="201F1E"/>
          <w:sz w:val="22"/>
          <w:szCs w:val="22"/>
          <w:lang w:eastAsia="en-AU"/>
        </w:rPr>
        <w:t xml:space="preserve"> – ensuring sufficient rigour </w:t>
      </w:r>
      <w:r w:rsidR="00C5701F">
        <w:rPr>
          <w:rFonts w:ascii="Arial" w:eastAsia="Arial" w:hAnsi="Arial" w:cs="Arial"/>
          <w:color w:val="201F1E"/>
          <w:sz w:val="22"/>
          <w:szCs w:val="22"/>
          <w:lang w:eastAsia="en-AU"/>
        </w:rPr>
        <w:t xml:space="preserve">to </w:t>
      </w:r>
      <w:r w:rsidR="000C69C0">
        <w:rPr>
          <w:rFonts w:ascii="Arial" w:eastAsia="Arial" w:hAnsi="Arial" w:cs="Arial"/>
          <w:color w:val="201F1E"/>
          <w:sz w:val="22"/>
          <w:szCs w:val="22"/>
          <w:lang w:eastAsia="en-AU"/>
        </w:rPr>
        <w:t>maximis</w:t>
      </w:r>
      <w:r w:rsidR="00C5701F">
        <w:rPr>
          <w:rFonts w:ascii="Arial" w:eastAsia="Arial" w:hAnsi="Arial" w:cs="Arial"/>
          <w:color w:val="201F1E"/>
          <w:sz w:val="22"/>
          <w:szCs w:val="22"/>
          <w:lang w:eastAsia="en-AU"/>
        </w:rPr>
        <w:t>e</w:t>
      </w:r>
      <w:r w:rsidR="000C69C0">
        <w:rPr>
          <w:rFonts w:ascii="Arial" w:eastAsia="Arial" w:hAnsi="Arial" w:cs="Arial"/>
          <w:color w:val="201F1E"/>
          <w:sz w:val="22"/>
          <w:szCs w:val="22"/>
          <w:lang w:eastAsia="en-AU"/>
        </w:rPr>
        <w:t xml:space="preserve"> the likelihood of success</w:t>
      </w:r>
      <w:r w:rsidRPr="008E44DA">
        <w:rPr>
          <w:rFonts w:ascii="Arial" w:eastAsia="Arial" w:hAnsi="Arial" w:cs="Arial"/>
          <w:color w:val="201F1E"/>
          <w:sz w:val="22"/>
          <w:szCs w:val="22"/>
          <w:lang w:eastAsia="en-AU"/>
        </w:rPr>
        <w:t xml:space="preserve">. Developing the right tools and processes is fundamental to encouraging this approach. New Zealand Treasury’s </w:t>
      </w:r>
      <w:r w:rsidRPr="008E44DA">
        <w:rPr>
          <w:rFonts w:ascii="Arial" w:eastAsia="Arial" w:hAnsi="Arial" w:cs="Arial"/>
          <w:i/>
          <w:iCs/>
          <w:color w:val="201F1E"/>
          <w:sz w:val="22"/>
          <w:szCs w:val="22"/>
          <w:lang w:eastAsia="en-AU"/>
        </w:rPr>
        <w:t xml:space="preserve">Living Standards Framework </w:t>
      </w:r>
      <w:r w:rsidRPr="008E44DA">
        <w:rPr>
          <w:rFonts w:ascii="Arial" w:eastAsia="Arial" w:hAnsi="Arial" w:cs="Arial"/>
          <w:color w:val="201F1E"/>
          <w:sz w:val="22"/>
          <w:szCs w:val="22"/>
          <w:lang w:eastAsia="en-AU"/>
        </w:rPr>
        <w:t xml:space="preserve">and NSW Treasury’s </w:t>
      </w:r>
      <w:r w:rsidRPr="00AB1251">
        <w:rPr>
          <w:rFonts w:ascii="Arial" w:eastAsia="Arial" w:hAnsi="Arial" w:cs="Arial"/>
          <w:i/>
          <w:iCs/>
          <w:color w:val="201F1E"/>
          <w:sz w:val="22"/>
          <w:szCs w:val="22"/>
          <w:lang w:eastAsia="en-AU"/>
        </w:rPr>
        <w:t>Outcome Budgeting</w:t>
      </w:r>
      <w:r w:rsidRPr="008E44DA">
        <w:rPr>
          <w:rFonts w:ascii="Arial" w:eastAsia="Arial" w:hAnsi="Arial" w:cs="Arial"/>
          <w:color w:val="201F1E"/>
          <w:sz w:val="22"/>
          <w:szCs w:val="22"/>
          <w:lang w:eastAsia="en-AU"/>
        </w:rPr>
        <w:t xml:space="preserve"> business planning model, for instance, </w:t>
      </w:r>
      <w:r w:rsidR="00115FBF" w:rsidRPr="008E44DA">
        <w:rPr>
          <w:rFonts w:ascii="Arial" w:eastAsia="Arial" w:hAnsi="Arial" w:cs="Arial"/>
          <w:color w:val="201F1E"/>
          <w:sz w:val="22"/>
          <w:szCs w:val="22"/>
          <w:lang w:eastAsia="en-AU"/>
        </w:rPr>
        <w:t>have been</w:t>
      </w:r>
      <w:r w:rsidR="77216CB7" w:rsidRPr="008E44DA">
        <w:rPr>
          <w:rFonts w:ascii="Arial" w:eastAsia="Arial" w:hAnsi="Arial" w:cs="Arial"/>
          <w:color w:val="201F1E"/>
          <w:sz w:val="22"/>
          <w:szCs w:val="22"/>
          <w:lang w:eastAsia="en-AU"/>
        </w:rPr>
        <w:t xml:space="preserve"> useful </w:t>
      </w:r>
      <w:r w:rsidR="6FF67B55" w:rsidRPr="008E44DA">
        <w:rPr>
          <w:rFonts w:ascii="Arial" w:eastAsia="Arial" w:hAnsi="Arial" w:cs="Arial"/>
          <w:color w:val="201F1E"/>
          <w:sz w:val="22"/>
          <w:szCs w:val="22"/>
          <w:lang w:eastAsia="en-AU"/>
        </w:rPr>
        <w:t xml:space="preserve">in </w:t>
      </w:r>
      <w:r w:rsidR="5F593242" w:rsidRPr="008E44DA">
        <w:rPr>
          <w:rFonts w:ascii="Arial" w:eastAsia="Arial" w:hAnsi="Arial" w:cs="Arial"/>
          <w:color w:val="201F1E"/>
          <w:sz w:val="22"/>
          <w:szCs w:val="22"/>
          <w:lang w:eastAsia="en-AU"/>
        </w:rPr>
        <w:t xml:space="preserve">framing evaluation as </w:t>
      </w:r>
      <w:r w:rsidRPr="008E44DA">
        <w:rPr>
          <w:rFonts w:ascii="Arial" w:eastAsia="Arial" w:hAnsi="Arial" w:cs="Arial"/>
          <w:color w:val="201F1E"/>
          <w:sz w:val="22"/>
          <w:szCs w:val="22"/>
          <w:lang w:eastAsia="en-AU"/>
        </w:rPr>
        <w:t xml:space="preserve">central to the work of government. </w:t>
      </w:r>
      <w:r w:rsidR="00AB1251">
        <w:rPr>
          <w:rFonts w:ascii="Arial" w:eastAsia="Arial" w:hAnsi="Arial" w:cs="Arial"/>
          <w:color w:val="201F1E"/>
          <w:sz w:val="22"/>
          <w:szCs w:val="22"/>
          <w:lang w:eastAsia="en-AU"/>
        </w:rPr>
        <w:t xml:space="preserve">Budgeting officials found that these </w:t>
      </w:r>
      <w:r w:rsidR="107B970B" w:rsidRPr="008E44DA">
        <w:rPr>
          <w:rFonts w:ascii="Arial" w:eastAsia="Arial" w:hAnsi="Arial" w:cs="Arial"/>
          <w:color w:val="201F1E"/>
          <w:sz w:val="22"/>
          <w:szCs w:val="22"/>
          <w:lang w:eastAsia="en-AU"/>
        </w:rPr>
        <w:t>tools have</w:t>
      </w:r>
      <w:r w:rsidRPr="008E44DA">
        <w:rPr>
          <w:rFonts w:ascii="Arial" w:eastAsia="Arial" w:hAnsi="Arial" w:cs="Arial"/>
          <w:color w:val="201F1E"/>
          <w:sz w:val="22"/>
          <w:szCs w:val="22"/>
          <w:lang w:eastAsia="en-AU"/>
        </w:rPr>
        <w:t xml:space="preserve"> help</w:t>
      </w:r>
      <w:r w:rsidR="1E41AB6C" w:rsidRPr="008E44DA">
        <w:rPr>
          <w:rFonts w:ascii="Arial" w:eastAsia="Arial" w:hAnsi="Arial" w:cs="Arial"/>
          <w:color w:val="201F1E"/>
          <w:sz w:val="22"/>
          <w:szCs w:val="22"/>
          <w:lang w:eastAsia="en-AU"/>
        </w:rPr>
        <w:t>ed</w:t>
      </w:r>
      <w:r w:rsidRPr="008E44DA">
        <w:rPr>
          <w:rFonts w:ascii="Arial" w:eastAsia="Arial" w:hAnsi="Arial" w:cs="Arial"/>
          <w:color w:val="201F1E"/>
          <w:sz w:val="22"/>
          <w:szCs w:val="22"/>
          <w:lang w:eastAsia="en-AU"/>
        </w:rPr>
        <w:t xml:space="preserve"> line agencies shift their thinking towards a technical focus, carefully </w:t>
      </w:r>
      <w:r w:rsidR="0F7481BA" w:rsidRPr="008E44DA">
        <w:rPr>
          <w:rFonts w:ascii="Arial" w:eastAsia="Arial" w:hAnsi="Arial" w:cs="Arial"/>
          <w:color w:val="201F1E"/>
          <w:sz w:val="22"/>
          <w:szCs w:val="22"/>
          <w:lang w:eastAsia="en-AU"/>
        </w:rPr>
        <w:t xml:space="preserve">considering how best to articulate avoided </w:t>
      </w:r>
      <w:r w:rsidR="1EE851A2" w:rsidRPr="008E44DA">
        <w:rPr>
          <w:rFonts w:ascii="Arial" w:eastAsia="Arial" w:hAnsi="Arial" w:cs="Arial"/>
          <w:color w:val="201F1E"/>
          <w:sz w:val="22"/>
          <w:szCs w:val="22"/>
          <w:lang w:eastAsia="en-AU"/>
        </w:rPr>
        <w:t xml:space="preserve">and distributional </w:t>
      </w:r>
      <w:r w:rsidR="0F7481BA" w:rsidRPr="008E44DA">
        <w:rPr>
          <w:rFonts w:ascii="Arial" w:eastAsia="Arial" w:hAnsi="Arial" w:cs="Arial"/>
          <w:color w:val="201F1E"/>
          <w:sz w:val="22"/>
          <w:szCs w:val="22"/>
          <w:lang w:eastAsia="en-AU"/>
        </w:rPr>
        <w:t>costs when making a program</w:t>
      </w:r>
      <w:r w:rsidR="009A7BE7">
        <w:rPr>
          <w:rFonts w:ascii="Arial" w:eastAsia="Arial" w:hAnsi="Arial" w:cs="Arial"/>
          <w:color w:val="201F1E"/>
          <w:sz w:val="22"/>
          <w:szCs w:val="22"/>
          <w:lang w:eastAsia="en-AU"/>
        </w:rPr>
        <w:t xml:space="preserve"> budget</w:t>
      </w:r>
      <w:r w:rsidR="0F7481BA" w:rsidRPr="008E44DA">
        <w:rPr>
          <w:rFonts w:ascii="Arial" w:eastAsia="Arial" w:hAnsi="Arial" w:cs="Arial"/>
          <w:color w:val="201F1E"/>
          <w:sz w:val="22"/>
          <w:szCs w:val="22"/>
          <w:lang w:eastAsia="en-AU"/>
        </w:rPr>
        <w:t xml:space="preserve"> proposal, how to align spending with outcomes, and reform existing programs.</w:t>
      </w:r>
    </w:p>
    <w:p w14:paraId="1346E280" w14:textId="795249A3" w:rsidR="47467085" w:rsidRPr="008E44DA" w:rsidRDefault="47467085" w:rsidP="009B1E99">
      <w:pPr>
        <w:spacing w:line="276" w:lineRule="auto"/>
        <w:jc w:val="both"/>
        <w:rPr>
          <w:rFonts w:ascii="Arial" w:eastAsia="Arial" w:hAnsi="Arial" w:cs="Arial"/>
          <w:color w:val="201F1E"/>
          <w:sz w:val="22"/>
          <w:szCs w:val="22"/>
          <w:lang w:eastAsia="en-AU"/>
        </w:rPr>
      </w:pPr>
    </w:p>
    <w:p w14:paraId="37188B7A" w14:textId="1E1A57B8" w:rsidR="00D64A09" w:rsidRDefault="0C5CA3C5"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t>While well</w:t>
      </w:r>
      <w:r w:rsidR="00DC2332">
        <w:rPr>
          <w:rFonts w:ascii="Arial" w:eastAsia="Arial" w:hAnsi="Arial" w:cs="Arial"/>
          <w:color w:val="201F1E"/>
          <w:sz w:val="22"/>
          <w:szCs w:val="22"/>
          <w:lang w:eastAsia="en-AU"/>
        </w:rPr>
        <w:t>-</w:t>
      </w:r>
      <w:r w:rsidRPr="008E44DA">
        <w:rPr>
          <w:rFonts w:ascii="Arial" w:eastAsia="Arial" w:hAnsi="Arial" w:cs="Arial"/>
          <w:color w:val="201F1E"/>
          <w:sz w:val="22"/>
          <w:szCs w:val="22"/>
          <w:lang w:eastAsia="en-AU"/>
        </w:rPr>
        <w:t xml:space="preserve">designed tools are certainly important in the implementation of the EIIF and similar programs, they cannot be separated from the </w:t>
      </w:r>
      <w:r w:rsidR="000929DC">
        <w:rPr>
          <w:rFonts w:ascii="Arial" w:eastAsia="Arial" w:hAnsi="Arial" w:cs="Arial"/>
          <w:color w:val="201F1E"/>
          <w:sz w:val="22"/>
          <w:szCs w:val="22"/>
          <w:lang w:eastAsia="en-AU"/>
        </w:rPr>
        <w:t>respective</w:t>
      </w:r>
      <w:r w:rsidR="000929DC" w:rsidRPr="008E44DA">
        <w:rPr>
          <w:rFonts w:ascii="Arial" w:eastAsia="Arial" w:hAnsi="Arial" w:cs="Arial"/>
          <w:color w:val="201F1E"/>
          <w:sz w:val="22"/>
          <w:szCs w:val="22"/>
          <w:lang w:eastAsia="en-AU"/>
        </w:rPr>
        <w:t xml:space="preserve"> </w:t>
      </w:r>
      <w:r w:rsidR="725360C1" w:rsidRPr="008E44DA">
        <w:rPr>
          <w:rFonts w:ascii="Arial" w:eastAsia="Arial" w:hAnsi="Arial" w:cs="Arial"/>
          <w:color w:val="201F1E"/>
          <w:sz w:val="22"/>
          <w:szCs w:val="22"/>
          <w:lang w:eastAsia="en-AU"/>
        </w:rPr>
        <w:t xml:space="preserve">roles of central and line agencies and how this </w:t>
      </w:r>
      <w:r w:rsidR="006F456A" w:rsidRPr="008E44DA">
        <w:rPr>
          <w:rFonts w:ascii="Arial" w:eastAsia="Arial" w:hAnsi="Arial" w:cs="Arial"/>
          <w:color w:val="201F1E"/>
          <w:sz w:val="22"/>
          <w:szCs w:val="22"/>
          <w:lang w:eastAsia="en-AU"/>
        </w:rPr>
        <w:t xml:space="preserve">will </w:t>
      </w:r>
      <w:r w:rsidR="007223DF" w:rsidRPr="008E44DA">
        <w:rPr>
          <w:rFonts w:ascii="Arial" w:eastAsia="Arial" w:hAnsi="Arial" w:cs="Arial"/>
          <w:color w:val="201F1E"/>
          <w:sz w:val="22"/>
          <w:szCs w:val="22"/>
          <w:lang w:eastAsia="en-AU"/>
        </w:rPr>
        <w:t xml:space="preserve">inform </w:t>
      </w:r>
      <w:r w:rsidR="000C69C0">
        <w:rPr>
          <w:rFonts w:ascii="Arial" w:eastAsia="Arial" w:hAnsi="Arial" w:cs="Arial"/>
          <w:color w:val="201F1E"/>
          <w:sz w:val="22"/>
          <w:szCs w:val="22"/>
          <w:lang w:eastAsia="en-AU"/>
        </w:rPr>
        <w:t>the perceive</w:t>
      </w:r>
      <w:r w:rsidR="00D64A09">
        <w:rPr>
          <w:rFonts w:ascii="Arial" w:eastAsia="Arial" w:hAnsi="Arial" w:cs="Arial"/>
          <w:color w:val="201F1E"/>
          <w:sz w:val="22"/>
          <w:szCs w:val="22"/>
          <w:lang w:eastAsia="en-AU"/>
        </w:rPr>
        <w:t>d</w:t>
      </w:r>
      <w:r w:rsidR="000C69C0">
        <w:rPr>
          <w:rFonts w:ascii="Arial" w:eastAsia="Arial" w:hAnsi="Arial" w:cs="Arial"/>
          <w:color w:val="201F1E"/>
          <w:sz w:val="22"/>
          <w:szCs w:val="22"/>
          <w:lang w:eastAsia="en-AU"/>
        </w:rPr>
        <w:t xml:space="preserve"> purpose </w:t>
      </w:r>
      <w:r w:rsidR="725360C1" w:rsidRPr="008E44DA">
        <w:rPr>
          <w:rFonts w:ascii="Arial" w:eastAsia="Arial" w:hAnsi="Arial" w:cs="Arial"/>
          <w:color w:val="201F1E"/>
          <w:sz w:val="22"/>
          <w:szCs w:val="22"/>
          <w:lang w:eastAsia="en-AU"/>
        </w:rPr>
        <w:t xml:space="preserve">of outcome measures. </w:t>
      </w:r>
    </w:p>
    <w:p w14:paraId="2894E79D" w14:textId="77777777" w:rsidR="00D64A09" w:rsidRDefault="00D64A09" w:rsidP="009B1E99">
      <w:pPr>
        <w:spacing w:line="276" w:lineRule="auto"/>
        <w:jc w:val="both"/>
        <w:rPr>
          <w:rFonts w:ascii="Arial" w:eastAsia="Arial" w:hAnsi="Arial" w:cs="Arial"/>
          <w:color w:val="201F1E"/>
          <w:sz w:val="22"/>
          <w:szCs w:val="22"/>
          <w:lang w:eastAsia="en-AU"/>
        </w:rPr>
      </w:pPr>
    </w:p>
    <w:p w14:paraId="3327A137" w14:textId="0AA5937B" w:rsidR="00D142BE" w:rsidRDefault="725360C1"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t xml:space="preserve">With DTF’s established </w:t>
      </w:r>
      <w:r w:rsidR="49F94D9F" w:rsidRPr="008E44DA">
        <w:rPr>
          <w:rFonts w:ascii="Arial" w:eastAsia="Arial" w:hAnsi="Arial" w:cs="Arial"/>
          <w:color w:val="201F1E"/>
          <w:sz w:val="22"/>
          <w:szCs w:val="22"/>
          <w:lang w:eastAsia="en-AU"/>
        </w:rPr>
        <w:t>role of judging</w:t>
      </w:r>
      <w:r w:rsidRPr="008E44DA">
        <w:rPr>
          <w:rFonts w:ascii="Arial" w:eastAsia="Arial" w:hAnsi="Arial" w:cs="Arial"/>
          <w:color w:val="201F1E"/>
          <w:sz w:val="22"/>
          <w:szCs w:val="22"/>
          <w:lang w:eastAsia="en-AU"/>
        </w:rPr>
        <w:t xml:space="preserve"> and </w:t>
      </w:r>
      <w:r w:rsidR="49F94D9F" w:rsidRPr="008E44DA">
        <w:rPr>
          <w:rFonts w:ascii="Arial" w:eastAsia="Arial" w:hAnsi="Arial" w:cs="Arial"/>
          <w:color w:val="201F1E"/>
          <w:sz w:val="22"/>
          <w:szCs w:val="22"/>
          <w:lang w:eastAsia="en-AU"/>
        </w:rPr>
        <w:t>recommending</w:t>
      </w:r>
      <w:r w:rsidRPr="008E44DA">
        <w:rPr>
          <w:rFonts w:ascii="Arial" w:eastAsia="Arial" w:hAnsi="Arial" w:cs="Arial"/>
          <w:color w:val="201F1E"/>
          <w:sz w:val="22"/>
          <w:szCs w:val="22"/>
          <w:lang w:eastAsia="en-AU"/>
        </w:rPr>
        <w:t xml:space="preserve">, line agencies are inclined to view outcome measures as a compliance activity, with initiatives facing increased scrutiny and the threat of punitive cuts. Accordingly, line agencies may overestimate avoided costs </w:t>
      </w:r>
      <w:r w:rsidR="00D142BE" w:rsidRPr="00C5701F">
        <w:rPr>
          <w:rFonts w:ascii="Arial" w:eastAsia="Arial" w:hAnsi="Arial" w:cs="Arial"/>
          <w:color w:val="201F1E"/>
          <w:sz w:val="22"/>
          <w:szCs w:val="22"/>
          <w:lang w:eastAsia="en-AU"/>
        </w:rPr>
        <w:t xml:space="preserve">to maximise </w:t>
      </w:r>
      <w:r w:rsidR="00D142BE">
        <w:rPr>
          <w:rFonts w:ascii="Arial" w:eastAsia="Arial" w:hAnsi="Arial" w:cs="Arial"/>
          <w:color w:val="201F1E"/>
          <w:sz w:val="22"/>
          <w:szCs w:val="22"/>
          <w:lang w:eastAsia="en-AU"/>
        </w:rPr>
        <w:t xml:space="preserve">funding for </w:t>
      </w:r>
      <w:r w:rsidR="00D142BE" w:rsidRPr="00C5701F">
        <w:rPr>
          <w:rFonts w:ascii="Arial" w:eastAsia="Arial" w:hAnsi="Arial" w:cs="Arial"/>
          <w:color w:val="201F1E"/>
          <w:sz w:val="22"/>
          <w:szCs w:val="22"/>
          <w:lang w:eastAsia="en-AU"/>
        </w:rPr>
        <w:t>reinvestment opportunities</w:t>
      </w:r>
      <w:r w:rsidR="00D142BE" w:rsidRPr="008E44DA">
        <w:rPr>
          <w:rFonts w:ascii="Arial" w:eastAsia="Arial" w:hAnsi="Arial" w:cs="Arial"/>
          <w:color w:val="201F1E"/>
          <w:sz w:val="22"/>
          <w:szCs w:val="22"/>
          <w:lang w:eastAsia="en-AU"/>
        </w:rPr>
        <w:t xml:space="preserve"> </w:t>
      </w:r>
      <w:r w:rsidRPr="008E44DA">
        <w:rPr>
          <w:rFonts w:ascii="Arial" w:eastAsia="Arial" w:hAnsi="Arial" w:cs="Arial"/>
          <w:color w:val="201F1E"/>
          <w:sz w:val="22"/>
          <w:szCs w:val="22"/>
          <w:lang w:eastAsia="en-AU"/>
        </w:rPr>
        <w:t>or seek exceptions to protect their allocations.</w:t>
      </w:r>
      <w:r w:rsidR="00D142BE">
        <w:rPr>
          <w:rFonts w:ascii="Arial" w:eastAsia="Arial" w:hAnsi="Arial" w:cs="Arial"/>
          <w:color w:val="201F1E"/>
          <w:sz w:val="22"/>
          <w:szCs w:val="22"/>
          <w:lang w:eastAsia="en-AU"/>
        </w:rPr>
        <w:t xml:space="preserve"> This would generate a high degree of uncertainty and scepticism within DTF,</w:t>
      </w:r>
      <w:r w:rsidR="00D142BE" w:rsidRPr="00D142BE">
        <w:rPr>
          <w:rFonts w:ascii="Arial" w:eastAsia="Arial" w:hAnsi="Arial" w:cs="Arial"/>
          <w:color w:val="201F1E"/>
          <w:sz w:val="22"/>
          <w:szCs w:val="22"/>
          <w:lang w:eastAsia="en-AU"/>
        </w:rPr>
        <w:t xml:space="preserve"> </w:t>
      </w:r>
      <w:r w:rsidR="00D142BE" w:rsidRPr="008E44DA">
        <w:rPr>
          <w:rFonts w:ascii="Arial" w:eastAsia="Arial" w:hAnsi="Arial" w:cs="Arial"/>
          <w:color w:val="201F1E"/>
          <w:sz w:val="22"/>
          <w:szCs w:val="22"/>
          <w:lang w:eastAsia="en-AU"/>
        </w:rPr>
        <w:t>with a tendency to view measures as lacking credibility and unlikely to deliver savings.</w:t>
      </w:r>
      <w:r w:rsidR="00D142BE" w:rsidRPr="00D142BE">
        <w:rPr>
          <w:rFonts w:ascii="Arial" w:eastAsia="Arial" w:hAnsi="Arial" w:cs="Arial"/>
          <w:color w:val="201F1E"/>
          <w:sz w:val="22"/>
          <w:szCs w:val="22"/>
          <w:lang w:eastAsia="en-AU"/>
        </w:rPr>
        <w:t xml:space="preserve"> </w:t>
      </w:r>
      <w:r w:rsidR="00D142BE">
        <w:rPr>
          <w:rFonts w:ascii="Arial" w:eastAsia="Arial" w:hAnsi="Arial" w:cs="Arial"/>
          <w:color w:val="201F1E"/>
          <w:sz w:val="22"/>
          <w:szCs w:val="22"/>
          <w:lang w:eastAsia="en-AU"/>
        </w:rPr>
        <w:t>If not addressed, t</w:t>
      </w:r>
      <w:r w:rsidR="00D142BE" w:rsidRPr="008E44DA">
        <w:rPr>
          <w:rFonts w:ascii="Arial" w:eastAsia="Arial" w:hAnsi="Arial" w:cs="Arial"/>
          <w:color w:val="201F1E"/>
          <w:sz w:val="22"/>
          <w:szCs w:val="22"/>
          <w:lang w:eastAsia="en-AU"/>
        </w:rPr>
        <w:t xml:space="preserve">his behaviour </w:t>
      </w:r>
      <w:r w:rsidR="00D142BE">
        <w:rPr>
          <w:rFonts w:ascii="Arial" w:eastAsia="Arial" w:hAnsi="Arial" w:cs="Arial"/>
          <w:color w:val="201F1E"/>
          <w:sz w:val="22"/>
          <w:szCs w:val="22"/>
          <w:lang w:eastAsia="en-AU"/>
        </w:rPr>
        <w:t xml:space="preserve">would </w:t>
      </w:r>
      <w:r w:rsidR="00D142BE" w:rsidRPr="008E44DA">
        <w:rPr>
          <w:rFonts w:ascii="Arial" w:eastAsia="Arial" w:hAnsi="Arial" w:cs="Arial"/>
          <w:color w:val="201F1E"/>
          <w:sz w:val="22"/>
          <w:szCs w:val="22"/>
          <w:lang w:eastAsia="en-AU"/>
        </w:rPr>
        <w:t>threaten the technical aspects of the EIIF, with neither DTF nor line agencies trusting one another to accept the validity of the outcomes model.</w:t>
      </w:r>
      <w:r w:rsidR="00D142BE">
        <w:rPr>
          <w:rFonts w:ascii="Arial" w:eastAsia="Arial" w:hAnsi="Arial" w:cs="Arial"/>
          <w:color w:val="201F1E"/>
          <w:sz w:val="22"/>
          <w:szCs w:val="22"/>
          <w:lang w:eastAsia="en-AU"/>
        </w:rPr>
        <w:t xml:space="preserve"> For these reasons, it is crucial that </w:t>
      </w:r>
      <w:r w:rsidR="00D142BE" w:rsidRPr="00C5701F">
        <w:rPr>
          <w:rFonts w:ascii="Arial" w:eastAsia="Arial" w:hAnsi="Arial" w:cs="Arial"/>
          <w:color w:val="201F1E"/>
          <w:sz w:val="22"/>
          <w:szCs w:val="22"/>
          <w:lang w:eastAsia="en-AU"/>
        </w:rPr>
        <w:t xml:space="preserve">DTF </w:t>
      </w:r>
      <w:r w:rsidR="00D142BE">
        <w:rPr>
          <w:rFonts w:ascii="Arial" w:eastAsia="Arial" w:hAnsi="Arial" w:cs="Arial"/>
          <w:color w:val="201F1E"/>
          <w:sz w:val="22"/>
          <w:szCs w:val="22"/>
          <w:lang w:eastAsia="en-AU"/>
        </w:rPr>
        <w:t>continue</w:t>
      </w:r>
      <w:r w:rsidR="00BE07C4">
        <w:rPr>
          <w:rFonts w:ascii="Arial" w:eastAsia="Arial" w:hAnsi="Arial" w:cs="Arial"/>
          <w:color w:val="201F1E"/>
          <w:sz w:val="22"/>
          <w:szCs w:val="22"/>
          <w:lang w:eastAsia="en-AU"/>
        </w:rPr>
        <w:t>s</w:t>
      </w:r>
      <w:r w:rsidR="00D142BE">
        <w:rPr>
          <w:rFonts w:ascii="Arial" w:eastAsia="Arial" w:hAnsi="Arial" w:cs="Arial"/>
          <w:color w:val="201F1E"/>
          <w:sz w:val="22"/>
          <w:szCs w:val="22"/>
          <w:lang w:eastAsia="en-AU"/>
        </w:rPr>
        <w:t xml:space="preserve"> its proactive collaboration to ensure reasonableness of estimates and </w:t>
      </w:r>
      <w:r w:rsidR="00D142BE" w:rsidRPr="00C5701F">
        <w:rPr>
          <w:rFonts w:ascii="Arial" w:eastAsia="Arial" w:hAnsi="Arial" w:cs="Arial"/>
          <w:color w:val="201F1E"/>
          <w:sz w:val="22"/>
          <w:szCs w:val="22"/>
          <w:lang w:eastAsia="en-AU"/>
        </w:rPr>
        <w:t xml:space="preserve">maintains a review capability </w:t>
      </w:r>
      <w:r w:rsidR="00D142BE">
        <w:rPr>
          <w:rFonts w:ascii="Arial" w:eastAsia="Arial" w:hAnsi="Arial" w:cs="Arial"/>
          <w:color w:val="201F1E"/>
          <w:sz w:val="22"/>
          <w:szCs w:val="22"/>
          <w:lang w:eastAsia="en-AU"/>
        </w:rPr>
        <w:t>for cases where collaboration is not possible</w:t>
      </w:r>
      <w:r w:rsidR="00D142BE" w:rsidRPr="00C5701F">
        <w:rPr>
          <w:rFonts w:ascii="Arial" w:eastAsia="Arial" w:hAnsi="Arial" w:cs="Arial"/>
          <w:color w:val="201F1E"/>
          <w:sz w:val="22"/>
          <w:szCs w:val="22"/>
          <w:lang w:eastAsia="en-AU"/>
        </w:rPr>
        <w:t>.</w:t>
      </w:r>
    </w:p>
    <w:p w14:paraId="059D38B2" w14:textId="593ABF70" w:rsidR="0C5CA3C5" w:rsidRPr="008E44DA" w:rsidRDefault="0C5CA3C5" w:rsidP="009B1E99">
      <w:pPr>
        <w:spacing w:line="276" w:lineRule="auto"/>
        <w:jc w:val="both"/>
        <w:rPr>
          <w:rFonts w:ascii="Arial" w:eastAsia="Arial" w:hAnsi="Arial" w:cs="Arial"/>
          <w:color w:val="201F1E"/>
          <w:sz w:val="22"/>
          <w:szCs w:val="22"/>
          <w:lang w:eastAsia="en-AU"/>
        </w:rPr>
      </w:pPr>
    </w:p>
    <w:p w14:paraId="3072E5E5" w14:textId="77C25C44" w:rsidR="0C5CA3C5" w:rsidRPr="008E44DA" w:rsidRDefault="0C5CA3C5"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lastRenderedPageBreak/>
        <w:t xml:space="preserve">It stands that before technical features can be </w:t>
      </w:r>
      <w:r w:rsidR="007223DF" w:rsidRPr="008E44DA">
        <w:rPr>
          <w:rFonts w:ascii="Arial" w:eastAsia="Arial" w:hAnsi="Arial" w:cs="Arial"/>
          <w:color w:val="201F1E"/>
          <w:sz w:val="22"/>
          <w:szCs w:val="22"/>
          <w:lang w:eastAsia="en-AU"/>
        </w:rPr>
        <w:t xml:space="preserve">successfully and sustainably </w:t>
      </w:r>
      <w:r w:rsidRPr="008E44DA">
        <w:rPr>
          <w:rFonts w:ascii="Arial" w:eastAsia="Arial" w:hAnsi="Arial" w:cs="Arial"/>
          <w:color w:val="201F1E"/>
          <w:sz w:val="22"/>
          <w:szCs w:val="22"/>
          <w:lang w:eastAsia="en-AU"/>
        </w:rPr>
        <w:t xml:space="preserve">implemented, line agencies must shift their thinking </w:t>
      </w:r>
      <w:r w:rsidR="00E67D7F" w:rsidRPr="008E44DA">
        <w:rPr>
          <w:rFonts w:ascii="Arial" w:eastAsia="Arial" w:hAnsi="Arial" w:cs="Arial"/>
          <w:color w:val="201F1E"/>
          <w:sz w:val="22"/>
          <w:szCs w:val="22"/>
          <w:lang w:eastAsia="en-AU"/>
        </w:rPr>
        <w:t xml:space="preserve">about </w:t>
      </w:r>
      <w:r w:rsidR="725360C1" w:rsidRPr="008E44DA">
        <w:rPr>
          <w:rFonts w:ascii="Arial" w:eastAsia="Arial" w:hAnsi="Arial" w:cs="Arial"/>
          <w:color w:val="201F1E"/>
          <w:sz w:val="22"/>
          <w:szCs w:val="22"/>
          <w:lang w:eastAsia="en-AU"/>
        </w:rPr>
        <w:t>outcome measures</w:t>
      </w:r>
      <w:r w:rsidR="00E67D7F" w:rsidRPr="008E44DA">
        <w:rPr>
          <w:rFonts w:ascii="Arial" w:eastAsia="Arial" w:hAnsi="Arial" w:cs="Arial"/>
          <w:color w:val="201F1E"/>
          <w:sz w:val="22"/>
          <w:szCs w:val="22"/>
          <w:lang w:eastAsia="en-AU"/>
        </w:rPr>
        <w:t xml:space="preserve"> from </w:t>
      </w:r>
      <w:r w:rsidR="725360C1" w:rsidRPr="008E44DA">
        <w:rPr>
          <w:rFonts w:ascii="Arial" w:eastAsia="Arial" w:hAnsi="Arial" w:cs="Arial"/>
          <w:color w:val="201F1E"/>
          <w:sz w:val="22"/>
          <w:szCs w:val="22"/>
          <w:lang w:eastAsia="en-AU"/>
        </w:rPr>
        <w:t xml:space="preserve">a compliance activity to </w:t>
      </w:r>
      <w:r w:rsidR="00285AF0">
        <w:rPr>
          <w:rFonts w:ascii="Arial" w:eastAsia="Arial" w:hAnsi="Arial" w:cs="Arial"/>
          <w:color w:val="201F1E"/>
          <w:sz w:val="22"/>
          <w:szCs w:val="22"/>
          <w:lang w:eastAsia="en-AU"/>
        </w:rPr>
        <w:t xml:space="preserve">an activity that is </w:t>
      </w:r>
      <w:r w:rsidR="725360C1" w:rsidRPr="008E44DA">
        <w:rPr>
          <w:rFonts w:ascii="Arial" w:eastAsia="Arial" w:hAnsi="Arial" w:cs="Arial"/>
          <w:color w:val="201F1E"/>
          <w:sz w:val="22"/>
          <w:szCs w:val="22"/>
          <w:lang w:eastAsia="en-AU"/>
        </w:rPr>
        <w:t xml:space="preserve">key to ensuring effective and efficient programs. This involves adaptive change </w:t>
      </w:r>
      <w:r w:rsidR="00446DCB" w:rsidRPr="008E44DA">
        <w:rPr>
          <w:rFonts w:ascii="Arial" w:eastAsia="Arial" w:hAnsi="Arial" w:cs="Arial"/>
          <w:color w:val="201F1E"/>
          <w:sz w:val="22"/>
          <w:szCs w:val="22"/>
          <w:lang w:eastAsia="en-AU"/>
        </w:rPr>
        <w:t xml:space="preserve">in the areas of </w:t>
      </w:r>
      <w:r w:rsidR="004282B6" w:rsidRPr="008E44DA">
        <w:rPr>
          <w:rFonts w:ascii="Arial" w:eastAsia="Arial" w:hAnsi="Arial" w:cs="Arial"/>
          <w:color w:val="201F1E"/>
          <w:sz w:val="22"/>
          <w:szCs w:val="22"/>
          <w:lang w:eastAsia="en-AU"/>
        </w:rPr>
        <w:t>framing and function</w:t>
      </w:r>
      <w:r w:rsidR="004282B6" w:rsidRPr="008E44DA">
        <w:rPr>
          <w:rFonts w:ascii="Arial" w:eastAsia="Arial" w:hAnsi="Arial" w:cs="Arial"/>
          <w:b/>
          <w:bCs/>
          <w:color w:val="201F1E"/>
          <w:sz w:val="22"/>
          <w:szCs w:val="22"/>
          <w:lang w:eastAsia="en-AU"/>
        </w:rPr>
        <w:t xml:space="preserve">. </w:t>
      </w:r>
    </w:p>
    <w:p w14:paraId="2C0D4039" w14:textId="64B4F18A" w:rsidR="0C5CA3C5" w:rsidRPr="008E44DA" w:rsidRDefault="0C5CA3C5" w:rsidP="009B1E99">
      <w:pPr>
        <w:spacing w:line="276" w:lineRule="auto"/>
        <w:jc w:val="both"/>
        <w:rPr>
          <w:rFonts w:ascii="Arial" w:eastAsia="Arial" w:hAnsi="Arial" w:cs="Arial"/>
          <w:b/>
          <w:bCs/>
          <w:color w:val="201F1E"/>
          <w:sz w:val="22"/>
          <w:szCs w:val="22"/>
          <w:lang w:eastAsia="en-AU"/>
        </w:rPr>
      </w:pPr>
    </w:p>
    <w:p w14:paraId="40CE33CB" w14:textId="6BF92668" w:rsidR="725360C1" w:rsidRPr="008E44DA" w:rsidRDefault="0F7481BA" w:rsidP="009B1E99">
      <w:pPr>
        <w:spacing w:line="276" w:lineRule="auto"/>
        <w:jc w:val="both"/>
        <w:rPr>
          <w:rFonts w:ascii="Arial" w:eastAsia="Arial" w:hAnsi="Arial" w:cs="Arial"/>
          <w:color w:val="000000" w:themeColor="text1"/>
          <w:sz w:val="22"/>
          <w:szCs w:val="22"/>
          <w:lang w:val="en-US"/>
        </w:rPr>
      </w:pPr>
      <w:r w:rsidRPr="008E44DA">
        <w:rPr>
          <w:rFonts w:ascii="Arial" w:eastAsia="Arial" w:hAnsi="Arial" w:cs="Arial"/>
          <w:color w:val="201F1E"/>
          <w:sz w:val="22"/>
          <w:szCs w:val="22"/>
          <w:lang w:eastAsia="en-AU"/>
        </w:rPr>
        <w:t xml:space="preserve">The literature examining cross-boundary working finds that engagement is key to closing links between differing parties and promoting participant buy-in. This is most </w:t>
      </w:r>
      <w:r w:rsidR="786334C3" w:rsidRPr="008E44DA">
        <w:rPr>
          <w:rFonts w:ascii="Arial" w:eastAsia="Arial" w:hAnsi="Arial" w:cs="Arial"/>
          <w:color w:val="201F1E"/>
          <w:sz w:val="22"/>
          <w:szCs w:val="22"/>
          <w:lang w:eastAsia="en-AU"/>
        </w:rPr>
        <w:t xml:space="preserve">effective when driven from the top-down, as </w:t>
      </w:r>
      <w:r w:rsidR="786334C3" w:rsidRPr="008E44DA">
        <w:rPr>
          <w:rFonts w:ascii="Arial" w:eastAsia="Arial" w:hAnsi="Arial" w:cs="Arial"/>
          <w:color w:val="000000" w:themeColor="text1"/>
          <w:sz w:val="22"/>
          <w:szCs w:val="22"/>
          <w:lang w:val="en-US"/>
        </w:rPr>
        <w:t xml:space="preserve">leadership ultimately sets the tone and values throughout an </w:t>
      </w:r>
      <w:r w:rsidR="786334C3" w:rsidRPr="00B161DD">
        <w:rPr>
          <w:rFonts w:ascii="Arial" w:eastAsia="Arial" w:hAnsi="Arial" w:cs="Arial"/>
          <w:color w:val="000000" w:themeColor="text1"/>
          <w:sz w:val="22"/>
          <w:szCs w:val="22"/>
        </w:rPr>
        <w:t>organ</w:t>
      </w:r>
      <w:r w:rsidR="00861AEC" w:rsidRPr="00B161DD">
        <w:rPr>
          <w:rFonts w:ascii="Arial" w:eastAsia="Arial" w:hAnsi="Arial" w:cs="Arial"/>
          <w:color w:val="000000" w:themeColor="text1"/>
          <w:sz w:val="22"/>
          <w:szCs w:val="22"/>
        </w:rPr>
        <w:t>isa</w:t>
      </w:r>
      <w:r w:rsidR="786334C3" w:rsidRPr="00B161DD">
        <w:rPr>
          <w:rFonts w:ascii="Arial" w:eastAsia="Arial" w:hAnsi="Arial" w:cs="Arial"/>
          <w:color w:val="000000" w:themeColor="text1"/>
          <w:sz w:val="22"/>
          <w:szCs w:val="22"/>
        </w:rPr>
        <w:t>t</w:t>
      </w:r>
      <w:r w:rsidR="00861AEC" w:rsidRPr="00B161DD">
        <w:rPr>
          <w:rFonts w:ascii="Arial" w:eastAsia="Arial" w:hAnsi="Arial" w:cs="Arial"/>
          <w:color w:val="000000" w:themeColor="text1"/>
          <w:sz w:val="22"/>
          <w:szCs w:val="22"/>
        </w:rPr>
        <w:t>i</w:t>
      </w:r>
      <w:r w:rsidR="786334C3" w:rsidRPr="00B161DD">
        <w:rPr>
          <w:rFonts w:ascii="Arial" w:eastAsia="Arial" w:hAnsi="Arial" w:cs="Arial"/>
          <w:color w:val="000000" w:themeColor="text1"/>
          <w:sz w:val="22"/>
          <w:szCs w:val="22"/>
        </w:rPr>
        <w:t>on</w:t>
      </w:r>
      <w:r w:rsidR="786334C3" w:rsidRPr="008E44DA">
        <w:rPr>
          <w:rFonts w:ascii="Arial" w:eastAsia="Arial" w:hAnsi="Arial" w:cs="Arial"/>
          <w:color w:val="000000" w:themeColor="text1"/>
          <w:sz w:val="22"/>
          <w:szCs w:val="22"/>
          <w:lang w:val="en-US"/>
        </w:rPr>
        <w:t>.</w:t>
      </w:r>
      <w:r w:rsidR="725360C1" w:rsidRPr="008E44DA">
        <w:rPr>
          <w:rStyle w:val="FootnoteReference"/>
          <w:rFonts w:ascii="Arial" w:eastAsia="Arial" w:hAnsi="Arial" w:cs="Arial"/>
          <w:color w:val="000000" w:themeColor="text1"/>
          <w:sz w:val="22"/>
          <w:szCs w:val="22"/>
          <w:lang w:val="en-US"/>
        </w:rPr>
        <w:footnoteReference w:id="10"/>
      </w:r>
      <w:r w:rsidR="786334C3" w:rsidRPr="008E44DA">
        <w:rPr>
          <w:rFonts w:ascii="Arial" w:eastAsia="Arial" w:hAnsi="Arial" w:cs="Arial"/>
          <w:color w:val="000000" w:themeColor="text1"/>
          <w:sz w:val="22"/>
          <w:szCs w:val="22"/>
          <w:lang w:val="en-US"/>
        </w:rPr>
        <w:t xml:space="preserve"> The Suffolk Lowestoft Rising project offers a useful </w:t>
      </w:r>
      <w:r w:rsidR="7B239E08" w:rsidRPr="008E44DA">
        <w:rPr>
          <w:rFonts w:ascii="Arial" w:eastAsia="Arial" w:hAnsi="Arial" w:cs="Arial"/>
          <w:color w:val="000000" w:themeColor="text1"/>
          <w:sz w:val="22"/>
          <w:szCs w:val="22"/>
          <w:lang w:val="en-US"/>
        </w:rPr>
        <w:t>example</w:t>
      </w:r>
      <w:r w:rsidR="00472C31" w:rsidRPr="008E44DA">
        <w:rPr>
          <w:rFonts w:ascii="Arial" w:eastAsia="Arial" w:hAnsi="Arial" w:cs="Arial"/>
          <w:color w:val="000000" w:themeColor="text1"/>
          <w:sz w:val="22"/>
          <w:szCs w:val="22"/>
          <w:lang w:val="en-US"/>
        </w:rPr>
        <w:t xml:space="preserve"> of leadership </w:t>
      </w:r>
      <w:r w:rsidR="000239E0" w:rsidRPr="008E44DA">
        <w:rPr>
          <w:rFonts w:ascii="Arial" w:eastAsia="Arial" w:hAnsi="Arial" w:cs="Arial"/>
          <w:color w:val="000000" w:themeColor="text1"/>
          <w:sz w:val="22"/>
          <w:szCs w:val="22"/>
          <w:lang w:val="en-US"/>
        </w:rPr>
        <w:t xml:space="preserve">that effectively </w:t>
      </w:r>
      <w:r w:rsidR="00472C31" w:rsidRPr="008E44DA">
        <w:rPr>
          <w:rFonts w:ascii="Arial" w:eastAsia="Arial" w:hAnsi="Arial" w:cs="Arial"/>
          <w:color w:val="000000" w:themeColor="text1"/>
          <w:sz w:val="22"/>
          <w:szCs w:val="22"/>
          <w:lang w:val="en-US"/>
        </w:rPr>
        <w:t>model</w:t>
      </w:r>
      <w:r w:rsidR="000239E0" w:rsidRPr="008E44DA">
        <w:rPr>
          <w:rFonts w:ascii="Arial" w:eastAsia="Arial" w:hAnsi="Arial" w:cs="Arial"/>
          <w:color w:val="000000" w:themeColor="text1"/>
          <w:sz w:val="22"/>
          <w:szCs w:val="22"/>
          <w:lang w:val="en-US"/>
        </w:rPr>
        <w:t xml:space="preserve">s </w:t>
      </w:r>
      <w:r w:rsidR="00472C31" w:rsidRPr="008E44DA">
        <w:rPr>
          <w:rFonts w:ascii="Arial" w:eastAsia="Arial" w:hAnsi="Arial" w:cs="Arial"/>
          <w:color w:val="000000" w:themeColor="text1"/>
          <w:sz w:val="22"/>
          <w:szCs w:val="22"/>
          <w:lang w:val="en-US"/>
        </w:rPr>
        <w:t>collaboration</w:t>
      </w:r>
      <w:r w:rsidR="786334C3" w:rsidRPr="008E44DA">
        <w:rPr>
          <w:rFonts w:ascii="Arial" w:eastAsia="Arial" w:hAnsi="Arial" w:cs="Arial"/>
          <w:color w:val="000000" w:themeColor="text1"/>
          <w:sz w:val="22"/>
          <w:szCs w:val="22"/>
          <w:lang w:val="en-US"/>
        </w:rPr>
        <w:t>. The Suffolk Lowestoft Rising project focused on pooling resources to promote a whole systems approach joining up local social services – a Sponsoring Group</w:t>
      </w:r>
      <w:r w:rsidR="786334C3" w:rsidRPr="008E44DA">
        <w:rPr>
          <w:rFonts w:ascii="Arial" w:eastAsia="Arial" w:hAnsi="Arial" w:cs="Arial"/>
          <w:b/>
          <w:bCs/>
          <w:color w:val="000000" w:themeColor="text1"/>
          <w:sz w:val="22"/>
          <w:szCs w:val="22"/>
          <w:lang w:val="en-US"/>
        </w:rPr>
        <w:t xml:space="preserve"> </w:t>
      </w:r>
      <w:r w:rsidR="786334C3" w:rsidRPr="008E44DA">
        <w:rPr>
          <w:rFonts w:ascii="Arial" w:eastAsia="Arial" w:hAnsi="Arial" w:cs="Arial"/>
          <w:color w:val="000000" w:themeColor="text1"/>
          <w:sz w:val="22"/>
          <w:szCs w:val="22"/>
          <w:lang w:val="en-US"/>
        </w:rPr>
        <w:t xml:space="preserve">of chief officers from the five partners provides leadership, strategic decision-making on resource allocation and work streams. The Sponsoring Group reaffirmed their commitment to collaboration and a common objective through the Support Team, consisting of at least one staff member from each participating </w:t>
      </w:r>
      <w:r w:rsidR="786334C3" w:rsidRPr="00B161DD">
        <w:rPr>
          <w:rFonts w:ascii="Arial" w:eastAsia="Arial" w:hAnsi="Arial" w:cs="Arial"/>
          <w:color w:val="000000" w:themeColor="text1"/>
          <w:sz w:val="22"/>
          <w:szCs w:val="22"/>
        </w:rPr>
        <w:t>organisation</w:t>
      </w:r>
      <w:r w:rsidR="786334C3" w:rsidRPr="008E44DA">
        <w:rPr>
          <w:rFonts w:ascii="Arial" w:eastAsia="Arial" w:hAnsi="Arial" w:cs="Arial"/>
          <w:color w:val="000000" w:themeColor="text1"/>
          <w:sz w:val="22"/>
          <w:szCs w:val="22"/>
          <w:lang w:val="en-US"/>
        </w:rPr>
        <w:t xml:space="preserve"> to lead work streams and engage with staff from each of the other participating organisations.</w:t>
      </w:r>
      <w:r w:rsidR="725360C1" w:rsidRPr="008E44DA">
        <w:rPr>
          <w:rStyle w:val="FootnoteReference"/>
          <w:rFonts w:ascii="Arial" w:eastAsia="Arial" w:hAnsi="Arial" w:cs="Arial"/>
          <w:color w:val="000000" w:themeColor="text1"/>
          <w:sz w:val="22"/>
          <w:szCs w:val="22"/>
          <w:lang w:val="en-US"/>
        </w:rPr>
        <w:footnoteReference w:id="11"/>
      </w:r>
    </w:p>
    <w:p w14:paraId="22A324C4" w14:textId="2E7B3843" w:rsidR="0C5CA3C5" w:rsidRPr="008E44DA" w:rsidRDefault="0C5CA3C5" w:rsidP="009B1E99">
      <w:pPr>
        <w:spacing w:line="276" w:lineRule="auto"/>
        <w:jc w:val="both"/>
        <w:rPr>
          <w:rFonts w:ascii="Arial" w:eastAsia="Arial" w:hAnsi="Arial" w:cs="Arial"/>
          <w:color w:val="201F1E"/>
          <w:sz w:val="22"/>
          <w:szCs w:val="22"/>
          <w:lang w:eastAsia="en-AU"/>
        </w:rPr>
      </w:pPr>
    </w:p>
    <w:p w14:paraId="764D289A" w14:textId="2D21478A" w:rsidR="00FE2C37" w:rsidRPr="008E44DA" w:rsidRDefault="725360C1"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t xml:space="preserve">With its established record in social impact bonds and outcomes-focused budgeting, NSW’s observations </w:t>
      </w:r>
      <w:r w:rsidR="006B1832" w:rsidRPr="008E44DA">
        <w:rPr>
          <w:rFonts w:ascii="Arial" w:eastAsia="Arial" w:hAnsi="Arial" w:cs="Arial"/>
          <w:color w:val="201F1E"/>
          <w:sz w:val="22"/>
          <w:szCs w:val="22"/>
          <w:lang w:eastAsia="en-AU"/>
        </w:rPr>
        <w:t>provide</w:t>
      </w:r>
      <w:r w:rsidRPr="008E44DA">
        <w:rPr>
          <w:rFonts w:ascii="Arial" w:eastAsia="Arial" w:hAnsi="Arial" w:cs="Arial"/>
          <w:color w:val="201F1E"/>
          <w:sz w:val="22"/>
          <w:szCs w:val="22"/>
          <w:lang w:eastAsia="en-AU"/>
        </w:rPr>
        <w:t xml:space="preserve"> particularly useful insight into the adaptive change required to successfully implement programs like the EIIF. </w:t>
      </w:r>
      <w:r w:rsidR="00285AF0" w:rsidRPr="0091451F">
        <w:rPr>
          <w:rFonts w:ascii="Arial" w:eastAsia="Arial" w:hAnsi="Arial" w:cs="Arial"/>
          <w:color w:val="201F1E"/>
          <w:sz w:val="22"/>
          <w:szCs w:val="22"/>
          <w:lang w:eastAsia="en-AU"/>
        </w:rPr>
        <w:t>The NSW Treasury officials observed an evolution f</w:t>
      </w:r>
      <w:r w:rsidR="00BF4A12">
        <w:rPr>
          <w:rFonts w:ascii="Arial" w:eastAsia="Arial" w:hAnsi="Arial" w:cs="Arial"/>
          <w:color w:val="201F1E"/>
          <w:sz w:val="22"/>
          <w:szCs w:val="22"/>
          <w:lang w:eastAsia="en-AU"/>
        </w:rPr>
        <w:t>ro</w:t>
      </w:r>
      <w:r w:rsidR="00285AF0" w:rsidRPr="0091451F">
        <w:rPr>
          <w:rFonts w:ascii="Arial" w:eastAsia="Arial" w:hAnsi="Arial" w:cs="Arial"/>
          <w:color w:val="201F1E"/>
          <w:sz w:val="22"/>
          <w:szCs w:val="22"/>
          <w:lang w:eastAsia="en-AU"/>
        </w:rPr>
        <w:t>m a mindset</w:t>
      </w:r>
      <w:r w:rsidR="00285AF0" w:rsidRPr="0091451F">
        <w:rPr>
          <w:rStyle w:val="normaltextrun"/>
          <w:rFonts w:ascii="Arial" w:hAnsi="Arial" w:cs="Arial"/>
          <w:color w:val="000000"/>
          <w:sz w:val="22"/>
          <w:szCs w:val="22"/>
          <w:bdr w:val="none" w:sz="0" w:space="0" w:color="auto" w:frame="1"/>
        </w:rPr>
        <w:t xml:space="preserve"> among agencies that </w:t>
      </w:r>
      <w:r w:rsidR="00285AF0" w:rsidRPr="0091451F">
        <w:rPr>
          <w:rStyle w:val="normaltextrun"/>
          <w:rFonts w:ascii="Arial" w:hAnsi="Arial" w:cs="Arial"/>
          <w:color w:val="000000"/>
          <w:sz w:val="22"/>
          <w:szCs w:val="22"/>
          <w:shd w:val="clear" w:color="auto" w:fill="FFFFFF"/>
        </w:rPr>
        <w:t xml:space="preserve">outcome focused business plans were </w:t>
      </w:r>
      <w:r w:rsidR="00285AF0" w:rsidRPr="0091451F">
        <w:rPr>
          <w:rStyle w:val="normaltextrun"/>
          <w:rFonts w:ascii="Arial" w:hAnsi="Arial" w:cs="Arial"/>
          <w:color w:val="000000"/>
          <w:sz w:val="22"/>
          <w:szCs w:val="22"/>
          <w:bdr w:val="none" w:sz="0" w:space="0" w:color="auto" w:frame="1"/>
        </w:rPr>
        <w:t>simply a compliance activity enforced by Treasury towards</w:t>
      </w:r>
      <w:r w:rsidR="00285AF0" w:rsidRPr="0091451F">
        <w:rPr>
          <w:rFonts w:ascii="Arial" w:hAnsi="Arial" w:cs="Arial"/>
          <w:color w:val="000000"/>
          <w:sz w:val="22"/>
          <w:szCs w:val="22"/>
          <w:bdr w:val="none" w:sz="0" w:space="0" w:color="auto" w:frame="1"/>
        </w:rPr>
        <w:t xml:space="preserve"> being k</w:t>
      </w:r>
      <w:r w:rsidR="00285AF0" w:rsidRPr="0091451F">
        <w:rPr>
          <w:rStyle w:val="normaltextrun"/>
          <w:rFonts w:ascii="Arial" w:hAnsi="Arial" w:cs="Arial"/>
          <w:color w:val="000000"/>
          <w:sz w:val="22"/>
          <w:szCs w:val="22"/>
          <w:bdr w:val="none" w:sz="0" w:space="0" w:color="auto" w:frame="1"/>
        </w:rPr>
        <w:t>ey to ensuring the delivery of e</w:t>
      </w:r>
      <w:r w:rsidR="00285AF0">
        <w:rPr>
          <w:rStyle w:val="normaltextrun"/>
          <w:rFonts w:ascii="Arial" w:hAnsi="Arial" w:cs="Arial"/>
          <w:color w:val="000000"/>
          <w:sz w:val="22"/>
          <w:szCs w:val="22"/>
          <w:bdr w:val="none" w:sz="0" w:space="0" w:color="auto" w:frame="1"/>
        </w:rPr>
        <w:t xml:space="preserve">ffective and efficient programs. </w:t>
      </w:r>
      <w:r w:rsidR="00285AF0" w:rsidRPr="00FC6775">
        <w:rPr>
          <w:rStyle w:val="normaltextrun"/>
          <w:rFonts w:ascii="Arial" w:hAnsi="Arial" w:cs="Arial"/>
          <w:color w:val="000000"/>
          <w:sz w:val="22"/>
          <w:szCs w:val="22"/>
          <w:bdr w:val="none" w:sz="0" w:space="0" w:color="auto" w:frame="1"/>
        </w:rPr>
        <w:t>There is now an</w:t>
      </w:r>
      <w:r w:rsidR="00285AF0" w:rsidRPr="00FC6775">
        <w:rPr>
          <w:rStyle w:val="normaltextrun"/>
          <w:rFonts w:ascii="Arial" w:hAnsi="Arial" w:cs="Arial"/>
          <w:color w:val="000000"/>
          <w:sz w:val="22"/>
          <w:szCs w:val="22"/>
          <w:shd w:val="clear" w:color="auto" w:fill="FFFFFF"/>
        </w:rPr>
        <w:t xml:space="preserve"> agreed upon cycle of framing project proposals and outcome measures, regular reporting, and reform and refinement</w:t>
      </w:r>
      <w:r w:rsidR="00285AF0">
        <w:rPr>
          <w:rStyle w:val="normaltextrun"/>
          <w:rFonts w:ascii="Arial" w:hAnsi="Arial" w:cs="Arial"/>
          <w:color w:val="000000"/>
          <w:sz w:val="22"/>
          <w:szCs w:val="22"/>
          <w:shd w:val="clear" w:color="auto" w:fill="FFFFFF"/>
        </w:rPr>
        <w:t xml:space="preserve"> in </w:t>
      </w:r>
      <w:r w:rsidR="00285AF0" w:rsidRPr="008E44DA">
        <w:rPr>
          <w:rFonts w:ascii="Arial" w:eastAsia="Arial" w:hAnsi="Arial" w:cs="Arial"/>
          <w:color w:val="201F1E"/>
          <w:sz w:val="22"/>
          <w:szCs w:val="22"/>
          <w:lang w:eastAsia="en-AU"/>
        </w:rPr>
        <w:t>response to outcome measures</w:t>
      </w:r>
      <w:r w:rsidR="00285AF0">
        <w:rPr>
          <w:rFonts w:ascii="Arial" w:eastAsia="Arial" w:hAnsi="Arial" w:cs="Arial"/>
          <w:color w:val="201F1E"/>
          <w:sz w:val="22"/>
          <w:szCs w:val="22"/>
          <w:lang w:eastAsia="en-AU"/>
        </w:rPr>
        <w:t xml:space="preserve">. </w:t>
      </w:r>
      <w:r w:rsidRPr="008E44DA">
        <w:rPr>
          <w:rFonts w:ascii="Arial" w:eastAsia="Arial" w:hAnsi="Arial" w:cs="Arial"/>
          <w:color w:val="201F1E"/>
          <w:sz w:val="22"/>
          <w:szCs w:val="22"/>
          <w:lang w:eastAsia="en-AU"/>
        </w:rPr>
        <w:t>It must be acknowledged that the</w:t>
      </w:r>
      <w:r w:rsidR="004282B6" w:rsidRPr="008E44DA">
        <w:rPr>
          <w:rFonts w:ascii="Arial" w:eastAsia="Arial" w:hAnsi="Arial" w:cs="Arial"/>
          <w:color w:val="201F1E"/>
          <w:sz w:val="22"/>
          <w:szCs w:val="22"/>
          <w:lang w:eastAsia="en-AU"/>
        </w:rPr>
        <w:t xml:space="preserve"> evolution observed in NSW has been a measured </w:t>
      </w:r>
      <w:r w:rsidR="004A36F8" w:rsidRPr="008E44DA">
        <w:rPr>
          <w:rFonts w:ascii="Arial" w:eastAsia="Arial" w:hAnsi="Arial" w:cs="Arial"/>
          <w:color w:val="201F1E"/>
          <w:sz w:val="22"/>
          <w:szCs w:val="22"/>
          <w:lang w:eastAsia="en-AU"/>
        </w:rPr>
        <w:t xml:space="preserve">one </w:t>
      </w:r>
      <w:r w:rsidR="004A36F8">
        <w:rPr>
          <w:rFonts w:ascii="Arial" w:eastAsia="Arial" w:hAnsi="Arial" w:cs="Arial"/>
          <w:color w:val="201F1E"/>
          <w:sz w:val="22"/>
          <w:szCs w:val="22"/>
          <w:lang w:eastAsia="en-AU"/>
        </w:rPr>
        <w:t>that</w:t>
      </w:r>
      <w:r w:rsidR="00F37724">
        <w:rPr>
          <w:rFonts w:ascii="Arial" w:eastAsia="Arial" w:hAnsi="Arial" w:cs="Arial"/>
          <w:color w:val="201F1E"/>
          <w:sz w:val="22"/>
          <w:szCs w:val="22"/>
          <w:lang w:eastAsia="en-AU"/>
        </w:rPr>
        <w:t xml:space="preserve"> faced</w:t>
      </w:r>
      <w:r w:rsidR="00882ADF">
        <w:rPr>
          <w:rFonts w:ascii="Arial" w:eastAsia="Arial" w:hAnsi="Arial" w:cs="Arial"/>
          <w:color w:val="201F1E"/>
          <w:sz w:val="22"/>
          <w:szCs w:val="22"/>
          <w:lang w:eastAsia="en-AU"/>
        </w:rPr>
        <w:t xml:space="preserve"> some</w:t>
      </w:r>
      <w:r w:rsidR="001877BA" w:rsidRPr="008E44DA">
        <w:rPr>
          <w:rFonts w:ascii="Arial" w:eastAsia="Arial" w:hAnsi="Arial" w:cs="Arial"/>
          <w:color w:val="201F1E"/>
          <w:sz w:val="22"/>
          <w:szCs w:val="22"/>
          <w:lang w:eastAsia="en-AU"/>
        </w:rPr>
        <w:t xml:space="preserve"> initial opposition </w:t>
      </w:r>
      <w:r w:rsidR="00CB2C83" w:rsidRPr="008E44DA">
        <w:rPr>
          <w:rFonts w:ascii="Arial" w:eastAsia="Arial" w:hAnsi="Arial" w:cs="Arial"/>
          <w:color w:val="201F1E"/>
          <w:sz w:val="22"/>
          <w:szCs w:val="22"/>
          <w:lang w:eastAsia="en-AU"/>
        </w:rPr>
        <w:t>among</w:t>
      </w:r>
      <w:r w:rsidR="001877BA" w:rsidRPr="008E44DA">
        <w:rPr>
          <w:rFonts w:ascii="Arial" w:eastAsia="Arial" w:hAnsi="Arial" w:cs="Arial"/>
          <w:color w:val="201F1E"/>
          <w:sz w:val="22"/>
          <w:szCs w:val="22"/>
          <w:lang w:eastAsia="en-AU"/>
        </w:rPr>
        <w:t xml:space="preserve"> line agencies</w:t>
      </w:r>
      <w:r w:rsidRPr="008E44DA">
        <w:rPr>
          <w:rFonts w:ascii="Arial" w:eastAsia="Arial" w:hAnsi="Arial" w:cs="Arial"/>
          <w:color w:val="201F1E"/>
          <w:sz w:val="22"/>
          <w:szCs w:val="22"/>
          <w:lang w:eastAsia="en-AU"/>
        </w:rPr>
        <w:t>. Overwhelmingly, NSW Treasury officials noted the importance of genuine and engaged communication between Treasury and line agencies</w:t>
      </w:r>
      <w:r w:rsidR="00443465" w:rsidRPr="008E44DA">
        <w:rPr>
          <w:rFonts w:ascii="Arial" w:eastAsia="Arial" w:hAnsi="Arial" w:cs="Arial"/>
          <w:color w:val="201F1E"/>
          <w:sz w:val="22"/>
          <w:szCs w:val="22"/>
          <w:lang w:eastAsia="en-AU"/>
        </w:rPr>
        <w:t xml:space="preserve"> in facilitating this evolution</w:t>
      </w:r>
      <w:r w:rsidRPr="008E44DA">
        <w:rPr>
          <w:rFonts w:ascii="Arial" w:eastAsia="Arial" w:hAnsi="Arial" w:cs="Arial"/>
          <w:color w:val="201F1E"/>
          <w:sz w:val="22"/>
          <w:szCs w:val="22"/>
          <w:lang w:eastAsia="en-AU"/>
        </w:rPr>
        <w:t xml:space="preserve">. These interactions provide opportunities to </w:t>
      </w:r>
      <w:r w:rsidR="004282B6" w:rsidRPr="008E44DA">
        <w:rPr>
          <w:rFonts w:ascii="Arial" w:eastAsia="Arial" w:hAnsi="Arial" w:cs="Arial"/>
          <w:color w:val="000000" w:themeColor="text1"/>
          <w:sz w:val="22"/>
          <w:szCs w:val="22"/>
          <w:lang w:val="en-US"/>
        </w:rPr>
        <w:t xml:space="preserve">understand the different contexts and interests at play, </w:t>
      </w:r>
      <w:r w:rsidRPr="008E44DA">
        <w:rPr>
          <w:rFonts w:ascii="Arial" w:eastAsia="Arial" w:hAnsi="Arial" w:cs="Arial"/>
          <w:color w:val="201F1E"/>
          <w:sz w:val="22"/>
          <w:szCs w:val="22"/>
          <w:lang w:eastAsia="en-AU"/>
        </w:rPr>
        <w:t xml:space="preserve">fostering long-term relationships that are built on a foundation of trust. </w:t>
      </w:r>
    </w:p>
    <w:p w14:paraId="1C71A0CD" w14:textId="0F169656" w:rsidR="369F18B1" w:rsidRPr="008E44DA" w:rsidRDefault="369F18B1" w:rsidP="009B1E99">
      <w:pPr>
        <w:spacing w:line="276" w:lineRule="auto"/>
        <w:jc w:val="both"/>
        <w:rPr>
          <w:rFonts w:ascii="Arial" w:eastAsia="Arial" w:hAnsi="Arial" w:cs="Arial"/>
          <w:color w:val="201F1E"/>
          <w:sz w:val="22"/>
          <w:szCs w:val="22"/>
          <w:lang w:eastAsia="en-AU"/>
        </w:rPr>
      </w:pPr>
    </w:p>
    <w:p w14:paraId="016970A1" w14:textId="696BF256" w:rsidR="47467085" w:rsidRDefault="00285AF0" w:rsidP="009B1E99">
      <w:pPr>
        <w:spacing w:line="276" w:lineRule="auto"/>
        <w:jc w:val="both"/>
        <w:rPr>
          <w:rFonts w:ascii="Arial" w:eastAsia="Arial" w:hAnsi="Arial" w:cs="Arial"/>
          <w:color w:val="201F1E"/>
          <w:sz w:val="22"/>
          <w:szCs w:val="22"/>
          <w:lang w:eastAsia="en-AU"/>
        </w:rPr>
      </w:pPr>
      <w:r>
        <w:rPr>
          <w:rFonts w:ascii="Arial" w:eastAsia="Arial" w:hAnsi="Arial" w:cs="Arial"/>
          <w:color w:val="201F1E"/>
          <w:sz w:val="22"/>
          <w:szCs w:val="22"/>
          <w:lang w:eastAsia="en-AU"/>
        </w:rPr>
        <w:t xml:space="preserve">The NSW Treasury officials also observed that these interactions </w:t>
      </w:r>
      <w:r w:rsidRPr="008E44DA">
        <w:rPr>
          <w:rFonts w:ascii="Arial" w:eastAsia="Arial" w:hAnsi="Arial" w:cs="Arial"/>
          <w:color w:val="201F1E"/>
          <w:sz w:val="22"/>
          <w:szCs w:val="22"/>
          <w:lang w:eastAsia="en-AU"/>
        </w:rPr>
        <w:t xml:space="preserve">provide an opportunity to clarify and reinforce the role of </w:t>
      </w:r>
      <w:r>
        <w:rPr>
          <w:rStyle w:val="eop"/>
          <w:rFonts w:ascii="Arial" w:eastAsia="Arial" w:hAnsi="Arial" w:cs="Arial"/>
          <w:color w:val="000000" w:themeColor="text1"/>
          <w:sz w:val="22"/>
          <w:szCs w:val="22"/>
        </w:rPr>
        <w:t>outcomes measures</w:t>
      </w:r>
      <w:r w:rsidRPr="008E44DA">
        <w:rPr>
          <w:rStyle w:val="eop"/>
          <w:rFonts w:ascii="Arial" w:eastAsia="Arial" w:hAnsi="Arial" w:cs="Arial"/>
          <w:color w:val="000000" w:themeColor="text1"/>
          <w:sz w:val="22"/>
          <w:szCs w:val="22"/>
        </w:rPr>
        <w:t xml:space="preserve">. </w:t>
      </w:r>
      <w:r w:rsidR="008044D1">
        <w:rPr>
          <w:rStyle w:val="eop"/>
          <w:rFonts w:ascii="Arial" w:eastAsia="Arial" w:hAnsi="Arial" w:cs="Arial"/>
          <w:color w:val="000000" w:themeColor="text1"/>
          <w:sz w:val="22"/>
          <w:szCs w:val="22"/>
        </w:rPr>
        <w:t>They have made a</w:t>
      </w:r>
      <w:r>
        <w:rPr>
          <w:rStyle w:val="eop"/>
          <w:rFonts w:ascii="Arial" w:eastAsia="Arial" w:hAnsi="Arial" w:cs="Arial"/>
          <w:color w:val="000000" w:themeColor="text1"/>
          <w:sz w:val="22"/>
          <w:szCs w:val="22"/>
        </w:rPr>
        <w:t xml:space="preserve"> </w:t>
      </w:r>
      <w:r w:rsidRPr="008E44DA">
        <w:rPr>
          <w:rStyle w:val="eop"/>
          <w:rFonts w:ascii="Arial" w:eastAsia="Arial" w:hAnsi="Arial" w:cs="Arial"/>
          <w:color w:val="000000" w:themeColor="text1"/>
          <w:sz w:val="22"/>
          <w:szCs w:val="22"/>
        </w:rPr>
        <w:t xml:space="preserve">concerted </w:t>
      </w:r>
      <w:r w:rsidR="004A36F8" w:rsidRPr="008E44DA">
        <w:rPr>
          <w:rStyle w:val="eop"/>
          <w:rFonts w:ascii="Arial" w:eastAsia="Arial" w:hAnsi="Arial" w:cs="Arial"/>
          <w:color w:val="000000" w:themeColor="text1"/>
          <w:sz w:val="22"/>
          <w:szCs w:val="22"/>
        </w:rPr>
        <w:t>effort to</w:t>
      </w:r>
      <w:r w:rsidR="786334C3" w:rsidRPr="008E44DA">
        <w:rPr>
          <w:rStyle w:val="eop"/>
          <w:rFonts w:ascii="Arial" w:eastAsia="Arial" w:hAnsi="Arial" w:cs="Arial"/>
          <w:color w:val="000000" w:themeColor="text1"/>
          <w:sz w:val="22"/>
          <w:szCs w:val="22"/>
        </w:rPr>
        <w:t xml:space="preserve"> frame outcome measures as </w:t>
      </w:r>
      <w:r w:rsidR="0011790A">
        <w:rPr>
          <w:rStyle w:val="eop"/>
          <w:rFonts w:ascii="Arial" w:eastAsia="Arial" w:hAnsi="Arial" w:cs="Arial"/>
          <w:color w:val="000000" w:themeColor="text1"/>
          <w:sz w:val="22"/>
          <w:szCs w:val="22"/>
        </w:rPr>
        <w:t xml:space="preserve">a tool for </w:t>
      </w:r>
      <w:r w:rsidR="786334C3" w:rsidRPr="008E44DA">
        <w:rPr>
          <w:rStyle w:val="eop"/>
          <w:rFonts w:ascii="Arial" w:eastAsia="Arial" w:hAnsi="Arial" w:cs="Arial"/>
          <w:color w:val="000000" w:themeColor="text1"/>
          <w:sz w:val="22"/>
          <w:szCs w:val="22"/>
        </w:rPr>
        <w:t xml:space="preserve">ensuring </w:t>
      </w:r>
      <w:r w:rsidR="23B4EF31" w:rsidRPr="008E44DA">
        <w:rPr>
          <w:rFonts w:ascii="Arial" w:eastAsia="Arial" w:hAnsi="Arial" w:cs="Arial"/>
          <w:color w:val="201F1E"/>
          <w:sz w:val="22"/>
          <w:szCs w:val="22"/>
          <w:lang w:eastAsia="en-AU"/>
        </w:rPr>
        <w:t>that</w:t>
      </w:r>
      <w:r w:rsidR="0F7481BA" w:rsidRPr="008E44DA">
        <w:rPr>
          <w:rFonts w:ascii="Arial" w:eastAsia="Arial" w:hAnsi="Arial" w:cs="Arial"/>
          <w:color w:val="201F1E"/>
          <w:sz w:val="22"/>
          <w:szCs w:val="22"/>
          <w:lang w:eastAsia="en-AU"/>
        </w:rPr>
        <w:t xml:space="preserve"> funding is being allocated based on merit and what will deliver the greatest public good. This allows Treasury to communicate to agencies that it is not strictly concerned with savings, </w:t>
      </w:r>
      <w:r w:rsidR="00A61462">
        <w:rPr>
          <w:rFonts w:ascii="Arial" w:eastAsia="Arial" w:hAnsi="Arial" w:cs="Arial"/>
          <w:color w:val="201F1E"/>
          <w:sz w:val="22"/>
          <w:szCs w:val="22"/>
          <w:lang w:eastAsia="en-AU"/>
        </w:rPr>
        <w:t xml:space="preserve">but also </w:t>
      </w:r>
      <w:r w:rsidR="0F7481BA" w:rsidRPr="008E44DA">
        <w:rPr>
          <w:rFonts w:ascii="Arial" w:eastAsia="Arial" w:hAnsi="Arial" w:cs="Arial"/>
          <w:color w:val="201F1E"/>
          <w:sz w:val="22"/>
          <w:szCs w:val="22"/>
          <w:lang w:eastAsia="en-AU"/>
        </w:rPr>
        <w:t>service delivery for the public good and better budgeting processes. Outcomes-based funding is, as one NSW Treasury official observed, “an alliance with the public service t</w:t>
      </w:r>
      <w:r w:rsidR="63561258" w:rsidRPr="008E44DA">
        <w:rPr>
          <w:rFonts w:ascii="Arial" w:eastAsia="Arial" w:hAnsi="Arial" w:cs="Arial"/>
          <w:color w:val="201F1E"/>
          <w:sz w:val="22"/>
          <w:szCs w:val="22"/>
          <w:lang w:eastAsia="en-AU"/>
        </w:rPr>
        <w:t>o drive good decision making</w:t>
      </w:r>
      <w:r w:rsidR="00A61462">
        <w:rPr>
          <w:rFonts w:ascii="Arial" w:eastAsia="Arial" w:hAnsi="Arial" w:cs="Arial"/>
          <w:color w:val="201F1E"/>
          <w:sz w:val="22"/>
          <w:szCs w:val="22"/>
          <w:lang w:eastAsia="en-AU"/>
        </w:rPr>
        <w:t>.</w:t>
      </w:r>
      <w:r w:rsidR="63561258" w:rsidRPr="008E44DA">
        <w:rPr>
          <w:rFonts w:ascii="Arial" w:eastAsia="Arial" w:hAnsi="Arial" w:cs="Arial"/>
          <w:color w:val="201F1E"/>
          <w:sz w:val="22"/>
          <w:szCs w:val="22"/>
          <w:lang w:eastAsia="en-AU"/>
        </w:rPr>
        <w:t>”</w:t>
      </w:r>
    </w:p>
    <w:p w14:paraId="032A6B16" w14:textId="77777777" w:rsidR="00A61462" w:rsidRPr="008E44DA" w:rsidRDefault="00A61462" w:rsidP="009B1E99">
      <w:pPr>
        <w:spacing w:line="276" w:lineRule="auto"/>
        <w:jc w:val="both"/>
        <w:rPr>
          <w:rFonts w:ascii="Arial" w:eastAsia="Arial" w:hAnsi="Arial" w:cs="Arial"/>
          <w:color w:val="201F1E"/>
          <w:sz w:val="22"/>
          <w:szCs w:val="22"/>
          <w:lang w:eastAsia="en-AU"/>
        </w:rPr>
      </w:pPr>
    </w:p>
    <w:p w14:paraId="6F128958" w14:textId="7C7A2621" w:rsidR="00BD53A3" w:rsidRDefault="63561258" w:rsidP="009B1E99">
      <w:pPr>
        <w:spacing w:line="276" w:lineRule="auto"/>
        <w:jc w:val="both"/>
        <w:rPr>
          <w:rFonts w:ascii="Arial" w:eastAsia="Arial" w:hAnsi="Arial" w:cs="Arial"/>
          <w:color w:val="201F1E"/>
          <w:sz w:val="22"/>
          <w:szCs w:val="22"/>
        </w:rPr>
      </w:pPr>
      <w:r w:rsidRPr="008E44DA">
        <w:rPr>
          <w:rFonts w:ascii="Arial" w:eastAsia="Arial" w:hAnsi="Arial" w:cs="Arial"/>
          <w:color w:val="201F1E"/>
          <w:sz w:val="22"/>
          <w:szCs w:val="22"/>
          <w:lang w:eastAsia="en-AU"/>
        </w:rPr>
        <w:lastRenderedPageBreak/>
        <w:t xml:space="preserve">Among NSW Treasury officials, both </w:t>
      </w:r>
      <w:r w:rsidR="00583643" w:rsidRPr="008E44DA">
        <w:rPr>
          <w:rFonts w:ascii="Arial" w:eastAsia="Arial" w:hAnsi="Arial" w:cs="Arial"/>
          <w:color w:val="201F1E"/>
          <w:sz w:val="22"/>
          <w:szCs w:val="22"/>
          <w:lang w:eastAsia="en-AU"/>
        </w:rPr>
        <w:t>purposeful</w:t>
      </w:r>
      <w:r w:rsidRPr="008E44DA">
        <w:rPr>
          <w:rFonts w:ascii="Arial" w:eastAsia="Arial" w:hAnsi="Arial" w:cs="Arial"/>
          <w:color w:val="201F1E"/>
          <w:sz w:val="22"/>
          <w:szCs w:val="22"/>
          <w:lang w:eastAsia="en-AU"/>
        </w:rPr>
        <w:t xml:space="preserve"> </w:t>
      </w:r>
      <w:r w:rsidR="00ED20EA">
        <w:rPr>
          <w:rFonts w:ascii="Arial" w:eastAsia="Arial" w:hAnsi="Arial" w:cs="Arial"/>
          <w:color w:val="201F1E"/>
          <w:sz w:val="22"/>
          <w:szCs w:val="22"/>
          <w:lang w:eastAsia="en-AU"/>
        </w:rPr>
        <w:t>messaging</w:t>
      </w:r>
      <w:r w:rsidRPr="008E44DA">
        <w:rPr>
          <w:rFonts w:ascii="Arial" w:eastAsia="Arial" w:hAnsi="Arial" w:cs="Arial"/>
          <w:color w:val="201F1E"/>
          <w:sz w:val="22"/>
          <w:szCs w:val="22"/>
          <w:lang w:eastAsia="en-AU"/>
        </w:rPr>
        <w:t xml:space="preserve"> and trust building </w:t>
      </w:r>
      <w:r w:rsidR="00D303A4">
        <w:rPr>
          <w:rFonts w:ascii="Arial" w:eastAsia="Arial" w:hAnsi="Arial" w:cs="Arial"/>
          <w:color w:val="201F1E"/>
          <w:sz w:val="22"/>
          <w:szCs w:val="22"/>
          <w:lang w:eastAsia="en-AU"/>
        </w:rPr>
        <w:t xml:space="preserve">are </w:t>
      </w:r>
      <w:r w:rsidRPr="008E44DA">
        <w:rPr>
          <w:rFonts w:ascii="Arial" w:eastAsia="Arial" w:hAnsi="Arial" w:cs="Arial"/>
          <w:color w:val="201F1E"/>
          <w:sz w:val="22"/>
          <w:szCs w:val="22"/>
          <w:lang w:eastAsia="en-AU"/>
        </w:rPr>
        <w:t>seen to have helped outcome measures gain purchase.</w:t>
      </w:r>
      <w:r w:rsidR="00EB106C">
        <w:rPr>
          <w:rFonts w:ascii="Arial" w:eastAsia="Arial" w:hAnsi="Arial" w:cs="Arial"/>
          <w:color w:val="201F1E"/>
          <w:sz w:val="22"/>
          <w:szCs w:val="22"/>
          <w:lang w:eastAsia="en-AU"/>
        </w:rPr>
        <w:t xml:space="preserve"> Higher levels of trust and clarity have made line agencies </w:t>
      </w:r>
      <w:r w:rsidR="0F7481BA" w:rsidRPr="008E44DA">
        <w:rPr>
          <w:rFonts w:ascii="Arial" w:eastAsia="Arial" w:hAnsi="Arial" w:cs="Arial"/>
          <w:color w:val="201F1E"/>
          <w:sz w:val="22"/>
          <w:szCs w:val="22"/>
          <w:lang w:eastAsia="en-AU"/>
        </w:rPr>
        <w:t>more likely to engage fully and with good faith in the agreed cycle of designing an outcomes-based project, agreeing upon measures, providing regular reporting, and enacting reform in response to outcome measures.</w:t>
      </w:r>
      <w:r w:rsidR="369F18B1" w:rsidRPr="008E44DA">
        <w:rPr>
          <w:rFonts w:ascii="Arial" w:eastAsia="Arial" w:hAnsi="Arial" w:cs="Arial"/>
          <w:color w:val="201F1E"/>
          <w:sz w:val="22"/>
          <w:szCs w:val="22"/>
        </w:rPr>
        <w:t xml:space="preserve"> </w:t>
      </w:r>
    </w:p>
    <w:p w14:paraId="120CB975" w14:textId="77777777" w:rsidR="00C718DC" w:rsidRPr="008E44DA" w:rsidRDefault="00C718DC" w:rsidP="009B1E99">
      <w:pPr>
        <w:spacing w:line="276" w:lineRule="auto"/>
        <w:jc w:val="both"/>
        <w:rPr>
          <w:rFonts w:ascii="Arial" w:eastAsia="Arial" w:hAnsi="Arial" w:cs="Arial"/>
          <w:color w:val="201F1E"/>
          <w:sz w:val="22"/>
          <w:szCs w:val="22"/>
          <w:lang w:eastAsia="en-AU"/>
        </w:rPr>
      </w:pPr>
    </w:p>
    <w:p w14:paraId="6C41FCCD" w14:textId="6B9B9177" w:rsidR="00D64A09" w:rsidRDefault="00BD53A3"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t xml:space="preserve">Greater opportunities for collaboration </w:t>
      </w:r>
      <w:r w:rsidR="00BB6FF7" w:rsidRPr="008E44DA">
        <w:rPr>
          <w:rFonts w:ascii="Arial" w:eastAsia="Arial" w:hAnsi="Arial" w:cs="Arial"/>
          <w:color w:val="201F1E"/>
          <w:sz w:val="22"/>
          <w:szCs w:val="22"/>
          <w:lang w:eastAsia="en-AU"/>
        </w:rPr>
        <w:t xml:space="preserve">may </w:t>
      </w:r>
      <w:r w:rsidRPr="008E44DA">
        <w:rPr>
          <w:rFonts w:ascii="Arial" w:eastAsia="Arial" w:hAnsi="Arial" w:cs="Arial"/>
          <w:color w:val="201F1E"/>
          <w:sz w:val="22"/>
          <w:szCs w:val="22"/>
          <w:lang w:eastAsia="en-AU"/>
        </w:rPr>
        <w:t>also protect against a fundamental feature of economic thinking – the preference for large datasets and simplified models that tend to reduce the complexities of existing economies and societal forces.</w:t>
      </w:r>
      <w:r w:rsidRPr="008E44DA">
        <w:rPr>
          <w:rStyle w:val="FootnoteReference"/>
          <w:rFonts w:ascii="Arial" w:eastAsia="Arial" w:hAnsi="Arial" w:cs="Arial"/>
          <w:color w:val="201F1E"/>
          <w:sz w:val="22"/>
          <w:szCs w:val="22"/>
          <w:lang w:eastAsia="en-AU"/>
        </w:rPr>
        <w:footnoteReference w:id="12"/>
      </w:r>
      <w:r w:rsidRPr="008E44DA">
        <w:rPr>
          <w:rFonts w:ascii="Arial" w:eastAsia="Arial" w:hAnsi="Arial" w:cs="Arial"/>
          <w:color w:val="201F1E"/>
          <w:sz w:val="22"/>
          <w:szCs w:val="22"/>
          <w:lang w:eastAsia="en-AU"/>
        </w:rPr>
        <w:t xml:space="preserve"> Certainly, large datasets provide useful insight into cohorts and trends in service use. However, they do not necessarily substitute the deeper work that agencies do. One senior official from Commonwealth Finance observed the need for institutional structures to join up the capabilities of central and line agencies. </w:t>
      </w:r>
    </w:p>
    <w:p w14:paraId="2F567380" w14:textId="77777777" w:rsidR="00D64A09" w:rsidRDefault="00D64A09" w:rsidP="009B1E99">
      <w:pPr>
        <w:spacing w:line="276" w:lineRule="auto"/>
        <w:jc w:val="both"/>
        <w:rPr>
          <w:rFonts w:ascii="Arial" w:eastAsia="Arial" w:hAnsi="Arial" w:cs="Arial"/>
          <w:color w:val="201F1E"/>
          <w:sz w:val="22"/>
          <w:szCs w:val="22"/>
          <w:lang w:eastAsia="en-AU"/>
        </w:rPr>
      </w:pPr>
    </w:p>
    <w:p w14:paraId="7141F1E3" w14:textId="6F0C4F32" w:rsidR="00BD53A3" w:rsidRPr="008E44DA" w:rsidRDefault="00BD53A3"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000000" w:themeColor="text1"/>
          <w:sz w:val="22"/>
          <w:szCs w:val="22"/>
          <w:lang w:val="en-US"/>
        </w:rPr>
        <w:t>The incorporation of agencies’ specialist knowledge about a portfolio – what is needed to address complex problems (e.g.</w:t>
      </w:r>
      <w:r w:rsidR="00025467">
        <w:rPr>
          <w:rFonts w:ascii="Arial" w:eastAsia="Arial" w:hAnsi="Arial" w:cs="Arial"/>
          <w:color w:val="000000" w:themeColor="text1"/>
          <w:sz w:val="22"/>
          <w:szCs w:val="22"/>
          <w:lang w:val="en-US"/>
        </w:rPr>
        <w:t xml:space="preserve"> </w:t>
      </w:r>
      <w:r w:rsidRPr="008E44DA">
        <w:rPr>
          <w:rStyle w:val="normaltextrun"/>
          <w:rFonts w:ascii="Arial" w:hAnsi="Arial" w:cs="Arial"/>
          <w:color w:val="000000"/>
          <w:sz w:val="22"/>
          <w:szCs w:val="22"/>
          <w:shd w:val="clear" w:color="auto" w:fill="FFFFFF"/>
        </w:rPr>
        <w:t>local solutions and empowering individuals and communities)</w:t>
      </w:r>
      <w:r w:rsidRPr="008E44DA">
        <w:rPr>
          <w:rFonts w:ascii="Arial" w:eastAsia="Arial" w:hAnsi="Arial" w:cs="Arial"/>
          <w:color w:val="000000" w:themeColor="text1"/>
          <w:sz w:val="22"/>
          <w:szCs w:val="22"/>
          <w:lang w:val="en-US"/>
        </w:rPr>
        <w:t>, what information is being measured and if it is the</w:t>
      </w:r>
      <w:r w:rsidRPr="008E44DA">
        <w:rPr>
          <w:rFonts w:ascii="Arial" w:eastAsia="Arial" w:hAnsi="Arial" w:cs="Arial"/>
          <w:color w:val="201F1E"/>
          <w:sz w:val="22"/>
          <w:szCs w:val="22"/>
          <w:lang w:eastAsia="en-AU"/>
        </w:rPr>
        <w:t xml:space="preserve"> correct and most useful information – facilitates the design of more sophisticated proposals with better outcome measures.</w:t>
      </w:r>
    </w:p>
    <w:p w14:paraId="37948685" w14:textId="532D1B95" w:rsidR="0C5CA3C5" w:rsidRPr="008E44DA" w:rsidRDefault="0C5CA3C5" w:rsidP="00ED20EA">
      <w:pPr>
        <w:spacing w:line="276" w:lineRule="auto"/>
        <w:rPr>
          <w:rFonts w:ascii="Arial" w:eastAsia="Arial" w:hAnsi="Arial" w:cs="Arial"/>
          <w:color w:val="201F1E"/>
          <w:sz w:val="20"/>
          <w:szCs w:val="20"/>
          <w:lang w:eastAsia="en-AU"/>
        </w:rPr>
      </w:pPr>
    </w:p>
    <w:p w14:paraId="35212B9B" w14:textId="0A53C1DA" w:rsidR="0C5CA3C5" w:rsidRPr="008E44DA" w:rsidRDefault="786334C3" w:rsidP="00ED20EA">
      <w:pPr>
        <w:pStyle w:val="Heading3"/>
        <w:spacing w:before="0" w:line="276" w:lineRule="auto"/>
        <w:rPr>
          <w:rFonts w:ascii="Arial" w:eastAsia="DengXian Light" w:hAnsi="Arial" w:cs="Arial"/>
          <w:color w:val="1F3763"/>
        </w:rPr>
      </w:pPr>
      <w:r w:rsidRPr="008E44DA">
        <w:rPr>
          <w:rFonts w:ascii="Arial" w:hAnsi="Arial" w:cs="Arial"/>
        </w:rPr>
        <w:t>4.1.1</w:t>
      </w:r>
      <w:r w:rsidR="0C5CA3C5" w:rsidRPr="008E44DA">
        <w:rPr>
          <w:rFonts w:ascii="Arial" w:hAnsi="Arial" w:cs="Arial"/>
        </w:rPr>
        <w:tab/>
      </w:r>
      <w:r w:rsidRPr="008E44DA">
        <w:rPr>
          <w:rFonts w:ascii="Arial" w:hAnsi="Arial" w:cs="Arial"/>
        </w:rPr>
        <w:t>Considerations for DTF</w:t>
      </w:r>
    </w:p>
    <w:p w14:paraId="4A72644D" w14:textId="2EC96440" w:rsidR="00182E67" w:rsidRPr="008E44DA" w:rsidRDefault="00182E67" w:rsidP="00ED20EA">
      <w:pPr>
        <w:spacing w:line="276" w:lineRule="auto"/>
        <w:rPr>
          <w:rFonts w:ascii="Arial" w:eastAsia="Arial" w:hAnsi="Arial" w:cs="Arial"/>
          <w:color w:val="201F1E"/>
          <w:sz w:val="22"/>
          <w:szCs w:val="22"/>
          <w:lang w:eastAsia="en-AU"/>
        </w:rPr>
      </w:pPr>
    </w:p>
    <w:p w14:paraId="21DF9056" w14:textId="3EAB905F" w:rsidR="0D320F2B" w:rsidRPr="008E44DA" w:rsidRDefault="47460D17" w:rsidP="009B1E99">
      <w:pPr>
        <w:spacing w:line="276" w:lineRule="auto"/>
        <w:jc w:val="both"/>
        <w:rPr>
          <w:rFonts w:ascii="Arial" w:eastAsia="Arial" w:hAnsi="Arial" w:cs="Arial"/>
          <w:color w:val="000000" w:themeColor="text1"/>
          <w:sz w:val="22"/>
          <w:szCs w:val="22"/>
        </w:rPr>
      </w:pPr>
      <w:r w:rsidRPr="008E44DA">
        <w:rPr>
          <w:rFonts w:ascii="Arial" w:eastAsia="Arial" w:hAnsi="Arial" w:cs="Arial"/>
          <w:color w:val="201F1E"/>
          <w:sz w:val="22"/>
          <w:szCs w:val="22"/>
          <w:lang w:eastAsia="en-AU"/>
        </w:rPr>
        <w:t xml:space="preserve">The next practical step in </w:t>
      </w:r>
      <w:r w:rsidR="005535B7">
        <w:rPr>
          <w:rFonts w:ascii="Arial" w:eastAsia="Arial" w:hAnsi="Arial" w:cs="Arial"/>
          <w:color w:val="201F1E"/>
          <w:sz w:val="22"/>
          <w:szCs w:val="22"/>
          <w:lang w:eastAsia="en-AU"/>
        </w:rPr>
        <w:t>refining and implementing</w:t>
      </w:r>
      <w:r w:rsidRPr="008E44DA">
        <w:rPr>
          <w:rFonts w:ascii="Arial" w:eastAsia="Arial" w:hAnsi="Arial" w:cs="Arial"/>
          <w:color w:val="201F1E"/>
          <w:sz w:val="22"/>
          <w:szCs w:val="22"/>
          <w:lang w:eastAsia="en-AU"/>
        </w:rPr>
        <w:t xml:space="preserve"> the EIIF is ensuring that the rationale for </w:t>
      </w:r>
      <w:r w:rsidR="2E76C135" w:rsidRPr="008E44DA">
        <w:rPr>
          <w:rFonts w:ascii="Arial" w:eastAsia="Arial" w:hAnsi="Arial" w:cs="Arial"/>
          <w:color w:val="201F1E"/>
          <w:sz w:val="22"/>
          <w:szCs w:val="22"/>
          <w:lang w:eastAsia="en-AU"/>
        </w:rPr>
        <w:t xml:space="preserve">improved outcomes and avoided costs is well defined and understood by </w:t>
      </w:r>
      <w:r w:rsidR="0088310A">
        <w:rPr>
          <w:rFonts w:ascii="Arial" w:eastAsia="Arial" w:hAnsi="Arial" w:cs="Arial"/>
          <w:color w:val="201F1E"/>
          <w:sz w:val="22"/>
          <w:szCs w:val="22"/>
          <w:lang w:eastAsia="en-AU"/>
        </w:rPr>
        <w:t>stakeholders</w:t>
      </w:r>
      <w:r w:rsidR="2E76C135" w:rsidRPr="008E44DA">
        <w:rPr>
          <w:rFonts w:ascii="Arial" w:eastAsia="Arial" w:hAnsi="Arial" w:cs="Arial"/>
          <w:color w:val="201F1E"/>
          <w:sz w:val="22"/>
          <w:szCs w:val="22"/>
          <w:lang w:eastAsia="en-AU"/>
        </w:rPr>
        <w:t>.</w:t>
      </w:r>
      <w:r w:rsidR="369F18B1" w:rsidRPr="008E44DA">
        <w:rPr>
          <w:rFonts w:ascii="Arial" w:eastAsia="Arial" w:hAnsi="Arial" w:cs="Arial"/>
          <w:color w:val="201F1E"/>
          <w:sz w:val="22"/>
          <w:szCs w:val="22"/>
        </w:rPr>
        <w:t xml:space="preserve"> </w:t>
      </w:r>
      <w:r w:rsidR="002A1D47">
        <w:rPr>
          <w:rFonts w:ascii="Arial" w:eastAsia="Arial" w:hAnsi="Arial" w:cs="Arial"/>
          <w:color w:val="201F1E"/>
          <w:sz w:val="22"/>
          <w:szCs w:val="22"/>
        </w:rPr>
        <w:t xml:space="preserve">NSW and New Zealand treasury officials suggest that an outcomes framework, </w:t>
      </w:r>
      <w:r w:rsidR="000872F5">
        <w:rPr>
          <w:rFonts w:ascii="Arial" w:eastAsia="Arial" w:hAnsi="Arial" w:cs="Arial"/>
          <w:color w:val="201F1E"/>
          <w:sz w:val="22"/>
          <w:szCs w:val="22"/>
        </w:rPr>
        <w:t>similar to</w:t>
      </w:r>
      <w:r w:rsidR="002A1D47">
        <w:rPr>
          <w:rFonts w:ascii="Arial" w:eastAsia="Arial" w:hAnsi="Arial" w:cs="Arial"/>
          <w:color w:val="201F1E"/>
          <w:sz w:val="22"/>
          <w:szCs w:val="22"/>
        </w:rPr>
        <w:t xml:space="preserve"> their own,</w:t>
      </w:r>
      <w:r w:rsidR="36B1B4F0" w:rsidRPr="008E44DA">
        <w:rPr>
          <w:rFonts w:ascii="Arial" w:eastAsia="Arial" w:hAnsi="Arial" w:cs="Arial"/>
          <w:color w:val="201F1E"/>
          <w:sz w:val="22"/>
          <w:szCs w:val="22"/>
        </w:rPr>
        <w:t xml:space="preserve"> may prove a useful tool in helping </w:t>
      </w:r>
      <w:r w:rsidR="00D64A09">
        <w:rPr>
          <w:rFonts w:ascii="Arial" w:eastAsia="Arial" w:hAnsi="Arial" w:cs="Arial"/>
          <w:color w:val="201F1E"/>
          <w:sz w:val="22"/>
          <w:szCs w:val="22"/>
        </w:rPr>
        <w:t xml:space="preserve">line </w:t>
      </w:r>
      <w:r w:rsidR="36B1B4F0" w:rsidRPr="008E44DA">
        <w:rPr>
          <w:rFonts w:ascii="Arial" w:eastAsia="Arial" w:hAnsi="Arial" w:cs="Arial"/>
          <w:color w:val="201F1E"/>
          <w:sz w:val="22"/>
          <w:szCs w:val="22"/>
        </w:rPr>
        <w:t xml:space="preserve">agencies learn and adapt. </w:t>
      </w:r>
      <w:r w:rsidR="369F18B1" w:rsidRPr="008E44DA">
        <w:rPr>
          <w:rFonts w:ascii="Arial" w:eastAsia="Arial" w:hAnsi="Arial" w:cs="Arial"/>
          <w:color w:val="201F1E"/>
          <w:sz w:val="22"/>
          <w:szCs w:val="22"/>
        </w:rPr>
        <w:t>It is important to recognise that existing structures and reporting processes, particularly those which are public, will drive behaviours and culture and could cut across more nuanced and valuable EIIF measures.</w:t>
      </w:r>
    </w:p>
    <w:p w14:paraId="13C3171A" w14:textId="2D85FE3B" w:rsidR="01D29025" w:rsidRPr="008E44DA" w:rsidRDefault="01D29025" w:rsidP="009B1E99">
      <w:pPr>
        <w:spacing w:line="276" w:lineRule="auto"/>
        <w:jc w:val="both"/>
        <w:rPr>
          <w:rFonts w:ascii="Arial" w:eastAsia="Arial" w:hAnsi="Arial" w:cs="Arial"/>
          <w:color w:val="000000" w:themeColor="text1"/>
          <w:sz w:val="22"/>
          <w:szCs w:val="22"/>
        </w:rPr>
      </w:pPr>
    </w:p>
    <w:p w14:paraId="176E55D7" w14:textId="4A2871A6" w:rsidR="725360C1" w:rsidRPr="008E44DA" w:rsidRDefault="23B4EF31"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t>DTF should be prepared for opposition</w:t>
      </w:r>
      <w:r w:rsidR="00676B3A">
        <w:rPr>
          <w:rFonts w:ascii="Arial" w:eastAsia="Arial" w:hAnsi="Arial" w:cs="Arial"/>
          <w:color w:val="201F1E"/>
          <w:sz w:val="22"/>
          <w:szCs w:val="22"/>
          <w:lang w:eastAsia="en-AU"/>
        </w:rPr>
        <w:t xml:space="preserve"> in the first years of EIIF’s rollout</w:t>
      </w:r>
      <w:r w:rsidRPr="008E44DA">
        <w:rPr>
          <w:rFonts w:ascii="Arial" w:eastAsia="Arial" w:hAnsi="Arial" w:cs="Arial"/>
          <w:color w:val="201F1E"/>
          <w:sz w:val="22"/>
          <w:szCs w:val="22"/>
          <w:lang w:eastAsia="en-AU"/>
        </w:rPr>
        <w:t xml:space="preserve"> </w:t>
      </w:r>
      <w:r w:rsidR="002A1D47">
        <w:rPr>
          <w:rFonts w:ascii="Arial" w:eastAsia="Arial" w:hAnsi="Arial" w:cs="Arial"/>
          <w:color w:val="201F1E"/>
          <w:sz w:val="22"/>
          <w:szCs w:val="22"/>
          <w:lang w:eastAsia="en-AU"/>
        </w:rPr>
        <w:t xml:space="preserve">– including scepticism or mistrust among </w:t>
      </w:r>
      <w:r w:rsidR="002A6D4D">
        <w:rPr>
          <w:rFonts w:ascii="Arial" w:eastAsia="Arial" w:hAnsi="Arial" w:cs="Arial"/>
          <w:color w:val="201F1E"/>
          <w:sz w:val="22"/>
          <w:szCs w:val="22"/>
          <w:lang w:eastAsia="en-AU"/>
        </w:rPr>
        <w:t xml:space="preserve">some </w:t>
      </w:r>
      <w:r w:rsidR="002A1D47">
        <w:rPr>
          <w:rFonts w:ascii="Arial" w:eastAsia="Arial" w:hAnsi="Arial" w:cs="Arial"/>
          <w:color w:val="201F1E"/>
          <w:sz w:val="22"/>
          <w:szCs w:val="22"/>
          <w:lang w:eastAsia="en-AU"/>
        </w:rPr>
        <w:t xml:space="preserve">line agencies and </w:t>
      </w:r>
      <w:r w:rsidR="009563BE">
        <w:rPr>
          <w:rFonts w:ascii="Arial" w:eastAsia="Arial" w:hAnsi="Arial" w:cs="Arial"/>
          <w:color w:val="201F1E"/>
          <w:sz w:val="22"/>
          <w:szCs w:val="22"/>
          <w:lang w:eastAsia="en-AU"/>
        </w:rPr>
        <w:t>a reluctance</w:t>
      </w:r>
      <w:r w:rsidR="002A1D47">
        <w:rPr>
          <w:rFonts w:ascii="Arial" w:eastAsia="Arial" w:hAnsi="Arial" w:cs="Arial"/>
          <w:color w:val="201F1E"/>
          <w:sz w:val="22"/>
          <w:szCs w:val="22"/>
          <w:lang w:eastAsia="en-AU"/>
        </w:rPr>
        <w:t xml:space="preserve"> to report on what initiatives have not worked –</w:t>
      </w:r>
      <w:r w:rsidR="002A1D47" w:rsidRPr="008E44DA">
        <w:rPr>
          <w:rFonts w:ascii="Arial" w:eastAsia="Arial" w:hAnsi="Arial" w:cs="Arial"/>
          <w:color w:val="201F1E"/>
          <w:sz w:val="22"/>
          <w:szCs w:val="22"/>
          <w:lang w:eastAsia="en-AU"/>
        </w:rPr>
        <w:t xml:space="preserve"> </w:t>
      </w:r>
      <w:r w:rsidRPr="008E44DA">
        <w:rPr>
          <w:rFonts w:ascii="Arial" w:eastAsia="Arial" w:hAnsi="Arial" w:cs="Arial"/>
          <w:color w:val="201F1E"/>
          <w:sz w:val="22"/>
          <w:szCs w:val="22"/>
          <w:lang w:eastAsia="en-AU"/>
        </w:rPr>
        <w:t>and</w:t>
      </w:r>
      <w:r w:rsidR="00AC21A1">
        <w:rPr>
          <w:rFonts w:ascii="Arial" w:eastAsia="Arial" w:hAnsi="Arial" w:cs="Arial"/>
          <w:color w:val="201F1E"/>
          <w:sz w:val="22"/>
          <w:szCs w:val="22"/>
          <w:lang w:eastAsia="en-AU"/>
        </w:rPr>
        <w:t xml:space="preserve"> the need to </w:t>
      </w:r>
      <w:r w:rsidRPr="008E44DA">
        <w:rPr>
          <w:rFonts w:ascii="Arial" w:eastAsia="Arial" w:hAnsi="Arial" w:cs="Arial"/>
          <w:color w:val="201F1E"/>
          <w:sz w:val="22"/>
          <w:szCs w:val="22"/>
          <w:lang w:eastAsia="en-AU"/>
        </w:rPr>
        <w:t xml:space="preserve">commit to a sustained campaign of collaboration and communication with line agencies to incrementally build trust in the EIIF. </w:t>
      </w:r>
      <w:r w:rsidR="00090CEC" w:rsidRPr="008E44DA">
        <w:rPr>
          <w:rFonts w:ascii="Arial" w:eastAsia="Arial" w:hAnsi="Arial" w:cs="Arial"/>
          <w:color w:val="201F1E"/>
          <w:sz w:val="22"/>
          <w:szCs w:val="22"/>
          <w:lang w:eastAsia="en-AU"/>
        </w:rPr>
        <w:t>DTF has already made some headway in this area, having developed avoided cost budget guidelines</w:t>
      </w:r>
      <w:r w:rsidR="00676B3A">
        <w:rPr>
          <w:rFonts w:ascii="Arial" w:eastAsia="Arial" w:hAnsi="Arial" w:cs="Arial"/>
          <w:color w:val="201F1E"/>
          <w:sz w:val="22"/>
          <w:szCs w:val="22"/>
          <w:lang w:eastAsia="en-AU"/>
        </w:rPr>
        <w:t xml:space="preserve">, and working collaboratively to quantify impacts for new EIIF proposals with line agencies including: estimating avoided costs, </w:t>
      </w:r>
      <w:r w:rsidR="00090CEC" w:rsidRPr="008E44DA">
        <w:rPr>
          <w:rFonts w:ascii="Arial" w:eastAsia="Arial" w:hAnsi="Arial" w:cs="Arial"/>
          <w:color w:val="201F1E"/>
          <w:sz w:val="22"/>
          <w:szCs w:val="22"/>
          <w:lang w:eastAsia="en-AU"/>
        </w:rPr>
        <w:t>identifying outcome measures</w:t>
      </w:r>
      <w:r w:rsidR="00287346">
        <w:rPr>
          <w:rFonts w:ascii="Arial" w:eastAsia="Arial" w:hAnsi="Arial" w:cs="Arial"/>
          <w:color w:val="201F1E"/>
          <w:sz w:val="22"/>
          <w:szCs w:val="22"/>
          <w:lang w:eastAsia="en-AU"/>
        </w:rPr>
        <w:t xml:space="preserve"> and helping to set targets for potential budget bids</w:t>
      </w:r>
      <w:r w:rsidR="00090CEC" w:rsidRPr="008E44DA">
        <w:rPr>
          <w:rFonts w:ascii="Arial" w:eastAsia="Arial" w:hAnsi="Arial" w:cs="Arial"/>
          <w:color w:val="201F1E"/>
          <w:sz w:val="22"/>
          <w:szCs w:val="22"/>
          <w:lang w:eastAsia="en-AU"/>
        </w:rPr>
        <w:t xml:space="preserve">. The development of institutional structures may continue to support this collaborative approach. </w:t>
      </w:r>
      <w:r w:rsidR="00B00AE3">
        <w:rPr>
          <w:rFonts w:ascii="Arial" w:eastAsia="Arial" w:hAnsi="Arial" w:cs="Arial"/>
          <w:color w:val="201F1E"/>
          <w:sz w:val="22"/>
          <w:szCs w:val="22"/>
          <w:lang w:eastAsia="en-AU"/>
        </w:rPr>
        <w:t xml:space="preserve">A consideration for </w:t>
      </w:r>
      <w:r w:rsidR="00090CEC" w:rsidRPr="008E44DA">
        <w:rPr>
          <w:rFonts w:ascii="Arial" w:eastAsia="Arial" w:hAnsi="Arial" w:cs="Arial"/>
          <w:color w:val="201F1E"/>
          <w:sz w:val="22"/>
          <w:szCs w:val="22"/>
          <w:lang w:eastAsia="en-AU"/>
        </w:rPr>
        <w:t>DT</w:t>
      </w:r>
      <w:r w:rsidR="00B00AE3">
        <w:rPr>
          <w:rFonts w:ascii="Arial" w:eastAsia="Arial" w:hAnsi="Arial" w:cs="Arial"/>
          <w:color w:val="201F1E"/>
          <w:sz w:val="22"/>
          <w:szCs w:val="22"/>
          <w:lang w:eastAsia="en-AU"/>
        </w:rPr>
        <w:t>F is</w:t>
      </w:r>
      <w:r w:rsidR="00090CEC" w:rsidRPr="008E44DA">
        <w:rPr>
          <w:rFonts w:ascii="Arial" w:eastAsia="Arial" w:hAnsi="Arial" w:cs="Arial"/>
          <w:color w:val="201F1E"/>
          <w:sz w:val="22"/>
          <w:szCs w:val="22"/>
          <w:lang w:eastAsia="en-AU"/>
        </w:rPr>
        <w:t xml:space="preserve"> what form these</w:t>
      </w:r>
      <w:r w:rsidR="00676B3A">
        <w:rPr>
          <w:rFonts w:ascii="Arial" w:eastAsia="Arial" w:hAnsi="Arial" w:cs="Arial"/>
          <w:color w:val="201F1E"/>
          <w:sz w:val="22"/>
          <w:szCs w:val="22"/>
          <w:lang w:eastAsia="en-AU"/>
        </w:rPr>
        <w:t xml:space="preserve"> </w:t>
      </w:r>
      <w:r w:rsidR="00090CEC" w:rsidRPr="008E44DA">
        <w:rPr>
          <w:rFonts w:ascii="Arial" w:eastAsia="Arial" w:hAnsi="Arial" w:cs="Arial"/>
          <w:color w:val="201F1E"/>
          <w:sz w:val="22"/>
          <w:szCs w:val="22"/>
          <w:lang w:eastAsia="en-AU"/>
        </w:rPr>
        <w:t>may take, and how best to implement them.</w:t>
      </w:r>
    </w:p>
    <w:p w14:paraId="67C3F249" w14:textId="238668DE" w:rsidR="725360C1" w:rsidRPr="008E44DA" w:rsidRDefault="725360C1" w:rsidP="009B1E99">
      <w:pPr>
        <w:spacing w:line="276" w:lineRule="auto"/>
        <w:jc w:val="both"/>
        <w:rPr>
          <w:rFonts w:ascii="Arial" w:eastAsia="Arial" w:hAnsi="Arial" w:cs="Arial"/>
          <w:color w:val="201F1E"/>
          <w:sz w:val="22"/>
          <w:szCs w:val="22"/>
          <w:lang w:eastAsia="en-AU"/>
        </w:rPr>
      </w:pPr>
    </w:p>
    <w:p w14:paraId="222D730D" w14:textId="6D3CACC6" w:rsidR="725360C1" w:rsidRPr="008E44DA" w:rsidRDefault="0D320F2B"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t>Overwhelmingly, the literature and interview</w:t>
      </w:r>
      <w:r w:rsidR="006A7BC2">
        <w:rPr>
          <w:rFonts w:ascii="Arial" w:eastAsia="Arial" w:hAnsi="Arial" w:cs="Arial"/>
          <w:color w:val="201F1E"/>
          <w:sz w:val="22"/>
          <w:szCs w:val="22"/>
          <w:lang w:eastAsia="en-AU"/>
        </w:rPr>
        <w:t xml:space="preserve"> findings</w:t>
      </w:r>
      <w:r w:rsidRPr="008E44DA">
        <w:rPr>
          <w:rFonts w:ascii="Arial" w:eastAsia="Arial" w:hAnsi="Arial" w:cs="Arial"/>
          <w:color w:val="201F1E"/>
          <w:sz w:val="22"/>
          <w:szCs w:val="22"/>
          <w:lang w:eastAsia="en-AU"/>
        </w:rPr>
        <w:t xml:space="preserve"> suggest that </w:t>
      </w:r>
      <w:r w:rsidR="00213B7A" w:rsidRPr="008E44DA">
        <w:rPr>
          <w:rFonts w:ascii="Arial" w:eastAsia="Arial" w:hAnsi="Arial" w:cs="Arial"/>
          <w:color w:val="201F1E"/>
          <w:sz w:val="22"/>
          <w:szCs w:val="22"/>
          <w:lang w:eastAsia="en-AU"/>
        </w:rPr>
        <w:t xml:space="preserve">line agencies </w:t>
      </w:r>
      <w:r w:rsidRPr="008E44DA">
        <w:rPr>
          <w:rFonts w:ascii="Arial" w:eastAsia="Arial" w:hAnsi="Arial" w:cs="Arial"/>
          <w:color w:val="201F1E"/>
          <w:sz w:val="22"/>
          <w:szCs w:val="22"/>
          <w:lang w:eastAsia="en-AU"/>
        </w:rPr>
        <w:t xml:space="preserve">should be treated </w:t>
      </w:r>
      <w:r w:rsidR="00213B7A" w:rsidRPr="008E44DA">
        <w:rPr>
          <w:rFonts w:ascii="Arial" w:eastAsia="Arial" w:hAnsi="Arial" w:cs="Arial"/>
          <w:color w:val="201F1E"/>
          <w:sz w:val="22"/>
          <w:szCs w:val="22"/>
          <w:lang w:eastAsia="en-AU"/>
        </w:rPr>
        <w:t>as partners rather than a vulnerability. For DTF, this would involve</w:t>
      </w:r>
      <w:r w:rsidR="002E5D04">
        <w:rPr>
          <w:rFonts w:ascii="Arial" w:eastAsia="Arial" w:hAnsi="Arial" w:cs="Arial"/>
          <w:color w:val="201F1E"/>
          <w:sz w:val="22"/>
          <w:szCs w:val="22"/>
          <w:lang w:eastAsia="en-AU"/>
        </w:rPr>
        <w:t xml:space="preserve"> continu</w:t>
      </w:r>
      <w:r w:rsidR="0071249F">
        <w:rPr>
          <w:rFonts w:ascii="Arial" w:eastAsia="Arial" w:hAnsi="Arial" w:cs="Arial"/>
          <w:color w:val="201F1E"/>
          <w:sz w:val="22"/>
          <w:szCs w:val="22"/>
          <w:lang w:eastAsia="en-AU"/>
        </w:rPr>
        <w:t>ing</w:t>
      </w:r>
      <w:r w:rsidR="002E5D04">
        <w:rPr>
          <w:rFonts w:ascii="Arial" w:eastAsia="Arial" w:hAnsi="Arial" w:cs="Arial"/>
          <w:color w:val="201F1E"/>
          <w:sz w:val="22"/>
          <w:szCs w:val="22"/>
          <w:lang w:eastAsia="en-AU"/>
        </w:rPr>
        <w:t xml:space="preserve"> to</w:t>
      </w:r>
      <w:r w:rsidR="00213B7A" w:rsidRPr="008E44DA">
        <w:rPr>
          <w:rFonts w:ascii="Arial" w:eastAsia="Arial" w:hAnsi="Arial" w:cs="Arial"/>
          <w:color w:val="201F1E"/>
          <w:sz w:val="22"/>
          <w:szCs w:val="22"/>
          <w:lang w:eastAsia="en-AU"/>
        </w:rPr>
        <w:t xml:space="preserve"> acknowledg</w:t>
      </w:r>
      <w:r w:rsidR="002E5D04">
        <w:rPr>
          <w:rFonts w:ascii="Arial" w:eastAsia="Arial" w:hAnsi="Arial" w:cs="Arial"/>
          <w:color w:val="201F1E"/>
          <w:sz w:val="22"/>
          <w:szCs w:val="22"/>
          <w:lang w:eastAsia="en-AU"/>
        </w:rPr>
        <w:t>e</w:t>
      </w:r>
      <w:r w:rsidR="00213B7A" w:rsidRPr="008E44DA">
        <w:rPr>
          <w:rFonts w:ascii="Arial" w:eastAsia="Arial" w:hAnsi="Arial" w:cs="Arial"/>
          <w:color w:val="201F1E"/>
          <w:sz w:val="22"/>
          <w:szCs w:val="22"/>
          <w:lang w:eastAsia="en-AU"/>
        </w:rPr>
        <w:t xml:space="preserve"> that line agencies bring with them specialist knowledge about complex problems and appropriate and available performance information that can augment what EIIF is trying to achieve. </w:t>
      </w:r>
      <w:r w:rsidRPr="008E44DA">
        <w:rPr>
          <w:rFonts w:ascii="Arial" w:eastAsia="Arial" w:hAnsi="Arial" w:cs="Arial"/>
          <w:color w:val="201F1E"/>
          <w:sz w:val="22"/>
          <w:szCs w:val="22"/>
          <w:lang w:eastAsia="en-AU"/>
        </w:rPr>
        <w:t xml:space="preserve">Opportunities </w:t>
      </w:r>
      <w:r w:rsidR="47467085" w:rsidRPr="008E44DA">
        <w:rPr>
          <w:rFonts w:ascii="Arial" w:eastAsia="Arial" w:hAnsi="Arial" w:cs="Arial"/>
          <w:color w:val="201F1E"/>
          <w:sz w:val="22"/>
          <w:szCs w:val="22"/>
          <w:lang w:eastAsia="en-AU"/>
        </w:rPr>
        <w:t xml:space="preserve">for engagement across various </w:t>
      </w:r>
      <w:r w:rsidRPr="008E44DA">
        <w:rPr>
          <w:rFonts w:ascii="Arial" w:eastAsia="Arial" w:hAnsi="Arial" w:cs="Arial"/>
          <w:color w:val="201F1E"/>
          <w:sz w:val="22"/>
          <w:szCs w:val="22"/>
          <w:lang w:eastAsia="en-AU"/>
        </w:rPr>
        <w:t>portfolios</w:t>
      </w:r>
      <w:r w:rsidR="47467085" w:rsidRPr="008E44DA">
        <w:rPr>
          <w:rFonts w:ascii="Arial" w:eastAsia="Arial" w:hAnsi="Arial" w:cs="Arial"/>
          <w:color w:val="201F1E"/>
          <w:sz w:val="22"/>
          <w:szCs w:val="22"/>
          <w:lang w:eastAsia="en-AU"/>
        </w:rPr>
        <w:t xml:space="preserve"> and levels of seniority</w:t>
      </w:r>
      <w:r w:rsidRPr="008E44DA">
        <w:rPr>
          <w:rFonts w:ascii="Arial" w:eastAsia="Arial" w:hAnsi="Arial" w:cs="Arial"/>
          <w:color w:val="201F1E"/>
          <w:sz w:val="22"/>
          <w:szCs w:val="22"/>
          <w:lang w:eastAsia="en-AU"/>
        </w:rPr>
        <w:t xml:space="preserve"> will </w:t>
      </w:r>
      <w:r w:rsidRPr="008E44DA">
        <w:rPr>
          <w:rFonts w:ascii="Arial" w:eastAsia="Arial" w:hAnsi="Arial" w:cs="Arial"/>
          <w:color w:val="201F1E"/>
          <w:sz w:val="22"/>
          <w:szCs w:val="22"/>
          <w:lang w:eastAsia="en-AU"/>
        </w:rPr>
        <w:lastRenderedPageBreak/>
        <w:t xml:space="preserve">be valuable in this process, providing DTF opportunities </w:t>
      </w:r>
      <w:r w:rsidR="0F7481BA" w:rsidRPr="008E44DA">
        <w:rPr>
          <w:rFonts w:ascii="Arial" w:eastAsia="Arial" w:hAnsi="Arial" w:cs="Arial"/>
          <w:color w:val="201F1E"/>
          <w:sz w:val="22"/>
          <w:szCs w:val="22"/>
          <w:lang w:eastAsia="en-AU"/>
        </w:rPr>
        <w:t xml:space="preserve">to consider the different knowledge, guidance, and tools required to align purpose both horizontality and vertically. </w:t>
      </w:r>
    </w:p>
    <w:p w14:paraId="68EC0F3B" w14:textId="77777777" w:rsidR="00B51595" w:rsidRPr="008E44DA" w:rsidRDefault="00B51595" w:rsidP="009B1E99">
      <w:pPr>
        <w:spacing w:line="276" w:lineRule="auto"/>
        <w:jc w:val="both"/>
        <w:rPr>
          <w:rFonts w:ascii="Arial" w:eastAsia="Arial" w:hAnsi="Arial" w:cs="Arial"/>
          <w:color w:val="201F1E"/>
          <w:sz w:val="22"/>
          <w:szCs w:val="22"/>
          <w:lang w:eastAsia="en-AU"/>
        </w:rPr>
      </w:pPr>
    </w:p>
    <w:p w14:paraId="1923D42F" w14:textId="77777777" w:rsidR="003C7097" w:rsidRDefault="0D320F2B"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t xml:space="preserve">DTF is still in the initial stages of crafting the overall messaging around the EIIF and </w:t>
      </w:r>
      <w:r w:rsidR="0C5CA3C5" w:rsidRPr="008E44DA">
        <w:rPr>
          <w:rFonts w:ascii="Arial" w:eastAsia="Arial" w:hAnsi="Arial" w:cs="Arial"/>
          <w:color w:val="201F1E"/>
          <w:sz w:val="22"/>
          <w:szCs w:val="22"/>
          <w:lang w:eastAsia="en-AU"/>
        </w:rPr>
        <w:t xml:space="preserve">outcomes measures. </w:t>
      </w:r>
      <w:r w:rsidR="36B1B4F0" w:rsidRPr="008E44DA">
        <w:rPr>
          <w:rFonts w:ascii="Arial" w:eastAsia="Arial" w:hAnsi="Arial" w:cs="Arial"/>
          <w:color w:val="201F1E"/>
          <w:sz w:val="22"/>
          <w:szCs w:val="22"/>
          <w:lang w:eastAsia="en-AU"/>
        </w:rPr>
        <w:t xml:space="preserve">A foundation of frankness will lend credibility to the outcomes-focused rationale of the EIIF and increase its long-term viability. This requires DTF to balance </w:t>
      </w:r>
      <w:r w:rsidR="0F7481BA" w:rsidRPr="008E44DA">
        <w:rPr>
          <w:rFonts w:ascii="Arial" w:eastAsia="Arial" w:hAnsi="Arial" w:cs="Arial"/>
          <w:color w:val="201F1E"/>
          <w:sz w:val="22"/>
          <w:szCs w:val="22"/>
          <w:lang w:eastAsia="en-AU"/>
        </w:rPr>
        <w:t xml:space="preserve">aspiration with reality in its messaging around the EIIF. </w:t>
      </w:r>
    </w:p>
    <w:p w14:paraId="3BF3AF39" w14:textId="77777777" w:rsidR="003C7097" w:rsidRDefault="003C7097" w:rsidP="009B1E99">
      <w:pPr>
        <w:spacing w:line="276" w:lineRule="auto"/>
        <w:jc w:val="both"/>
        <w:rPr>
          <w:rFonts w:ascii="Arial" w:eastAsia="Arial" w:hAnsi="Arial" w:cs="Arial"/>
          <w:color w:val="201F1E"/>
          <w:sz w:val="22"/>
          <w:szCs w:val="22"/>
          <w:lang w:eastAsia="en-AU"/>
        </w:rPr>
      </w:pPr>
    </w:p>
    <w:p w14:paraId="6ADF8A02" w14:textId="2F6414C0" w:rsidR="0D320F2B" w:rsidRDefault="36B1B4F0"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t xml:space="preserve">The EIIF is a </w:t>
      </w:r>
      <w:r w:rsidR="00676B3A">
        <w:rPr>
          <w:rFonts w:ascii="Arial" w:eastAsia="Arial" w:hAnsi="Arial" w:cs="Arial"/>
          <w:color w:val="201F1E"/>
          <w:sz w:val="22"/>
          <w:szCs w:val="22"/>
          <w:lang w:eastAsia="en-AU"/>
        </w:rPr>
        <w:t>more-informed</w:t>
      </w:r>
      <w:r w:rsidR="00676B3A" w:rsidRPr="008E44DA">
        <w:rPr>
          <w:rFonts w:ascii="Arial" w:eastAsia="Arial" w:hAnsi="Arial" w:cs="Arial"/>
          <w:color w:val="201F1E"/>
          <w:sz w:val="22"/>
          <w:szCs w:val="22"/>
          <w:lang w:eastAsia="en-AU"/>
        </w:rPr>
        <w:t xml:space="preserve"> </w:t>
      </w:r>
      <w:r w:rsidRPr="008E44DA">
        <w:rPr>
          <w:rFonts w:ascii="Arial" w:eastAsia="Arial" w:hAnsi="Arial" w:cs="Arial"/>
          <w:color w:val="201F1E"/>
          <w:sz w:val="22"/>
          <w:szCs w:val="22"/>
          <w:lang w:eastAsia="en-AU"/>
        </w:rPr>
        <w:t>budgeting process and investment in the decision-making capability of the VPS to facilitate</w:t>
      </w:r>
      <w:r w:rsidR="0F7481BA" w:rsidRPr="008E44DA">
        <w:rPr>
          <w:rFonts w:ascii="Arial" w:eastAsia="Arial" w:hAnsi="Arial" w:cs="Arial"/>
          <w:color w:val="201F1E"/>
          <w:sz w:val="22"/>
          <w:szCs w:val="22"/>
          <w:lang w:eastAsia="en-AU"/>
        </w:rPr>
        <w:t xml:space="preserve"> more effective and efficient social services. However, at times – including now – it is also a better savings process. This latter feature would certainly be apparent to line agencies, and a failure to acknowledge this will only generate suspicion that D</w:t>
      </w:r>
      <w:r w:rsidR="00EC7608" w:rsidRPr="008E44DA">
        <w:rPr>
          <w:rFonts w:ascii="Arial" w:eastAsia="Arial" w:hAnsi="Arial" w:cs="Arial"/>
          <w:color w:val="201F1E"/>
          <w:sz w:val="22"/>
          <w:szCs w:val="22"/>
          <w:lang w:eastAsia="en-AU"/>
        </w:rPr>
        <w:t>TF is not acting in good faith</w:t>
      </w:r>
      <w:r w:rsidR="00AD6255" w:rsidRPr="008E44DA">
        <w:rPr>
          <w:rFonts w:ascii="Arial" w:eastAsia="Arial" w:hAnsi="Arial" w:cs="Arial"/>
          <w:color w:val="201F1E"/>
          <w:sz w:val="22"/>
          <w:szCs w:val="22"/>
          <w:lang w:eastAsia="en-AU"/>
        </w:rPr>
        <w:t xml:space="preserve">, </w:t>
      </w:r>
      <w:r w:rsidR="0F7481BA" w:rsidRPr="008E44DA">
        <w:rPr>
          <w:rFonts w:ascii="Arial" w:eastAsia="Arial" w:hAnsi="Arial" w:cs="Arial"/>
          <w:color w:val="201F1E"/>
          <w:sz w:val="22"/>
          <w:szCs w:val="22"/>
          <w:lang w:eastAsia="en-AU"/>
        </w:rPr>
        <w:t>leaving line agencies less likely to engage</w:t>
      </w:r>
      <w:r w:rsidR="00927423">
        <w:rPr>
          <w:rFonts w:ascii="Arial" w:eastAsia="Arial" w:hAnsi="Arial" w:cs="Arial"/>
          <w:color w:val="201F1E"/>
          <w:sz w:val="22"/>
          <w:szCs w:val="22"/>
          <w:lang w:eastAsia="en-AU"/>
        </w:rPr>
        <w:t>.</w:t>
      </w:r>
      <w:r w:rsidR="002A1D47">
        <w:rPr>
          <w:rFonts w:ascii="Arial" w:eastAsia="Arial" w:hAnsi="Arial" w:cs="Arial"/>
          <w:color w:val="201F1E"/>
          <w:sz w:val="22"/>
          <w:szCs w:val="22"/>
          <w:lang w:eastAsia="en-AU"/>
        </w:rPr>
        <w:t xml:space="preserve"> </w:t>
      </w:r>
      <w:r w:rsidRPr="008E44DA">
        <w:rPr>
          <w:rFonts w:ascii="Arial" w:eastAsia="Arial" w:hAnsi="Arial" w:cs="Arial"/>
          <w:color w:val="201F1E"/>
          <w:sz w:val="22"/>
          <w:szCs w:val="22"/>
          <w:lang w:eastAsia="en-AU"/>
        </w:rPr>
        <w:t xml:space="preserve">DTF would do well to acknowledge that the EIIF is useful in periods of both budgetary growth and savings, and clear in its </w:t>
      </w:r>
      <w:r w:rsidR="0F7481BA" w:rsidRPr="008E44DA">
        <w:rPr>
          <w:rFonts w:ascii="Arial" w:eastAsia="Arial" w:hAnsi="Arial" w:cs="Arial"/>
          <w:color w:val="201F1E"/>
          <w:sz w:val="22"/>
          <w:szCs w:val="22"/>
          <w:lang w:eastAsia="en-AU"/>
        </w:rPr>
        <w:t xml:space="preserve">expectation that it will work with line agencies to identify both inefficiencies as points for savings and effective strategies for increased future </w:t>
      </w:r>
      <w:r w:rsidR="00A5696D">
        <w:rPr>
          <w:rFonts w:ascii="Arial" w:eastAsia="Arial" w:hAnsi="Arial" w:cs="Arial"/>
          <w:color w:val="201F1E"/>
          <w:sz w:val="22"/>
          <w:szCs w:val="22"/>
          <w:lang w:eastAsia="en-AU"/>
        </w:rPr>
        <w:t>i</w:t>
      </w:r>
      <w:r w:rsidR="7CE82145" w:rsidRPr="008E44DA">
        <w:rPr>
          <w:rFonts w:ascii="Arial" w:eastAsia="Arial" w:hAnsi="Arial" w:cs="Arial"/>
          <w:color w:val="201F1E"/>
          <w:sz w:val="22"/>
          <w:szCs w:val="22"/>
          <w:lang w:eastAsia="en-AU"/>
        </w:rPr>
        <w:t>nvestment</w:t>
      </w:r>
      <w:r w:rsidR="0F7481BA" w:rsidRPr="008E44DA">
        <w:rPr>
          <w:rFonts w:ascii="Arial" w:eastAsia="Arial" w:hAnsi="Arial" w:cs="Arial"/>
          <w:color w:val="201F1E"/>
          <w:sz w:val="22"/>
          <w:szCs w:val="22"/>
          <w:lang w:eastAsia="en-AU"/>
        </w:rPr>
        <w:t>.</w:t>
      </w:r>
    </w:p>
    <w:p w14:paraId="24C17984" w14:textId="77777777" w:rsidR="0044300B" w:rsidRPr="008E44DA" w:rsidRDefault="0044300B" w:rsidP="009B1E99">
      <w:pPr>
        <w:spacing w:line="276" w:lineRule="auto"/>
        <w:jc w:val="both"/>
        <w:rPr>
          <w:rFonts w:ascii="Arial" w:eastAsia="Arial" w:hAnsi="Arial" w:cs="Arial"/>
          <w:color w:val="201F1E"/>
          <w:sz w:val="22"/>
          <w:szCs w:val="22"/>
          <w:lang w:eastAsia="en-AU"/>
        </w:rPr>
      </w:pPr>
    </w:p>
    <w:p w14:paraId="5C9DD322" w14:textId="1624D8D4" w:rsidR="0044300B" w:rsidRDefault="0044300B"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rPr>
        <w:t xml:space="preserve">In thinking about the </w:t>
      </w:r>
      <w:r>
        <w:rPr>
          <w:rFonts w:ascii="Arial" w:eastAsia="Arial" w:hAnsi="Arial" w:cs="Arial"/>
          <w:color w:val="201F1E"/>
          <w:sz w:val="22"/>
          <w:szCs w:val="22"/>
        </w:rPr>
        <w:t>messaging surrounding</w:t>
      </w:r>
      <w:r w:rsidRPr="008E44DA">
        <w:rPr>
          <w:rFonts w:ascii="Arial" w:eastAsia="Arial" w:hAnsi="Arial" w:cs="Arial"/>
          <w:color w:val="201F1E"/>
          <w:sz w:val="22"/>
          <w:szCs w:val="22"/>
        </w:rPr>
        <w:t xml:space="preserve"> outcome measures</w:t>
      </w:r>
      <w:r>
        <w:rPr>
          <w:rFonts w:ascii="Arial" w:eastAsia="Arial" w:hAnsi="Arial" w:cs="Arial"/>
          <w:color w:val="201F1E"/>
          <w:sz w:val="22"/>
          <w:szCs w:val="22"/>
        </w:rPr>
        <w:t>,</w:t>
      </w:r>
      <w:r w:rsidRPr="008E44DA">
        <w:rPr>
          <w:rFonts w:ascii="Arial" w:eastAsia="Arial" w:hAnsi="Arial" w:cs="Arial"/>
          <w:color w:val="201F1E"/>
          <w:sz w:val="22"/>
          <w:szCs w:val="22"/>
        </w:rPr>
        <w:t xml:space="preserve"> it may </w:t>
      </w:r>
      <w:r w:rsidR="00003ABA">
        <w:rPr>
          <w:rFonts w:ascii="Arial" w:eastAsia="Arial" w:hAnsi="Arial" w:cs="Arial"/>
          <w:color w:val="201F1E"/>
          <w:sz w:val="22"/>
          <w:szCs w:val="22"/>
        </w:rPr>
        <w:t xml:space="preserve">also </w:t>
      </w:r>
      <w:r w:rsidRPr="008E44DA">
        <w:rPr>
          <w:rFonts w:ascii="Arial" w:eastAsia="Arial" w:hAnsi="Arial" w:cs="Arial"/>
          <w:color w:val="201F1E"/>
          <w:sz w:val="22"/>
          <w:szCs w:val="22"/>
        </w:rPr>
        <w:t>be useful to consider expanding those involved in determining success beyond central and line agencies to include service providers and service users</w:t>
      </w:r>
      <w:r w:rsidR="00003ABA">
        <w:rPr>
          <w:rFonts w:ascii="Arial" w:eastAsia="Arial" w:hAnsi="Arial" w:cs="Arial"/>
          <w:color w:val="201F1E"/>
          <w:sz w:val="22"/>
          <w:szCs w:val="22"/>
        </w:rPr>
        <w:t xml:space="preserve">. This broader engagement will </w:t>
      </w:r>
      <w:r w:rsidRPr="008E44DA">
        <w:rPr>
          <w:rFonts w:ascii="Arial" w:eastAsia="Arial" w:hAnsi="Arial" w:cs="Arial"/>
          <w:color w:val="201F1E"/>
          <w:sz w:val="22"/>
          <w:szCs w:val="22"/>
        </w:rPr>
        <w:t>maximise the focus on the ultimate outcomes being sought, and increase buy-in.</w:t>
      </w:r>
    </w:p>
    <w:p w14:paraId="099DAC91" w14:textId="77777777" w:rsidR="0044300B" w:rsidRPr="008E44DA" w:rsidRDefault="0044300B" w:rsidP="009B1E99">
      <w:pPr>
        <w:spacing w:line="276" w:lineRule="auto"/>
        <w:jc w:val="both"/>
        <w:rPr>
          <w:rFonts w:ascii="Arial" w:eastAsia="Arial" w:hAnsi="Arial" w:cs="Arial"/>
          <w:color w:val="201F1E"/>
          <w:sz w:val="22"/>
          <w:szCs w:val="22"/>
          <w:lang w:eastAsia="en-AU"/>
        </w:rPr>
      </w:pPr>
    </w:p>
    <w:p w14:paraId="6D3BB323" w14:textId="0BE467C9" w:rsidR="008A76C4" w:rsidRDefault="0C5CA3C5"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t>A f</w:t>
      </w:r>
      <w:r w:rsidR="005D1E22">
        <w:rPr>
          <w:rFonts w:ascii="Arial" w:eastAsia="Arial" w:hAnsi="Arial" w:cs="Arial"/>
          <w:color w:val="201F1E"/>
          <w:sz w:val="22"/>
          <w:szCs w:val="22"/>
          <w:lang w:eastAsia="en-AU"/>
        </w:rPr>
        <w:t>inal</w:t>
      </w:r>
      <w:r w:rsidR="00DC059E">
        <w:rPr>
          <w:rFonts w:ascii="Arial" w:eastAsia="Arial" w:hAnsi="Arial" w:cs="Arial"/>
          <w:color w:val="201F1E"/>
          <w:sz w:val="22"/>
          <w:szCs w:val="22"/>
          <w:lang w:eastAsia="en-AU"/>
        </w:rPr>
        <w:t xml:space="preserve"> </w:t>
      </w:r>
      <w:r w:rsidRPr="008E44DA">
        <w:rPr>
          <w:rFonts w:ascii="Arial" w:eastAsia="Arial" w:hAnsi="Arial" w:cs="Arial"/>
          <w:color w:val="201F1E"/>
          <w:sz w:val="22"/>
          <w:szCs w:val="22"/>
          <w:lang w:eastAsia="en-AU"/>
        </w:rPr>
        <w:t xml:space="preserve">consideration for DTF around how the EIIF is communicated is how the framework relates to </w:t>
      </w:r>
      <w:r w:rsidR="004282B6" w:rsidRPr="008E44DA">
        <w:rPr>
          <w:rFonts w:ascii="Arial" w:eastAsia="Arial" w:hAnsi="Arial" w:cs="Arial"/>
          <w:color w:val="201F1E"/>
          <w:sz w:val="22"/>
          <w:szCs w:val="22"/>
          <w:lang w:eastAsia="en-AU"/>
        </w:rPr>
        <w:t>vertical pressures</w:t>
      </w:r>
      <w:r w:rsidRPr="008E44DA">
        <w:rPr>
          <w:rFonts w:ascii="Arial" w:eastAsia="Arial" w:hAnsi="Arial" w:cs="Arial"/>
          <w:color w:val="201F1E"/>
          <w:sz w:val="22"/>
          <w:szCs w:val="22"/>
          <w:lang w:eastAsia="en-AU"/>
        </w:rPr>
        <w:t xml:space="preserve"> and the gravitational pull of broader </w:t>
      </w:r>
      <w:r w:rsidR="001103A1">
        <w:rPr>
          <w:rFonts w:ascii="Arial" w:eastAsia="Arial" w:hAnsi="Arial" w:cs="Arial"/>
          <w:color w:val="201F1E"/>
          <w:sz w:val="22"/>
          <w:szCs w:val="22"/>
          <w:lang w:eastAsia="en-AU"/>
        </w:rPr>
        <w:t>G</w:t>
      </w:r>
      <w:r w:rsidR="001103A1" w:rsidRPr="008E44DA">
        <w:rPr>
          <w:rFonts w:ascii="Arial" w:eastAsia="Arial" w:hAnsi="Arial" w:cs="Arial"/>
          <w:color w:val="201F1E"/>
          <w:sz w:val="22"/>
          <w:szCs w:val="22"/>
          <w:lang w:eastAsia="en-AU"/>
        </w:rPr>
        <w:t xml:space="preserve">overnment </w:t>
      </w:r>
      <w:r w:rsidRPr="008E44DA">
        <w:rPr>
          <w:rFonts w:ascii="Arial" w:eastAsia="Arial" w:hAnsi="Arial" w:cs="Arial"/>
          <w:color w:val="201F1E"/>
          <w:sz w:val="22"/>
          <w:szCs w:val="22"/>
          <w:lang w:eastAsia="en-AU"/>
        </w:rPr>
        <w:t>processes.</w:t>
      </w:r>
      <w:r w:rsidR="004282B6" w:rsidRPr="008E44DA">
        <w:rPr>
          <w:rFonts w:ascii="Arial" w:eastAsia="Arial" w:hAnsi="Arial" w:cs="Arial"/>
          <w:color w:val="201F1E"/>
          <w:sz w:val="22"/>
          <w:szCs w:val="22"/>
          <w:lang w:eastAsia="en-AU"/>
        </w:rPr>
        <w:t xml:space="preserve"> For instance, </w:t>
      </w:r>
      <w:r w:rsidR="004282B6" w:rsidRPr="008E44DA">
        <w:rPr>
          <w:rFonts w:ascii="Arial" w:eastAsia="Arial" w:hAnsi="Arial" w:cs="Arial"/>
          <w:color w:val="000000" w:themeColor="text1"/>
          <w:sz w:val="22"/>
          <w:szCs w:val="22"/>
        </w:rPr>
        <w:t>Budget</w:t>
      </w:r>
      <w:r w:rsidR="725360C1" w:rsidRPr="008E44DA">
        <w:rPr>
          <w:rFonts w:ascii="Arial" w:eastAsia="Arial" w:hAnsi="Arial" w:cs="Arial"/>
          <w:color w:val="201F1E"/>
          <w:sz w:val="22"/>
          <w:szCs w:val="22"/>
          <w:lang w:eastAsia="en-AU"/>
        </w:rPr>
        <w:t xml:space="preserve"> Paper No. 3: Service Delivery (BP3) outlines the </w:t>
      </w:r>
      <w:r w:rsidR="00F60371">
        <w:rPr>
          <w:rFonts w:ascii="Arial" w:eastAsia="Arial" w:hAnsi="Arial" w:cs="Arial"/>
          <w:color w:val="201F1E"/>
          <w:sz w:val="22"/>
          <w:szCs w:val="22"/>
          <w:lang w:eastAsia="en-AU"/>
        </w:rPr>
        <w:t>G</w:t>
      </w:r>
      <w:r w:rsidR="00F60371" w:rsidRPr="008E44DA">
        <w:rPr>
          <w:rFonts w:ascii="Arial" w:eastAsia="Arial" w:hAnsi="Arial" w:cs="Arial"/>
          <w:color w:val="201F1E"/>
          <w:sz w:val="22"/>
          <w:szCs w:val="22"/>
          <w:lang w:eastAsia="en-AU"/>
        </w:rPr>
        <w:t>overnment’s</w:t>
      </w:r>
      <w:r w:rsidR="00F60371">
        <w:rPr>
          <w:rFonts w:ascii="Arial" w:eastAsia="Arial" w:hAnsi="Arial" w:cs="Arial"/>
          <w:color w:val="201F1E"/>
          <w:sz w:val="22"/>
          <w:szCs w:val="22"/>
          <w:lang w:eastAsia="en-AU"/>
        </w:rPr>
        <w:t xml:space="preserve"> </w:t>
      </w:r>
      <w:r w:rsidR="00025467">
        <w:rPr>
          <w:rFonts w:ascii="Arial" w:eastAsia="Arial" w:hAnsi="Arial" w:cs="Arial"/>
          <w:color w:val="201F1E"/>
          <w:sz w:val="22"/>
          <w:szCs w:val="22"/>
          <w:lang w:eastAsia="en-AU"/>
        </w:rPr>
        <w:t>new funding decisions</w:t>
      </w:r>
      <w:r w:rsidR="00DC7B73">
        <w:rPr>
          <w:rFonts w:ascii="Arial" w:eastAsia="Arial" w:hAnsi="Arial" w:cs="Arial"/>
          <w:color w:val="201F1E"/>
          <w:sz w:val="22"/>
          <w:szCs w:val="22"/>
          <w:lang w:eastAsia="en-AU"/>
        </w:rPr>
        <w:t xml:space="preserve">, how these support the Government’s strategic objectives, </w:t>
      </w:r>
      <w:r w:rsidR="725360C1" w:rsidRPr="008E44DA">
        <w:rPr>
          <w:rFonts w:ascii="Arial" w:eastAsia="Arial" w:hAnsi="Arial" w:cs="Arial"/>
          <w:color w:val="201F1E"/>
          <w:sz w:val="22"/>
          <w:szCs w:val="22"/>
          <w:lang w:eastAsia="en-AU"/>
        </w:rPr>
        <w:t>and performance measures. There is a risk that EIIF funded initiatives will be distorted by the gravitational pull of BP3 measures</w:t>
      </w:r>
      <w:r w:rsidR="00025467">
        <w:rPr>
          <w:rFonts w:ascii="Arial" w:eastAsia="Arial" w:hAnsi="Arial" w:cs="Arial"/>
          <w:color w:val="201F1E"/>
          <w:sz w:val="22"/>
          <w:szCs w:val="22"/>
          <w:lang w:eastAsia="en-AU"/>
        </w:rPr>
        <w:t>, which have a stronger emphasis on compliance</w:t>
      </w:r>
      <w:r w:rsidR="725360C1" w:rsidRPr="008E44DA">
        <w:rPr>
          <w:rFonts w:ascii="Arial" w:eastAsia="Arial" w:hAnsi="Arial" w:cs="Arial"/>
          <w:color w:val="201F1E"/>
          <w:sz w:val="22"/>
          <w:szCs w:val="22"/>
          <w:lang w:eastAsia="en-AU"/>
        </w:rPr>
        <w:t>.</w:t>
      </w:r>
      <w:r w:rsidR="00025467">
        <w:rPr>
          <w:rFonts w:ascii="Arial" w:eastAsia="Arial" w:hAnsi="Arial" w:cs="Arial"/>
          <w:color w:val="201F1E"/>
          <w:sz w:val="22"/>
          <w:szCs w:val="22"/>
          <w:lang w:eastAsia="en-AU"/>
        </w:rPr>
        <w:t xml:space="preserve"> </w:t>
      </w:r>
      <w:r w:rsidR="725360C1" w:rsidRPr="008E44DA">
        <w:rPr>
          <w:rFonts w:ascii="Arial" w:eastAsia="Arial" w:hAnsi="Arial" w:cs="Arial"/>
          <w:color w:val="201F1E"/>
          <w:sz w:val="22"/>
          <w:szCs w:val="22"/>
          <w:lang w:eastAsia="en-AU"/>
        </w:rPr>
        <w:t xml:space="preserve">Accordingly, DTF may wish to consider how best to align EIIF and BP3 to demonstrate a clear line of sight between EIIF initiatives and </w:t>
      </w:r>
      <w:r w:rsidR="00DC7B73">
        <w:rPr>
          <w:rFonts w:ascii="Arial" w:eastAsia="Arial" w:hAnsi="Arial" w:cs="Arial"/>
          <w:color w:val="201F1E"/>
          <w:sz w:val="22"/>
          <w:szCs w:val="22"/>
          <w:lang w:eastAsia="en-AU"/>
        </w:rPr>
        <w:t>G</w:t>
      </w:r>
      <w:r w:rsidR="725360C1" w:rsidRPr="008E44DA">
        <w:rPr>
          <w:rFonts w:ascii="Arial" w:eastAsia="Arial" w:hAnsi="Arial" w:cs="Arial"/>
          <w:color w:val="201F1E"/>
          <w:sz w:val="22"/>
          <w:szCs w:val="22"/>
          <w:lang w:eastAsia="en-AU"/>
        </w:rPr>
        <w:t xml:space="preserve">overnment </w:t>
      </w:r>
      <w:r w:rsidR="00DC7B73">
        <w:rPr>
          <w:rFonts w:ascii="Arial" w:eastAsia="Arial" w:hAnsi="Arial" w:cs="Arial"/>
          <w:color w:val="201F1E"/>
          <w:sz w:val="22"/>
          <w:szCs w:val="22"/>
          <w:lang w:eastAsia="en-AU"/>
        </w:rPr>
        <w:t>objectives</w:t>
      </w:r>
      <w:r w:rsidR="725360C1" w:rsidRPr="008E44DA">
        <w:rPr>
          <w:rFonts w:ascii="Arial" w:eastAsia="Arial" w:hAnsi="Arial" w:cs="Arial"/>
          <w:color w:val="201F1E"/>
          <w:sz w:val="22"/>
          <w:szCs w:val="22"/>
          <w:lang w:eastAsia="en-AU"/>
        </w:rPr>
        <w:t xml:space="preserve">, preventing potential downstream barriers to an effective and sustainable EIIF. </w:t>
      </w:r>
    </w:p>
    <w:tbl>
      <w:tblPr>
        <w:tblStyle w:val="TableGrid"/>
        <w:tblpPr w:leftFromText="180" w:rightFromText="180" w:vertAnchor="text" w:horzAnchor="margin" w:tblpY="247"/>
        <w:tblW w:w="0" w:type="auto"/>
        <w:shd w:val="clear" w:color="auto" w:fill="DEEAF6" w:themeFill="accent5" w:themeFillTint="33"/>
        <w:tblLook w:val="04A0" w:firstRow="1" w:lastRow="0" w:firstColumn="1" w:lastColumn="0" w:noHBand="0" w:noVBand="1"/>
      </w:tblPr>
      <w:tblGrid>
        <w:gridCol w:w="9016"/>
      </w:tblGrid>
      <w:tr w:rsidR="008A76C4" w14:paraId="6B009B03" w14:textId="77777777" w:rsidTr="008A76C4">
        <w:tc>
          <w:tcPr>
            <w:tcW w:w="9016" w:type="dxa"/>
            <w:shd w:val="clear" w:color="auto" w:fill="DEEAF6" w:themeFill="accent5" w:themeFillTint="33"/>
          </w:tcPr>
          <w:p w14:paraId="734C82A5" w14:textId="77777777" w:rsidR="008A76C4" w:rsidRPr="00D36C4F" w:rsidRDefault="008A76C4" w:rsidP="008A76C4">
            <w:pPr>
              <w:spacing w:line="276" w:lineRule="auto"/>
              <w:rPr>
                <w:rFonts w:ascii="Arial" w:eastAsia="Arial" w:hAnsi="Arial" w:cs="Arial"/>
                <w:b/>
                <w:bCs/>
                <w:color w:val="201F1E"/>
                <w:sz w:val="22"/>
                <w:szCs w:val="22"/>
                <w:lang w:eastAsia="en-AU"/>
              </w:rPr>
            </w:pPr>
            <w:r w:rsidRPr="00D36C4F">
              <w:rPr>
                <w:rFonts w:ascii="Arial" w:eastAsia="Arial" w:hAnsi="Arial" w:cs="Arial"/>
                <w:b/>
                <w:bCs/>
                <w:color w:val="201F1E"/>
                <w:sz w:val="22"/>
                <w:szCs w:val="22"/>
                <w:lang w:eastAsia="en-AU"/>
              </w:rPr>
              <w:t>Question</w:t>
            </w:r>
            <w:r>
              <w:rPr>
                <w:rFonts w:ascii="Arial" w:eastAsia="Arial" w:hAnsi="Arial" w:cs="Arial"/>
                <w:b/>
                <w:bCs/>
                <w:color w:val="201F1E"/>
                <w:sz w:val="22"/>
                <w:szCs w:val="22"/>
                <w:lang w:eastAsia="en-AU"/>
              </w:rPr>
              <w:t>s</w:t>
            </w:r>
            <w:r w:rsidRPr="00D36C4F">
              <w:rPr>
                <w:rFonts w:ascii="Arial" w:eastAsia="Arial" w:hAnsi="Arial" w:cs="Arial"/>
                <w:b/>
                <w:bCs/>
                <w:color w:val="201F1E"/>
                <w:sz w:val="22"/>
                <w:szCs w:val="22"/>
                <w:lang w:eastAsia="en-AU"/>
              </w:rPr>
              <w:t xml:space="preserve"> to consider</w:t>
            </w:r>
            <w:r>
              <w:rPr>
                <w:rFonts w:ascii="Arial" w:eastAsia="Arial" w:hAnsi="Arial" w:cs="Arial"/>
                <w:b/>
                <w:bCs/>
                <w:color w:val="201F1E"/>
                <w:sz w:val="22"/>
                <w:szCs w:val="22"/>
                <w:lang w:eastAsia="en-AU"/>
              </w:rPr>
              <w:t>:</w:t>
            </w:r>
          </w:p>
          <w:p w14:paraId="593CF3FE" w14:textId="77777777" w:rsidR="008A76C4" w:rsidRDefault="008A76C4" w:rsidP="008A76C4">
            <w:pPr>
              <w:pStyle w:val="ListParagraph"/>
              <w:numPr>
                <w:ilvl w:val="0"/>
                <w:numId w:val="23"/>
              </w:numPr>
              <w:spacing w:line="276" w:lineRule="auto"/>
              <w:rPr>
                <w:rFonts w:ascii="Arial" w:eastAsia="Arial" w:hAnsi="Arial" w:cs="Arial"/>
                <w:color w:val="201F1E"/>
                <w:sz w:val="22"/>
                <w:szCs w:val="22"/>
                <w:lang w:eastAsia="en-AU"/>
              </w:rPr>
            </w:pPr>
            <w:r w:rsidRPr="00D36C4F">
              <w:rPr>
                <w:rFonts w:ascii="Arial" w:eastAsia="Arial" w:hAnsi="Arial" w:cs="Arial"/>
                <w:color w:val="201F1E"/>
                <w:sz w:val="22"/>
                <w:szCs w:val="22"/>
                <w:lang w:eastAsia="en-AU"/>
              </w:rPr>
              <w:t xml:space="preserve">What steps can DTF take to develop trust in the EIIF </w:t>
            </w:r>
            <w:r>
              <w:rPr>
                <w:rFonts w:ascii="Arial" w:eastAsia="Arial" w:hAnsi="Arial" w:cs="Arial"/>
                <w:color w:val="201F1E"/>
                <w:sz w:val="22"/>
                <w:szCs w:val="22"/>
                <w:lang w:eastAsia="en-AU"/>
              </w:rPr>
              <w:t xml:space="preserve">and associated budget </w:t>
            </w:r>
            <w:r w:rsidRPr="00D36C4F">
              <w:rPr>
                <w:rFonts w:ascii="Arial" w:eastAsia="Arial" w:hAnsi="Arial" w:cs="Arial"/>
                <w:color w:val="201F1E"/>
                <w:sz w:val="22"/>
                <w:szCs w:val="22"/>
                <w:lang w:eastAsia="en-AU"/>
              </w:rPr>
              <w:t>process?</w:t>
            </w:r>
          </w:p>
          <w:p w14:paraId="12694173" w14:textId="77777777" w:rsidR="008A76C4" w:rsidRPr="00D36C4F" w:rsidRDefault="008A76C4" w:rsidP="008A76C4">
            <w:pPr>
              <w:pStyle w:val="ListParagraph"/>
              <w:numPr>
                <w:ilvl w:val="0"/>
                <w:numId w:val="23"/>
              </w:numPr>
              <w:spacing w:line="276" w:lineRule="auto"/>
              <w:rPr>
                <w:rFonts w:ascii="Arial" w:eastAsia="Arial" w:hAnsi="Arial" w:cs="Arial"/>
                <w:color w:val="201F1E"/>
                <w:sz w:val="22"/>
                <w:szCs w:val="22"/>
                <w:lang w:eastAsia="en-AU"/>
              </w:rPr>
            </w:pPr>
            <w:r>
              <w:rPr>
                <w:rFonts w:ascii="Arial" w:eastAsia="Arial" w:hAnsi="Arial" w:cs="Arial"/>
                <w:color w:val="201F1E"/>
                <w:sz w:val="22"/>
                <w:szCs w:val="22"/>
                <w:lang w:eastAsia="en-AU"/>
              </w:rPr>
              <w:t>How can the EIIF and its purpose be communicated effectively?</w:t>
            </w:r>
          </w:p>
        </w:tc>
      </w:tr>
    </w:tbl>
    <w:p w14:paraId="2E2C837B" w14:textId="53AD0C0A" w:rsidR="00131D77" w:rsidRDefault="00131D77" w:rsidP="00ED20EA">
      <w:pPr>
        <w:spacing w:line="276" w:lineRule="auto"/>
        <w:rPr>
          <w:rFonts w:ascii="Arial" w:eastAsia="Arial" w:hAnsi="Arial" w:cs="Arial"/>
          <w:color w:val="201F1E"/>
          <w:sz w:val="22"/>
          <w:szCs w:val="22"/>
          <w:lang w:eastAsia="en-AU"/>
        </w:rPr>
      </w:pPr>
    </w:p>
    <w:p w14:paraId="055D6A2F" w14:textId="38AFB3D3" w:rsidR="725360C1" w:rsidRPr="008E44DA" w:rsidRDefault="725360C1" w:rsidP="00ED20EA">
      <w:pPr>
        <w:pStyle w:val="Heading2"/>
        <w:spacing w:before="0" w:line="276" w:lineRule="auto"/>
        <w:rPr>
          <w:rFonts w:ascii="Arial" w:eastAsia="Arial" w:hAnsi="Arial" w:cs="Arial"/>
          <w:lang w:eastAsia="en-AU"/>
        </w:rPr>
      </w:pPr>
      <w:r w:rsidRPr="008E44DA">
        <w:rPr>
          <w:rFonts w:ascii="Arial" w:eastAsia="Arial" w:hAnsi="Arial" w:cs="Arial"/>
          <w:lang w:eastAsia="en-AU"/>
        </w:rPr>
        <w:t>4.2</w:t>
      </w:r>
      <w:r w:rsidRPr="008E44DA">
        <w:rPr>
          <w:rFonts w:ascii="Arial" w:hAnsi="Arial" w:cs="Arial"/>
        </w:rPr>
        <w:tab/>
      </w:r>
      <w:r w:rsidR="008168EA" w:rsidRPr="008E44DA">
        <w:rPr>
          <w:rFonts w:ascii="Arial" w:eastAsia="Arial" w:hAnsi="Arial" w:cs="Arial"/>
          <w:lang w:eastAsia="en-AU"/>
        </w:rPr>
        <w:t>Managing Risk</w:t>
      </w:r>
      <w:r w:rsidR="004282B6" w:rsidRPr="008E44DA">
        <w:rPr>
          <w:rFonts w:ascii="Arial" w:eastAsia="Arial" w:hAnsi="Arial" w:cs="Arial"/>
          <w:lang w:eastAsia="en-AU"/>
        </w:rPr>
        <w:t xml:space="preserve"> </w:t>
      </w:r>
    </w:p>
    <w:p w14:paraId="7A8AA808" w14:textId="4280F42E" w:rsidR="0C5CA3C5" w:rsidRPr="008E44DA" w:rsidRDefault="0C5CA3C5" w:rsidP="00ED20EA">
      <w:pPr>
        <w:spacing w:line="276" w:lineRule="auto"/>
        <w:rPr>
          <w:rFonts w:ascii="Arial" w:eastAsia="Arial" w:hAnsi="Arial" w:cs="Arial"/>
          <w:color w:val="000000" w:themeColor="text1"/>
          <w:sz w:val="22"/>
          <w:szCs w:val="22"/>
        </w:rPr>
      </w:pPr>
    </w:p>
    <w:p w14:paraId="317162D6" w14:textId="192E1DA5" w:rsidR="0C5CA3C5" w:rsidRPr="008E44DA" w:rsidRDefault="786334C3" w:rsidP="009B1E99">
      <w:pPr>
        <w:spacing w:line="276" w:lineRule="auto"/>
        <w:jc w:val="both"/>
        <w:rPr>
          <w:rFonts w:ascii="Arial" w:eastAsia="Arial" w:hAnsi="Arial" w:cs="Arial"/>
          <w:color w:val="000000" w:themeColor="text1"/>
          <w:sz w:val="22"/>
          <w:szCs w:val="22"/>
        </w:rPr>
      </w:pPr>
      <w:r w:rsidRPr="008E44DA">
        <w:rPr>
          <w:rFonts w:ascii="Arial" w:eastAsia="Arial" w:hAnsi="Arial" w:cs="Arial"/>
          <w:color w:val="000000" w:themeColor="text1"/>
          <w:sz w:val="22"/>
          <w:szCs w:val="22"/>
        </w:rPr>
        <w:t xml:space="preserve">The </w:t>
      </w:r>
      <w:r w:rsidR="01D29025" w:rsidRPr="008E44DA">
        <w:rPr>
          <w:rFonts w:ascii="Arial" w:eastAsia="Arial" w:hAnsi="Arial" w:cs="Arial"/>
          <w:color w:val="000000" w:themeColor="text1"/>
          <w:sz w:val="22"/>
          <w:szCs w:val="22"/>
        </w:rPr>
        <w:t xml:space="preserve">systemised, </w:t>
      </w:r>
      <w:r w:rsidRPr="008E44DA">
        <w:rPr>
          <w:rFonts w:ascii="Arial" w:eastAsia="Arial" w:hAnsi="Arial" w:cs="Arial"/>
          <w:color w:val="000000" w:themeColor="text1"/>
          <w:sz w:val="22"/>
          <w:szCs w:val="22"/>
        </w:rPr>
        <w:t>outcomes</w:t>
      </w:r>
      <w:r w:rsidR="01D29025" w:rsidRPr="008E44DA">
        <w:rPr>
          <w:rFonts w:ascii="Arial" w:eastAsia="Arial" w:hAnsi="Arial" w:cs="Arial"/>
          <w:color w:val="000000" w:themeColor="text1"/>
          <w:sz w:val="22"/>
          <w:szCs w:val="22"/>
        </w:rPr>
        <w:t>-</w:t>
      </w:r>
      <w:r w:rsidRPr="008E44DA">
        <w:rPr>
          <w:rFonts w:ascii="Arial" w:eastAsia="Arial" w:hAnsi="Arial" w:cs="Arial"/>
          <w:color w:val="000000" w:themeColor="text1"/>
          <w:sz w:val="22"/>
          <w:szCs w:val="22"/>
        </w:rPr>
        <w:t xml:space="preserve">focus of the EIIF </w:t>
      </w:r>
      <w:r w:rsidR="01D29025" w:rsidRPr="008E44DA">
        <w:rPr>
          <w:rFonts w:ascii="Arial" w:eastAsia="Arial" w:hAnsi="Arial" w:cs="Arial"/>
          <w:color w:val="000000" w:themeColor="text1"/>
          <w:sz w:val="22"/>
          <w:szCs w:val="22"/>
        </w:rPr>
        <w:t>flows</w:t>
      </w:r>
      <w:r w:rsidRPr="008E44DA">
        <w:rPr>
          <w:rFonts w:ascii="Arial" w:eastAsia="Arial" w:hAnsi="Arial" w:cs="Arial"/>
          <w:color w:val="000000" w:themeColor="text1"/>
          <w:sz w:val="22"/>
          <w:szCs w:val="22"/>
        </w:rPr>
        <w:t xml:space="preserve"> into </w:t>
      </w:r>
      <w:r w:rsidR="01D29025" w:rsidRPr="008E44DA">
        <w:rPr>
          <w:rFonts w:ascii="Arial" w:eastAsia="Arial" w:hAnsi="Arial" w:cs="Arial"/>
          <w:color w:val="000000" w:themeColor="text1"/>
          <w:sz w:val="22"/>
          <w:szCs w:val="22"/>
        </w:rPr>
        <w:t>questions surrounding</w:t>
      </w:r>
      <w:r w:rsidRPr="008E44DA">
        <w:rPr>
          <w:rFonts w:ascii="Arial" w:eastAsia="Arial" w:hAnsi="Arial" w:cs="Arial"/>
          <w:color w:val="000000" w:themeColor="text1"/>
          <w:sz w:val="22"/>
          <w:szCs w:val="22"/>
        </w:rPr>
        <w:t xml:space="preserve"> risk </w:t>
      </w:r>
      <w:r w:rsidR="01D29025" w:rsidRPr="008E44DA">
        <w:rPr>
          <w:rFonts w:ascii="Arial" w:eastAsia="Arial" w:hAnsi="Arial" w:cs="Arial"/>
          <w:color w:val="000000" w:themeColor="text1"/>
          <w:sz w:val="22"/>
          <w:szCs w:val="22"/>
        </w:rPr>
        <w:t>management.</w:t>
      </w:r>
      <w:r w:rsidRPr="008E44DA">
        <w:rPr>
          <w:rFonts w:ascii="Arial" w:eastAsia="Arial" w:hAnsi="Arial" w:cs="Arial"/>
          <w:color w:val="000000" w:themeColor="text1"/>
          <w:sz w:val="22"/>
          <w:szCs w:val="22"/>
        </w:rPr>
        <w:t xml:space="preserve"> </w:t>
      </w:r>
      <w:r w:rsidR="393368F0" w:rsidRPr="008E44DA">
        <w:rPr>
          <w:rFonts w:ascii="Arial" w:eastAsia="Arial" w:hAnsi="Arial" w:cs="Arial"/>
          <w:color w:val="000000" w:themeColor="text1"/>
          <w:sz w:val="22"/>
          <w:szCs w:val="22"/>
        </w:rPr>
        <w:t>Mechanisms like the EIIF</w:t>
      </w:r>
      <w:r w:rsidR="00D6443A" w:rsidRPr="008E44DA">
        <w:rPr>
          <w:rFonts w:ascii="Arial" w:eastAsia="Arial" w:hAnsi="Arial" w:cs="Arial"/>
          <w:sz w:val="22"/>
          <w:szCs w:val="22"/>
        </w:rPr>
        <w:t xml:space="preserve"> involve</w:t>
      </w:r>
      <w:r w:rsidR="23B4EF31" w:rsidRPr="008E44DA">
        <w:rPr>
          <w:rFonts w:ascii="Arial" w:eastAsia="Arial" w:hAnsi="Arial" w:cs="Arial"/>
          <w:sz w:val="22"/>
          <w:szCs w:val="22"/>
        </w:rPr>
        <w:t xml:space="preserve"> risk sharing across agencies and services. </w:t>
      </w:r>
      <w:r w:rsidR="23B4EF31" w:rsidRPr="008E44DA">
        <w:rPr>
          <w:rFonts w:ascii="Arial" w:eastAsia="Arial" w:hAnsi="Arial" w:cs="Arial"/>
          <w:color w:val="000000" w:themeColor="text1"/>
          <w:sz w:val="22"/>
          <w:szCs w:val="22"/>
        </w:rPr>
        <w:t>These s</w:t>
      </w:r>
      <w:r w:rsidR="00F76319">
        <w:rPr>
          <w:rFonts w:ascii="Arial" w:eastAsia="Arial" w:hAnsi="Arial" w:cs="Arial"/>
          <w:color w:val="000000" w:themeColor="text1"/>
          <w:sz w:val="22"/>
          <w:szCs w:val="22"/>
        </w:rPr>
        <w:t>takeholders</w:t>
      </w:r>
      <w:r w:rsidR="23B4EF31" w:rsidRPr="008E44DA">
        <w:rPr>
          <w:rFonts w:ascii="Arial" w:eastAsia="Arial" w:hAnsi="Arial" w:cs="Arial"/>
          <w:color w:val="000000" w:themeColor="text1"/>
          <w:sz w:val="22"/>
          <w:szCs w:val="22"/>
        </w:rPr>
        <w:t xml:space="preserve"> </w:t>
      </w:r>
      <w:r w:rsidR="00D6443A" w:rsidRPr="008E44DA">
        <w:rPr>
          <w:rFonts w:ascii="Arial" w:eastAsia="Arial" w:hAnsi="Arial" w:cs="Arial"/>
          <w:color w:val="000000" w:themeColor="text1"/>
          <w:sz w:val="22"/>
          <w:szCs w:val="22"/>
        </w:rPr>
        <w:t xml:space="preserve">each </w:t>
      </w:r>
      <w:r w:rsidR="23B4EF31" w:rsidRPr="008E44DA">
        <w:rPr>
          <w:rFonts w:ascii="Arial" w:eastAsia="Arial" w:hAnsi="Arial" w:cs="Arial"/>
          <w:color w:val="000000" w:themeColor="text1"/>
          <w:sz w:val="22"/>
          <w:szCs w:val="22"/>
        </w:rPr>
        <w:t>have varying objectives and risk appetites, meaning that how DTF articulates ownership of risk will inform line agency engagement with the EIIF model.</w:t>
      </w:r>
    </w:p>
    <w:p w14:paraId="5E5961BC" w14:textId="33BB59B0" w:rsidR="47467085" w:rsidRPr="008E44DA" w:rsidRDefault="47467085" w:rsidP="009B1E99">
      <w:pPr>
        <w:spacing w:line="276" w:lineRule="auto"/>
        <w:jc w:val="both"/>
        <w:rPr>
          <w:rFonts w:ascii="Arial" w:eastAsia="Arial" w:hAnsi="Arial" w:cs="Arial"/>
          <w:color w:val="000000" w:themeColor="text1"/>
          <w:sz w:val="22"/>
          <w:szCs w:val="22"/>
        </w:rPr>
      </w:pPr>
    </w:p>
    <w:p w14:paraId="67CB586D" w14:textId="0B41B488" w:rsidR="00695E76" w:rsidRPr="008E44DA" w:rsidRDefault="000B5CDB" w:rsidP="009B1E99">
      <w:pPr>
        <w:spacing w:line="276" w:lineRule="auto"/>
        <w:jc w:val="both"/>
        <w:rPr>
          <w:rFonts w:ascii="Arial" w:eastAsia="Arial" w:hAnsi="Arial" w:cs="Arial"/>
          <w:sz w:val="22"/>
          <w:szCs w:val="22"/>
          <w:lang w:eastAsia="en-AU"/>
        </w:rPr>
      </w:pPr>
      <w:r w:rsidRPr="008E44DA">
        <w:rPr>
          <w:rFonts w:ascii="Arial" w:eastAsia="Arial" w:hAnsi="Arial" w:cs="Arial"/>
          <w:color w:val="000000" w:themeColor="text1"/>
          <w:sz w:val="22"/>
          <w:szCs w:val="22"/>
        </w:rPr>
        <w:t xml:space="preserve">In </w:t>
      </w:r>
      <w:r w:rsidR="00112C18" w:rsidRPr="008E44DA">
        <w:rPr>
          <w:rFonts w:ascii="Arial" w:eastAsia="Arial" w:hAnsi="Arial" w:cs="Arial"/>
          <w:color w:val="000000" w:themeColor="text1"/>
          <w:sz w:val="22"/>
          <w:szCs w:val="22"/>
        </w:rPr>
        <w:t xml:space="preserve">the case of the EIIF, </w:t>
      </w:r>
      <w:r w:rsidR="0DC1CF00" w:rsidRPr="008E44DA">
        <w:rPr>
          <w:rFonts w:ascii="Arial" w:eastAsia="Arial" w:hAnsi="Arial" w:cs="Arial"/>
          <w:color w:val="000000" w:themeColor="text1"/>
          <w:sz w:val="22"/>
          <w:szCs w:val="22"/>
        </w:rPr>
        <w:t>DTF</w:t>
      </w:r>
      <w:r w:rsidR="786334C3" w:rsidRPr="008E44DA">
        <w:rPr>
          <w:rFonts w:ascii="Arial" w:eastAsia="Arial" w:hAnsi="Arial" w:cs="Arial"/>
          <w:color w:val="000000" w:themeColor="text1"/>
          <w:sz w:val="22"/>
          <w:szCs w:val="22"/>
        </w:rPr>
        <w:t xml:space="preserve"> holds </w:t>
      </w:r>
      <w:r w:rsidR="002E5D04">
        <w:rPr>
          <w:rFonts w:ascii="Arial" w:eastAsia="Arial" w:hAnsi="Arial" w:cs="Arial"/>
          <w:color w:val="000000" w:themeColor="text1"/>
          <w:sz w:val="22"/>
          <w:szCs w:val="22"/>
        </w:rPr>
        <w:t xml:space="preserve">a significant proportion </w:t>
      </w:r>
      <w:r w:rsidR="4CE5ED5A" w:rsidRPr="008E44DA">
        <w:rPr>
          <w:rFonts w:ascii="Arial" w:eastAsia="Arial" w:hAnsi="Arial" w:cs="Arial"/>
          <w:color w:val="000000" w:themeColor="text1"/>
          <w:sz w:val="22"/>
          <w:szCs w:val="22"/>
        </w:rPr>
        <w:t xml:space="preserve">of the risk. There is the obvious </w:t>
      </w:r>
      <w:r w:rsidR="5EA616EE" w:rsidRPr="008E44DA">
        <w:rPr>
          <w:rFonts w:ascii="Arial" w:eastAsia="Arial" w:hAnsi="Arial" w:cs="Arial"/>
          <w:color w:val="000000" w:themeColor="text1"/>
          <w:sz w:val="22"/>
          <w:szCs w:val="22"/>
        </w:rPr>
        <w:t>first order risk</w:t>
      </w:r>
      <w:r w:rsidR="4CE5ED5A" w:rsidRPr="008E44DA">
        <w:rPr>
          <w:rFonts w:ascii="Arial" w:eastAsia="Arial" w:hAnsi="Arial" w:cs="Arial"/>
          <w:color w:val="000000" w:themeColor="text1"/>
          <w:sz w:val="22"/>
          <w:szCs w:val="22"/>
        </w:rPr>
        <w:t xml:space="preserve"> of responsibility for funding an initiative.</w:t>
      </w:r>
      <w:r w:rsidR="00D42ACC" w:rsidRPr="008E44DA">
        <w:rPr>
          <w:rFonts w:ascii="Arial" w:eastAsia="Arial" w:hAnsi="Arial" w:cs="Arial"/>
          <w:color w:val="000000" w:themeColor="text1"/>
          <w:sz w:val="22"/>
          <w:szCs w:val="22"/>
        </w:rPr>
        <w:t xml:space="preserve"> A central </w:t>
      </w:r>
      <w:r w:rsidR="5E3E879D" w:rsidRPr="008E44DA">
        <w:rPr>
          <w:rFonts w:ascii="Arial" w:eastAsia="Arial" w:hAnsi="Arial" w:cs="Arial"/>
          <w:color w:val="000000" w:themeColor="text1"/>
          <w:sz w:val="22"/>
          <w:szCs w:val="22"/>
        </w:rPr>
        <w:t xml:space="preserve">financing </w:t>
      </w:r>
      <w:r w:rsidR="00D42ACC" w:rsidRPr="008E44DA">
        <w:rPr>
          <w:rFonts w:ascii="Arial" w:eastAsia="Arial" w:hAnsi="Arial" w:cs="Arial"/>
          <w:color w:val="000000" w:themeColor="text1"/>
          <w:sz w:val="22"/>
          <w:szCs w:val="22"/>
        </w:rPr>
        <w:t>agency</w:t>
      </w:r>
      <w:r w:rsidR="5E3E879D" w:rsidRPr="008E44DA">
        <w:rPr>
          <w:rFonts w:ascii="Arial" w:eastAsia="Arial" w:hAnsi="Arial" w:cs="Arial"/>
          <w:color w:val="000000" w:themeColor="text1"/>
          <w:sz w:val="22"/>
          <w:szCs w:val="22"/>
        </w:rPr>
        <w:t xml:space="preserve"> must also </w:t>
      </w:r>
      <w:r w:rsidR="5E3E879D" w:rsidRPr="008E44DA">
        <w:rPr>
          <w:rFonts w:ascii="Arial" w:eastAsia="Arial" w:hAnsi="Arial" w:cs="Arial"/>
          <w:color w:val="000000" w:themeColor="text1"/>
          <w:sz w:val="22"/>
          <w:szCs w:val="22"/>
        </w:rPr>
        <w:lastRenderedPageBreak/>
        <w:t xml:space="preserve">consider the second order risks, such as </w:t>
      </w:r>
      <w:r w:rsidR="6BD0F456" w:rsidRPr="008E44DA">
        <w:rPr>
          <w:rFonts w:ascii="Arial" w:eastAsia="Arial" w:hAnsi="Arial" w:cs="Arial"/>
          <w:color w:val="000000" w:themeColor="text1"/>
          <w:sz w:val="22"/>
          <w:szCs w:val="22"/>
        </w:rPr>
        <w:t>an intervention prov</w:t>
      </w:r>
      <w:r w:rsidR="6E811DFF" w:rsidRPr="008E44DA">
        <w:rPr>
          <w:rFonts w:ascii="Arial" w:eastAsia="Arial" w:hAnsi="Arial" w:cs="Arial"/>
          <w:color w:val="000000" w:themeColor="text1"/>
          <w:sz w:val="22"/>
          <w:szCs w:val="22"/>
        </w:rPr>
        <w:t>ing</w:t>
      </w:r>
      <w:r w:rsidR="6BD0F456" w:rsidRPr="008E44DA">
        <w:rPr>
          <w:rFonts w:ascii="Arial" w:eastAsia="Arial" w:hAnsi="Arial" w:cs="Arial"/>
          <w:color w:val="000000" w:themeColor="text1"/>
          <w:sz w:val="22"/>
          <w:szCs w:val="22"/>
        </w:rPr>
        <w:t xml:space="preserve"> ineffective and</w:t>
      </w:r>
      <w:r w:rsidR="5458474F" w:rsidRPr="008E44DA">
        <w:rPr>
          <w:rFonts w:ascii="Arial" w:eastAsia="Arial" w:hAnsi="Arial" w:cs="Arial"/>
          <w:color w:val="000000" w:themeColor="text1"/>
          <w:sz w:val="22"/>
          <w:szCs w:val="22"/>
        </w:rPr>
        <w:t xml:space="preserve"> </w:t>
      </w:r>
      <w:r w:rsidR="4CCC7306" w:rsidRPr="008E44DA">
        <w:rPr>
          <w:rFonts w:ascii="Arial" w:eastAsia="Arial" w:hAnsi="Arial" w:cs="Arial"/>
          <w:color w:val="000000" w:themeColor="text1"/>
          <w:sz w:val="22"/>
          <w:szCs w:val="22"/>
        </w:rPr>
        <w:t>fail</w:t>
      </w:r>
      <w:r w:rsidR="6E811DFF" w:rsidRPr="008E44DA">
        <w:rPr>
          <w:rFonts w:ascii="Arial" w:eastAsia="Arial" w:hAnsi="Arial" w:cs="Arial"/>
          <w:color w:val="000000" w:themeColor="text1"/>
          <w:sz w:val="22"/>
          <w:szCs w:val="22"/>
        </w:rPr>
        <w:t>ing</w:t>
      </w:r>
      <w:r w:rsidR="4CCC7306" w:rsidRPr="008E44DA">
        <w:rPr>
          <w:rFonts w:ascii="Arial" w:eastAsia="Arial" w:hAnsi="Arial" w:cs="Arial"/>
          <w:color w:val="000000" w:themeColor="text1"/>
          <w:sz w:val="22"/>
          <w:szCs w:val="22"/>
        </w:rPr>
        <w:t xml:space="preserve"> to deliver </w:t>
      </w:r>
      <w:r w:rsidR="5458474F" w:rsidRPr="008E44DA">
        <w:rPr>
          <w:rFonts w:ascii="Arial" w:eastAsia="Arial" w:hAnsi="Arial" w:cs="Arial"/>
          <w:color w:val="000000" w:themeColor="text1"/>
          <w:sz w:val="22"/>
          <w:szCs w:val="22"/>
        </w:rPr>
        <w:t>savings</w:t>
      </w:r>
      <w:r w:rsidR="6BD0F456" w:rsidRPr="008E44DA">
        <w:rPr>
          <w:rFonts w:ascii="Arial" w:eastAsia="Arial" w:hAnsi="Arial" w:cs="Arial"/>
          <w:color w:val="000000" w:themeColor="text1"/>
          <w:sz w:val="22"/>
          <w:szCs w:val="22"/>
        </w:rPr>
        <w:t xml:space="preserve">. </w:t>
      </w:r>
    </w:p>
    <w:p w14:paraId="26C97F9E" w14:textId="49FA6895" w:rsidR="00695E76" w:rsidRPr="008E44DA" w:rsidRDefault="00695E76" w:rsidP="009B1E99">
      <w:pPr>
        <w:spacing w:line="276" w:lineRule="auto"/>
        <w:jc w:val="both"/>
        <w:rPr>
          <w:rFonts w:ascii="Arial" w:eastAsia="Arial" w:hAnsi="Arial" w:cs="Arial"/>
          <w:color w:val="000000" w:themeColor="text1"/>
          <w:sz w:val="22"/>
          <w:szCs w:val="22"/>
        </w:rPr>
      </w:pPr>
    </w:p>
    <w:p w14:paraId="5962C7EC" w14:textId="4BBD1879" w:rsidR="00695E76" w:rsidRPr="008E44DA" w:rsidRDefault="771853AC" w:rsidP="009B1E99">
      <w:pPr>
        <w:spacing w:line="276" w:lineRule="auto"/>
        <w:jc w:val="both"/>
        <w:rPr>
          <w:rFonts w:ascii="Arial" w:eastAsia="Arial" w:hAnsi="Arial" w:cs="Arial"/>
          <w:sz w:val="22"/>
          <w:szCs w:val="22"/>
          <w:lang w:eastAsia="en-AU"/>
        </w:rPr>
      </w:pPr>
      <w:r w:rsidRPr="008E44DA">
        <w:rPr>
          <w:rFonts w:ascii="Arial" w:eastAsia="Arial" w:hAnsi="Arial" w:cs="Arial"/>
          <w:color w:val="000000" w:themeColor="text1"/>
          <w:sz w:val="22"/>
          <w:szCs w:val="22"/>
        </w:rPr>
        <w:t>The EIIF itself is also a risk, with line agencies</w:t>
      </w:r>
      <w:r w:rsidR="009C7585">
        <w:rPr>
          <w:rFonts w:ascii="Arial" w:eastAsia="Arial" w:hAnsi="Arial" w:cs="Arial"/>
          <w:color w:val="000000" w:themeColor="text1"/>
          <w:sz w:val="22"/>
          <w:szCs w:val="22"/>
        </w:rPr>
        <w:t>’</w:t>
      </w:r>
      <w:r w:rsidRPr="008E44DA">
        <w:rPr>
          <w:rFonts w:ascii="Arial" w:eastAsia="Arial" w:hAnsi="Arial" w:cs="Arial"/>
          <w:color w:val="000000" w:themeColor="text1"/>
          <w:sz w:val="22"/>
          <w:szCs w:val="22"/>
        </w:rPr>
        <w:t xml:space="preserve"> discretion over core </w:t>
      </w:r>
      <w:r w:rsidR="47467085" w:rsidRPr="008E44DA">
        <w:rPr>
          <w:rFonts w:ascii="Arial" w:eastAsia="Arial" w:hAnsi="Arial" w:cs="Arial"/>
          <w:color w:val="000000" w:themeColor="text1"/>
          <w:sz w:val="22"/>
          <w:szCs w:val="22"/>
        </w:rPr>
        <w:t>funding allowing the distribution of allocations internally</w:t>
      </w:r>
      <w:r w:rsidR="00025467">
        <w:rPr>
          <w:rFonts w:ascii="Arial" w:eastAsia="Arial" w:hAnsi="Arial" w:cs="Arial"/>
          <w:color w:val="000000" w:themeColor="text1"/>
          <w:sz w:val="22"/>
          <w:szCs w:val="22"/>
        </w:rPr>
        <w:t xml:space="preserve"> that may lead to underfunding for delivery of EIIF initiatives</w:t>
      </w:r>
      <w:r w:rsidR="47467085" w:rsidRPr="008E44DA">
        <w:rPr>
          <w:rFonts w:ascii="Arial" w:eastAsia="Arial" w:hAnsi="Arial" w:cs="Arial"/>
          <w:color w:val="000000" w:themeColor="text1"/>
          <w:sz w:val="22"/>
          <w:szCs w:val="22"/>
        </w:rPr>
        <w:t xml:space="preserve">, or </w:t>
      </w:r>
      <w:r w:rsidRPr="008E44DA">
        <w:rPr>
          <w:rFonts w:ascii="Arial" w:eastAsia="Arial" w:hAnsi="Arial" w:cs="Arial"/>
          <w:color w:val="000000" w:themeColor="text1"/>
          <w:sz w:val="22"/>
          <w:szCs w:val="22"/>
        </w:rPr>
        <w:t xml:space="preserve">the potential that </w:t>
      </w:r>
      <w:r w:rsidR="058D3248" w:rsidRPr="008E44DA">
        <w:rPr>
          <w:rFonts w:ascii="Arial" w:eastAsia="Arial" w:hAnsi="Arial" w:cs="Arial"/>
          <w:color w:val="000000" w:themeColor="text1"/>
          <w:sz w:val="22"/>
          <w:szCs w:val="22"/>
        </w:rPr>
        <w:t xml:space="preserve">line agencies will ‘game’ the system by </w:t>
      </w:r>
      <w:r w:rsidR="3E934C04" w:rsidRPr="008E44DA">
        <w:rPr>
          <w:rStyle w:val="normaltextrun"/>
          <w:rFonts w:ascii="Arial" w:hAnsi="Arial" w:cs="Arial"/>
          <w:color w:val="000000"/>
          <w:sz w:val="22"/>
          <w:szCs w:val="22"/>
          <w:bdr w:val="none" w:sz="0" w:space="0" w:color="auto" w:frame="1"/>
          <w:lang w:val="en-US"/>
        </w:rPr>
        <w:t xml:space="preserve">overestimating avoided costs. </w:t>
      </w:r>
      <w:r w:rsidR="3E934C04" w:rsidRPr="008E44DA">
        <w:rPr>
          <w:rFonts w:ascii="Arial" w:eastAsia="Arial" w:hAnsi="Arial" w:cs="Arial"/>
          <w:color w:val="201F1E"/>
          <w:sz w:val="22"/>
          <w:szCs w:val="22"/>
          <w:lang w:eastAsia="en-AU"/>
        </w:rPr>
        <w:t xml:space="preserve">Indeed, </w:t>
      </w:r>
      <w:r w:rsidR="00E26A92">
        <w:rPr>
          <w:rFonts w:ascii="Arial" w:eastAsia="Arial" w:hAnsi="Arial" w:cs="Arial"/>
          <w:color w:val="201F1E"/>
          <w:sz w:val="22"/>
          <w:szCs w:val="22"/>
          <w:lang w:eastAsia="en-AU"/>
        </w:rPr>
        <w:t>budgetary o</w:t>
      </w:r>
      <w:r w:rsidR="3E934C04" w:rsidRPr="008E44DA">
        <w:rPr>
          <w:rFonts w:ascii="Arial" w:eastAsia="Arial" w:hAnsi="Arial" w:cs="Arial"/>
          <w:color w:val="201F1E"/>
          <w:sz w:val="22"/>
          <w:szCs w:val="22"/>
          <w:lang w:eastAsia="en-AU"/>
        </w:rPr>
        <w:t>fficials</w:t>
      </w:r>
      <w:r w:rsidR="00C05FB3">
        <w:rPr>
          <w:rFonts w:ascii="Arial" w:eastAsia="Arial" w:hAnsi="Arial" w:cs="Arial"/>
          <w:color w:val="201F1E"/>
          <w:sz w:val="22"/>
          <w:szCs w:val="22"/>
          <w:lang w:eastAsia="en-AU"/>
        </w:rPr>
        <w:t xml:space="preserve"> we interviewed</w:t>
      </w:r>
      <w:r w:rsidR="3E934C04" w:rsidRPr="008E44DA">
        <w:rPr>
          <w:rFonts w:ascii="Arial" w:eastAsia="Arial" w:hAnsi="Arial" w:cs="Arial"/>
          <w:color w:val="201F1E"/>
          <w:sz w:val="22"/>
          <w:szCs w:val="22"/>
          <w:lang w:eastAsia="en-AU"/>
        </w:rPr>
        <w:t xml:space="preserve"> have observed a resistance </w:t>
      </w:r>
      <w:r w:rsidR="59E2624E" w:rsidRPr="008E44DA">
        <w:rPr>
          <w:rFonts w:ascii="Arial" w:eastAsia="Arial" w:hAnsi="Arial" w:cs="Arial"/>
          <w:color w:val="201F1E"/>
          <w:sz w:val="22"/>
          <w:szCs w:val="22"/>
          <w:lang w:eastAsia="en-AU"/>
        </w:rPr>
        <w:t xml:space="preserve">among line agencies </w:t>
      </w:r>
      <w:r w:rsidR="3E934C04" w:rsidRPr="008E44DA">
        <w:rPr>
          <w:rFonts w:ascii="Arial" w:eastAsia="Arial" w:hAnsi="Arial" w:cs="Arial"/>
          <w:color w:val="201F1E"/>
          <w:sz w:val="22"/>
          <w:szCs w:val="22"/>
          <w:lang w:eastAsia="en-AU"/>
        </w:rPr>
        <w:t>to report information about what has not been effective and why.</w:t>
      </w:r>
      <w:r w:rsidR="3E934C04" w:rsidRPr="008E44DA">
        <w:rPr>
          <w:rFonts w:ascii="Arial" w:eastAsia="Arial" w:hAnsi="Arial" w:cs="Arial"/>
          <w:color w:val="000000" w:themeColor="text1"/>
          <w:sz w:val="22"/>
          <w:szCs w:val="22"/>
        </w:rPr>
        <w:t xml:space="preserve"> This behaviour speaks to a perception of outcome measures as a cost-cutting mechanism and concern that future allocations will be reduced. Of course, this is driven</w:t>
      </w:r>
      <w:r w:rsidR="79331421" w:rsidRPr="008E44DA">
        <w:rPr>
          <w:rFonts w:ascii="Arial" w:eastAsia="Arial" w:hAnsi="Arial" w:cs="Arial"/>
          <w:color w:val="000000" w:themeColor="text1"/>
          <w:sz w:val="22"/>
          <w:szCs w:val="22"/>
        </w:rPr>
        <w:t xml:space="preserve"> by the</w:t>
      </w:r>
      <w:r w:rsidR="2AF54E21" w:rsidRPr="008E44DA">
        <w:rPr>
          <w:rFonts w:ascii="Arial" w:eastAsia="Arial" w:hAnsi="Arial" w:cs="Arial"/>
          <w:color w:val="000000" w:themeColor="text1"/>
          <w:sz w:val="22"/>
          <w:szCs w:val="22"/>
        </w:rPr>
        <w:t xml:space="preserve"> distinct role of line agencies</w:t>
      </w:r>
      <w:r w:rsidR="2DE1F8D0" w:rsidRPr="008E44DA">
        <w:rPr>
          <w:rFonts w:ascii="Arial" w:eastAsia="Arial" w:hAnsi="Arial" w:cs="Arial"/>
          <w:color w:val="000000" w:themeColor="text1"/>
          <w:sz w:val="22"/>
          <w:szCs w:val="22"/>
        </w:rPr>
        <w:t xml:space="preserve"> and how they perceive budgeting principles, with </w:t>
      </w:r>
      <w:r w:rsidR="79331421" w:rsidRPr="008E44DA">
        <w:rPr>
          <w:rFonts w:ascii="Arial" w:eastAsia="Arial" w:hAnsi="Arial" w:cs="Arial"/>
          <w:sz w:val="22"/>
          <w:szCs w:val="22"/>
          <w:lang w:eastAsia="en-AU"/>
        </w:rPr>
        <w:t>Ministers who want their portfolios to maximise allocations</w:t>
      </w:r>
      <w:r w:rsidR="336ADA0E" w:rsidRPr="008E44DA">
        <w:rPr>
          <w:rFonts w:ascii="Arial" w:eastAsia="Arial" w:hAnsi="Arial" w:cs="Arial"/>
          <w:sz w:val="22"/>
          <w:szCs w:val="22"/>
          <w:lang w:eastAsia="en-AU"/>
        </w:rPr>
        <w:t xml:space="preserve">. </w:t>
      </w:r>
    </w:p>
    <w:p w14:paraId="3E67176B" w14:textId="1C76B287" w:rsidR="006B02B2" w:rsidRPr="008E44DA" w:rsidRDefault="006B02B2" w:rsidP="009B1E99">
      <w:pPr>
        <w:spacing w:line="276" w:lineRule="auto"/>
        <w:jc w:val="both"/>
        <w:rPr>
          <w:rFonts w:ascii="Arial" w:eastAsia="Arial" w:hAnsi="Arial" w:cs="Arial"/>
          <w:sz w:val="22"/>
          <w:szCs w:val="22"/>
          <w:lang w:eastAsia="en-AU"/>
        </w:rPr>
      </w:pPr>
    </w:p>
    <w:p w14:paraId="10ABB6DE" w14:textId="729A1915" w:rsidR="006B02B2" w:rsidRPr="008E44DA" w:rsidRDefault="006B02B2" w:rsidP="009B1E99">
      <w:pPr>
        <w:spacing w:line="276" w:lineRule="auto"/>
        <w:jc w:val="both"/>
        <w:rPr>
          <w:rFonts w:ascii="Arial" w:eastAsia="Arial" w:hAnsi="Arial" w:cs="Arial"/>
          <w:color w:val="000000" w:themeColor="text1"/>
          <w:sz w:val="22"/>
          <w:szCs w:val="22"/>
        </w:rPr>
      </w:pPr>
      <w:r w:rsidRPr="008E44DA">
        <w:rPr>
          <w:rFonts w:ascii="Arial" w:eastAsia="Arial" w:hAnsi="Arial" w:cs="Arial"/>
          <w:color w:val="000000" w:themeColor="text1"/>
          <w:sz w:val="22"/>
          <w:szCs w:val="22"/>
        </w:rPr>
        <w:t xml:space="preserve">A common theme across the jurisdictions interviewed was the vertical pressures that central financing agencies face </w:t>
      </w:r>
      <w:r w:rsidR="00DB2F6B" w:rsidRPr="008E44DA">
        <w:rPr>
          <w:rFonts w:ascii="Arial" w:eastAsia="Arial" w:hAnsi="Arial" w:cs="Arial"/>
          <w:color w:val="000000" w:themeColor="text1"/>
          <w:sz w:val="22"/>
          <w:szCs w:val="22"/>
        </w:rPr>
        <w:t>when</w:t>
      </w:r>
      <w:r w:rsidRPr="008E44DA">
        <w:rPr>
          <w:rFonts w:ascii="Arial" w:eastAsia="Arial" w:hAnsi="Arial" w:cs="Arial"/>
          <w:color w:val="000000" w:themeColor="text1"/>
          <w:sz w:val="22"/>
          <w:szCs w:val="22"/>
        </w:rPr>
        <w:t xml:space="preserve"> activities </w:t>
      </w:r>
      <w:r w:rsidR="001538E6" w:rsidRPr="008E44DA">
        <w:rPr>
          <w:rFonts w:ascii="Arial" w:eastAsia="Arial" w:hAnsi="Arial" w:cs="Arial"/>
          <w:color w:val="000000" w:themeColor="text1"/>
          <w:sz w:val="22"/>
          <w:szCs w:val="22"/>
        </w:rPr>
        <w:t xml:space="preserve">are seen to </w:t>
      </w:r>
      <w:r w:rsidRPr="008E44DA">
        <w:rPr>
          <w:rFonts w:ascii="Arial" w:eastAsia="Arial" w:hAnsi="Arial" w:cs="Arial"/>
          <w:color w:val="000000" w:themeColor="text1"/>
          <w:sz w:val="22"/>
          <w:szCs w:val="22"/>
        </w:rPr>
        <w:t>fall beyond the traditional remit of cost benefit analysis. For instance, o</w:t>
      </w:r>
      <w:r w:rsidRPr="008E44DA">
        <w:rPr>
          <w:rFonts w:ascii="Arial" w:eastAsia="Arial" w:hAnsi="Arial" w:cs="Arial"/>
          <w:color w:val="201F1E"/>
          <w:sz w:val="22"/>
          <w:szCs w:val="22"/>
          <w:lang w:eastAsia="en-AU"/>
        </w:rPr>
        <w:t>ne senior official from the New Zealand Treasury observed that difficulties arose when the Auditor General perceived outcomes focused initiatives as unnecessarily high risk.</w:t>
      </w:r>
      <w:r w:rsidR="369F18B1" w:rsidRPr="008E44DA">
        <w:rPr>
          <w:rFonts w:ascii="Arial" w:eastAsia="Arial" w:hAnsi="Arial" w:cs="Arial"/>
          <w:color w:val="201F1E"/>
          <w:sz w:val="22"/>
          <w:szCs w:val="22"/>
        </w:rPr>
        <w:t xml:space="preserve"> As with BP3 measures, this points to the gravitational pull of existing rules and processes with which EIIF may be competing.</w:t>
      </w:r>
    </w:p>
    <w:p w14:paraId="1822E83E" w14:textId="0E345EBB" w:rsidR="00770289" w:rsidRPr="008E44DA" w:rsidRDefault="00770289" w:rsidP="009B1E99">
      <w:pPr>
        <w:spacing w:line="276" w:lineRule="auto"/>
        <w:jc w:val="both"/>
        <w:rPr>
          <w:rFonts w:ascii="Arial" w:eastAsia="Arial" w:hAnsi="Arial" w:cs="Arial"/>
          <w:sz w:val="22"/>
          <w:szCs w:val="22"/>
          <w:lang w:eastAsia="en-AU"/>
        </w:rPr>
      </w:pPr>
    </w:p>
    <w:p w14:paraId="78AFA63F" w14:textId="27A85318" w:rsidR="003B4738" w:rsidRPr="008E44DA" w:rsidRDefault="00A0267A" w:rsidP="009B1E99">
      <w:pPr>
        <w:spacing w:line="276" w:lineRule="auto"/>
        <w:jc w:val="both"/>
        <w:rPr>
          <w:rFonts w:ascii="Arial" w:eastAsia="Arial" w:hAnsi="Arial" w:cs="Arial"/>
          <w:color w:val="000000" w:themeColor="text1"/>
          <w:sz w:val="22"/>
          <w:szCs w:val="22"/>
        </w:rPr>
      </w:pPr>
      <w:r w:rsidRPr="008E44DA">
        <w:rPr>
          <w:rFonts w:ascii="Arial" w:eastAsia="Arial" w:hAnsi="Arial" w:cs="Arial"/>
          <w:color w:val="000000" w:themeColor="text1"/>
          <w:sz w:val="22"/>
          <w:szCs w:val="22"/>
        </w:rPr>
        <w:t>How the</w:t>
      </w:r>
      <w:r w:rsidR="00A5696D">
        <w:rPr>
          <w:rFonts w:ascii="Arial" w:eastAsia="Arial" w:hAnsi="Arial" w:cs="Arial"/>
          <w:color w:val="000000" w:themeColor="text1"/>
          <w:sz w:val="22"/>
          <w:szCs w:val="22"/>
        </w:rPr>
        <w:t>n</w:t>
      </w:r>
      <w:r w:rsidRPr="008E44DA">
        <w:rPr>
          <w:rFonts w:ascii="Arial" w:eastAsia="Arial" w:hAnsi="Arial" w:cs="Arial"/>
          <w:color w:val="000000" w:themeColor="text1"/>
          <w:sz w:val="22"/>
          <w:szCs w:val="22"/>
        </w:rPr>
        <w:t xml:space="preserve"> can </w:t>
      </w:r>
      <w:r w:rsidR="00C2437B" w:rsidRPr="008E44DA">
        <w:rPr>
          <w:rFonts w:ascii="Arial" w:eastAsia="Arial" w:hAnsi="Arial" w:cs="Arial"/>
          <w:color w:val="000000" w:themeColor="text1"/>
          <w:sz w:val="22"/>
          <w:szCs w:val="22"/>
        </w:rPr>
        <w:t>DTF</w:t>
      </w:r>
      <w:r w:rsidR="00B23CC8" w:rsidRPr="008E44DA">
        <w:rPr>
          <w:rFonts w:ascii="Arial" w:eastAsia="Arial" w:hAnsi="Arial" w:cs="Arial"/>
          <w:color w:val="000000" w:themeColor="text1"/>
          <w:sz w:val="22"/>
          <w:szCs w:val="22"/>
        </w:rPr>
        <w:t xml:space="preserve"> gain</w:t>
      </w:r>
      <w:r w:rsidR="00804F00" w:rsidRPr="008E44DA">
        <w:rPr>
          <w:rFonts w:ascii="Arial" w:eastAsia="Arial" w:hAnsi="Arial" w:cs="Arial"/>
          <w:color w:val="000000" w:themeColor="text1"/>
          <w:sz w:val="22"/>
          <w:szCs w:val="22"/>
        </w:rPr>
        <w:t xml:space="preserve"> enough</w:t>
      </w:r>
      <w:r w:rsidR="00B23CC8" w:rsidRPr="008E44DA">
        <w:rPr>
          <w:rFonts w:ascii="Arial" w:eastAsia="Arial" w:hAnsi="Arial" w:cs="Arial"/>
          <w:color w:val="000000" w:themeColor="text1"/>
          <w:sz w:val="22"/>
          <w:szCs w:val="22"/>
        </w:rPr>
        <w:t xml:space="preserve"> confidence to </w:t>
      </w:r>
      <w:r w:rsidR="00C2437B" w:rsidRPr="008E44DA">
        <w:rPr>
          <w:rFonts w:ascii="Arial" w:eastAsia="Arial" w:hAnsi="Arial" w:cs="Arial"/>
          <w:color w:val="000000" w:themeColor="text1"/>
          <w:sz w:val="22"/>
          <w:szCs w:val="22"/>
        </w:rPr>
        <w:t xml:space="preserve">take on </w:t>
      </w:r>
      <w:r w:rsidR="00EE39AE" w:rsidRPr="008E44DA">
        <w:rPr>
          <w:rFonts w:ascii="Arial" w:eastAsia="Arial" w:hAnsi="Arial" w:cs="Arial"/>
          <w:color w:val="000000" w:themeColor="text1"/>
          <w:sz w:val="22"/>
          <w:szCs w:val="22"/>
        </w:rPr>
        <w:t>higher levels of</w:t>
      </w:r>
      <w:r w:rsidR="00C2437B" w:rsidRPr="008E44DA">
        <w:rPr>
          <w:rFonts w:ascii="Arial" w:eastAsia="Arial" w:hAnsi="Arial" w:cs="Arial"/>
          <w:color w:val="000000" w:themeColor="text1"/>
          <w:sz w:val="22"/>
          <w:szCs w:val="22"/>
        </w:rPr>
        <w:t xml:space="preserve"> risk and</w:t>
      </w:r>
      <w:r w:rsidR="006B018A">
        <w:rPr>
          <w:rFonts w:ascii="Arial" w:eastAsia="Arial" w:hAnsi="Arial" w:cs="Arial"/>
          <w:color w:val="000000" w:themeColor="text1"/>
          <w:sz w:val="22"/>
          <w:szCs w:val="22"/>
        </w:rPr>
        <w:t xml:space="preserve"> better</w:t>
      </w:r>
      <w:r w:rsidR="00C2437B" w:rsidRPr="008E44DA">
        <w:rPr>
          <w:rFonts w:ascii="Arial" w:eastAsia="Arial" w:hAnsi="Arial" w:cs="Arial"/>
          <w:color w:val="000000" w:themeColor="text1"/>
          <w:sz w:val="22"/>
          <w:szCs w:val="22"/>
        </w:rPr>
        <w:t xml:space="preserve"> fund </w:t>
      </w:r>
      <w:r w:rsidR="006B018A">
        <w:rPr>
          <w:rFonts w:ascii="Arial" w:eastAsia="Arial" w:hAnsi="Arial" w:cs="Arial"/>
          <w:color w:val="000000" w:themeColor="text1"/>
          <w:sz w:val="22"/>
          <w:szCs w:val="22"/>
        </w:rPr>
        <w:t xml:space="preserve">more </w:t>
      </w:r>
      <w:r w:rsidR="004725B7">
        <w:rPr>
          <w:rFonts w:ascii="Arial" w:eastAsia="Arial" w:hAnsi="Arial" w:cs="Arial"/>
          <w:color w:val="000000" w:themeColor="text1"/>
          <w:sz w:val="22"/>
          <w:szCs w:val="22"/>
        </w:rPr>
        <w:t xml:space="preserve">and more effective </w:t>
      </w:r>
      <w:r w:rsidR="00C2437B" w:rsidRPr="008E44DA">
        <w:rPr>
          <w:rFonts w:ascii="Arial" w:eastAsia="Arial" w:hAnsi="Arial" w:cs="Arial"/>
          <w:color w:val="000000" w:themeColor="text1"/>
          <w:sz w:val="22"/>
          <w:szCs w:val="22"/>
        </w:rPr>
        <w:t>early intervention initiatives?</w:t>
      </w:r>
      <w:r w:rsidRPr="008E44DA">
        <w:rPr>
          <w:rFonts w:ascii="Arial" w:eastAsia="Arial" w:hAnsi="Arial" w:cs="Arial"/>
          <w:color w:val="000000" w:themeColor="text1"/>
          <w:sz w:val="22"/>
          <w:szCs w:val="22"/>
        </w:rPr>
        <w:t xml:space="preserve"> </w:t>
      </w:r>
    </w:p>
    <w:p w14:paraId="75CF2F7D" w14:textId="35130392" w:rsidR="00637B09" w:rsidRPr="008E44DA" w:rsidRDefault="00637B09" w:rsidP="009B1E99">
      <w:pPr>
        <w:spacing w:line="276" w:lineRule="auto"/>
        <w:jc w:val="both"/>
        <w:rPr>
          <w:rFonts w:ascii="Arial" w:eastAsia="Arial" w:hAnsi="Arial" w:cs="Arial"/>
          <w:color w:val="000000" w:themeColor="text1"/>
          <w:sz w:val="22"/>
          <w:szCs w:val="22"/>
        </w:rPr>
      </w:pPr>
    </w:p>
    <w:p w14:paraId="74664B1C" w14:textId="4B0175AA" w:rsidR="7B64983C" w:rsidRPr="008E44DA" w:rsidRDefault="369F18B1" w:rsidP="009B1E99">
      <w:pPr>
        <w:spacing w:line="276" w:lineRule="auto"/>
        <w:jc w:val="both"/>
        <w:rPr>
          <w:rFonts w:ascii="Arial" w:eastAsia="Arial" w:hAnsi="Arial" w:cs="Arial"/>
          <w:color w:val="000000" w:themeColor="text1"/>
          <w:sz w:val="22"/>
          <w:szCs w:val="22"/>
        </w:rPr>
      </w:pPr>
      <w:r w:rsidRPr="008E44DA">
        <w:rPr>
          <w:rFonts w:ascii="Arial" w:eastAsia="Arial" w:hAnsi="Arial" w:cs="Arial"/>
          <w:sz w:val="22"/>
          <w:szCs w:val="22"/>
        </w:rPr>
        <w:t xml:space="preserve">Budgetary officials </w:t>
      </w:r>
      <w:r w:rsidR="7B64983C" w:rsidRPr="008E44DA">
        <w:rPr>
          <w:rFonts w:ascii="Arial" w:eastAsia="Arial" w:hAnsi="Arial" w:cs="Arial"/>
          <w:color w:val="000000" w:themeColor="text1"/>
          <w:sz w:val="22"/>
          <w:szCs w:val="22"/>
        </w:rPr>
        <w:t>from the Commonwealth and NSW champion</w:t>
      </w:r>
      <w:r w:rsidR="754A83D3" w:rsidRPr="008E44DA">
        <w:rPr>
          <w:rFonts w:ascii="Arial" w:eastAsia="Arial" w:hAnsi="Arial" w:cs="Arial"/>
          <w:color w:val="000000" w:themeColor="text1"/>
          <w:sz w:val="22"/>
          <w:szCs w:val="22"/>
        </w:rPr>
        <w:t>ed</w:t>
      </w:r>
      <w:r w:rsidR="7B64983C" w:rsidRPr="008E44DA">
        <w:rPr>
          <w:rFonts w:ascii="Arial" w:eastAsia="Arial" w:hAnsi="Arial" w:cs="Arial"/>
          <w:color w:val="000000" w:themeColor="text1"/>
          <w:sz w:val="22"/>
          <w:szCs w:val="22"/>
        </w:rPr>
        <w:t xml:space="preserve"> a risk management </w:t>
      </w:r>
      <w:r w:rsidR="6CEEA9E1" w:rsidRPr="008E44DA">
        <w:rPr>
          <w:rFonts w:ascii="Arial" w:eastAsia="Arial" w:hAnsi="Arial" w:cs="Arial"/>
          <w:color w:val="000000" w:themeColor="text1"/>
          <w:sz w:val="22"/>
          <w:szCs w:val="22"/>
        </w:rPr>
        <w:t>model</w:t>
      </w:r>
      <w:r w:rsidR="7B64983C" w:rsidRPr="008E44DA">
        <w:rPr>
          <w:rFonts w:ascii="Arial" w:eastAsia="Arial" w:hAnsi="Arial" w:cs="Arial"/>
          <w:color w:val="000000" w:themeColor="text1"/>
          <w:sz w:val="22"/>
          <w:szCs w:val="22"/>
        </w:rPr>
        <w:t xml:space="preserve"> that targets change at the line agency level. Within this model, line agencies are required to approach the central financing agency with a technical mindset and robust </w:t>
      </w:r>
      <w:r w:rsidR="00551715">
        <w:rPr>
          <w:rFonts w:ascii="Arial" w:eastAsia="Arial" w:hAnsi="Arial" w:cs="Arial"/>
          <w:color w:val="000000" w:themeColor="text1"/>
          <w:sz w:val="22"/>
          <w:szCs w:val="22"/>
        </w:rPr>
        <w:t>outcome measures</w:t>
      </w:r>
      <w:r w:rsidR="00551715" w:rsidRPr="008E44DA">
        <w:rPr>
          <w:rFonts w:ascii="Arial" w:eastAsia="Arial" w:hAnsi="Arial" w:cs="Arial"/>
          <w:color w:val="000000" w:themeColor="text1"/>
          <w:sz w:val="22"/>
          <w:szCs w:val="22"/>
        </w:rPr>
        <w:t xml:space="preserve"> </w:t>
      </w:r>
      <w:r w:rsidR="7B64983C" w:rsidRPr="008E44DA">
        <w:rPr>
          <w:rFonts w:ascii="Arial" w:eastAsia="Arial" w:hAnsi="Arial" w:cs="Arial"/>
          <w:color w:val="000000" w:themeColor="text1"/>
          <w:sz w:val="22"/>
          <w:szCs w:val="22"/>
        </w:rPr>
        <w:t xml:space="preserve">framework that </w:t>
      </w:r>
      <w:r w:rsidR="00327B9B" w:rsidRPr="008E44DA">
        <w:rPr>
          <w:rFonts w:ascii="Arial" w:eastAsia="Arial" w:hAnsi="Arial" w:cs="Arial"/>
          <w:color w:val="000000" w:themeColor="text1"/>
          <w:sz w:val="22"/>
          <w:szCs w:val="22"/>
        </w:rPr>
        <w:t>communicate</w:t>
      </w:r>
      <w:r w:rsidR="00551715">
        <w:rPr>
          <w:rFonts w:ascii="Arial" w:eastAsia="Arial" w:hAnsi="Arial" w:cs="Arial"/>
          <w:color w:val="000000" w:themeColor="text1"/>
          <w:sz w:val="22"/>
          <w:szCs w:val="22"/>
        </w:rPr>
        <w:t>s</w:t>
      </w:r>
      <w:r w:rsidR="00327B9B" w:rsidRPr="008E44DA">
        <w:rPr>
          <w:rFonts w:ascii="Arial" w:eastAsia="Arial" w:hAnsi="Arial" w:cs="Arial"/>
          <w:color w:val="000000" w:themeColor="text1"/>
          <w:sz w:val="22"/>
          <w:szCs w:val="22"/>
        </w:rPr>
        <w:t xml:space="preserve"> </w:t>
      </w:r>
      <w:r w:rsidR="7B64983C" w:rsidRPr="008E44DA">
        <w:rPr>
          <w:rFonts w:ascii="Arial" w:eastAsia="Arial" w:hAnsi="Arial" w:cs="Arial"/>
          <w:color w:val="000000" w:themeColor="text1"/>
          <w:sz w:val="22"/>
          <w:szCs w:val="22"/>
        </w:rPr>
        <w:t>what an initiative is seeking to achieve and addresses issues of scale. With tools to</w:t>
      </w:r>
      <w:r w:rsidR="00011EA3" w:rsidRPr="008E44DA">
        <w:rPr>
          <w:rFonts w:ascii="Arial" w:eastAsia="Arial" w:hAnsi="Arial" w:cs="Arial"/>
          <w:color w:val="000000" w:themeColor="text1"/>
          <w:sz w:val="22"/>
          <w:szCs w:val="22"/>
        </w:rPr>
        <w:t xml:space="preserve"> routinely</w:t>
      </w:r>
      <w:r w:rsidR="7B64983C" w:rsidRPr="008E44DA">
        <w:rPr>
          <w:rFonts w:ascii="Arial" w:eastAsia="Arial" w:hAnsi="Arial" w:cs="Arial"/>
          <w:color w:val="000000" w:themeColor="text1"/>
          <w:sz w:val="22"/>
          <w:szCs w:val="22"/>
        </w:rPr>
        <w:t xml:space="preserve"> monitor maintenance of effort, a central agency has greater insight into how resources are being spent and can operate with greater certainty that an initiative will deliver social benefits and avoided costs. </w:t>
      </w:r>
    </w:p>
    <w:p w14:paraId="21148A2A" w14:textId="6F744EAE" w:rsidR="7B64983C" w:rsidRPr="008E44DA" w:rsidRDefault="7B64983C" w:rsidP="009B1E99">
      <w:pPr>
        <w:spacing w:line="276" w:lineRule="auto"/>
        <w:jc w:val="both"/>
        <w:rPr>
          <w:rFonts w:ascii="Arial" w:eastAsia="Arial" w:hAnsi="Arial" w:cs="Arial"/>
          <w:color w:val="000000" w:themeColor="text1"/>
          <w:sz w:val="22"/>
          <w:szCs w:val="22"/>
        </w:rPr>
      </w:pPr>
    </w:p>
    <w:p w14:paraId="5E19BADF" w14:textId="1F95E4B5" w:rsidR="7B64983C" w:rsidRPr="008E44DA" w:rsidRDefault="01D29025" w:rsidP="009B1E99">
      <w:pPr>
        <w:spacing w:line="276" w:lineRule="auto"/>
        <w:jc w:val="both"/>
        <w:rPr>
          <w:rFonts w:ascii="Arial" w:eastAsia="Calibri Light" w:hAnsi="Arial" w:cs="Arial"/>
          <w:color w:val="000000" w:themeColor="text1"/>
        </w:rPr>
      </w:pPr>
      <w:r w:rsidRPr="008E44DA">
        <w:rPr>
          <w:rFonts w:ascii="Arial" w:eastAsia="Arial" w:hAnsi="Arial" w:cs="Arial"/>
          <w:color w:val="000000" w:themeColor="text1"/>
          <w:sz w:val="22"/>
          <w:szCs w:val="22"/>
        </w:rPr>
        <w:t xml:space="preserve">Robust </w:t>
      </w:r>
      <w:r w:rsidR="00025467">
        <w:rPr>
          <w:rFonts w:ascii="Arial" w:eastAsia="Arial" w:hAnsi="Arial" w:cs="Arial"/>
          <w:color w:val="000000" w:themeColor="text1"/>
          <w:sz w:val="22"/>
          <w:szCs w:val="22"/>
        </w:rPr>
        <w:t>outcomes</w:t>
      </w:r>
      <w:r w:rsidRPr="008E44DA">
        <w:rPr>
          <w:rFonts w:ascii="Arial" w:eastAsia="Arial" w:hAnsi="Arial" w:cs="Arial"/>
          <w:color w:val="000000" w:themeColor="text1"/>
          <w:sz w:val="22"/>
          <w:szCs w:val="22"/>
        </w:rPr>
        <w:t xml:space="preserve"> frameworks and regular reporting can facilitate multidirectional transparency and </w:t>
      </w:r>
      <w:r w:rsidR="00986320">
        <w:rPr>
          <w:rFonts w:ascii="Arial" w:eastAsia="Arial" w:hAnsi="Arial" w:cs="Arial"/>
          <w:color w:val="000000" w:themeColor="text1"/>
          <w:sz w:val="22"/>
          <w:szCs w:val="22"/>
        </w:rPr>
        <w:t>confidence</w:t>
      </w:r>
      <w:r w:rsidR="00551715">
        <w:rPr>
          <w:rFonts w:ascii="Arial" w:eastAsia="Arial" w:hAnsi="Arial" w:cs="Arial"/>
          <w:color w:val="000000" w:themeColor="text1"/>
          <w:sz w:val="22"/>
          <w:szCs w:val="22"/>
        </w:rPr>
        <w:t xml:space="preserve"> </w:t>
      </w:r>
      <w:r w:rsidRPr="008E44DA">
        <w:rPr>
          <w:rFonts w:ascii="Arial" w:eastAsia="Arial" w:hAnsi="Arial" w:cs="Arial"/>
          <w:color w:val="000000" w:themeColor="text1"/>
          <w:sz w:val="22"/>
          <w:szCs w:val="22"/>
        </w:rPr>
        <w:t>building. For instance, one</w:t>
      </w:r>
      <w:r w:rsidR="0D320F2B" w:rsidRPr="008E44DA">
        <w:rPr>
          <w:rFonts w:ascii="Arial" w:eastAsia="Arial" w:hAnsi="Arial" w:cs="Arial"/>
          <w:color w:val="000000" w:themeColor="text1"/>
          <w:sz w:val="22"/>
          <w:szCs w:val="22"/>
        </w:rPr>
        <w:t xml:space="preserve"> official from the </w:t>
      </w:r>
      <w:r w:rsidR="0D320F2B" w:rsidRPr="008E44DA">
        <w:rPr>
          <w:rFonts w:ascii="Arial" w:eastAsia="Arial" w:hAnsi="Arial" w:cs="Arial"/>
          <w:color w:val="000000" w:themeColor="text1"/>
        </w:rPr>
        <w:t xml:space="preserve">OSII </w:t>
      </w:r>
      <w:r w:rsidR="0D320F2B" w:rsidRPr="008E44DA">
        <w:rPr>
          <w:rFonts w:ascii="Arial" w:eastAsia="Arial" w:hAnsi="Arial" w:cs="Arial"/>
          <w:color w:val="000000" w:themeColor="text1"/>
          <w:sz w:val="22"/>
          <w:szCs w:val="22"/>
        </w:rPr>
        <w:t>noted the importance of regular briefings with the Treasurer and Premier, outlining the successes, risks and failures experienced. This level of transparency lends credibility to outcome measures and, in turn, promotes a deeply invested senior leadership.</w:t>
      </w:r>
      <w:r w:rsidR="00551715">
        <w:rPr>
          <w:rFonts w:ascii="Arial" w:eastAsia="Arial" w:hAnsi="Arial" w:cs="Arial"/>
          <w:color w:val="000000" w:themeColor="text1"/>
          <w:sz w:val="22"/>
          <w:szCs w:val="22"/>
        </w:rPr>
        <w:t xml:space="preserve"> Additionally, </w:t>
      </w:r>
      <w:r w:rsidR="00986320">
        <w:rPr>
          <w:rFonts w:ascii="Arial" w:eastAsia="Arial" w:hAnsi="Arial" w:cs="Arial"/>
          <w:color w:val="000000" w:themeColor="text1"/>
          <w:sz w:val="22"/>
          <w:szCs w:val="22"/>
        </w:rPr>
        <w:t>a consistent</w:t>
      </w:r>
      <w:r w:rsidR="00551715">
        <w:rPr>
          <w:rFonts w:ascii="Arial" w:eastAsia="Arial" w:hAnsi="Arial" w:cs="Arial"/>
          <w:color w:val="000000" w:themeColor="text1"/>
          <w:sz w:val="22"/>
          <w:szCs w:val="22"/>
        </w:rPr>
        <w:t xml:space="preserve"> </w:t>
      </w:r>
      <w:r w:rsidR="00986320">
        <w:rPr>
          <w:rFonts w:ascii="Arial" w:eastAsia="Arial" w:hAnsi="Arial" w:cs="Arial"/>
          <w:color w:val="000000" w:themeColor="text1"/>
          <w:sz w:val="22"/>
          <w:szCs w:val="22"/>
        </w:rPr>
        <w:t xml:space="preserve">record of </w:t>
      </w:r>
      <w:r w:rsidR="00551715">
        <w:rPr>
          <w:rFonts w:ascii="Arial" w:eastAsia="Arial" w:hAnsi="Arial" w:cs="Arial"/>
          <w:color w:val="000000" w:themeColor="text1"/>
          <w:sz w:val="22"/>
          <w:szCs w:val="22"/>
        </w:rPr>
        <w:t xml:space="preserve">reporting </w:t>
      </w:r>
      <w:r w:rsidR="00986320">
        <w:rPr>
          <w:rFonts w:ascii="Arial" w:eastAsia="Arial" w:hAnsi="Arial" w:cs="Arial"/>
          <w:color w:val="000000" w:themeColor="text1"/>
          <w:sz w:val="22"/>
          <w:szCs w:val="22"/>
        </w:rPr>
        <w:t>over</w:t>
      </w:r>
      <w:r w:rsidR="00DF0028">
        <w:rPr>
          <w:rFonts w:ascii="Arial" w:eastAsia="Arial" w:hAnsi="Arial" w:cs="Arial"/>
          <w:color w:val="000000" w:themeColor="text1"/>
          <w:sz w:val="22"/>
          <w:szCs w:val="22"/>
        </w:rPr>
        <w:t xml:space="preserve"> </w:t>
      </w:r>
      <w:r w:rsidR="00986320">
        <w:rPr>
          <w:rFonts w:ascii="Arial" w:eastAsia="Arial" w:hAnsi="Arial" w:cs="Arial"/>
          <w:color w:val="000000" w:themeColor="text1"/>
          <w:sz w:val="22"/>
          <w:szCs w:val="22"/>
        </w:rPr>
        <w:t>time is a useful tool for building trust in and across departments in the long-term.</w:t>
      </w:r>
    </w:p>
    <w:p w14:paraId="0ECE00C6" w14:textId="77777777" w:rsidR="00CC2E29" w:rsidRPr="008E44DA" w:rsidRDefault="00CC2E29" w:rsidP="009B1E99">
      <w:pPr>
        <w:spacing w:line="276" w:lineRule="auto"/>
        <w:jc w:val="both"/>
        <w:rPr>
          <w:rFonts w:ascii="Arial" w:eastAsia="Arial" w:hAnsi="Arial" w:cs="Arial"/>
          <w:color w:val="000000" w:themeColor="text1"/>
          <w:sz w:val="22"/>
          <w:szCs w:val="22"/>
        </w:rPr>
      </w:pPr>
    </w:p>
    <w:p w14:paraId="306C3A26" w14:textId="642AEA7A" w:rsidR="003560A7" w:rsidRPr="00C24456" w:rsidRDefault="23B4EF31" w:rsidP="009B1E99">
      <w:pPr>
        <w:spacing w:line="276" w:lineRule="auto"/>
        <w:jc w:val="both"/>
        <w:rPr>
          <w:rFonts w:ascii="Arial" w:eastAsia="Arial" w:hAnsi="Arial" w:cs="Arial"/>
          <w:sz w:val="22"/>
          <w:szCs w:val="22"/>
        </w:rPr>
      </w:pPr>
      <w:r w:rsidRPr="008E44DA">
        <w:rPr>
          <w:rFonts w:ascii="Arial" w:eastAsia="Arial" w:hAnsi="Arial" w:cs="Arial"/>
          <w:sz w:val="22"/>
          <w:szCs w:val="22"/>
        </w:rPr>
        <w:t xml:space="preserve">Useful as </w:t>
      </w:r>
      <w:r w:rsidR="5020E16E" w:rsidRPr="008E44DA">
        <w:rPr>
          <w:rFonts w:ascii="Arial" w:eastAsia="Arial" w:hAnsi="Arial" w:cs="Arial"/>
          <w:sz w:val="22"/>
          <w:szCs w:val="22"/>
        </w:rPr>
        <w:t>the approaches of</w:t>
      </w:r>
      <w:r w:rsidR="5C21E56E" w:rsidRPr="008E44DA">
        <w:rPr>
          <w:rFonts w:ascii="Arial" w:eastAsia="Arial" w:hAnsi="Arial" w:cs="Arial"/>
          <w:sz w:val="22"/>
          <w:szCs w:val="22"/>
        </w:rPr>
        <w:t xml:space="preserve"> </w:t>
      </w:r>
      <w:r w:rsidR="00CC2E29" w:rsidRPr="008E44DA">
        <w:rPr>
          <w:rFonts w:ascii="Arial" w:eastAsia="Arial" w:hAnsi="Arial" w:cs="Arial"/>
          <w:sz w:val="22"/>
          <w:szCs w:val="22"/>
        </w:rPr>
        <w:t xml:space="preserve">NSW and the Commonwealth </w:t>
      </w:r>
      <w:r w:rsidR="5020E16E" w:rsidRPr="008E44DA">
        <w:rPr>
          <w:rFonts w:ascii="Arial" w:eastAsia="Arial" w:hAnsi="Arial" w:cs="Arial"/>
          <w:sz w:val="22"/>
          <w:szCs w:val="22"/>
        </w:rPr>
        <w:t>are</w:t>
      </w:r>
      <w:r w:rsidR="00B97526" w:rsidRPr="008E44DA">
        <w:rPr>
          <w:rFonts w:ascii="Arial" w:eastAsia="Arial" w:hAnsi="Arial" w:cs="Arial"/>
          <w:sz w:val="22"/>
          <w:szCs w:val="22"/>
        </w:rPr>
        <w:t xml:space="preserve"> in t</w:t>
      </w:r>
      <w:r w:rsidR="003A730A" w:rsidRPr="008E44DA">
        <w:rPr>
          <w:rFonts w:ascii="Arial" w:eastAsia="Arial" w:hAnsi="Arial" w:cs="Arial"/>
          <w:sz w:val="22"/>
          <w:szCs w:val="22"/>
        </w:rPr>
        <w:t xml:space="preserve">erms of </w:t>
      </w:r>
      <w:r w:rsidR="00C24456">
        <w:rPr>
          <w:rFonts w:ascii="Arial" w:eastAsia="Arial" w:hAnsi="Arial" w:cs="Arial"/>
          <w:sz w:val="22"/>
          <w:szCs w:val="22"/>
        </w:rPr>
        <w:t>quantifying risks and delivering technical responses</w:t>
      </w:r>
      <w:r w:rsidR="00B97526" w:rsidRPr="008E44DA">
        <w:rPr>
          <w:rFonts w:ascii="Arial" w:eastAsia="Arial" w:hAnsi="Arial" w:cs="Arial"/>
          <w:sz w:val="22"/>
          <w:szCs w:val="22"/>
        </w:rPr>
        <w:t xml:space="preserve">, </w:t>
      </w:r>
      <w:r w:rsidR="150726C1" w:rsidRPr="008E44DA">
        <w:rPr>
          <w:rFonts w:ascii="Arial" w:eastAsia="Arial" w:hAnsi="Arial" w:cs="Arial"/>
          <w:sz w:val="22"/>
          <w:szCs w:val="22"/>
        </w:rPr>
        <w:t>they remain</w:t>
      </w:r>
      <w:r w:rsidR="00B97526" w:rsidRPr="008E44DA">
        <w:rPr>
          <w:rFonts w:ascii="Arial" w:eastAsia="Arial" w:hAnsi="Arial" w:cs="Arial"/>
          <w:sz w:val="22"/>
          <w:szCs w:val="22"/>
        </w:rPr>
        <w:t xml:space="preserve"> imperfect. </w:t>
      </w:r>
      <w:r w:rsidR="00B97526" w:rsidRPr="008E44DA">
        <w:rPr>
          <w:rFonts w:ascii="Arial" w:eastAsia="Arial" w:hAnsi="Arial" w:cs="Arial"/>
          <w:color w:val="000000" w:themeColor="text1"/>
          <w:sz w:val="22"/>
          <w:szCs w:val="22"/>
        </w:rPr>
        <w:t>Both jurisdictions acknowledged</w:t>
      </w:r>
      <w:r w:rsidR="00AE0B0C" w:rsidRPr="008E44DA">
        <w:rPr>
          <w:rFonts w:ascii="Arial" w:eastAsia="Arial" w:hAnsi="Arial" w:cs="Arial"/>
          <w:color w:val="000000" w:themeColor="text1"/>
          <w:sz w:val="22"/>
          <w:szCs w:val="22"/>
        </w:rPr>
        <w:t xml:space="preserve"> reluctance among line agencies to engage fully in the evaluative model</w:t>
      </w:r>
      <w:r w:rsidR="003B346E" w:rsidRPr="008E44DA">
        <w:rPr>
          <w:rFonts w:ascii="Arial" w:eastAsia="Arial" w:hAnsi="Arial" w:cs="Arial"/>
          <w:color w:val="000000" w:themeColor="text1"/>
          <w:sz w:val="22"/>
          <w:szCs w:val="22"/>
        </w:rPr>
        <w:t>. The</w:t>
      </w:r>
      <w:r w:rsidR="00AE0B0C" w:rsidRPr="008E44DA">
        <w:rPr>
          <w:rFonts w:ascii="Arial" w:eastAsia="Arial" w:hAnsi="Arial" w:cs="Arial"/>
          <w:color w:val="000000" w:themeColor="text1"/>
          <w:sz w:val="22"/>
          <w:szCs w:val="22"/>
        </w:rPr>
        <w:t xml:space="preserve"> challenge, they observed, </w:t>
      </w:r>
      <w:r w:rsidR="00AA0C61" w:rsidRPr="008E44DA">
        <w:rPr>
          <w:rFonts w:ascii="Arial" w:eastAsia="Arial" w:hAnsi="Arial" w:cs="Arial"/>
          <w:color w:val="000000" w:themeColor="text1"/>
          <w:sz w:val="22"/>
          <w:szCs w:val="22"/>
        </w:rPr>
        <w:t xml:space="preserve">is ultimately a </w:t>
      </w:r>
      <w:r w:rsidR="7B64983C" w:rsidRPr="008E44DA">
        <w:rPr>
          <w:rFonts w:ascii="Arial" w:eastAsia="Arial" w:hAnsi="Arial" w:cs="Arial"/>
          <w:color w:val="000000" w:themeColor="text1"/>
          <w:sz w:val="22"/>
          <w:szCs w:val="22"/>
        </w:rPr>
        <w:t xml:space="preserve">cultural one that involves encouraging agencies to approach them with a problem rather than a </w:t>
      </w:r>
      <w:r w:rsidR="035BC1E8" w:rsidRPr="008E44DA">
        <w:rPr>
          <w:rFonts w:ascii="Arial" w:eastAsia="Arial" w:hAnsi="Arial" w:cs="Arial"/>
          <w:color w:val="000000" w:themeColor="text1"/>
          <w:sz w:val="22"/>
          <w:szCs w:val="22"/>
        </w:rPr>
        <w:t>predetermined</w:t>
      </w:r>
      <w:r w:rsidR="7B64983C" w:rsidRPr="008E44DA">
        <w:rPr>
          <w:rFonts w:ascii="Arial" w:eastAsia="Arial" w:hAnsi="Arial" w:cs="Arial"/>
          <w:color w:val="000000" w:themeColor="text1"/>
          <w:sz w:val="22"/>
          <w:szCs w:val="22"/>
        </w:rPr>
        <w:t xml:space="preserve"> solution. These observations speak directly to </w:t>
      </w:r>
      <w:r w:rsidR="003B346E" w:rsidRPr="008E44DA">
        <w:rPr>
          <w:rFonts w:ascii="Arial" w:eastAsia="Arial" w:hAnsi="Arial" w:cs="Arial"/>
          <w:color w:val="201F1E"/>
          <w:sz w:val="22"/>
          <w:szCs w:val="22"/>
          <w:lang w:eastAsia="en-AU"/>
        </w:rPr>
        <w:t>the</w:t>
      </w:r>
      <w:r w:rsidR="00061082" w:rsidRPr="008E44DA">
        <w:rPr>
          <w:rFonts w:ascii="Arial" w:eastAsia="Arial" w:hAnsi="Arial" w:cs="Arial"/>
          <w:color w:val="201F1E"/>
          <w:sz w:val="22"/>
          <w:szCs w:val="22"/>
          <w:lang w:eastAsia="en-AU"/>
        </w:rPr>
        <w:t xml:space="preserve"> </w:t>
      </w:r>
      <w:r w:rsidR="008855D0">
        <w:rPr>
          <w:rFonts w:ascii="Arial" w:eastAsia="Arial" w:hAnsi="Arial" w:cs="Arial"/>
          <w:color w:val="201F1E"/>
          <w:sz w:val="22"/>
          <w:szCs w:val="22"/>
          <w:lang w:eastAsia="en-AU"/>
        </w:rPr>
        <w:t>Adaptive Leadership Framework</w:t>
      </w:r>
      <w:r w:rsidR="7B64983C" w:rsidRPr="008E44DA">
        <w:rPr>
          <w:rFonts w:ascii="Arial" w:eastAsia="Arial" w:hAnsi="Arial" w:cs="Arial"/>
          <w:color w:val="201F1E"/>
          <w:sz w:val="22"/>
          <w:szCs w:val="22"/>
          <w:lang w:eastAsia="en-AU"/>
        </w:rPr>
        <w:t xml:space="preserve">, which warns against deriving a solution to a problem and trying to ‘sell’ it to the intended audience. Rather, the more appropriate course of action is </w:t>
      </w:r>
      <w:r w:rsidR="7B64983C" w:rsidRPr="008E44DA">
        <w:rPr>
          <w:rFonts w:ascii="Arial" w:eastAsia="Arial" w:hAnsi="Arial" w:cs="Arial"/>
          <w:color w:val="201F1E"/>
          <w:sz w:val="22"/>
          <w:szCs w:val="22"/>
          <w:lang w:eastAsia="en-AU"/>
        </w:rPr>
        <w:lastRenderedPageBreak/>
        <w:t>collectively considering the dimensions of a problem and solution</w:t>
      </w:r>
      <w:r w:rsidR="00061082" w:rsidRPr="008E44DA">
        <w:rPr>
          <w:rFonts w:ascii="Arial" w:eastAsia="Arial" w:hAnsi="Arial" w:cs="Arial"/>
          <w:color w:val="201F1E"/>
          <w:sz w:val="22"/>
          <w:szCs w:val="22"/>
          <w:lang w:eastAsia="en-AU"/>
        </w:rPr>
        <w:t>,</w:t>
      </w:r>
      <w:r w:rsidR="7B64983C" w:rsidRPr="008E44DA">
        <w:rPr>
          <w:rFonts w:ascii="Arial" w:eastAsia="Arial" w:hAnsi="Arial" w:cs="Arial"/>
          <w:color w:val="201F1E"/>
          <w:sz w:val="22"/>
          <w:szCs w:val="22"/>
          <w:lang w:eastAsia="en-AU"/>
        </w:rPr>
        <w:t xml:space="preserve"> and assessing who needs new competencies or resources to </w:t>
      </w:r>
      <w:r w:rsidR="7B64983C" w:rsidRPr="008E44DA">
        <w:rPr>
          <w:rFonts w:ascii="Arial" w:eastAsia="Arial" w:hAnsi="Arial" w:cs="Arial"/>
          <w:color w:val="000000" w:themeColor="text1"/>
          <w:sz w:val="22"/>
          <w:szCs w:val="22"/>
          <w:lang w:val="en-US"/>
        </w:rPr>
        <w:t>develop, understand, and implement the solution.</w:t>
      </w:r>
      <w:r w:rsidR="003560A7" w:rsidRPr="008E44DA">
        <w:rPr>
          <w:rStyle w:val="FootnoteReference"/>
          <w:rFonts w:ascii="Arial" w:eastAsia="Arial" w:hAnsi="Arial" w:cs="Arial"/>
          <w:color w:val="000000" w:themeColor="text1"/>
          <w:sz w:val="22"/>
          <w:szCs w:val="22"/>
          <w:lang w:val="en-US"/>
        </w:rPr>
        <w:footnoteReference w:id="13"/>
      </w:r>
    </w:p>
    <w:p w14:paraId="116F5C7F" w14:textId="77777777" w:rsidR="001B796B" w:rsidRPr="008E44DA" w:rsidRDefault="001B796B" w:rsidP="009B1E99">
      <w:pPr>
        <w:spacing w:line="276" w:lineRule="auto"/>
        <w:jc w:val="both"/>
        <w:rPr>
          <w:rFonts w:ascii="Arial" w:eastAsia="Arial" w:hAnsi="Arial" w:cs="Arial"/>
          <w:color w:val="000000" w:themeColor="text1"/>
          <w:sz w:val="22"/>
          <w:szCs w:val="22"/>
          <w:lang w:val="en-US"/>
        </w:rPr>
      </w:pPr>
    </w:p>
    <w:p w14:paraId="4DD0BC10" w14:textId="7BBCBFCB" w:rsidR="007762BC" w:rsidRPr="008E44DA" w:rsidRDefault="71765ABB" w:rsidP="009B1E99">
      <w:pPr>
        <w:spacing w:line="276" w:lineRule="auto"/>
        <w:jc w:val="both"/>
        <w:rPr>
          <w:rFonts w:ascii="Arial" w:eastAsia="Arial" w:hAnsi="Arial" w:cs="Arial"/>
          <w:color w:val="000000" w:themeColor="text1"/>
          <w:sz w:val="22"/>
          <w:szCs w:val="22"/>
          <w:lang w:val="en-US"/>
        </w:rPr>
      </w:pPr>
      <w:r w:rsidRPr="008E44DA">
        <w:rPr>
          <w:rFonts w:ascii="Arial" w:eastAsia="Arial" w:hAnsi="Arial" w:cs="Arial"/>
          <w:color w:val="000000" w:themeColor="text1"/>
          <w:sz w:val="22"/>
          <w:szCs w:val="22"/>
          <w:lang w:val="en-US"/>
        </w:rPr>
        <w:t xml:space="preserve">An alternative </w:t>
      </w:r>
      <w:r w:rsidR="3410A454" w:rsidRPr="008E44DA">
        <w:rPr>
          <w:rFonts w:ascii="Arial" w:eastAsia="Arial" w:hAnsi="Arial" w:cs="Arial"/>
          <w:color w:val="000000" w:themeColor="text1"/>
          <w:sz w:val="22"/>
          <w:szCs w:val="22"/>
          <w:lang w:val="en-US"/>
        </w:rPr>
        <w:t>model</w:t>
      </w:r>
      <w:r w:rsidRPr="008E44DA">
        <w:rPr>
          <w:rFonts w:ascii="Arial" w:eastAsia="Arial" w:hAnsi="Arial" w:cs="Arial"/>
          <w:color w:val="000000" w:themeColor="text1"/>
          <w:sz w:val="22"/>
          <w:szCs w:val="22"/>
          <w:lang w:val="en-US"/>
        </w:rPr>
        <w:t xml:space="preserve"> </w:t>
      </w:r>
      <w:r w:rsidR="00061082" w:rsidRPr="008E44DA">
        <w:rPr>
          <w:rFonts w:ascii="Arial" w:eastAsia="Arial" w:hAnsi="Arial" w:cs="Arial"/>
          <w:color w:val="000000" w:themeColor="text1"/>
          <w:sz w:val="22"/>
          <w:szCs w:val="22"/>
          <w:lang w:val="en-US"/>
        </w:rPr>
        <w:t xml:space="preserve">to risk management </w:t>
      </w:r>
      <w:r w:rsidRPr="008E44DA">
        <w:rPr>
          <w:rFonts w:ascii="Arial" w:eastAsia="Arial" w:hAnsi="Arial" w:cs="Arial"/>
          <w:color w:val="000000" w:themeColor="text1"/>
          <w:sz w:val="22"/>
          <w:szCs w:val="22"/>
          <w:lang w:val="en-US"/>
        </w:rPr>
        <w:t xml:space="preserve">involves negotiation and </w:t>
      </w:r>
      <w:r w:rsidR="3D6C8254" w:rsidRPr="008E44DA">
        <w:rPr>
          <w:rFonts w:ascii="Arial" w:eastAsia="Arial" w:hAnsi="Arial" w:cs="Arial"/>
          <w:color w:val="000000" w:themeColor="text1"/>
          <w:sz w:val="22"/>
          <w:szCs w:val="22"/>
          <w:lang w:val="en-US"/>
        </w:rPr>
        <w:t xml:space="preserve">the devolution of power. </w:t>
      </w:r>
      <w:r w:rsidR="0DCD7596" w:rsidRPr="008E44DA">
        <w:rPr>
          <w:rFonts w:ascii="Arial" w:eastAsia="Arial" w:hAnsi="Arial" w:cs="Arial"/>
          <w:color w:val="000000" w:themeColor="text1"/>
          <w:sz w:val="22"/>
          <w:szCs w:val="22"/>
          <w:lang w:val="en-US"/>
        </w:rPr>
        <w:t xml:space="preserve">This </w:t>
      </w:r>
      <w:r w:rsidR="3410A454" w:rsidRPr="008E44DA">
        <w:rPr>
          <w:rFonts w:ascii="Arial" w:eastAsia="Arial" w:hAnsi="Arial" w:cs="Arial"/>
          <w:color w:val="000000" w:themeColor="text1"/>
          <w:sz w:val="22"/>
          <w:szCs w:val="22"/>
          <w:lang w:val="en-US"/>
        </w:rPr>
        <w:t>model</w:t>
      </w:r>
      <w:r w:rsidR="0DCD7596" w:rsidRPr="008E44DA">
        <w:rPr>
          <w:rFonts w:ascii="Arial" w:eastAsia="Arial" w:hAnsi="Arial" w:cs="Arial"/>
          <w:color w:val="000000" w:themeColor="text1"/>
          <w:sz w:val="22"/>
          <w:szCs w:val="22"/>
          <w:lang w:val="en-US"/>
        </w:rPr>
        <w:t xml:space="preserve"> draws on the ‘reform deal’ proposed by Lonsdale et al.</w:t>
      </w:r>
      <w:r w:rsidR="58357C32" w:rsidRPr="008E44DA">
        <w:rPr>
          <w:rFonts w:ascii="Arial" w:eastAsia="Arial" w:hAnsi="Arial" w:cs="Arial"/>
          <w:b/>
          <w:bCs/>
          <w:color w:val="000000" w:themeColor="text1"/>
          <w:sz w:val="22"/>
          <w:szCs w:val="22"/>
          <w:lang w:val="en-US"/>
        </w:rPr>
        <w:t xml:space="preserve"> </w:t>
      </w:r>
      <w:r w:rsidR="58357C32" w:rsidRPr="008E44DA">
        <w:rPr>
          <w:rFonts w:ascii="Arial" w:eastAsia="Arial" w:hAnsi="Arial" w:cs="Arial"/>
          <w:color w:val="000000" w:themeColor="text1"/>
          <w:sz w:val="22"/>
          <w:szCs w:val="22"/>
          <w:lang w:val="en-US"/>
        </w:rPr>
        <w:t xml:space="preserve">In the context of pooled budgeting and local-central government relations, the reform deal seeks to offer greater flexibility at the local level, while providing </w:t>
      </w:r>
      <w:r w:rsidR="26FDF8D9" w:rsidRPr="008E44DA">
        <w:rPr>
          <w:rFonts w:ascii="Arial" w:eastAsia="Arial" w:hAnsi="Arial" w:cs="Arial"/>
          <w:color w:val="000000" w:themeColor="text1"/>
          <w:sz w:val="22"/>
          <w:szCs w:val="22"/>
          <w:lang w:val="en-US"/>
        </w:rPr>
        <w:t xml:space="preserve">the </w:t>
      </w:r>
      <w:r w:rsidR="58357C32" w:rsidRPr="008E44DA">
        <w:rPr>
          <w:rFonts w:ascii="Arial" w:eastAsia="Arial" w:hAnsi="Arial" w:cs="Arial"/>
          <w:color w:val="000000" w:themeColor="text1"/>
          <w:sz w:val="22"/>
          <w:szCs w:val="22"/>
          <w:lang w:val="en-US"/>
        </w:rPr>
        <w:t xml:space="preserve">central government with reassurances that public money is being managed responsibly. </w:t>
      </w:r>
      <w:r w:rsidR="405EDCD8" w:rsidRPr="008E44DA">
        <w:rPr>
          <w:rFonts w:ascii="Arial" w:eastAsia="Arial" w:hAnsi="Arial" w:cs="Arial"/>
          <w:color w:val="000000" w:themeColor="text1"/>
          <w:sz w:val="22"/>
          <w:szCs w:val="22"/>
          <w:lang w:val="en-US"/>
        </w:rPr>
        <w:t xml:space="preserve">Commitments from central government to devolve responsibilities are traded for corresponding commitments to governance, transparency, and accountability from local governments. At the central level, these commitments are grouped into the four categories of funding, collaboration, regulation, and support, while at the local level they are grouped into focus on outcomes and efficiency, taking an evidence-based approach, governance and capability, and accountability. </w:t>
      </w:r>
      <w:r w:rsidR="26CC586D" w:rsidRPr="008E44DA">
        <w:rPr>
          <w:rFonts w:ascii="Arial" w:eastAsia="Arial" w:hAnsi="Arial" w:cs="Arial"/>
          <w:color w:val="000000" w:themeColor="text1"/>
          <w:sz w:val="22"/>
          <w:szCs w:val="22"/>
          <w:lang w:val="en-US"/>
        </w:rPr>
        <w:t>The possibility of sanctions remains</w:t>
      </w:r>
      <w:r w:rsidR="67672A0B" w:rsidRPr="008E44DA">
        <w:rPr>
          <w:rFonts w:ascii="Arial" w:eastAsia="Arial" w:hAnsi="Arial" w:cs="Arial"/>
          <w:color w:val="000000" w:themeColor="text1"/>
          <w:sz w:val="22"/>
          <w:szCs w:val="22"/>
          <w:lang w:val="en-US"/>
        </w:rPr>
        <w:t xml:space="preserve"> as a recourse for</w:t>
      </w:r>
      <w:r w:rsidR="7698DFDB" w:rsidRPr="008E44DA">
        <w:rPr>
          <w:rFonts w:ascii="Arial" w:eastAsia="Arial" w:hAnsi="Arial" w:cs="Arial"/>
          <w:color w:val="000000" w:themeColor="text1"/>
          <w:sz w:val="22"/>
          <w:szCs w:val="22"/>
          <w:lang w:val="en-US"/>
        </w:rPr>
        <w:t xml:space="preserve"> </w:t>
      </w:r>
      <w:r w:rsidR="67672A0B" w:rsidRPr="008E44DA">
        <w:rPr>
          <w:rFonts w:ascii="Arial" w:eastAsia="Arial" w:hAnsi="Arial" w:cs="Arial"/>
          <w:color w:val="000000" w:themeColor="text1"/>
          <w:sz w:val="22"/>
          <w:szCs w:val="22"/>
          <w:lang w:val="en-US"/>
        </w:rPr>
        <w:t>behaviour that lacks transparency.</w:t>
      </w:r>
      <w:r w:rsidR="00FE3047" w:rsidRPr="008E44DA">
        <w:rPr>
          <w:rStyle w:val="FootnoteReference"/>
          <w:rFonts w:ascii="Arial" w:eastAsia="Arial" w:hAnsi="Arial" w:cs="Arial"/>
          <w:color w:val="000000" w:themeColor="text1"/>
          <w:sz w:val="22"/>
          <w:szCs w:val="22"/>
          <w:lang w:val="en-US"/>
        </w:rPr>
        <w:footnoteReference w:id="14"/>
      </w:r>
    </w:p>
    <w:p w14:paraId="2681AC10" w14:textId="0AB5EA3F" w:rsidR="0C5CA3C5" w:rsidRPr="008E44DA" w:rsidRDefault="0C5CA3C5" w:rsidP="009B1E99">
      <w:pPr>
        <w:spacing w:line="276" w:lineRule="auto"/>
        <w:jc w:val="both"/>
        <w:rPr>
          <w:rStyle w:val="eop"/>
          <w:rFonts w:ascii="Arial" w:eastAsia="Arial" w:hAnsi="Arial" w:cs="Arial"/>
          <w:b/>
          <w:bCs/>
          <w:color w:val="000000" w:themeColor="text1"/>
          <w:sz w:val="22"/>
          <w:szCs w:val="22"/>
        </w:rPr>
      </w:pPr>
    </w:p>
    <w:p w14:paraId="10F17163" w14:textId="26DED1A3" w:rsidR="00DC7B73" w:rsidRDefault="2241F215" w:rsidP="009B1E99">
      <w:pPr>
        <w:spacing w:line="276" w:lineRule="auto"/>
        <w:jc w:val="both"/>
        <w:rPr>
          <w:rFonts w:ascii="Arial" w:eastAsia="Arial" w:hAnsi="Arial" w:cs="Arial"/>
          <w:color w:val="000000" w:themeColor="text1"/>
          <w:sz w:val="22"/>
          <w:szCs w:val="22"/>
        </w:rPr>
      </w:pPr>
      <w:r w:rsidRPr="48D74B65">
        <w:rPr>
          <w:rFonts w:ascii="Arial" w:eastAsia="Arial" w:hAnsi="Arial" w:cs="Arial"/>
          <w:color w:val="000000" w:themeColor="text1"/>
          <w:sz w:val="22"/>
          <w:szCs w:val="22"/>
        </w:rPr>
        <w:t xml:space="preserve">One </w:t>
      </w:r>
      <w:r w:rsidR="23B4EF31" w:rsidRPr="48D74B65">
        <w:rPr>
          <w:rFonts w:ascii="Arial" w:eastAsia="Arial" w:hAnsi="Arial" w:cs="Arial"/>
          <w:color w:val="000000" w:themeColor="text1"/>
          <w:sz w:val="22"/>
          <w:szCs w:val="22"/>
        </w:rPr>
        <w:t>New Zealand Treasury official</w:t>
      </w:r>
      <w:r w:rsidR="00A37CA9" w:rsidRPr="48D74B65">
        <w:rPr>
          <w:rFonts w:ascii="Arial" w:eastAsia="Arial" w:hAnsi="Arial" w:cs="Arial"/>
          <w:color w:val="000000" w:themeColor="text1"/>
          <w:sz w:val="22"/>
          <w:szCs w:val="22"/>
        </w:rPr>
        <w:t xml:space="preserve"> offered a comparable example, observing</w:t>
      </w:r>
      <w:r w:rsidR="23B4EF31" w:rsidRPr="48D74B65">
        <w:rPr>
          <w:rFonts w:ascii="Arial" w:eastAsia="Arial" w:hAnsi="Arial" w:cs="Arial"/>
          <w:color w:val="000000" w:themeColor="text1"/>
          <w:sz w:val="22"/>
          <w:szCs w:val="22"/>
        </w:rPr>
        <w:t xml:space="preserve"> that the most effective approach </w:t>
      </w:r>
      <w:r w:rsidR="21598A26" w:rsidRPr="48D74B65">
        <w:rPr>
          <w:rFonts w:ascii="Arial" w:eastAsia="Arial" w:hAnsi="Arial" w:cs="Arial"/>
          <w:color w:val="000000" w:themeColor="text1"/>
          <w:sz w:val="22"/>
          <w:szCs w:val="22"/>
        </w:rPr>
        <w:t xml:space="preserve">in long-term, outcomes-based funding is for the central finance agency to </w:t>
      </w:r>
      <w:r w:rsidR="564118C9" w:rsidRPr="48D74B65">
        <w:rPr>
          <w:rFonts w:ascii="Arial" w:eastAsia="Arial" w:hAnsi="Arial" w:cs="Arial"/>
          <w:color w:val="000000" w:themeColor="text1"/>
          <w:sz w:val="22"/>
          <w:szCs w:val="22"/>
        </w:rPr>
        <w:t>accept that it holds most of the</w:t>
      </w:r>
      <w:r w:rsidR="112682A2" w:rsidRPr="48D74B65">
        <w:rPr>
          <w:rFonts w:ascii="Arial" w:eastAsia="Arial" w:hAnsi="Arial" w:cs="Arial"/>
          <w:color w:val="000000" w:themeColor="text1"/>
          <w:sz w:val="22"/>
          <w:szCs w:val="22"/>
        </w:rPr>
        <w:t xml:space="preserve"> risk. With this comes a clear signal of trust in line agencies</w:t>
      </w:r>
      <w:r w:rsidR="23B4EF31" w:rsidRPr="48D74B65">
        <w:rPr>
          <w:rFonts w:ascii="Arial" w:eastAsia="Arial" w:hAnsi="Arial" w:cs="Arial"/>
          <w:color w:val="000000" w:themeColor="text1"/>
          <w:sz w:val="22"/>
          <w:szCs w:val="22"/>
        </w:rPr>
        <w:t xml:space="preserve">, granting them greater autonomy to innovate </w:t>
      </w:r>
      <w:r w:rsidR="112682A2" w:rsidRPr="48D74B65">
        <w:rPr>
          <w:rFonts w:ascii="Arial" w:eastAsia="Arial" w:hAnsi="Arial" w:cs="Arial"/>
          <w:color w:val="000000" w:themeColor="text1"/>
          <w:sz w:val="22"/>
          <w:szCs w:val="22"/>
        </w:rPr>
        <w:t xml:space="preserve">with solutions </w:t>
      </w:r>
      <w:r w:rsidR="23B4EF31" w:rsidRPr="48D74B65">
        <w:rPr>
          <w:rFonts w:ascii="Arial" w:eastAsia="Arial" w:hAnsi="Arial" w:cs="Arial"/>
          <w:color w:val="000000" w:themeColor="text1"/>
          <w:sz w:val="22"/>
          <w:szCs w:val="22"/>
        </w:rPr>
        <w:t>which, in turn, promote</w:t>
      </w:r>
      <w:r w:rsidR="005A23A8" w:rsidRPr="48D74B65">
        <w:rPr>
          <w:rFonts w:ascii="Arial" w:eastAsia="Arial" w:hAnsi="Arial" w:cs="Arial"/>
          <w:color w:val="000000" w:themeColor="text1"/>
          <w:sz w:val="22"/>
          <w:szCs w:val="22"/>
        </w:rPr>
        <w:t>s</w:t>
      </w:r>
      <w:r w:rsidR="00FD038D" w:rsidRPr="48D74B65">
        <w:rPr>
          <w:rFonts w:ascii="Arial" w:eastAsia="Arial" w:hAnsi="Arial" w:cs="Arial"/>
          <w:color w:val="000000" w:themeColor="text1"/>
          <w:sz w:val="22"/>
          <w:szCs w:val="22"/>
        </w:rPr>
        <w:t xml:space="preserve"> greater buy-</w:t>
      </w:r>
      <w:r w:rsidR="23B4EF31" w:rsidRPr="48D74B65">
        <w:rPr>
          <w:rFonts w:ascii="Arial" w:eastAsia="Arial" w:hAnsi="Arial" w:cs="Arial"/>
          <w:color w:val="000000" w:themeColor="text1"/>
          <w:sz w:val="22"/>
          <w:szCs w:val="22"/>
        </w:rPr>
        <w:t>in.</w:t>
      </w:r>
      <w:r w:rsidR="7C668469" w:rsidRPr="48D74B65">
        <w:rPr>
          <w:rFonts w:ascii="Arial" w:eastAsia="Arial" w:hAnsi="Arial" w:cs="Arial"/>
          <w:color w:val="000000" w:themeColor="text1"/>
          <w:sz w:val="22"/>
          <w:szCs w:val="22"/>
        </w:rPr>
        <w:t xml:space="preserve"> </w:t>
      </w:r>
      <w:r w:rsidR="00DC7B73" w:rsidRPr="48D74B65">
        <w:rPr>
          <w:rFonts w:ascii="Arial" w:eastAsia="Arial" w:hAnsi="Arial" w:cs="Arial"/>
          <w:color w:val="000000" w:themeColor="text1"/>
          <w:sz w:val="22"/>
          <w:szCs w:val="22"/>
        </w:rPr>
        <w:t xml:space="preserve"> A comparable approach to funding is the EIIF’s benefit sharing approach, where the ring-fencing of EIIF dividends guarantees a minimum level of new early intervention funding for reinvestment as part of subsequent budgets.  </w:t>
      </w:r>
    </w:p>
    <w:p w14:paraId="5D3502B5" w14:textId="53911969" w:rsidR="003D2FA9" w:rsidRDefault="003D2FA9" w:rsidP="009B1E99">
      <w:pPr>
        <w:spacing w:line="276" w:lineRule="auto"/>
        <w:jc w:val="both"/>
        <w:rPr>
          <w:rFonts w:ascii="Arial" w:eastAsia="Arial" w:hAnsi="Arial" w:cs="Arial"/>
          <w:color w:val="000000" w:themeColor="text1"/>
          <w:sz w:val="22"/>
          <w:szCs w:val="22"/>
        </w:rPr>
      </w:pPr>
    </w:p>
    <w:p w14:paraId="632C71C4" w14:textId="3060AD34" w:rsidR="2241F215" w:rsidRPr="008E44DA" w:rsidRDefault="7C668469" w:rsidP="009B1E99">
      <w:pPr>
        <w:spacing w:line="276" w:lineRule="auto"/>
        <w:jc w:val="both"/>
        <w:rPr>
          <w:rFonts w:ascii="Arial" w:eastAsia="Arial" w:hAnsi="Arial" w:cs="Arial"/>
          <w:color w:val="000000" w:themeColor="text1"/>
          <w:sz w:val="22"/>
          <w:szCs w:val="22"/>
        </w:rPr>
      </w:pPr>
      <w:r w:rsidRPr="008E44DA">
        <w:rPr>
          <w:rFonts w:ascii="Arial" w:eastAsia="Arial" w:hAnsi="Arial" w:cs="Arial"/>
          <w:color w:val="000000" w:themeColor="text1"/>
          <w:sz w:val="22"/>
          <w:szCs w:val="22"/>
        </w:rPr>
        <w:t xml:space="preserve">As in the reform model, this increased trust and autonomy comes with increased </w:t>
      </w:r>
      <w:r w:rsidR="19BD1DD5" w:rsidRPr="008E44DA">
        <w:rPr>
          <w:rFonts w:ascii="Arial" w:eastAsia="Arial" w:hAnsi="Arial" w:cs="Arial"/>
          <w:color w:val="000000" w:themeColor="text1"/>
          <w:sz w:val="22"/>
          <w:szCs w:val="22"/>
        </w:rPr>
        <w:t>responsibility.</w:t>
      </w:r>
      <w:r w:rsidR="5A5D729F" w:rsidRPr="008E44DA">
        <w:rPr>
          <w:rFonts w:ascii="Arial" w:eastAsia="Arial" w:hAnsi="Arial" w:cs="Arial"/>
          <w:color w:val="000000" w:themeColor="text1"/>
          <w:sz w:val="22"/>
          <w:szCs w:val="22"/>
        </w:rPr>
        <w:t xml:space="preserve"> </w:t>
      </w:r>
      <w:r w:rsidR="23B4EF31" w:rsidRPr="008E44DA">
        <w:rPr>
          <w:rFonts w:ascii="Arial" w:eastAsia="Arial" w:hAnsi="Arial" w:cs="Arial"/>
          <w:color w:val="000000" w:themeColor="text1"/>
          <w:sz w:val="22"/>
          <w:szCs w:val="22"/>
        </w:rPr>
        <w:t xml:space="preserve">While funding is </w:t>
      </w:r>
      <w:r w:rsidR="00FD038D" w:rsidRPr="008E44DA">
        <w:rPr>
          <w:rFonts w:ascii="Arial" w:eastAsia="Arial" w:hAnsi="Arial" w:cs="Arial"/>
          <w:color w:val="000000" w:themeColor="text1"/>
          <w:sz w:val="22"/>
          <w:szCs w:val="22"/>
        </w:rPr>
        <w:t>guaranteed</w:t>
      </w:r>
      <w:r w:rsidR="23B4EF31" w:rsidRPr="008E44DA">
        <w:rPr>
          <w:rFonts w:ascii="Arial" w:eastAsia="Arial" w:hAnsi="Arial" w:cs="Arial"/>
          <w:color w:val="000000" w:themeColor="text1"/>
          <w:sz w:val="22"/>
          <w:szCs w:val="22"/>
        </w:rPr>
        <w:t>, expenditure reviews and contingencies for change</w:t>
      </w:r>
      <w:r w:rsidR="00C13F6B" w:rsidRPr="008E44DA">
        <w:rPr>
          <w:rFonts w:ascii="Arial" w:eastAsia="Arial" w:hAnsi="Arial" w:cs="Arial"/>
          <w:color w:val="000000" w:themeColor="text1"/>
          <w:sz w:val="22"/>
          <w:szCs w:val="22"/>
        </w:rPr>
        <w:t>d</w:t>
      </w:r>
      <w:r w:rsidR="23B4EF31" w:rsidRPr="008E44DA">
        <w:rPr>
          <w:rFonts w:ascii="Arial" w:eastAsia="Arial" w:hAnsi="Arial" w:cs="Arial"/>
          <w:color w:val="000000" w:themeColor="text1"/>
          <w:sz w:val="22"/>
          <w:szCs w:val="22"/>
        </w:rPr>
        <w:t xml:space="preserve"> circumstances remain, </w:t>
      </w:r>
      <w:r w:rsidR="20609D83" w:rsidRPr="008E44DA">
        <w:rPr>
          <w:rFonts w:ascii="Arial" w:eastAsia="Arial" w:hAnsi="Arial" w:cs="Arial"/>
          <w:color w:val="000000" w:themeColor="text1"/>
          <w:sz w:val="22"/>
          <w:szCs w:val="22"/>
        </w:rPr>
        <w:t>allowing insight into how public funds are being manage</w:t>
      </w:r>
      <w:r w:rsidR="00676E16">
        <w:rPr>
          <w:rFonts w:ascii="Arial" w:eastAsia="Arial" w:hAnsi="Arial" w:cs="Arial"/>
          <w:color w:val="000000" w:themeColor="text1"/>
          <w:sz w:val="22"/>
          <w:szCs w:val="22"/>
        </w:rPr>
        <w:t>d</w:t>
      </w:r>
      <w:r w:rsidR="20609D83" w:rsidRPr="008E44DA">
        <w:rPr>
          <w:rFonts w:ascii="Arial" w:eastAsia="Arial" w:hAnsi="Arial" w:cs="Arial"/>
          <w:color w:val="000000" w:themeColor="text1"/>
          <w:sz w:val="22"/>
          <w:szCs w:val="22"/>
        </w:rPr>
        <w:t xml:space="preserve"> and where inefficiencies might exist. Treasury expects agencies to work alongside it in this process, </w:t>
      </w:r>
      <w:r w:rsidR="23B4EF31" w:rsidRPr="008E44DA">
        <w:rPr>
          <w:rFonts w:ascii="Arial" w:eastAsia="Arial" w:hAnsi="Arial" w:cs="Arial"/>
          <w:color w:val="000000" w:themeColor="text1"/>
          <w:sz w:val="22"/>
          <w:szCs w:val="22"/>
        </w:rPr>
        <w:t xml:space="preserve">providing regular </w:t>
      </w:r>
      <w:r w:rsidR="00DD7AF5">
        <w:rPr>
          <w:rFonts w:ascii="Arial" w:eastAsia="Arial" w:hAnsi="Arial" w:cs="Arial"/>
          <w:color w:val="000000" w:themeColor="text1"/>
          <w:sz w:val="22"/>
          <w:szCs w:val="22"/>
        </w:rPr>
        <w:t>progress</w:t>
      </w:r>
      <w:r w:rsidR="0049025A" w:rsidRPr="008E44DA">
        <w:rPr>
          <w:rFonts w:ascii="Arial" w:eastAsia="Arial" w:hAnsi="Arial" w:cs="Arial"/>
          <w:color w:val="000000" w:themeColor="text1"/>
          <w:sz w:val="22"/>
          <w:szCs w:val="22"/>
        </w:rPr>
        <w:t xml:space="preserve"> </w:t>
      </w:r>
      <w:r w:rsidR="23B4EF31" w:rsidRPr="008E44DA">
        <w:rPr>
          <w:rFonts w:ascii="Arial" w:eastAsia="Arial" w:hAnsi="Arial" w:cs="Arial"/>
          <w:color w:val="000000" w:themeColor="text1"/>
          <w:sz w:val="22"/>
          <w:szCs w:val="22"/>
        </w:rPr>
        <w:t>reports and identifyi</w:t>
      </w:r>
      <w:r w:rsidR="00AE6E24" w:rsidRPr="008E44DA">
        <w:rPr>
          <w:rFonts w:ascii="Arial" w:eastAsia="Arial" w:hAnsi="Arial" w:cs="Arial"/>
          <w:color w:val="000000" w:themeColor="text1"/>
          <w:sz w:val="22"/>
          <w:szCs w:val="22"/>
        </w:rPr>
        <w:t>ng points for short- and lo</w:t>
      </w:r>
      <w:r w:rsidR="23B4EF31" w:rsidRPr="008E44DA">
        <w:rPr>
          <w:rFonts w:ascii="Arial" w:eastAsia="Arial" w:hAnsi="Arial" w:cs="Arial"/>
          <w:color w:val="000000" w:themeColor="text1"/>
          <w:sz w:val="22"/>
          <w:szCs w:val="22"/>
        </w:rPr>
        <w:t>ng-term savings</w:t>
      </w:r>
      <w:r w:rsidR="007A18D4">
        <w:rPr>
          <w:rFonts w:ascii="Arial" w:eastAsia="Arial" w:hAnsi="Arial" w:cs="Arial"/>
          <w:color w:val="000000" w:themeColor="text1"/>
          <w:sz w:val="22"/>
          <w:szCs w:val="22"/>
        </w:rPr>
        <w:t xml:space="preserve">. </w:t>
      </w:r>
    </w:p>
    <w:p w14:paraId="32FE9622" w14:textId="73708CBD" w:rsidR="00965AA1" w:rsidRDefault="00965AA1">
      <w:pPr>
        <w:rPr>
          <w:rFonts w:ascii="Arial" w:eastAsiaTheme="majorEastAsia" w:hAnsi="Arial" w:cs="Arial"/>
          <w:color w:val="1F3763" w:themeColor="accent1" w:themeShade="7F"/>
        </w:rPr>
      </w:pPr>
    </w:p>
    <w:p w14:paraId="725F50D4" w14:textId="6E9A5D6A" w:rsidR="00764EE5" w:rsidRPr="008E44DA" w:rsidRDefault="36E3F254" w:rsidP="00ED20EA">
      <w:pPr>
        <w:pStyle w:val="Heading3"/>
        <w:spacing w:before="0" w:line="276" w:lineRule="auto"/>
        <w:rPr>
          <w:rFonts w:ascii="Arial" w:eastAsia="DengXian Light" w:hAnsi="Arial" w:cs="Arial"/>
          <w:color w:val="1F3763"/>
          <w:sz w:val="22"/>
          <w:szCs w:val="22"/>
        </w:rPr>
      </w:pPr>
      <w:r w:rsidRPr="008E44DA">
        <w:rPr>
          <w:rFonts w:ascii="Arial" w:hAnsi="Arial" w:cs="Arial"/>
        </w:rPr>
        <w:t>4.2.1</w:t>
      </w:r>
      <w:r w:rsidR="00764EE5" w:rsidRPr="008E44DA">
        <w:rPr>
          <w:rFonts w:ascii="Arial" w:hAnsi="Arial" w:cs="Arial"/>
        </w:rPr>
        <w:tab/>
      </w:r>
      <w:r w:rsidRPr="008E44DA">
        <w:rPr>
          <w:rFonts w:ascii="Arial" w:hAnsi="Arial" w:cs="Arial"/>
        </w:rPr>
        <w:t>Considerations for DTF</w:t>
      </w:r>
    </w:p>
    <w:p w14:paraId="677B1FF4" w14:textId="77777777" w:rsidR="00764EE5" w:rsidRPr="008E44DA" w:rsidRDefault="00764EE5" w:rsidP="00ED20EA">
      <w:pPr>
        <w:spacing w:line="276" w:lineRule="auto"/>
        <w:rPr>
          <w:rFonts w:ascii="Arial" w:eastAsia="Arial" w:hAnsi="Arial" w:cs="Arial"/>
          <w:color w:val="201F1E"/>
          <w:sz w:val="22"/>
          <w:szCs w:val="22"/>
        </w:rPr>
      </w:pPr>
    </w:p>
    <w:p w14:paraId="0ABA6210" w14:textId="5DE03FBE" w:rsidR="47467085" w:rsidRPr="008E44DA" w:rsidRDefault="47467085"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201F1E"/>
          <w:sz w:val="22"/>
          <w:szCs w:val="22"/>
          <w:lang w:eastAsia="en-AU"/>
        </w:rPr>
        <w:t xml:space="preserve">The management of risk is a key consideration for DTF, one that gets to the heart of the challenge of implementing an effective and sustainable EIIF. A successful model for risk management is yet to be identified in the literature or among the jurisdictions interviewed. </w:t>
      </w:r>
      <w:r w:rsidR="006E4CD2" w:rsidRPr="008E44DA">
        <w:rPr>
          <w:rFonts w:ascii="Arial" w:eastAsia="Arial" w:hAnsi="Arial" w:cs="Arial"/>
          <w:color w:val="201F1E"/>
          <w:sz w:val="22"/>
          <w:szCs w:val="22"/>
          <w:lang w:eastAsia="en-AU"/>
        </w:rPr>
        <w:t xml:space="preserve">Nevertheless, there are useful lessons to be </w:t>
      </w:r>
      <w:r w:rsidR="0054650B" w:rsidRPr="008E44DA">
        <w:rPr>
          <w:rFonts w:ascii="Arial" w:eastAsia="Arial" w:hAnsi="Arial" w:cs="Arial"/>
          <w:color w:val="201F1E"/>
          <w:sz w:val="22"/>
          <w:szCs w:val="22"/>
          <w:lang w:eastAsia="en-AU"/>
        </w:rPr>
        <w:t>observed</w:t>
      </w:r>
      <w:r w:rsidR="006E4CD2" w:rsidRPr="008E44DA">
        <w:rPr>
          <w:rFonts w:ascii="Arial" w:eastAsia="Arial" w:hAnsi="Arial" w:cs="Arial"/>
          <w:color w:val="201F1E"/>
          <w:sz w:val="22"/>
          <w:szCs w:val="22"/>
          <w:lang w:eastAsia="en-AU"/>
        </w:rPr>
        <w:t>.</w:t>
      </w:r>
    </w:p>
    <w:p w14:paraId="2D8DDD41" w14:textId="723D3EAB" w:rsidR="47467085" w:rsidRPr="008E44DA" w:rsidRDefault="47467085" w:rsidP="009B1E99">
      <w:pPr>
        <w:spacing w:line="276" w:lineRule="auto"/>
        <w:jc w:val="both"/>
        <w:rPr>
          <w:rStyle w:val="normaltextrun"/>
          <w:rFonts w:ascii="Arial" w:eastAsia="Arial" w:hAnsi="Arial" w:cs="Arial"/>
          <w:color w:val="000000" w:themeColor="text1"/>
          <w:sz w:val="22"/>
          <w:szCs w:val="22"/>
        </w:rPr>
      </w:pPr>
    </w:p>
    <w:p w14:paraId="0E4AF4D2" w14:textId="79F79DAC" w:rsidR="00025467" w:rsidRDefault="0D320F2B" w:rsidP="009B1E99">
      <w:pPr>
        <w:spacing w:line="276" w:lineRule="auto"/>
        <w:jc w:val="both"/>
        <w:rPr>
          <w:rStyle w:val="normaltextrun"/>
          <w:rFonts w:ascii="Arial" w:eastAsia="Arial" w:hAnsi="Arial" w:cs="Arial"/>
          <w:color w:val="000000" w:themeColor="text1"/>
          <w:sz w:val="22"/>
          <w:szCs w:val="22"/>
        </w:rPr>
      </w:pPr>
      <w:r w:rsidRPr="008E44DA">
        <w:rPr>
          <w:rStyle w:val="normaltextrun"/>
          <w:rFonts w:ascii="Arial" w:eastAsia="Arial" w:hAnsi="Arial" w:cs="Arial"/>
          <w:color w:val="000000" w:themeColor="text1"/>
          <w:sz w:val="22"/>
          <w:szCs w:val="22"/>
        </w:rPr>
        <w:t xml:space="preserve">A robust </w:t>
      </w:r>
      <w:r w:rsidR="00025467">
        <w:rPr>
          <w:rStyle w:val="normaltextrun"/>
          <w:rFonts w:ascii="Arial" w:eastAsia="Arial" w:hAnsi="Arial" w:cs="Arial"/>
          <w:color w:val="000000" w:themeColor="text1"/>
          <w:sz w:val="22"/>
          <w:szCs w:val="22"/>
        </w:rPr>
        <w:t>outcomes</w:t>
      </w:r>
      <w:r w:rsidRPr="008E44DA">
        <w:rPr>
          <w:rStyle w:val="normaltextrun"/>
          <w:rFonts w:ascii="Arial" w:eastAsia="Arial" w:hAnsi="Arial" w:cs="Arial"/>
          <w:color w:val="000000" w:themeColor="text1"/>
          <w:sz w:val="22"/>
          <w:szCs w:val="22"/>
        </w:rPr>
        <w:t xml:space="preserve"> framework is the primary tool for managing risk, providing DTF with </w:t>
      </w:r>
      <w:r w:rsidR="00B23CC8" w:rsidRPr="008E44DA">
        <w:rPr>
          <w:rFonts w:ascii="Arial" w:eastAsia="Arial" w:hAnsi="Arial" w:cs="Arial"/>
          <w:color w:val="000000" w:themeColor="text1"/>
          <w:sz w:val="22"/>
          <w:szCs w:val="22"/>
        </w:rPr>
        <w:t xml:space="preserve">confidence that interventions will </w:t>
      </w:r>
      <w:r w:rsidR="08FE3C77" w:rsidRPr="008E44DA">
        <w:rPr>
          <w:rStyle w:val="normaltextrun"/>
          <w:rFonts w:ascii="Arial" w:eastAsia="Arial" w:hAnsi="Arial" w:cs="Arial"/>
          <w:color w:val="000000" w:themeColor="text1"/>
          <w:sz w:val="22"/>
          <w:szCs w:val="22"/>
        </w:rPr>
        <w:t>result in positive outcomes and</w:t>
      </w:r>
      <w:r w:rsidR="00B15F6A">
        <w:rPr>
          <w:rStyle w:val="normaltextrun"/>
          <w:rFonts w:ascii="Arial" w:eastAsia="Arial" w:hAnsi="Arial" w:cs="Arial"/>
          <w:color w:val="000000" w:themeColor="text1"/>
          <w:sz w:val="22"/>
          <w:szCs w:val="22"/>
        </w:rPr>
        <w:t xml:space="preserve"> a reduction in acute service usage.</w:t>
      </w:r>
      <w:r w:rsidR="08FE3C77" w:rsidRPr="008E44DA">
        <w:rPr>
          <w:rStyle w:val="normaltextrun"/>
          <w:rFonts w:ascii="Arial" w:eastAsia="Arial" w:hAnsi="Arial" w:cs="Arial"/>
          <w:color w:val="000000" w:themeColor="text1"/>
          <w:sz w:val="22"/>
          <w:szCs w:val="22"/>
        </w:rPr>
        <w:t xml:space="preserve"> This technical tool can be augmented by the messaging that DTF adopts around EIIF and positive and negative incentives to manage risk. DTF may wish to lay out the softer aspects of the EIIF, </w:t>
      </w:r>
      <w:r w:rsidR="47467085" w:rsidRPr="008E44DA">
        <w:rPr>
          <w:rStyle w:val="normaltextrun"/>
          <w:rFonts w:ascii="Arial" w:eastAsia="Arial" w:hAnsi="Arial" w:cs="Arial"/>
          <w:color w:val="000000" w:themeColor="text1"/>
          <w:sz w:val="22"/>
          <w:szCs w:val="22"/>
        </w:rPr>
        <w:t xml:space="preserve">returning to the messaging of an evidence-based, more cooperative budgeting process that produces better policy outcomes </w:t>
      </w:r>
      <w:r w:rsidR="00A4400A">
        <w:rPr>
          <w:rStyle w:val="normaltextrun"/>
          <w:rFonts w:ascii="Arial" w:eastAsia="Arial" w:hAnsi="Arial" w:cs="Arial"/>
          <w:color w:val="000000" w:themeColor="text1"/>
          <w:sz w:val="22"/>
          <w:szCs w:val="22"/>
        </w:rPr>
        <w:t xml:space="preserve">and a safe pathway towards growing </w:t>
      </w:r>
      <w:r w:rsidR="00A4400A">
        <w:rPr>
          <w:rStyle w:val="normaltextrun"/>
          <w:rFonts w:ascii="Arial" w:eastAsia="Arial" w:hAnsi="Arial" w:cs="Arial"/>
          <w:color w:val="000000" w:themeColor="text1"/>
          <w:sz w:val="22"/>
          <w:szCs w:val="22"/>
        </w:rPr>
        <w:lastRenderedPageBreak/>
        <w:t>early intervention</w:t>
      </w:r>
      <w:r w:rsidR="005E0C00">
        <w:rPr>
          <w:rStyle w:val="normaltextrun"/>
          <w:rFonts w:ascii="Arial" w:eastAsia="Arial" w:hAnsi="Arial" w:cs="Arial"/>
          <w:color w:val="000000" w:themeColor="text1"/>
          <w:sz w:val="22"/>
          <w:szCs w:val="22"/>
        </w:rPr>
        <w:t xml:space="preserve">, as a </w:t>
      </w:r>
      <w:r w:rsidR="00A4400A">
        <w:rPr>
          <w:rStyle w:val="normaltextrun"/>
          <w:rFonts w:ascii="Arial" w:eastAsia="Arial" w:hAnsi="Arial" w:cs="Arial"/>
          <w:color w:val="000000" w:themeColor="text1"/>
          <w:sz w:val="22"/>
          <w:szCs w:val="22"/>
        </w:rPr>
        <w:t>shared goal</w:t>
      </w:r>
      <w:r w:rsidR="005E0C00">
        <w:rPr>
          <w:rStyle w:val="normaltextrun"/>
          <w:rFonts w:ascii="Arial" w:eastAsia="Arial" w:hAnsi="Arial" w:cs="Arial"/>
          <w:color w:val="000000" w:themeColor="text1"/>
          <w:sz w:val="22"/>
          <w:szCs w:val="22"/>
        </w:rPr>
        <w:t xml:space="preserve">, rather </w:t>
      </w:r>
      <w:r w:rsidR="47467085" w:rsidRPr="008E44DA">
        <w:rPr>
          <w:rStyle w:val="normaltextrun"/>
          <w:rFonts w:ascii="Arial" w:eastAsia="Arial" w:hAnsi="Arial" w:cs="Arial"/>
          <w:color w:val="000000" w:themeColor="text1"/>
          <w:sz w:val="22"/>
          <w:szCs w:val="22"/>
        </w:rPr>
        <w:t xml:space="preserve">than </w:t>
      </w:r>
      <w:r w:rsidR="00422AFD">
        <w:rPr>
          <w:rStyle w:val="normaltextrun"/>
          <w:rFonts w:ascii="Arial" w:eastAsia="Arial" w:hAnsi="Arial" w:cs="Arial"/>
          <w:color w:val="000000" w:themeColor="text1"/>
          <w:sz w:val="22"/>
          <w:szCs w:val="22"/>
        </w:rPr>
        <w:t xml:space="preserve">solely </w:t>
      </w:r>
      <w:r w:rsidR="00214DA6">
        <w:rPr>
          <w:rStyle w:val="normaltextrun"/>
          <w:rFonts w:ascii="Arial" w:eastAsia="Arial" w:hAnsi="Arial" w:cs="Arial"/>
          <w:color w:val="000000" w:themeColor="text1"/>
          <w:sz w:val="22"/>
          <w:szCs w:val="22"/>
        </w:rPr>
        <w:t xml:space="preserve">applying </w:t>
      </w:r>
      <w:r w:rsidR="005E0C00">
        <w:rPr>
          <w:rStyle w:val="normaltextrun"/>
          <w:rFonts w:ascii="Arial" w:eastAsia="Arial" w:hAnsi="Arial" w:cs="Arial"/>
          <w:color w:val="000000" w:themeColor="text1"/>
          <w:sz w:val="22"/>
          <w:szCs w:val="22"/>
        </w:rPr>
        <w:t xml:space="preserve">a </w:t>
      </w:r>
      <w:r w:rsidR="47467085" w:rsidRPr="008E44DA">
        <w:rPr>
          <w:rStyle w:val="normaltextrun"/>
          <w:rFonts w:ascii="Arial" w:eastAsia="Arial" w:hAnsi="Arial" w:cs="Arial"/>
          <w:color w:val="000000" w:themeColor="text1"/>
          <w:sz w:val="22"/>
          <w:szCs w:val="22"/>
        </w:rPr>
        <w:t>hard savings</w:t>
      </w:r>
      <w:r w:rsidR="00ED043E" w:rsidRPr="00ED043E">
        <w:rPr>
          <w:rStyle w:val="normaltextrun"/>
          <w:rFonts w:ascii="Arial" w:eastAsia="Arial" w:hAnsi="Arial" w:cs="Arial"/>
          <w:color w:val="000000" w:themeColor="text1"/>
          <w:sz w:val="22"/>
          <w:szCs w:val="22"/>
        </w:rPr>
        <w:t xml:space="preserve"> </w:t>
      </w:r>
      <w:r w:rsidR="00ED043E">
        <w:rPr>
          <w:rStyle w:val="normaltextrun"/>
          <w:rFonts w:ascii="Arial" w:eastAsia="Arial" w:hAnsi="Arial" w:cs="Arial"/>
          <w:color w:val="000000" w:themeColor="text1"/>
          <w:sz w:val="22"/>
          <w:szCs w:val="22"/>
        </w:rPr>
        <w:t>a</w:t>
      </w:r>
      <w:r w:rsidR="0056606E">
        <w:rPr>
          <w:rStyle w:val="normaltextrun"/>
          <w:rFonts w:ascii="Arial" w:eastAsia="Arial" w:hAnsi="Arial" w:cs="Arial"/>
          <w:color w:val="000000" w:themeColor="text1"/>
          <w:sz w:val="22"/>
          <w:szCs w:val="22"/>
        </w:rPr>
        <w:t>pproach premised on estimated avoided costs</w:t>
      </w:r>
      <w:r w:rsidR="47467085" w:rsidRPr="008E44DA">
        <w:rPr>
          <w:rStyle w:val="normaltextrun"/>
          <w:rFonts w:ascii="Arial" w:eastAsia="Arial" w:hAnsi="Arial" w:cs="Arial"/>
          <w:color w:val="000000" w:themeColor="text1"/>
          <w:sz w:val="22"/>
          <w:szCs w:val="22"/>
        </w:rPr>
        <w:t xml:space="preserve">. </w:t>
      </w:r>
    </w:p>
    <w:p w14:paraId="26BA3FAA" w14:textId="77777777" w:rsidR="00025467" w:rsidRDefault="00025467" w:rsidP="009B1E99">
      <w:pPr>
        <w:spacing w:line="276" w:lineRule="auto"/>
        <w:jc w:val="both"/>
        <w:rPr>
          <w:rStyle w:val="normaltextrun"/>
          <w:rFonts w:ascii="Arial" w:eastAsia="Arial" w:hAnsi="Arial" w:cs="Arial"/>
          <w:color w:val="000000" w:themeColor="text1"/>
          <w:sz w:val="22"/>
          <w:szCs w:val="22"/>
        </w:rPr>
      </w:pPr>
    </w:p>
    <w:p w14:paraId="77CE4A48" w14:textId="6C52D386" w:rsidR="47467085" w:rsidRPr="008E44DA" w:rsidRDefault="00986320" w:rsidP="009B1E99">
      <w:pPr>
        <w:spacing w:line="276" w:lineRule="auto"/>
        <w:jc w:val="both"/>
        <w:rPr>
          <w:rFonts w:ascii="Arial" w:eastAsia="Arial" w:hAnsi="Arial" w:cs="Arial"/>
          <w:color w:val="000000" w:themeColor="text1"/>
          <w:sz w:val="22"/>
          <w:szCs w:val="22"/>
          <w:lang w:val="en-US"/>
        </w:rPr>
      </w:pPr>
      <w:r>
        <w:rPr>
          <w:rFonts w:ascii="Arial" w:eastAsia="Arial" w:hAnsi="Arial" w:cs="Arial"/>
          <w:color w:val="000000" w:themeColor="text1"/>
          <w:sz w:val="22"/>
          <w:szCs w:val="22"/>
          <w:lang w:val="en-US"/>
        </w:rPr>
        <w:t>However, this comes with the necessary caveat that to protect against the possibility of the system being gamed, DTF will continue to</w:t>
      </w:r>
      <w:r>
        <w:rPr>
          <w:rStyle w:val="normaltextrun"/>
          <w:rFonts w:ascii="Arial" w:eastAsia="Arial" w:hAnsi="Arial" w:cs="Arial"/>
          <w:color w:val="000000" w:themeColor="text1"/>
          <w:sz w:val="22"/>
          <w:szCs w:val="22"/>
        </w:rPr>
        <w:t xml:space="preserve"> work collaboratively to input to new EIIF business cases to ensure their reasonableness, and maintain a central review capability to review for those submitted without collaboration with DTF beforehand.</w:t>
      </w:r>
      <w:r>
        <w:rPr>
          <w:rFonts w:ascii="Arial" w:eastAsia="Arial" w:hAnsi="Arial" w:cs="Arial"/>
          <w:color w:val="000000" w:themeColor="text1"/>
          <w:sz w:val="22"/>
          <w:szCs w:val="22"/>
          <w:lang w:val="en-US"/>
        </w:rPr>
        <w:t xml:space="preserve"> </w:t>
      </w:r>
      <w:r w:rsidR="47467085" w:rsidRPr="008E44DA">
        <w:rPr>
          <w:rStyle w:val="normaltextrun"/>
          <w:rFonts w:ascii="Arial" w:eastAsia="Arial" w:hAnsi="Arial" w:cs="Arial"/>
          <w:color w:val="000000" w:themeColor="text1"/>
          <w:sz w:val="22"/>
          <w:szCs w:val="22"/>
        </w:rPr>
        <w:t xml:space="preserve">Building and maintaining the trust required to make this approach practicable will be an iterative </w:t>
      </w:r>
      <w:r w:rsidR="003513E7" w:rsidRPr="008E44DA">
        <w:rPr>
          <w:rStyle w:val="normaltextrun"/>
          <w:rFonts w:ascii="Arial" w:eastAsia="Arial" w:hAnsi="Arial" w:cs="Arial"/>
          <w:color w:val="000000" w:themeColor="text1"/>
          <w:sz w:val="22"/>
          <w:szCs w:val="22"/>
        </w:rPr>
        <w:t>process,</w:t>
      </w:r>
      <w:r w:rsidR="003513E7" w:rsidRPr="008E44DA">
        <w:rPr>
          <w:rFonts w:ascii="Arial" w:eastAsia="Arial" w:hAnsi="Arial" w:cs="Arial"/>
          <w:color w:val="000000" w:themeColor="text1"/>
          <w:sz w:val="22"/>
          <w:szCs w:val="22"/>
          <w:lang w:val="en-US"/>
        </w:rPr>
        <w:t xml:space="preserve"> relying</w:t>
      </w:r>
      <w:r w:rsidR="47467085" w:rsidRPr="008E44DA">
        <w:rPr>
          <w:rFonts w:ascii="Arial" w:eastAsia="Arial" w:hAnsi="Arial" w:cs="Arial"/>
          <w:color w:val="000000" w:themeColor="text1"/>
          <w:sz w:val="22"/>
          <w:szCs w:val="22"/>
          <w:lang w:val="en-US"/>
        </w:rPr>
        <w:t xml:space="preserve"> on commitments from all parties to a more open dialogue about the successes and failures of investment</w:t>
      </w:r>
      <w:r w:rsidR="007C52F1">
        <w:rPr>
          <w:rFonts w:ascii="Arial" w:eastAsia="Arial" w:hAnsi="Arial" w:cs="Arial"/>
          <w:color w:val="000000" w:themeColor="text1"/>
          <w:sz w:val="22"/>
          <w:szCs w:val="22"/>
          <w:lang w:val="en-US"/>
        </w:rPr>
        <w:t>s.</w:t>
      </w:r>
      <w:r w:rsidR="47467085" w:rsidRPr="008E44DA">
        <w:rPr>
          <w:rFonts w:ascii="Arial" w:eastAsia="Arial" w:hAnsi="Arial" w:cs="Arial"/>
          <w:color w:val="000000" w:themeColor="text1"/>
          <w:sz w:val="22"/>
          <w:szCs w:val="22"/>
          <w:lang w:val="en-US"/>
        </w:rPr>
        <w:t xml:space="preserve">  </w:t>
      </w:r>
    </w:p>
    <w:p w14:paraId="131C879C" w14:textId="5127C543" w:rsidR="47467085" w:rsidRDefault="47467085" w:rsidP="009B1E99">
      <w:pPr>
        <w:spacing w:line="276" w:lineRule="auto"/>
        <w:jc w:val="both"/>
        <w:rPr>
          <w:rFonts w:ascii="Arial" w:eastAsia="Arial" w:hAnsi="Arial" w:cs="Arial"/>
          <w:color w:val="000000" w:themeColor="text1"/>
          <w:sz w:val="22"/>
          <w:szCs w:val="22"/>
          <w:lang w:val="en-US"/>
        </w:rPr>
      </w:pPr>
    </w:p>
    <w:p w14:paraId="79080A26" w14:textId="6C13DC00" w:rsidR="47467085" w:rsidRPr="008E44DA" w:rsidRDefault="0D320F2B" w:rsidP="009B1E99">
      <w:pPr>
        <w:spacing w:line="276" w:lineRule="auto"/>
        <w:jc w:val="both"/>
        <w:rPr>
          <w:rStyle w:val="FootnoteReference"/>
          <w:rFonts w:ascii="Arial" w:eastAsia="Arial" w:hAnsi="Arial" w:cs="Arial"/>
          <w:color w:val="000000" w:themeColor="text1"/>
          <w:sz w:val="22"/>
          <w:szCs w:val="22"/>
        </w:rPr>
      </w:pPr>
      <w:r w:rsidRPr="008E44DA">
        <w:rPr>
          <w:rFonts w:ascii="Arial" w:eastAsia="Arial" w:hAnsi="Arial" w:cs="Arial"/>
          <w:color w:val="000000" w:themeColor="text1"/>
          <w:sz w:val="22"/>
          <w:szCs w:val="22"/>
          <w:lang w:val="en-US"/>
        </w:rPr>
        <w:t xml:space="preserve">A further consideration for DTF, should it adopt a </w:t>
      </w:r>
      <w:r w:rsidR="00485027">
        <w:rPr>
          <w:rFonts w:ascii="Arial" w:eastAsia="Arial" w:hAnsi="Arial" w:cs="Arial"/>
          <w:color w:val="000000" w:themeColor="text1"/>
          <w:sz w:val="22"/>
          <w:szCs w:val="22"/>
          <w:lang w:val="en-US"/>
        </w:rPr>
        <w:t>collaborative</w:t>
      </w:r>
      <w:r w:rsidR="00485027" w:rsidRPr="008E44DA">
        <w:rPr>
          <w:rFonts w:ascii="Arial" w:eastAsia="Arial" w:hAnsi="Arial" w:cs="Arial"/>
          <w:color w:val="000000" w:themeColor="text1"/>
          <w:sz w:val="22"/>
          <w:szCs w:val="22"/>
          <w:lang w:val="en-US"/>
        </w:rPr>
        <w:t xml:space="preserve"> </w:t>
      </w:r>
      <w:r w:rsidRPr="008E44DA">
        <w:rPr>
          <w:rFonts w:ascii="Arial" w:eastAsia="Arial" w:hAnsi="Arial" w:cs="Arial"/>
          <w:color w:val="000000" w:themeColor="text1"/>
          <w:sz w:val="22"/>
          <w:szCs w:val="22"/>
          <w:lang w:val="en-US"/>
        </w:rPr>
        <w:t>approach, is the supporting</w:t>
      </w:r>
      <w:r w:rsidR="47467085" w:rsidRPr="008E44DA">
        <w:rPr>
          <w:rFonts w:ascii="Arial" w:eastAsia="Arial" w:hAnsi="Arial" w:cs="Arial"/>
          <w:color w:val="000000" w:themeColor="text1"/>
          <w:sz w:val="22"/>
          <w:szCs w:val="22"/>
          <w:lang w:val="en-US"/>
        </w:rPr>
        <w:t xml:space="preserve"> tools</w:t>
      </w:r>
      <w:r w:rsidRPr="008E44DA">
        <w:rPr>
          <w:rFonts w:ascii="Arial" w:eastAsia="Arial" w:hAnsi="Arial" w:cs="Arial"/>
          <w:color w:val="000000" w:themeColor="text1"/>
          <w:sz w:val="22"/>
          <w:szCs w:val="22"/>
          <w:lang w:val="en-US"/>
        </w:rPr>
        <w:t>.</w:t>
      </w:r>
      <w:r w:rsidR="47467085" w:rsidRPr="008E44DA">
        <w:rPr>
          <w:rFonts w:ascii="Arial" w:eastAsia="Arial" w:hAnsi="Arial" w:cs="Arial"/>
          <w:color w:val="000000" w:themeColor="text1"/>
          <w:sz w:val="22"/>
          <w:szCs w:val="22"/>
          <w:lang w:val="en-US"/>
        </w:rPr>
        <w:t xml:space="preserve"> For instance,</w:t>
      </w:r>
      <w:r w:rsidR="47467085" w:rsidRPr="008E44DA">
        <w:rPr>
          <w:rFonts w:ascii="Arial" w:eastAsia="Arial" w:hAnsi="Arial" w:cs="Arial"/>
          <w:color w:val="201F1E"/>
          <w:sz w:val="22"/>
          <w:szCs w:val="22"/>
          <w:lang w:eastAsia="en-AU"/>
        </w:rPr>
        <w:t xml:space="preserve"> a risk sharing framework that sets out common terminology, expectations around accountability, and </w:t>
      </w:r>
      <w:r w:rsidR="47467085" w:rsidRPr="008E44DA">
        <w:rPr>
          <w:rFonts w:ascii="Arial" w:eastAsia="Arial" w:hAnsi="Arial" w:cs="Arial"/>
          <w:color w:val="000000" w:themeColor="text1"/>
          <w:sz w:val="22"/>
          <w:szCs w:val="22"/>
        </w:rPr>
        <w:t>regulatory protections. Such a tool not only establishes clear expectations and responsibilities,</w:t>
      </w:r>
      <w:r w:rsidRPr="008E44DA">
        <w:rPr>
          <w:rFonts w:ascii="Arial" w:eastAsia="Arial" w:hAnsi="Arial" w:cs="Arial"/>
          <w:color w:val="000000" w:themeColor="text1"/>
          <w:sz w:val="22"/>
          <w:szCs w:val="22"/>
        </w:rPr>
        <w:t xml:space="preserve"> but also promotes alignment of purpose.</w:t>
      </w:r>
    </w:p>
    <w:p w14:paraId="70B75C60" w14:textId="64E2D9D5" w:rsidR="47467085" w:rsidRPr="008E44DA" w:rsidRDefault="47467085" w:rsidP="009B1E99">
      <w:pPr>
        <w:spacing w:line="276" w:lineRule="auto"/>
        <w:jc w:val="both"/>
        <w:rPr>
          <w:rFonts w:ascii="Arial" w:eastAsia="Arial" w:hAnsi="Arial" w:cs="Arial"/>
          <w:color w:val="000000" w:themeColor="text1"/>
          <w:sz w:val="22"/>
          <w:szCs w:val="22"/>
        </w:rPr>
      </w:pPr>
    </w:p>
    <w:p w14:paraId="64AF260C" w14:textId="3FD423C6" w:rsidR="0D320F2B" w:rsidRPr="00DF4801" w:rsidRDefault="0D320F2B" w:rsidP="009B1E99">
      <w:pPr>
        <w:spacing w:line="276" w:lineRule="auto"/>
        <w:jc w:val="both"/>
        <w:rPr>
          <w:rFonts w:ascii="Arial" w:eastAsia="Arial" w:hAnsi="Arial" w:cs="Arial"/>
          <w:color w:val="201F1E"/>
          <w:sz w:val="22"/>
          <w:szCs w:val="22"/>
          <w:lang w:eastAsia="en-AU"/>
        </w:rPr>
      </w:pPr>
      <w:r w:rsidRPr="00DF4801">
        <w:rPr>
          <w:rFonts w:ascii="Arial" w:eastAsia="Arial" w:hAnsi="Arial" w:cs="Arial"/>
          <w:sz w:val="22"/>
          <w:szCs w:val="22"/>
        </w:rPr>
        <w:t xml:space="preserve">The changeability of the public service creates key person risks if support for the EIIF rests with a select few people or within a single agency. </w:t>
      </w:r>
      <w:r w:rsidRPr="00DF4801">
        <w:rPr>
          <w:rFonts w:ascii="Arial" w:eastAsia="Arial" w:hAnsi="Arial" w:cs="Arial"/>
          <w:sz w:val="22"/>
          <w:szCs w:val="22"/>
          <w:lang w:eastAsia="en-AU"/>
        </w:rPr>
        <w:t xml:space="preserve">A further consideration for DTF is securing an authorising environment that provides legitimacy and multidirectional buy-in </w:t>
      </w:r>
      <w:r w:rsidR="00757AA4">
        <w:rPr>
          <w:rFonts w:ascii="Arial" w:eastAsia="Arial" w:hAnsi="Arial" w:cs="Arial"/>
          <w:sz w:val="22"/>
          <w:szCs w:val="22"/>
          <w:lang w:eastAsia="en-AU"/>
        </w:rPr>
        <w:t xml:space="preserve">to </w:t>
      </w:r>
      <w:r w:rsidRPr="00DF4801">
        <w:rPr>
          <w:rFonts w:ascii="Arial" w:eastAsia="Arial" w:hAnsi="Arial" w:cs="Arial"/>
          <w:sz w:val="22"/>
          <w:szCs w:val="22"/>
          <w:lang w:eastAsia="en-AU"/>
        </w:rPr>
        <w:t>protect the EIIF long-term. This involves being attuned</w:t>
      </w:r>
      <w:r w:rsidRPr="00DF4801">
        <w:rPr>
          <w:rFonts w:ascii="Arial" w:eastAsia="Arial" w:hAnsi="Arial" w:cs="Arial"/>
          <w:sz w:val="22"/>
          <w:szCs w:val="22"/>
        </w:rPr>
        <w:t xml:space="preserve"> to how changes in priorities or leadership might influence DTF’s objectives. A related consideration for DTF are the engagement activities required to i</w:t>
      </w:r>
      <w:r w:rsidRPr="00DF4801">
        <w:rPr>
          <w:rFonts w:ascii="Arial" w:eastAsia="Arial" w:hAnsi="Arial" w:cs="Arial"/>
          <w:sz w:val="22"/>
          <w:szCs w:val="22"/>
          <w:lang w:eastAsia="en-AU"/>
        </w:rPr>
        <w:t xml:space="preserve">nstil confidence </w:t>
      </w:r>
      <w:r w:rsidRPr="00DF4801">
        <w:rPr>
          <w:rFonts w:ascii="Arial" w:eastAsia="Arial" w:hAnsi="Arial" w:cs="Arial"/>
          <w:sz w:val="22"/>
          <w:szCs w:val="22"/>
        </w:rPr>
        <w:t xml:space="preserve">in the EIIF and sustain commitment. This may take the form of regular briefings of the Premier and Treasurer, as is the practice of the OSII. </w:t>
      </w:r>
      <w:r w:rsidR="01D29025" w:rsidRPr="00DF4801">
        <w:rPr>
          <w:rFonts w:ascii="Arial" w:eastAsia="Arial" w:hAnsi="Arial" w:cs="Arial"/>
          <w:sz w:val="22"/>
          <w:szCs w:val="22"/>
        </w:rPr>
        <w:t xml:space="preserve">Whatever the form, these activities can help the DTF in its long-term planning and stewardship of the EIIF. </w:t>
      </w:r>
    </w:p>
    <w:p w14:paraId="2DE9EC32" w14:textId="597B339F" w:rsidR="01D29025" w:rsidRPr="008E44DA" w:rsidRDefault="01D29025" w:rsidP="009B1E99">
      <w:pPr>
        <w:spacing w:line="276" w:lineRule="auto"/>
        <w:jc w:val="both"/>
        <w:rPr>
          <w:rFonts w:ascii="Arial" w:eastAsia="Arial" w:hAnsi="Arial" w:cs="Arial"/>
          <w:sz w:val="22"/>
          <w:szCs w:val="22"/>
        </w:rPr>
      </w:pPr>
    </w:p>
    <w:p w14:paraId="1343A7BA" w14:textId="1122DD21" w:rsidR="47467085" w:rsidRDefault="47467085" w:rsidP="009B1E99">
      <w:pPr>
        <w:spacing w:line="276" w:lineRule="auto"/>
        <w:jc w:val="both"/>
        <w:rPr>
          <w:rStyle w:val="normaltextrun"/>
          <w:rFonts w:ascii="Arial" w:eastAsia="Arial" w:hAnsi="Arial" w:cs="Arial"/>
          <w:color w:val="000000" w:themeColor="text1"/>
          <w:sz w:val="22"/>
          <w:szCs w:val="22"/>
        </w:rPr>
      </w:pPr>
      <w:r w:rsidRPr="008E44DA">
        <w:rPr>
          <w:rFonts w:ascii="Arial" w:eastAsia="Arial" w:hAnsi="Arial" w:cs="Arial"/>
          <w:color w:val="201F1E"/>
          <w:sz w:val="22"/>
          <w:szCs w:val="22"/>
          <w:lang w:eastAsia="en-AU"/>
        </w:rPr>
        <w:t xml:space="preserve">Combined, these interventions at both the technical and behavioural levels promote a </w:t>
      </w:r>
      <w:r w:rsidR="01D29025" w:rsidRPr="008E44DA">
        <w:rPr>
          <w:rFonts w:ascii="Arial" w:eastAsia="Arial" w:hAnsi="Arial" w:cs="Arial"/>
          <w:color w:val="000000" w:themeColor="text1"/>
          <w:sz w:val="22"/>
          <w:szCs w:val="22"/>
          <w:lang w:val="en-US"/>
        </w:rPr>
        <w:t xml:space="preserve">more co-operative </w:t>
      </w:r>
      <w:r w:rsidR="008C59EB">
        <w:rPr>
          <w:rFonts w:ascii="Arial" w:eastAsia="Arial" w:hAnsi="Arial" w:cs="Arial"/>
          <w:color w:val="000000" w:themeColor="text1"/>
          <w:sz w:val="22"/>
          <w:szCs w:val="22"/>
          <w:lang w:val="en-US"/>
        </w:rPr>
        <w:t>b</w:t>
      </w:r>
      <w:r w:rsidR="01D29025" w:rsidRPr="008E44DA">
        <w:rPr>
          <w:rFonts w:ascii="Arial" w:eastAsia="Arial" w:hAnsi="Arial" w:cs="Arial"/>
          <w:color w:val="000000" w:themeColor="text1"/>
          <w:sz w:val="22"/>
          <w:szCs w:val="22"/>
          <w:lang w:val="en-US"/>
        </w:rPr>
        <w:t xml:space="preserve">udget process driven by </w:t>
      </w:r>
      <w:r w:rsidRPr="008E44DA">
        <w:rPr>
          <w:rFonts w:ascii="Arial" w:eastAsia="Arial" w:hAnsi="Arial" w:cs="Arial"/>
          <w:color w:val="000000" w:themeColor="text1"/>
          <w:sz w:val="22"/>
          <w:szCs w:val="22"/>
          <w:lang w:val="en-US"/>
        </w:rPr>
        <w:t>a sense of shared responsibility, ultimately offsetting</w:t>
      </w:r>
      <w:r w:rsidR="1678DD17" w:rsidRPr="008E44DA">
        <w:rPr>
          <w:rFonts w:ascii="Arial" w:eastAsia="Arial" w:hAnsi="Arial" w:cs="Arial"/>
          <w:color w:val="000000" w:themeColor="text1"/>
          <w:sz w:val="22"/>
          <w:szCs w:val="22"/>
          <w:lang w:val="en-US"/>
        </w:rPr>
        <w:t xml:space="preserve"> </w:t>
      </w:r>
      <w:r w:rsidR="1678DD17" w:rsidRPr="004239E5">
        <w:rPr>
          <w:rFonts w:ascii="Arial" w:eastAsia="Arial" w:hAnsi="Arial" w:cs="Arial"/>
          <w:color w:val="000000" w:themeColor="text1"/>
          <w:sz w:val="22"/>
          <w:szCs w:val="22"/>
        </w:rPr>
        <w:t>scepticism</w:t>
      </w:r>
      <w:r w:rsidR="1678DD17" w:rsidRPr="008E44DA">
        <w:rPr>
          <w:rFonts w:ascii="Arial" w:eastAsia="Arial" w:hAnsi="Arial" w:cs="Arial"/>
          <w:color w:val="000000" w:themeColor="text1"/>
          <w:sz w:val="22"/>
          <w:szCs w:val="22"/>
          <w:lang w:val="en-US"/>
        </w:rPr>
        <w:t xml:space="preserve"> among </w:t>
      </w:r>
      <w:r w:rsidRPr="008E44DA">
        <w:rPr>
          <w:rFonts w:ascii="Arial" w:eastAsia="Arial" w:hAnsi="Arial" w:cs="Arial"/>
          <w:color w:val="000000" w:themeColor="text1"/>
          <w:sz w:val="22"/>
          <w:szCs w:val="22"/>
          <w:lang w:val="en-US"/>
        </w:rPr>
        <w:t>central agency</w:t>
      </w:r>
      <w:r w:rsidR="1678DD17" w:rsidRPr="008E44DA">
        <w:rPr>
          <w:rFonts w:ascii="Arial" w:eastAsia="Arial" w:hAnsi="Arial" w:cs="Arial"/>
          <w:color w:val="000000" w:themeColor="text1"/>
          <w:sz w:val="22"/>
          <w:szCs w:val="22"/>
          <w:lang w:val="en-US"/>
        </w:rPr>
        <w:t xml:space="preserve"> officials that</w:t>
      </w:r>
      <w:r w:rsidR="1678DD17" w:rsidRPr="008E44DA">
        <w:rPr>
          <w:rStyle w:val="normaltextrun"/>
          <w:rFonts w:ascii="Arial" w:eastAsia="Arial" w:hAnsi="Arial" w:cs="Arial"/>
          <w:color w:val="000000" w:themeColor="text1"/>
          <w:sz w:val="22"/>
          <w:szCs w:val="22"/>
        </w:rPr>
        <w:t xml:space="preserve"> spending agencies may behave poorly.</w:t>
      </w:r>
    </w:p>
    <w:p w14:paraId="7953C4DB" w14:textId="77777777" w:rsidR="000F789C" w:rsidRPr="008E44DA" w:rsidRDefault="000F789C" w:rsidP="009B1E99">
      <w:pPr>
        <w:spacing w:line="276" w:lineRule="auto"/>
        <w:jc w:val="both"/>
        <w:rPr>
          <w:rFonts w:ascii="Arial" w:eastAsia="Arial" w:hAnsi="Arial" w:cs="Arial"/>
          <w:b/>
          <w:bCs/>
          <w:color w:val="000000" w:themeColor="text1"/>
          <w:sz w:val="22"/>
          <w:szCs w:val="22"/>
        </w:rPr>
      </w:pPr>
    </w:p>
    <w:p w14:paraId="135AAC3C" w14:textId="7C0F11BD" w:rsidR="128230CA" w:rsidRDefault="128230CA" w:rsidP="009B1E99">
      <w:pPr>
        <w:spacing w:line="276" w:lineRule="auto"/>
        <w:jc w:val="both"/>
        <w:rPr>
          <w:rFonts w:ascii="Arial" w:eastAsia="Arial" w:hAnsi="Arial" w:cs="Arial"/>
          <w:color w:val="000000" w:themeColor="text1"/>
          <w:sz w:val="22"/>
          <w:szCs w:val="22"/>
          <w:lang w:val="en-US"/>
        </w:rPr>
      </w:pPr>
      <w:r w:rsidRPr="008E44DA">
        <w:rPr>
          <w:rFonts w:ascii="Arial" w:eastAsia="Arial" w:hAnsi="Arial" w:cs="Arial"/>
          <w:color w:val="000000" w:themeColor="text1"/>
          <w:sz w:val="22"/>
          <w:szCs w:val="22"/>
          <w:lang w:val="en-US"/>
        </w:rPr>
        <w:t>A risk not identified in the literature or interviews, yet still pertinent to DTF</w:t>
      </w:r>
      <w:r w:rsidR="00F60F2B">
        <w:rPr>
          <w:rFonts w:ascii="Arial" w:eastAsia="Arial" w:hAnsi="Arial" w:cs="Arial"/>
          <w:color w:val="000000" w:themeColor="text1"/>
          <w:sz w:val="22"/>
          <w:szCs w:val="22"/>
          <w:lang w:val="en-US"/>
        </w:rPr>
        <w:t>,</w:t>
      </w:r>
      <w:r w:rsidRPr="008E44DA">
        <w:rPr>
          <w:rFonts w:ascii="Arial" w:eastAsia="Arial" w:hAnsi="Arial" w:cs="Arial"/>
          <w:color w:val="000000" w:themeColor="text1"/>
          <w:sz w:val="22"/>
          <w:szCs w:val="22"/>
          <w:lang w:val="en-US"/>
        </w:rPr>
        <w:t xml:space="preserve"> </w:t>
      </w:r>
      <w:r w:rsidR="005C7F06">
        <w:rPr>
          <w:rFonts w:ascii="Arial" w:eastAsia="Arial" w:hAnsi="Arial" w:cs="Arial"/>
          <w:color w:val="000000" w:themeColor="text1"/>
          <w:sz w:val="22"/>
          <w:szCs w:val="22"/>
          <w:lang w:val="en-US"/>
        </w:rPr>
        <w:t>is the</w:t>
      </w:r>
      <w:r w:rsidRPr="008E44DA">
        <w:rPr>
          <w:rFonts w:ascii="Arial" w:eastAsia="Arial" w:hAnsi="Arial" w:cs="Arial"/>
          <w:color w:val="000000" w:themeColor="text1"/>
          <w:sz w:val="22"/>
          <w:szCs w:val="22"/>
          <w:lang w:val="en-US"/>
        </w:rPr>
        <w:t xml:space="preserve"> question of scale and growth. </w:t>
      </w:r>
      <w:r w:rsidRPr="008E44DA">
        <w:rPr>
          <w:rFonts w:ascii="Arial" w:eastAsia="Arial" w:hAnsi="Arial" w:cs="Arial"/>
          <w:color w:val="201F1E"/>
          <w:sz w:val="22"/>
          <w:szCs w:val="22"/>
        </w:rPr>
        <w:t>If the scale of the EIIF is too small, it will be ignored and fail to become t</w:t>
      </w:r>
      <w:r w:rsidRPr="008E44DA">
        <w:rPr>
          <w:rFonts w:ascii="Arial" w:eastAsia="Arial" w:hAnsi="Arial" w:cs="Arial"/>
          <w:color w:val="000000" w:themeColor="text1"/>
          <w:sz w:val="22"/>
          <w:szCs w:val="22"/>
          <w:lang w:val="en-US"/>
        </w:rPr>
        <w:t xml:space="preserve">he established basis for </w:t>
      </w:r>
      <w:r w:rsidR="00834CE3">
        <w:rPr>
          <w:rFonts w:ascii="Arial" w:eastAsia="Arial" w:hAnsi="Arial" w:cs="Arial"/>
          <w:color w:val="000000" w:themeColor="text1"/>
          <w:sz w:val="22"/>
          <w:szCs w:val="22"/>
          <w:lang w:val="en-US"/>
        </w:rPr>
        <w:t>business case development</w:t>
      </w:r>
      <w:r w:rsidRPr="008E44DA">
        <w:rPr>
          <w:rFonts w:ascii="Arial" w:eastAsia="Arial" w:hAnsi="Arial" w:cs="Arial"/>
          <w:color w:val="000000" w:themeColor="text1"/>
          <w:sz w:val="22"/>
          <w:szCs w:val="22"/>
          <w:lang w:val="en-US"/>
        </w:rPr>
        <w:t xml:space="preserve">; too large and the EIIF risks </w:t>
      </w:r>
      <w:r w:rsidR="00443F67">
        <w:rPr>
          <w:rFonts w:ascii="Arial" w:eastAsia="Arial" w:hAnsi="Arial" w:cs="Arial"/>
          <w:color w:val="000000" w:themeColor="text1"/>
          <w:sz w:val="22"/>
          <w:szCs w:val="22"/>
          <w:lang w:val="en-US"/>
        </w:rPr>
        <w:t>losing the discipline of its quantification</w:t>
      </w:r>
      <w:r w:rsidR="0048373A">
        <w:rPr>
          <w:rFonts w:ascii="Arial" w:eastAsia="Arial" w:hAnsi="Arial" w:cs="Arial"/>
          <w:color w:val="000000" w:themeColor="text1"/>
          <w:sz w:val="22"/>
          <w:szCs w:val="22"/>
          <w:lang w:val="en-US"/>
        </w:rPr>
        <w:t xml:space="preserve"> if</w:t>
      </w:r>
      <w:r w:rsidR="00F60F2B" w:rsidRPr="00F60F2B">
        <w:rPr>
          <w:rFonts w:ascii="Arial" w:eastAsia="Arial" w:hAnsi="Arial" w:cs="Arial"/>
          <w:color w:val="000000" w:themeColor="text1"/>
          <w:sz w:val="22"/>
          <w:szCs w:val="22"/>
          <w:lang w:val="en-US"/>
        </w:rPr>
        <w:t xml:space="preserve"> </w:t>
      </w:r>
      <w:r w:rsidR="0048373A">
        <w:rPr>
          <w:rFonts w:ascii="Arial" w:eastAsia="Arial" w:hAnsi="Arial" w:cs="Arial"/>
          <w:color w:val="000000" w:themeColor="text1"/>
          <w:sz w:val="22"/>
          <w:szCs w:val="22"/>
          <w:lang w:val="en-US"/>
        </w:rPr>
        <w:t xml:space="preserve">investment in </w:t>
      </w:r>
      <w:r w:rsidR="00F60F2B" w:rsidRPr="00F60F2B">
        <w:rPr>
          <w:rFonts w:ascii="Arial" w:eastAsia="Arial" w:hAnsi="Arial" w:cs="Arial"/>
          <w:color w:val="000000" w:themeColor="text1"/>
          <w:sz w:val="22"/>
          <w:szCs w:val="22"/>
          <w:lang w:val="en-US"/>
        </w:rPr>
        <w:t>early intervention outstrip</w:t>
      </w:r>
      <w:r w:rsidR="0048373A">
        <w:rPr>
          <w:rFonts w:ascii="Arial" w:eastAsia="Arial" w:hAnsi="Arial" w:cs="Arial"/>
          <w:color w:val="000000" w:themeColor="text1"/>
          <w:sz w:val="22"/>
          <w:szCs w:val="22"/>
          <w:lang w:val="en-US"/>
        </w:rPr>
        <w:t>s</w:t>
      </w:r>
      <w:r w:rsidR="00F60F2B" w:rsidRPr="00F60F2B">
        <w:rPr>
          <w:rFonts w:ascii="Arial" w:eastAsia="Arial" w:hAnsi="Arial" w:cs="Arial"/>
          <w:color w:val="000000" w:themeColor="text1"/>
          <w:sz w:val="22"/>
          <w:szCs w:val="22"/>
          <w:lang w:val="en-US"/>
        </w:rPr>
        <w:t xml:space="preserve"> the evidence base. In such a scenario, consistently ineffective initiatives will undermine the credibility of outcomes-focused funding and the long-term viability of the framework.</w:t>
      </w:r>
      <w:r w:rsidR="00384DA0">
        <w:rPr>
          <w:rFonts w:ascii="Arial" w:eastAsia="Arial" w:hAnsi="Arial" w:cs="Arial"/>
          <w:color w:val="000000" w:themeColor="text1"/>
          <w:sz w:val="22"/>
          <w:szCs w:val="22"/>
          <w:lang w:val="en-US"/>
        </w:rPr>
        <w:t xml:space="preserve"> </w:t>
      </w:r>
      <w:r w:rsidRPr="008E44DA">
        <w:rPr>
          <w:rFonts w:ascii="Arial" w:eastAsia="Arial" w:hAnsi="Arial" w:cs="Arial"/>
          <w:color w:val="000000" w:themeColor="text1"/>
          <w:sz w:val="22"/>
          <w:szCs w:val="22"/>
          <w:lang w:val="en-US"/>
        </w:rPr>
        <w:t>Relatedly, the EIIF aims to increase investment in early intervention and</w:t>
      </w:r>
      <w:r w:rsidR="00F309EA">
        <w:rPr>
          <w:rFonts w:ascii="Arial" w:eastAsia="Arial" w:hAnsi="Arial" w:cs="Arial"/>
          <w:color w:val="000000" w:themeColor="text1"/>
          <w:sz w:val="22"/>
          <w:szCs w:val="22"/>
          <w:lang w:val="en-US"/>
        </w:rPr>
        <w:t xml:space="preserve"> </w:t>
      </w:r>
      <w:r w:rsidRPr="008E44DA">
        <w:rPr>
          <w:rFonts w:ascii="Arial" w:eastAsia="Arial" w:hAnsi="Arial" w:cs="Arial"/>
          <w:color w:val="000000" w:themeColor="text1"/>
          <w:sz w:val="22"/>
          <w:szCs w:val="22"/>
          <w:lang w:val="en-US"/>
        </w:rPr>
        <w:t>as a better budgeting process</w:t>
      </w:r>
      <w:r w:rsidR="00F309EA">
        <w:rPr>
          <w:rFonts w:ascii="Arial" w:eastAsia="Arial" w:hAnsi="Arial" w:cs="Arial"/>
          <w:color w:val="000000" w:themeColor="text1"/>
          <w:sz w:val="22"/>
          <w:szCs w:val="22"/>
          <w:lang w:val="en-US"/>
        </w:rPr>
        <w:t xml:space="preserve">, </w:t>
      </w:r>
      <w:r w:rsidRPr="008E44DA">
        <w:rPr>
          <w:rFonts w:ascii="Arial" w:eastAsia="Arial" w:hAnsi="Arial" w:cs="Arial"/>
          <w:color w:val="000000" w:themeColor="text1"/>
          <w:sz w:val="22"/>
          <w:szCs w:val="22"/>
          <w:lang w:val="en-US"/>
        </w:rPr>
        <w:t xml:space="preserve">there is a reasonable case to do so quickly. However, the growth of </w:t>
      </w:r>
      <w:r w:rsidR="00F309EA">
        <w:rPr>
          <w:rFonts w:ascii="Arial" w:eastAsia="Arial" w:hAnsi="Arial" w:cs="Arial"/>
          <w:color w:val="000000" w:themeColor="text1"/>
          <w:sz w:val="22"/>
          <w:szCs w:val="22"/>
          <w:lang w:val="en-US"/>
        </w:rPr>
        <w:t xml:space="preserve">the </w:t>
      </w:r>
      <w:r w:rsidRPr="008E44DA">
        <w:rPr>
          <w:rFonts w:ascii="Arial" w:eastAsia="Arial" w:hAnsi="Arial" w:cs="Arial"/>
          <w:color w:val="000000" w:themeColor="text1"/>
          <w:sz w:val="22"/>
          <w:szCs w:val="22"/>
          <w:lang w:val="en-US"/>
        </w:rPr>
        <w:t xml:space="preserve">EIIF’s share of new expenditure must be managed </w:t>
      </w:r>
      <w:r w:rsidR="00D729F2" w:rsidRPr="008E44DA">
        <w:rPr>
          <w:rFonts w:ascii="Arial" w:eastAsia="Arial" w:hAnsi="Arial" w:cs="Arial"/>
          <w:color w:val="000000" w:themeColor="text1"/>
          <w:sz w:val="22"/>
          <w:szCs w:val="22"/>
          <w:lang w:val="en-US"/>
        </w:rPr>
        <w:t>sustainably</w:t>
      </w:r>
      <w:r w:rsidRPr="008E44DA">
        <w:rPr>
          <w:rFonts w:ascii="Arial" w:eastAsia="Arial" w:hAnsi="Arial" w:cs="Arial"/>
          <w:color w:val="000000" w:themeColor="text1"/>
          <w:sz w:val="22"/>
          <w:szCs w:val="22"/>
          <w:lang w:val="en-US"/>
        </w:rPr>
        <w:t>, or else risk resource allocation</w:t>
      </w:r>
      <w:r w:rsidR="00EC1CC3">
        <w:rPr>
          <w:rFonts w:ascii="Arial" w:eastAsia="Arial" w:hAnsi="Arial" w:cs="Arial"/>
          <w:color w:val="000000" w:themeColor="text1"/>
          <w:sz w:val="22"/>
          <w:szCs w:val="22"/>
          <w:lang w:val="en-US"/>
        </w:rPr>
        <w:t xml:space="preserve"> problems</w:t>
      </w:r>
      <w:r w:rsidRPr="008E44DA">
        <w:rPr>
          <w:rFonts w:ascii="Arial" w:eastAsia="Arial" w:hAnsi="Arial" w:cs="Arial"/>
          <w:color w:val="000000" w:themeColor="text1"/>
          <w:sz w:val="22"/>
          <w:szCs w:val="22"/>
          <w:lang w:val="en-US"/>
        </w:rPr>
        <w:t>. The ring-fencing of dividends for reinvestment is one means of ensuring that the scale and growth of the EIIF are appropriate</w:t>
      </w:r>
      <w:r w:rsidR="003F7332">
        <w:rPr>
          <w:rFonts w:ascii="Arial" w:eastAsia="Arial" w:hAnsi="Arial" w:cs="Arial"/>
          <w:color w:val="000000" w:themeColor="text1"/>
          <w:sz w:val="22"/>
          <w:szCs w:val="22"/>
          <w:lang w:val="en-US"/>
        </w:rPr>
        <w:t>.</w:t>
      </w:r>
      <w:r w:rsidRPr="008E44DA">
        <w:rPr>
          <w:rFonts w:ascii="Arial" w:eastAsia="Arial" w:hAnsi="Arial" w:cs="Arial"/>
          <w:color w:val="000000" w:themeColor="text1"/>
          <w:sz w:val="22"/>
          <w:szCs w:val="22"/>
          <w:lang w:val="en-US"/>
        </w:rPr>
        <w:t xml:space="preserve"> DTF may wish to consider additional oversight processes and contingency plans.</w:t>
      </w:r>
    </w:p>
    <w:p w14:paraId="1BE99736" w14:textId="77777777" w:rsidR="000F789C" w:rsidRPr="008E44DA" w:rsidRDefault="000F789C" w:rsidP="009B1E99">
      <w:pPr>
        <w:spacing w:line="276" w:lineRule="auto"/>
        <w:jc w:val="both"/>
        <w:rPr>
          <w:rFonts w:ascii="Arial" w:eastAsia="Arial" w:hAnsi="Arial" w:cs="Arial"/>
          <w:color w:val="000000" w:themeColor="text1"/>
          <w:sz w:val="22"/>
          <w:szCs w:val="22"/>
          <w:lang w:val="en-US"/>
        </w:rPr>
      </w:pPr>
    </w:p>
    <w:p w14:paraId="68274E4D" w14:textId="575AA671" w:rsidR="47467085" w:rsidRDefault="0D320F2B" w:rsidP="009B1E99">
      <w:pPr>
        <w:spacing w:line="276" w:lineRule="auto"/>
        <w:jc w:val="both"/>
        <w:rPr>
          <w:rStyle w:val="normaltextrun"/>
          <w:rFonts w:ascii="Arial" w:eastAsia="Arial" w:hAnsi="Arial" w:cs="Arial"/>
          <w:color w:val="000000" w:themeColor="text1"/>
          <w:sz w:val="20"/>
          <w:szCs w:val="20"/>
        </w:rPr>
      </w:pPr>
      <w:r w:rsidRPr="008E44DA">
        <w:rPr>
          <w:rStyle w:val="normaltextrun"/>
          <w:rFonts w:ascii="Arial" w:eastAsia="Arial" w:hAnsi="Arial" w:cs="Arial"/>
          <w:color w:val="000000" w:themeColor="text1"/>
          <w:sz w:val="22"/>
          <w:szCs w:val="22"/>
        </w:rPr>
        <w:t>As DTF continues to consider how best to</w:t>
      </w:r>
      <w:r w:rsidR="00702DDA">
        <w:rPr>
          <w:rStyle w:val="normaltextrun"/>
          <w:rFonts w:ascii="Arial" w:eastAsia="Arial" w:hAnsi="Arial" w:cs="Arial"/>
          <w:color w:val="000000" w:themeColor="text1"/>
          <w:sz w:val="22"/>
          <w:szCs w:val="22"/>
        </w:rPr>
        <w:t xml:space="preserve"> identify and</w:t>
      </w:r>
      <w:r w:rsidRPr="008E44DA">
        <w:rPr>
          <w:rStyle w:val="normaltextrun"/>
          <w:rFonts w:ascii="Arial" w:eastAsia="Arial" w:hAnsi="Arial" w:cs="Arial"/>
          <w:color w:val="000000" w:themeColor="text1"/>
          <w:sz w:val="22"/>
          <w:szCs w:val="22"/>
        </w:rPr>
        <w:t xml:space="preserve"> manage risk, a</w:t>
      </w:r>
      <w:r w:rsidR="47467085" w:rsidRPr="008E44DA">
        <w:rPr>
          <w:rStyle w:val="normaltextrun"/>
          <w:rFonts w:ascii="Arial" w:eastAsia="Arial" w:hAnsi="Arial" w:cs="Arial"/>
          <w:color w:val="000000" w:themeColor="text1"/>
          <w:sz w:val="22"/>
          <w:szCs w:val="22"/>
        </w:rPr>
        <w:t xml:space="preserve"> practical next step is the establishment of a community o</w:t>
      </w:r>
      <w:r w:rsidR="00080FF9" w:rsidRPr="008E44DA">
        <w:rPr>
          <w:rStyle w:val="normaltextrun"/>
          <w:rFonts w:ascii="Arial" w:eastAsia="Arial" w:hAnsi="Arial" w:cs="Arial"/>
          <w:color w:val="000000" w:themeColor="text1"/>
          <w:sz w:val="22"/>
          <w:szCs w:val="22"/>
        </w:rPr>
        <w:t>f practice (CoP). As evidenced throughout the interview component of this project</w:t>
      </w:r>
      <w:r w:rsidR="47467085" w:rsidRPr="008E44DA">
        <w:rPr>
          <w:rStyle w:val="normaltextrun"/>
          <w:rFonts w:ascii="Arial" w:eastAsia="Arial" w:hAnsi="Arial" w:cs="Arial"/>
          <w:color w:val="000000" w:themeColor="text1"/>
          <w:sz w:val="22"/>
          <w:szCs w:val="22"/>
        </w:rPr>
        <w:t xml:space="preserve">, there is a community of individuals across multiple jurisdictions practicing on similar </w:t>
      </w:r>
      <w:r w:rsidR="001D3442" w:rsidRPr="008E44DA">
        <w:rPr>
          <w:rStyle w:val="normaltextrun"/>
          <w:rFonts w:ascii="Arial" w:eastAsia="Arial" w:hAnsi="Arial" w:cs="Arial"/>
          <w:color w:val="000000" w:themeColor="text1"/>
          <w:sz w:val="22"/>
          <w:szCs w:val="22"/>
        </w:rPr>
        <w:t xml:space="preserve">problems. A CoP would provide a valuable </w:t>
      </w:r>
      <w:r w:rsidR="47467085" w:rsidRPr="008E44DA">
        <w:rPr>
          <w:rStyle w:val="normaltextrun"/>
          <w:rFonts w:ascii="Arial" w:eastAsia="Arial" w:hAnsi="Arial" w:cs="Arial"/>
          <w:color w:val="000000" w:themeColor="text1"/>
          <w:sz w:val="22"/>
          <w:szCs w:val="22"/>
        </w:rPr>
        <w:t>opportunity for frank peer-to-peer discussion and mutual learning.</w:t>
      </w:r>
      <w:r w:rsidR="47467085" w:rsidRPr="008E44DA">
        <w:rPr>
          <w:rStyle w:val="normaltextrun"/>
          <w:rFonts w:ascii="Arial" w:eastAsia="Arial" w:hAnsi="Arial" w:cs="Arial"/>
          <w:color w:val="000000" w:themeColor="text1"/>
          <w:sz w:val="20"/>
          <w:szCs w:val="20"/>
        </w:rPr>
        <w:t xml:space="preserve"> </w:t>
      </w:r>
    </w:p>
    <w:p w14:paraId="4BB00F66" w14:textId="7CFA99AB" w:rsidR="006F2406" w:rsidRDefault="006F2406" w:rsidP="00ED20EA">
      <w:pPr>
        <w:spacing w:line="276" w:lineRule="auto"/>
        <w:rPr>
          <w:rStyle w:val="normaltextrun"/>
          <w:rFonts w:ascii="Arial" w:eastAsia="Arial" w:hAnsi="Arial" w:cs="Arial"/>
          <w:color w:val="000000" w:themeColor="text1"/>
          <w:sz w:val="20"/>
          <w:szCs w:val="20"/>
        </w:rPr>
      </w:pPr>
    </w:p>
    <w:tbl>
      <w:tblPr>
        <w:tblStyle w:val="TableGrid"/>
        <w:tblW w:w="0" w:type="auto"/>
        <w:shd w:val="clear" w:color="auto" w:fill="DEEAF6" w:themeFill="accent5" w:themeFillTint="33"/>
        <w:tblLook w:val="04A0" w:firstRow="1" w:lastRow="0" w:firstColumn="1" w:lastColumn="0" w:noHBand="0" w:noVBand="1"/>
      </w:tblPr>
      <w:tblGrid>
        <w:gridCol w:w="9016"/>
      </w:tblGrid>
      <w:tr w:rsidR="006F2406" w14:paraId="0AE1186A" w14:textId="77777777" w:rsidTr="00D36C4F">
        <w:tc>
          <w:tcPr>
            <w:tcW w:w="9016" w:type="dxa"/>
            <w:shd w:val="clear" w:color="auto" w:fill="DEEAF6" w:themeFill="accent5" w:themeFillTint="33"/>
          </w:tcPr>
          <w:p w14:paraId="5295A3DB" w14:textId="77777777" w:rsidR="006F2406" w:rsidRPr="00D36C4F" w:rsidRDefault="006F2406" w:rsidP="00ED20EA">
            <w:pPr>
              <w:spacing w:line="276" w:lineRule="auto"/>
              <w:rPr>
                <w:rStyle w:val="normaltextrun"/>
                <w:rFonts w:ascii="Arial" w:hAnsi="Arial" w:cs="Arial"/>
                <w:b/>
                <w:bCs/>
                <w:color w:val="000000" w:themeColor="text1"/>
                <w:sz w:val="22"/>
                <w:szCs w:val="22"/>
              </w:rPr>
            </w:pPr>
            <w:r w:rsidRPr="00D36C4F">
              <w:rPr>
                <w:rStyle w:val="normaltextrun"/>
                <w:rFonts w:ascii="Arial" w:eastAsia="Arial" w:hAnsi="Arial" w:cs="Arial"/>
                <w:b/>
                <w:bCs/>
                <w:color w:val="000000" w:themeColor="text1"/>
                <w:sz w:val="22"/>
                <w:szCs w:val="22"/>
              </w:rPr>
              <w:lastRenderedPageBreak/>
              <w:t>Q</w:t>
            </w:r>
            <w:r w:rsidRPr="00D36C4F">
              <w:rPr>
                <w:rStyle w:val="normaltextrun"/>
                <w:rFonts w:ascii="Arial" w:hAnsi="Arial" w:cs="Arial"/>
                <w:b/>
                <w:bCs/>
                <w:color w:val="000000" w:themeColor="text1"/>
                <w:sz w:val="22"/>
                <w:szCs w:val="22"/>
              </w:rPr>
              <w:t>uestions to consider</w:t>
            </w:r>
          </w:p>
          <w:p w14:paraId="1378679B" w14:textId="77777777" w:rsidR="00B73DFD" w:rsidRPr="00D36C4F" w:rsidRDefault="00B73DFD" w:rsidP="00D36C4F">
            <w:pPr>
              <w:pStyle w:val="ListParagraph"/>
              <w:numPr>
                <w:ilvl w:val="0"/>
                <w:numId w:val="23"/>
              </w:numPr>
              <w:spacing w:line="276" w:lineRule="auto"/>
              <w:rPr>
                <w:rStyle w:val="normaltextrun"/>
                <w:rFonts w:ascii="Arial" w:hAnsi="Arial" w:cs="Arial"/>
                <w:color w:val="000000" w:themeColor="text1"/>
                <w:sz w:val="22"/>
                <w:szCs w:val="22"/>
              </w:rPr>
            </w:pPr>
            <w:r w:rsidRPr="00D36C4F">
              <w:rPr>
                <w:rStyle w:val="normaltextrun"/>
                <w:rFonts w:ascii="Arial" w:hAnsi="Arial" w:cs="Arial"/>
                <w:color w:val="000000" w:themeColor="text1"/>
                <w:sz w:val="22"/>
                <w:szCs w:val="22"/>
              </w:rPr>
              <w:t>What is the most appropriate scale for the EIIF?</w:t>
            </w:r>
          </w:p>
          <w:p w14:paraId="4DF353C2" w14:textId="1DF4060C" w:rsidR="00B73DFD" w:rsidRPr="003F2CE5" w:rsidRDefault="003F2CE5" w:rsidP="00D36C4F">
            <w:pPr>
              <w:pStyle w:val="ListParagraph"/>
              <w:numPr>
                <w:ilvl w:val="0"/>
                <w:numId w:val="23"/>
              </w:numPr>
              <w:spacing w:line="276" w:lineRule="auto"/>
              <w:rPr>
                <w:rStyle w:val="normaltextrun"/>
                <w:rFonts w:ascii="Arial" w:eastAsia="Arial" w:hAnsi="Arial" w:cs="Arial"/>
                <w:color w:val="000000" w:themeColor="text1"/>
                <w:sz w:val="20"/>
                <w:szCs w:val="20"/>
              </w:rPr>
            </w:pPr>
            <w:r w:rsidRPr="00D36C4F">
              <w:rPr>
                <w:rStyle w:val="normaltextrun"/>
                <w:rFonts w:ascii="Arial" w:eastAsia="Arial" w:hAnsi="Arial" w:cs="Arial"/>
                <w:color w:val="000000" w:themeColor="text1"/>
                <w:sz w:val="22"/>
                <w:szCs w:val="22"/>
              </w:rPr>
              <w:t>What risks do line agencies see existing with the EIIF?</w:t>
            </w:r>
          </w:p>
        </w:tc>
      </w:tr>
    </w:tbl>
    <w:p w14:paraId="24E69D9E" w14:textId="14D99917" w:rsidR="47467085" w:rsidRPr="008E44DA" w:rsidRDefault="47467085" w:rsidP="00ED20EA">
      <w:pPr>
        <w:spacing w:line="276" w:lineRule="auto"/>
        <w:rPr>
          <w:rFonts w:ascii="Arial" w:eastAsia="Arial" w:hAnsi="Arial" w:cs="Arial"/>
          <w:color w:val="201F1E"/>
          <w:sz w:val="20"/>
          <w:szCs w:val="20"/>
          <w:lang w:eastAsia="en-AU"/>
        </w:rPr>
      </w:pPr>
    </w:p>
    <w:p w14:paraId="0D508981" w14:textId="2498B1D4" w:rsidR="00182E67" w:rsidRPr="008E44DA" w:rsidRDefault="0F7481BA" w:rsidP="00ED20EA">
      <w:pPr>
        <w:pStyle w:val="Heading2"/>
        <w:spacing w:before="0" w:line="276" w:lineRule="auto"/>
        <w:rPr>
          <w:rFonts w:ascii="Arial" w:eastAsia="Arial" w:hAnsi="Arial" w:cs="Arial"/>
          <w:lang w:eastAsia="en-AU"/>
        </w:rPr>
      </w:pPr>
      <w:r w:rsidRPr="008E44DA">
        <w:rPr>
          <w:rFonts w:ascii="Arial" w:eastAsia="Arial" w:hAnsi="Arial" w:cs="Arial"/>
          <w:lang w:eastAsia="en-AU"/>
        </w:rPr>
        <w:t>4.3</w:t>
      </w:r>
      <w:r w:rsidR="725360C1" w:rsidRPr="008E44DA">
        <w:rPr>
          <w:rFonts w:ascii="Arial" w:hAnsi="Arial" w:cs="Arial"/>
        </w:rPr>
        <w:tab/>
      </w:r>
      <w:r w:rsidRPr="008E44DA">
        <w:rPr>
          <w:rFonts w:ascii="Arial" w:eastAsia="Arial" w:hAnsi="Arial" w:cs="Arial"/>
          <w:lang w:eastAsia="en-AU"/>
        </w:rPr>
        <w:t xml:space="preserve">The Role of Incentives </w:t>
      </w:r>
    </w:p>
    <w:p w14:paraId="1F24E8FD" w14:textId="346D23B6" w:rsidR="0046345A" w:rsidRPr="008E44DA" w:rsidRDefault="0046345A" w:rsidP="00ED20EA">
      <w:pPr>
        <w:spacing w:line="276" w:lineRule="auto"/>
        <w:rPr>
          <w:rFonts w:ascii="Arial" w:eastAsia="Arial" w:hAnsi="Arial" w:cs="Arial"/>
          <w:color w:val="000000" w:themeColor="text1"/>
          <w:sz w:val="22"/>
          <w:szCs w:val="22"/>
        </w:rPr>
      </w:pPr>
    </w:p>
    <w:p w14:paraId="007CA4DA" w14:textId="16C59808" w:rsidR="004F6985" w:rsidRDefault="004F6985" w:rsidP="009B1E99">
      <w:pPr>
        <w:spacing w:line="276" w:lineRule="auto"/>
        <w:jc w:val="both"/>
        <w:rPr>
          <w:rFonts w:ascii="Arial" w:eastAsia="Arial" w:hAnsi="Arial" w:cs="Arial"/>
          <w:color w:val="201F1E"/>
          <w:sz w:val="22"/>
          <w:szCs w:val="22"/>
          <w:lang w:eastAsia="en-AU"/>
        </w:rPr>
      </w:pPr>
      <w:r w:rsidRPr="008E44DA">
        <w:rPr>
          <w:rFonts w:ascii="Arial" w:eastAsia="Arial" w:hAnsi="Arial" w:cs="Arial"/>
          <w:color w:val="000000" w:themeColor="text1"/>
          <w:sz w:val="22"/>
          <w:szCs w:val="22"/>
        </w:rPr>
        <w:t xml:space="preserve">The role of incentives is an important final case study in the feedback loop that exists between </w:t>
      </w:r>
      <w:r w:rsidR="00286F39" w:rsidRPr="008E44DA">
        <w:rPr>
          <w:rFonts w:ascii="Arial" w:eastAsia="Arial" w:hAnsi="Arial" w:cs="Arial"/>
          <w:color w:val="201F1E"/>
          <w:sz w:val="22"/>
          <w:szCs w:val="22"/>
          <w:lang w:eastAsia="en-AU"/>
        </w:rPr>
        <w:t>individual and organisational behaviours and cultures and the</w:t>
      </w:r>
      <w:r w:rsidRPr="008E44DA">
        <w:rPr>
          <w:rFonts w:ascii="Arial" w:eastAsia="Arial" w:hAnsi="Arial" w:cs="Arial"/>
          <w:color w:val="201F1E"/>
          <w:sz w:val="22"/>
          <w:szCs w:val="22"/>
          <w:lang w:eastAsia="en-AU"/>
        </w:rPr>
        <w:t xml:space="preserve"> technical</w:t>
      </w:r>
      <w:r w:rsidR="00286F39" w:rsidRPr="008E44DA">
        <w:rPr>
          <w:rFonts w:ascii="Arial" w:eastAsia="Arial" w:hAnsi="Arial" w:cs="Arial"/>
          <w:color w:val="201F1E"/>
          <w:sz w:val="22"/>
          <w:szCs w:val="22"/>
          <w:lang w:eastAsia="en-AU"/>
        </w:rPr>
        <w:t xml:space="preserve"> aspects of implementing the EIIF.</w:t>
      </w:r>
      <w:r w:rsidRPr="008E44DA">
        <w:rPr>
          <w:rFonts w:ascii="Arial" w:eastAsia="Arial" w:hAnsi="Arial" w:cs="Arial"/>
          <w:color w:val="201F1E"/>
          <w:sz w:val="22"/>
          <w:szCs w:val="22"/>
          <w:lang w:eastAsia="en-AU"/>
        </w:rPr>
        <w:t xml:space="preserve"> </w:t>
      </w:r>
    </w:p>
    <w:p w14:paraId="76BE31EB" w14:textId="77777777" w:rsidR="00A26A06" w:rsidRPr="008E44DA" w:rsidRDefault="00A26A06" w:rsidP="009B1E99">
      <w:pPr>
        <w:spacing w:line="276" w:lineRule="auto"/>
        <w:jc w:val="both"/>
        <w:rPr>
          <w:rFonts w:ascii="Arial" w:eastAsia="Arial" w:hAnsi="Arial" w:cs="Arial"/>
          <w:color w:val="000000" w:themeColor="text1"/>
          <w:sz w:val="22"/>
          <w:szCs w:val="22"/>
        </w:rPr>
      </w:pPr>
    </w:p>
    <w:p w14:paraId="7FE27AC3" w14:textId="631F4D6E" w:rsidR="47467085" w:rsidRDefault="47467085" w:rsidP="009B1E99">
      <w:pPr>
        <w:spacing w:line="276" w:lineRule="auto"/>
        <w:jc w:val="both"/>
        <w:rPr>
          <w:rFonts w:ascii="Arial" w:eastAsia="Arial" w:hAnsi="Arial" w:cs="Arial"/>
          <w:color w:val="000000" w:themeColor="text1"/>
          <w:sz w:val="22"/>
          <w:szCs w:val="22"/>
        </w:rPr>
      </w:pPr>
      <w:r w:rsidRPr="008E44DA">
        <w:rPr>
          <w:rFonts w:ascii="Arial" w:eastAsia="Arial" w:hAnsi="Arial" w:cs="Arial"/>
          <w:color w:val="000000" w:themeColor="text1"/>
          <w:sz w:val="22"/>
          <w:szCs w:val="22"/>
        </w:rPr>
        <w:t>The material incentives of the EIIF rest</w:t>
      </w:r>
      <w:r w:rsidR="00EA1D91" w:rsidRPr="008E44DA">
        <w:rPr>
          <w:rFonts w:ascii="Arial" w:eastAsia="Arial" w:hAnsi="Arial" w:cs="Arial"/>
          <w:color w:val="000000" w:themeColor="text1"/>
          <w:sz w:val="22"/>
          <w:szCs w:val="22"/>
        </w:rPr>
        <w:t xml:space="preserve"> on the</w:t>
      </w:r>
      <w:r w:rsidRPr="008E44DA">
        <w:rPr>
          <w:rFonts w:ascii="Arial" w:eastAsia="Arial" w:hAnsi="Arial" w:cs="Arial"/>
          <w:color w:val="000000" w:themeColor="text1"/>
          <w:sz w:val="22"/>
          <w:szCs w:val="22"/>
        </w:rPr>
        <w:t xml:space="preserve"> benefit sharing approach, whereby the monetised benefits to government of reduced demand on acute services are applied as EIIF dividends. These dividends are ring-fenced by ERC for future investment in EIIF programs, incentivising line agencies to develop more EIIF initiatives and, in turn, reinforcing a cycle in which the EIIF becomes the established basis for costing activities in scope. </w:t>
      </w:r>
    </w:p>
    <w:p w14:paraId="54BD5654" w14:textId="77777777" w:rsidR="00A26A06" w:rsidRPr="008E44DA" w:rsidRDefault="00A26A06" w:rsidP="009B1E99">
      <w:pPr>
        <w:spacing w:line="276" w:lineRule="auto"/>
        <w:jc w:val="both"/>
        <w:rPr>
          <w:rFonts w:ascii="Arial" w:eastAsia="Arial" w:hAnsi="Arial" w:cs="Arial"/>
          <w:color w:val="000000" w:themeColor="text1"/>
          <w:sz w:val="22"/>
          <w:szCs w:val="22"/>
        </w:rPr>
      </w:pPr>
    </w:p>
    <w:p w14:paraId="7C09B818" w14:textId="4B08DEA4" w:rsidR="47467085" w:rsidRPr="008E44DA" w:rsidRDefault="47467085" w:rsidP="009B1E99">
      <w:pPr>
        <w:spacing w:line="276" w:lineRule="auto"/>
        <w:jc w:val="both"/>
        <w:rPr>
          <w:rFonts w:ascii="Arial" w:eastAsia="Arial" w:hAnsi="Arial" w:cs="Arial"/>
          <w:sz w:val="22"/>
          <w:szCs w:val="22"/>
        </w:rPr>
      </w:pPr>
      <w:r w:rsidRPr="008E44DA">
        <w:rPr>
          <w:rFonts w:ascii="Arial" w:eastAsia="Arial" w:hAnsi="Arial" w:cs="Arial"/>
          <w:color w:val="000000" w:themeColor="text1"/>
          <w:sz w:val="22"/>
          <w:szCs w:val="22"/>
        </w:rPr>
        <w:t>However, line agencies must bel</w:t>
      </w:r>
      <w:r w:rsidR="00DC7FEA" w:rsidRPr="008E44DA">
        <w:rPr>
          <w:rFonts w:ascii="Arial" w:eastAsia="Arial" w:hAnsi="Arial" w:cs="Arial"/>
          <w:color w:val="000000" w:themeColor="text1"/>
          <w:sz w:val="22"/>
          <w:szCs w:val="22"/>
        </w:rPr>
        <w:t xml:space="preserve">ieve the EIIF model if they can be expected to </w:t>
      </w:r>
      <w:r w:rsidR="5CC5CB5C" w:rsidRPr="008E44DA">
        <w:rPr>
          <w:rFonts w:ascii="Arial" w:eastAsia="Arial" w:hAnsi="Arial" w:cs="Arial"/>
          <w:color w:val="000000" w:themeColor="text1"/>
          <w:sz w:val="22"/>
          <w:szCs w:val="22"/>
        </w:rPr>
        <w:t xml:space="preserve">be compelled by incentives and </w:t>
      </w:r>
      <w:r w:rsidRPr="008E44DA">
        <w:rPr>
          <w:rFonts w:ascii="Arial" w:eastAsia="Arial" w:hAnsi="Arial" w:cs="Arial"/>
          <w:color w:val="000000" w:themeColor="text1"/>
          <w:sz w:val="22"/>
          <w:szCs w:val="22"/>
        </w:rPr>
        <w:t>participate fully. This speaks to the risk of overemphasising technical considerations</w:t>
      </w:r>
      <w:r w:rsidR="36B15ACE" w:rsidRPr="008E44DA">
        <w:rPr>
          <w:rFonts w:ascii="Arial" w:eastAsia="Arial" w:hAnsi="Arial" w:cs="Arial"/>
          <w:color w:val="000000" w:themeColor="text1"/>
          <w:sz w:val="22"/>
          <w:szCs w:val="22"/>
        </w:rPr>
        <w:t xml:space="preserve"> without due consideration for how individuals might respond and </w:t>
      </w:r>
      <w:r w:rsidRPr="008E44DA">
        <w:rPr>
          <w:rFonts w:ascii="Arial" w:eastAsia="Arial" w:hAnsi="Arial" w:cs="Arial"/>
          <w:color w:val="000000" w:themeColor="text1"/>
          <w:sz w:val="22"/>
          <w:szCs w:val="22"/>
        </w:rPr>
        <w:t xml:space="preserve">the </w:t>
      </w:r>
      <w:r w:rsidR="36B15ACE" w:rsidRPr="008E44DA">
        <w:rPr>
          <w:rFonts w:ascii="Arial" w:eastAsia="Arial" w:hAnsi="Arial" w:cs="Arial"/>
          <w:color w:val="000000" w:themeColor="text1"/>
          <w:sz w:val="22"/>
          <w:szCs w:val="22"/>
        </w:rPr>
        <w:t xml:space="preserve">effect this will have on implementation. </w:t>
      </w:r>
      <w:r w:rsidR="49F94D9F" w:rsidRPr="008E44DA">
        <w:rPr>
          <w:rFonts w:ascii="Arial" w:eastAsia="Arial" w:hAnsi="Arial" w:cs="Arial"/>
          <w:color w:val="201F1E"/>
          <w:sz w:val="22"/>
          <w:szCs w:val="22"/>
          <w:lang w:eastAsia="en-AU"/>
        </w:rPr>
        <w:t>Simon Torracinta, reflecting on the work</w:t>
      </w:r>
      <w:r w:rsidRPr="008E44DA">
        <w:rPr>
          <w:rFonts w:ascii="Arial" w:eastAsia="Arial" w:hAnsi="Arial" w:cs="Arial"/>
          <w:color w:val="201F1E"/>
          <w:sz w:val="22"/>
          <w:szCs w:val="22"/>
          <w:lang w:eastAsia="en-AU"/>
        </w:rPr>
        <w:t xml:space="preserve"> of </w:t>
      </w:r>
      <w:r w:rsidR="49F94D9F" w:rsidRPr="008E44DA">
        <w:rPr>
          <w:rFonts w:ascii="Arial" w:eastAsia="Arial" w:hAnsi="Arial" w:cs="Arial"/>
          <w:color w:val="201F1E"/>
          <w:sz w:val="22"/>
          <w:szCs w:val="22"/>
          <w:lang w:eastAsia="en-AU"/>
        </w:rPr>
        <w:t>economist Diane Coyle</w:t>
      </w:r>
      <w:r w:rsidR="4CFF0816" w:rsidRPr="008E44DA">
        <w:rPr>
          <w:rFonts w:ascii="Arial" w:eastAsia="Arial" w:hAnsi="Arial" w:cs="Arial"/>
          <w:color w:val="201F1E"/>
          <w:sz w:val="22"/>
          <w:szCs w:val="22"/>
          <w:lang w:eastAsia="en-AU"/>
        </w:rPr>
        <w:t>, captures this feedback loop. He writes that, b</w:t>
      </w:r>
      <w:r w:rsidR="49F94D9F" w:rsidRPr="008E44DA">
        <w:rPr>
          <w:rFonts w:ascii="Arial" w:eastAsia="Arial" w:hAnsi="Arial" w:cs="Arial"/>
          <w:color w:val="201F1E"/>
          <w:sz w:val="22"/>
          <w:szCs w:val="22"/>
          <w:lang w:eastAsia="en-AU"/>
        </w:rPr>
        <w:t>y embracing</w:t>
      </w:r>
      <w:r w:rsidR="44075188" w:rsidRPr="008E44DA">
        <w:rPr>
          <w:rFonts w:ascii="Arial" w:eastAsia="Arial" w:hAnsi="Arial" w:cs="Arial"/>
          <w:color w:val="4D4D4D"/>
          <w:sz w:val="22"/>
          <w:szCs w:val="22"/>
        </w:rPr>
        <w:t xml:space="preserve"> </w:t>
      </w:r>
      <w:r w:rsidR="44075188" w:rsidRPr="008E44DA">
        <w:rPr>
          <w:rFonts w:ascii="Arial" w:eastAsia="Arial" w:hAnsi="Arial" w:cs="Arial"/>
          <w:sz w:val="22"/>
          <w:szCs w:val="22"/>
        </w:rPr>
        <w:t>elegant, inflexible</w:t>
      </w:r>
      <w:r w:rsidRPr="008E44DA">
        <w:rPr>
          <w:rFonts w:ascii="Arial" w:eastAsia="Arial" w:hAnsi="Arial" w:cs="Arial"/>
          <w:sz w:val="22"/>
          <w:szCs w:val="22"/>
        </w:rPr>
        <w:t xml:space="preserve"> models</w:t>
      </w:r>
      <w:r w:rsidR="44075188" w:rsidRPr="008E44DA">
        <w:rPr>
          <w:rFonts w:ascii="Arial" w:eastAsia="Arial" w:hAnsi="Arial" w:cs="Arial"/>
          <w:sz w:val="22"/>
          <w:szCs w:val="22"/>
        </w:rPr>
        <w:t xml:space="preserve"> and the role of an objective observer, </w:t>
      </w:r>
    </w:p>
    <w:p w14:paraId="1EF28CC2" w14:textId="77777777" w:rsidR="47467085" w:rsidRPr="008E44DA" w:rsidRDefault="47467085" w:rsidP="009B1E99">
      <w:pPr>
        <w:spacing w:line="276" w:lineRule="auto"/>
        <w:jc w:val="both"/>
        <w:rPr>
          <w:rFonts w:ascii="Arial" w:eastAsia="Arial" w:hAnsi="Arial" w:cs="Arial"/>
          <w:sz w:val="22"/>
          <w:szCs w:val="22"/>
        </w:rPr>
      </w:pPr>
    </w:p>
    <w:p w14:paraId="16909BB3" w14:textId="2161C677" w:rsidR="47467085" w:rsidRPr="008E44DA" w:rsidRDefault="44075188" w:rsidP="009B1E99">
      <w:pPr>
        <w:spacing w:line="276" w:lineRule="auto"/>
        <w:ind w:left="720"/>
        <w:jc w:val="both"/>
        <w:rPr>
          <w:rFonts w:ascii="Arial" w:eastAsia="Arial" w:hAnsi="Arial" w:cs="Arial"/>
          <w:sz w:val="22"/>
          <w:szCs w:val="22"/>
          <w:lang w:val="en-GB"/>
        </w:rPr>
      </w:pPr>
      <w:r w:rsidRPr="008E44DA">
        <w:rPr>
          <w:rFonts w:ascii="Arial" w:eastAsia="Arial" w:hAnsi="Arial" w:cs="Arial"/>
          <w:sz w:val="22"/>
          <w:szCs w:val="22"/>
        </w:rPr>
        <w:t xml:space="preserve">economists in many applied domains – especially public policy – fail to account for </w:t>
      </w:r>
      <w:r w:rsidRPr="008E44DA">
        <w:rPr>
          <w:rFonts w:ascii="Arial" w:eastAsia="Arial" w:hAnsi="Arial" w:cs="Arial"/>
          <w:sz w:val="22"/>
          <w:szCs w:val="22"/>
          <w:lang w:val="en-GB"/>
        </w:rPr>
        <w:t>their own agency within the system. Policymakers don’t just observe the world; they intervene in it. And since the real economy is replete with feedback loops and two-way causality, models that don’t factor in the role of policymakers</w:t>
      </w:r>
      <w:r w:rsidR="407BE406" w:rsidRPr="008E44DA">
        <w:rPr>
          <w:rFonts w:ascii="Arial" w:eastAsia="Arial" w:hAnsi="Arial" w:cs="Arial"/>
          <w:sz w:val="22"/>
          <w:szCs w:val="22"/>
          <w:lang w:val="en-GB"/>
        </w:rPr>
        <w:t xml:space="preserve"> – </w:t>
      </w:r>
      <w:r w:rsidRPr="008E44DA">
        <w:rPr>
          <w:rFonts w:ascii="Arial" w:eastAsia="Arial" w:hAnsi="Arial" w:cs="Arial"/>
          <w:sz w:val="22"/>
          <w:szCs w:val="22"/>
          <w:lang w:val="en-GB"/>
        </w:rPr>
        <w:t>and how people might respond to their interventions</w:t>
      </w:r>
      <w:r w:rsidR="407BE406" w:rsidRPr="008E44DA">
        <w:rPr>
          <w:rFonts w:ascii="Arial" w:eastAsia="Arial" w:hAnsi="Arial" w:cs="Arial"/>
          <w:sz w:val="22"/>
          <w:szCs w:val="22"/>
          <w:lang w:val="en-GB"/>
        </w:rPr>
        <w:t xml:space="preserve"> – </w:t>
      </w:r>
      <w:r w:rsidRPr="008E44DA">
        <w:rPr>
          <w:rFonts w:ascii="Arial" w:eastAsia="Arial" w:hAnsi="Arial" w:cs="Arial"/>
          <w:sz w:val="22"/>
          <w:szCs w:val="22"/>
          <w:lang w:val="en-GB"/>
        </w:rPr>
        <w:t>are destined to be misleading.</w:t>
      </w:r>
      <w:r w:rsidR="47467085" w:rsidRPr="008E44DA">
        <w:rPr>
          <w:rStyle w:val="FootnoteReference"/>
          <w:rFonts w:ascii="Arial" w:eastAsia="Arial" w:hAnsi="Arial" w:cs="Arial"/>
          <w:sz w:val="22"/>
          <w:szCs w:val="22"/>
          <w:lang w:val="en-GB"/>
        </w:rPr>
        <w:footnoteReference w:id="15"/>
      </w:r>
    </w:p>
    <w:p w14:paraId="23518DF8" w14:textId="412C9694" w:rsidR="47467085" w:rsidRPr="008E44DA" w:rsidRDefault="47467085" w:rsidP="009B1E99">
      <w:pPr>
        <w:spacing w:line="276" w:lineRule="auto"/>
        <w:jc w:val="both"/>
        <w:rPr>
          <w:rFonts w:ascii="Arial" w:eastAsia="Arial" w:hAnsi="Arial" w:cs="Arial"/>
          <w:sz w:val="22"/>
          <w:szCs w:val="22"/>
        </w:rPr>
      </w:pPr>
    </w:p>
    <w:p w14:paraId="06E1364D" w14:textId="53D46B42" w:rsidR="47467085" w:rsidRPr="008E44DA" w:rsidRDefault="47467085" w:rsidP="009B1E99">
      <w:pPr>
        <w:spacing w:line="276" w:lineRule="auto"/>
        <w:jc w:val="both"/>
        <w:rPr>
          <w:rFonts w:ascii="Arial" w:eastAsia="Arial" w:hAnsi="Arial" w:cs="Arial"/>
          <w:color w:val="262626" w:themeColor="text1" w:themeTint="D9"/>
          <w:sz w:val="22"/>
          <w:szCs w:val="22"/>
          <w:lang w:val="en-US"/>
        </w:rPr>
      </w:pPr>
      <w:r w:rsidRPr="008E44DA">
        <w:rPr>
          <w:rFonts w:ascii="Arial" w:eastAsia="Arial" w:hAnsi="Arial" w:cs="Arial"/>
          <w:sz w:val="22"/>
          <w:szCs w:val="22"/>
        </w:rPr>
        <w:t>Torracinta observes that t</w:t>
      </w:r>
      <w:r w:rsidRPr="008E44DA">
        <w:rPr>
          <w:rFonts w:ascii="Arial" w:eastAsia="Arial" w:hAnsi="Arial" w:cs="Arial"/>
          <w:color w:val="000000" w:themeColor="text1"/>
          <w:sz w:val="22"/>
          <w:szCs w:val="22"/>
        </w:rPr>
        <w:t>hese models often conflate the “</w:t>
      </w:r>
      <w:r w:rsidR="786334C3" w:rsidRPr="008E44DA">
        <w:rPr>
          <w:rFonts w:ascii="Arial" w:eastAsia="Arial" w:hAnsi="Arial" w:cs="Arial"/>
          <w:color w:val="201F1E"/>
          <w:sz w:val="22"/>
          <w:szCs w:val="22"/>
          <w:lang w:eastAsia="en-AU"/>
        </w:rPr>
        <w:t xml:space="preserve">descriptive and predictive uses of models with their prescriptive role in public policy”. </w:t>
      </w:r>
      <w:r w:rsidRPr="008E44DA">
        <w:rPr>
          <w:rFonts w:ascii="Arial" w:eastAsia="Arial" w:hAnsi="Arial" w:cs="Arial"/>
          <w:color w:val="201F1E"/>
          <w:sz w:val="22"/>
          <w:szCs w:val="22"/>
          <w:lang w:eastAsia="en-AU"/>
        </w:rPr>
        <w:t>The model then, should be brought more in line with real world realities, factoring in the behaviour of complex problems and individuals.</w:t>
      </w:r>
      <w:r w:rsidRPr="008E44DA">
        <w:rPr>
          <w:rStyle w:val="FootnoteReference"/>
          <w:rFonts w:ascii="Arial" w:eastAsia="Arial" w:hAnsi="Arial" w:cs="Arial"/>
          <w:color w:val="201F1E"/>
          <w:sz w:val="22"/>
          <w:szCs w:val="22"/>
          <w:lang w:eastAsia="en-AU"/>
        </w:rPr>
        <w:footnoteReference w:id="16"/>
      </w:r>
      <w:r w:rsidRPr="008E44DA">
        <w:rPr>
          <w:rFonts w:ascii="Arial" w:eastAsia="Arial" w:hAnsi="Arial" w:cs="Arial"/>
          <w:color w:val="201F1E"/>
          <w:sz w:val="22"/>
          <w:szCs w:val="22"/>
          <w:lang w:eastAsia="en-AU"/>
        </w:rPr>
        <w:t xml:space="preserve"> </w:t>
      </w:r>
    </w:p>
    <w:p w14:paraId="7B15B260" w14:textId="396241FA" w:rsidR="47467085" w:rsidRPr="008E44DA" w:rsidRDefault="47467085" w:rsidP="009B1E99">
      <w:pPr>
        <w:spacing w:line="276" w:lineRule="auto"/>
        <w:jc w:val="both"/>
        <w:rPr>
          <w:rFonts w:ascii="Arial" w:eastAsia="Arial" w:hAnsi="Arial" w:cs="Arial"/>
          <w:color w:val="201F1E"/>
          <w:sz w:val="22"/>
          <w:szCs w:val="22"/>
          <w:lang w:eastAsia="en-AU"/>
        </w:rPr>
      </w:pPr>
    </w:p>
    <w:p w14:paraId="0E66CA13" w14:textId="29C6A40E" w:rsidR="36B15ACE" w:rsidRPr="008E44DA" w:rsidRDefault="36B15ACE" w:rsidP="009B1E99">
      <w:pPr>
        <w:spacing w:line="276" w:lineRule="auto"/>
        <w:jc w:val="both"/>
        <w:rPr>
          <w:rFonts w:ascii="Arial" w:eastAsia="Arial" w:hAnsi="Arial" w:cs="Arial"/>
          <w:sz w:val="22"/>
          <w:szCs w:val="22"/>
          <w:lang w:val="en-US"/>
        </w:rPr>
      </w:pPr>
      <w:r w:rsidRPr="008E44DA">
        <w:rPr>
          <w:rFonts w:ascii="Arial" w:eastAsia="Arial" w:hAnsi="Arial" w:cs="Arial"/>
          <w:sz w:val="22"/>
          <w:szCs w:val="22"/>
          <w:lang w:eastAsia="en-AU"/>
        </w:rPr>
        <w:t xml:space="preserve">In the case of the EIIF, this involves considering the nature of social policy, where there will always be an unmet need </w:t>
      </w:r>
      <w:r w:rsidR="7B239E08" w:rsidRPr="008E44DA">
        <w:rPr>
          <w:rFonts w:ascii="Arial" w:eastAsia="Arial" w:hAnsi="Arial" w:cs="Arial"/>
          <w:sz w:val="22"/>
          <w:szCs w:val="22"/>
          <w:lang w:val="en-US"/>
        </w:rPr>
        <w:t>perpetuated by deeper structur</w:t>
      </w:r>
      <w:r w:rsidR="00DF416C">
        <w:rPr>
          <w:rFonts w:ascii="Arial" w:eastAsia="Arial" w:hAnsi="Arial" w:cs="Arial"/>
          <w:sz w:val="22"/>
          <w:szCs w:val="22"/>
          <w:lang w:val="en-US"/>
        </w:rPr>
        <w:t>al inequalities</w:t>
      </w:r>
      <w:r w:rsidR="7B239E08" w:rsidRPr="008E44DA">
        <w:rPr>
          <w:rFonts w:ascii="Arial" w:eastAsia="Arial" w:hAnsi="Arial" w:cs="Arial"/>
          <w:sz w:val="22"/>
          <w:szCs w:val="22"/>
          <w:lang w:val="en-US"/>
        </w:rPr>
        <w:t xml:space="preserve">. For example, there is an almost </w:t>
      </w:r>
      <w:r w:rsidRPr="008E44DA">
        <w:rPr>
          <w:rFonts w:ascii="Arial" w:eastAsia="Arial" w:hAnsi="Arial" w:cs="Arial"/>
          <w:sz w:val="22"/>
          <w:szCs w:val="22"/>
          <w:lang w:val="en-US"/>
        </w:rPr>
        <w:t xml:space="preserve">infinite capacity for intervention in early education to improve downstream outcomes. </w:t>
      </w:r>
      <w:r w:rsidR="008034A6" w:rsidRPr="008E44DA">
        <w:rPr>
          <w:rFonts w:ascii="Arial" w:eastAsia="Arial" w:hAnsi="Arial" w:cs="Arial"/>
          <w:sz w:val="22"/>
          <w:szCs w:val="22"/>
          <w:lang w:val="en-US"/>
        </w:rPr>
        <w:t>Similarly, advances in health technologies mean that as what becomes medically possible expands the need for rationing will grow.</w:t>
      </w:r>
      <w:r w:rsidR="008034A6">
        <w:rPr>
          <w:rFonts w:ascii="Arial" w:eastAsia="Arial" w:hAnsi="Arial" w:cs="Arial"/>
          <w:sz w:val="22"/>
          <w:szCs w:val="22"/>
          <w:lang w:val="en-US"/>
        </w:rPr>
        <w:t xml:space="preserve"> </w:t>
      </w:r>
      <w:r w:rsidRPr="008E44DA">
        <w:rPr>
          <w:rFonts w:ascii="Arial" w:eastAsia="Arial" w:hAnsi="Arial" w:cs="Arial"/>
          <w:sz w:val="22"/>
          <w:szCs w:val="22"/>
          <w:lang w:val="en-US"/>
        </w:rPr>
        <w:t xml:space="preserve">This is exacerbated by the risks and limitations of avoided cost estimation, where there is an inherent uncertainty in modeling future events and fear among line agencies that demand reduction </w:t>
      </w:r>
      <w:r w:rsidR="17E0E71C" w:rsidRPr="008E44DA">
        <w:rPr>
          <w:rFonts w:ascii="Arial" w:eastAsia="Arial" w:hAnsi="Arial" w:cs="Arial"/>
          <w:sz w:val="22"/>
          <w:szCs w:val="22"/>
          <w:lang w:val="en-US"/>
        </w:rPr>
        <w:t xml:space="preserve">may </w:t>
      </w:r>
      <w:r w:rsidRPr="008E44DA">
        <w:rPr>
          <w:rFonts w:ascii="Arial" w:eastAsia="Arial" w:hAnsi="Arial" w:cs="Arial"/>
          <w:sz w:val="22"/>
          <w:szCs w:val="22"/>
          <w:lang w:val="en-US"/>
        </w:rPr>
        <w:t xml:space="preserve">not occur, but savings </w:t>
      </w:r>
      <w:r w:rsidR="01123907" w:rsidRPr="008E44DA">
        <w:rPr>
          <w:rFonts w:ascii="Arial" w:eastAsia="Arial" w:hAnsi="Arial" w:cs="Arial"/>
          <w:sz w:val="22"/>
          <w:szCs w:val="22"/>
          <w:lang w:val="en-US"/>
        </w:rPr>
        <w:t>will</w:t>
      </w:r>
      <w:r w:rsidRPr="008E44DA">
        <w:rPr>
          <w:rFonts w:ascii="Arial" w:eastAsia="Arial" w:hAnsi="Arial" w:cs="Arial"/>
          <w:sz w:val="22"/>
          <w:szCs w:val="22"/>
          <w:lang w:val="en-US"/>
        </w:rPr>
        <w:t xml:space="preserve"> nonetheless</w:t>
      </w:r>
      <w:r w:rsidR="01123907" w:rsidRPr="008E44DA">
        <w:rPr>
          <w:rFonts w:ascii="Arial" w:eastAsia="Arial" w:hAnsi="Arial" w:cs="Arial"/>
          <w:sz w:val="22"/>
          <w:szCs w:val="22"/>
          <w:lang w:val="en-US"/>
        </w:rPr>
        <w:t xml:space="preserve"> be</w:t>
      </w:r>
      <w:r w:rsidRPr="008E44DA">
        <w:rPr>
          <w:rFonts w:ascii="Arial" w:eastAsia="Arial" w:hAnsi="Arial" w:cs="Arial"/>
          <w:sz w:val="22"/>
          <w:szCs w:val="22"/>
          <w:lang w:val="en-US"/>
        </w:rPr>
        <w:t xml:space="preserve"> taken. </w:t>
      </w:r>
      <w:r w:rsidR="36B1B4F0" w:rsidRPr="008E44DA">
        <w:rPr>
          <w:rFonts w:ascii="Arial" w:eastAsia="Arial" w:hAnsi="Arial" w:cs="Arial"/>
          <w:sz w:val="22"/>
          <w:szCs w:val="22"/>
          <w:lang w:val="en-US"/>
        </w:rPr>
        <w:t>Accordingly, if line agencies fear this imagined loss, they may not find EIIF incentives compelling enough to participate fully</w:t>
      </w:r>
      <w:r w:rsidR="008E5422">
        <w:rPr>
          <w:rFonts w:ascii="Arial" w:eastAsia="Arial" w:hAnsi="Arial" w:cs="Arial"/>
          <w:sz w:val="22"/>
          <w:szCs w:val="22"/>
          <w:lang w:val="en-US"/>
        </w:rPr>
        <w:t xml:space="preserve">, either </w:t>
      </w:r>
      <w:r w:rsidR="00886672">
        <w:rPr>
          <w:rFonts w:ascii="Arial" w:eastAsia="Arial" w:hAnsi="Arial" w:cs="Arial"/>
          <w:sz w:val="22"/>
          <w:szCs w:val="22"/>
          <w:lang w:val="en-US"/>
        </w:rPr>
        <w:t>pursuing</w:t>
      </w:r>
      <w:r w:rsidR="008E5422">
        <w:rPr>
          <w:rFonts w:ascii="Arial" w:eastAsia="Arial" w:hAnsi="Arial" w:cs="Arial"/>
          <w:sz w:val="22"/>
          <w:szCs w:val="22"/>
          <w:lang w:val="en-US"/>
        </w:rPr>
        <w:t xml:space="preserve"> funding outside of the EIIF or seeking to game the system</w:t>
      </w:r>
      <w:r w:rsidR="001C27E3">
        <w:rPr>
          <w:rFonts w:ascii="Arial" w:eastAsia="Arial" w:hAnsi="Arial" w:cs="Arial"/>
          <w:sz w:val="22"/>
          <w:szCs w:val="22"/>
          <w:lang w:val="en-US"/>
        </w:rPr>
        <w:t>.</w:t>
      </w:r>
    </w:p>
    <w:p w14:paraId="14377806" w14:textId="38620872" w:rsidR="36B1B4F0" w:rsidRPr="008E44DA" w:rsidRDefault="36B1B4F0" w:rsidP="009B1E99">
      <w:pPr>
        <w:spacing w:line="276" w:lineRule="auto"/>
        <w:jc w:val="both"/>
        <w:rPr>
          <w:rFonts w:ascii="Arial" w:eastAsia="Arial" w:hAnsi="Arial" w:cs="Arial"/>
          <w:sz w:val="22"/>
          <w:szCs w:val="22"/>
          <w:lang w:val="en-US"/>
        </w:rPr>
      </w:pPr>
    </w:p>
    <w:p w14:paraId="1D5FE82D" w14:textId="22CA3385" w:rsidR="006A1E16" w:rsidRDefault="369F18B1" w:rsidP="009B1E99">
      <w:pPr>
        <w:spacing w:line="276" w:lineRule="auto"/>
        <w:jc w:val="both"/>
        <w:rPr>
          <w:rFonts w:ascii="Arial" w:eastAsia="Arial" w:hAnsi="Arial" w:cs="Arial"/>
          <w:sz w:val="22"/>
          <w:szCs w:val="22"/>
          <w:lang w:val="en-US"/>
        </w:rPr>
      </w:pPr>
      <w:r w:rsidRPr="008E44DA">
        <w:rPr>
          <w:rFonts w:ascii="Arial" w:eastAsia="Arial" w:hAnsi="Arial" w:cs="Arial"/>
          <w:sz w:val="22"/>
          <w:szCs w:val="22"/>
          <w:lang w:val="en-US"/>
        </w:rPr>
        <w:lastRenderedPageBreak/>
        <w:t xml:space="preserve">An additional </w:t>
      </w:r>
      <w:r w:rsidR="003A7CFE">
        <w:rPr>
          <w:rFonts w:ascii="Arial" w:eastAsia="Arial" w:hAnsi="Arial" w:cs="Arial"/>
          <w:sz w:val="22"/>
          <w:szCs w:val="22"/>
          <w:lang w:val="en-US"/>
        </w:rPr>
        <w:t>r</w:t>
      </w:r>
      <w:r w:rsidR="003A7CFE" w:rsidRPr="008E44DA">
        <w:rPr>
          <w:rFonts w:ascii="Arial" w:eastAsia="Arial" w:hAnsi="Arial" w:cs="Arial"/>
          <w:sz w:val="22"/>
          <w:szCs w:val="22"/>
          <w:lang w:val="en-US"/>
        </w:rPr>
        <w:t>eal-world</w:t>
      </w:r>
      <w:r w:rsidRPr="008E44DA">
        <w:rPr>
          <w:rFonts w:ascii="Arial" w:eastAsia="Arial" w:hAnsi="Arial" w:cs="Arial"/>
          <w:sz w:val="22"/>
          <w:szCs w:val="22"/>
          <w:lang w:val="en-US"/>
        </w:rPr>
        <w:t xml:space="preserve"> consideration is how agencies will perceive the distribution of benefits across portfolios. Take for example a Department of Justice and Community Safety initiative addressing prison recidivism through drug and alcohol misuse programs. In addition to reducing reoffending, this initiative may also deliver reduced downstream demand for housing assistance services and savings for the Department of Families, Fairness and Housing. In cases such as this, where there is an institutional misalignment between investment and where </w:t>
      </w:r>
      <w:r w:rsidR="00BB4813">
        <w:rPr>
          <w:rFonts w:ascii="Arial" w:eastAsia="Arial" w:hAnsi="Arial" w:cs="Arial"/>
          <w:sz w:val="22"/>
          <w:szCs w:val="22"/>
          <w:lang w:val="en-US"/>
        </w:rPr>
        <w:t>benefits acc</w:t>
      </w:r>
      <w:r w:rsidR="00196380">
        <w:rPr>
          <w:rFonts w:ascii="Arial" w:eastAsia="Arial" w:hAnsi="Arial" w:cs="Arial"/>
          <w:sz w:val="22"/>
          <w:szCs w:val="22"/>
          <w:lang w:val="en-US"/>
        </w:rPr>
        <w:t>rue</w:t>
      </w:r>
      <w:r w:rsidRPr="008E44DA">
        <w:rPr>
          <w:rFonts w:ascii="Arial" w:eastAsia="Arial" w:hAnsi="Arial" w:cs="Arial"/>
          <w:sz w:val="22"/>
          <w:szCs w:val="22"/>
          <w:lang w:val="en-US"/>
        </w:rPr>
        <w:t xml:space="preserve">, </w:t>
      </w:r>
      <w:r w:rsidR="00196380">
        <w:rPr>
          <w:rFonts w:ascii="Arial" w:eastAsia="Arial" w:hAnsi="Arial" w:cs="Arial"/>
          <w:sz w:val="22"/>
          <w:szCs w:val="22"/>
          <w:lang w:val="en-US"/>
        </w:rPr>
        <w:t>any crude application of savings</w:t>
      </w:r>
      <w:r w:rsidR="000177AB">
        <w:rPr>
          <w:rFonts w:ascii="Arial" w:eastAsia="Arial" w:hAnsi="Arial" w:cs="Arial"/>
          <w:sz w:val="22"/>
          <w:szCs w:val="22"/>
          <w:lang w:val="en-US"/>
        </w:rPr>
        <w:t xml:space="preserve"> solely to ‘bidding department’</w:t>
      </w:r>
      <w:r w:rsidR="00196380">
        <w:rPr>
          <w:rFonts w:ascii="Arial" w:eastAsia="Arial" w:hAnsi="Arial" w:cs="Arial"/>
          <w:sz w:val="22"/>
          <w:szCs w:val="22"/>
          <w:lang w:val="en-US"/>
        </w:rPr>
        <w:t xml:space="preserve"> may </w:t>
      </w:r>
      <w:r w:rsidRPr="008E44DA">
        <w:rPr>
          <w:rFonts w:ascii="Arial" w:eastAsia="Arial" w:hAnsi="Arial" w:cs="Arial"/>
          <w:sz w:val="22"/>
          <w:szCs w:val="22"/>
          <w:lang w:val="en-US"/>
        </w:rPr>
        <w:t>result in a likely a sense of competition among line agencies and reticence to engage in a model that rewards inactivity may develop</w:t>
      </w:r>
      <w:r w:rsidR="006A1E16">
        <w:rPr>
          <w:rFonts w:ascii="Arial" w:eastAsia="Arial" w:hAnsi="Arial" w:cs="Arial"/>
          <w:sz w:val="22"/>
          <w:szCs w:val="22"/>
          <w:lang w:val="en-US"/>
        </w:rPr>
        <w:t>. This may lead line agencies to seek funding through the usual budgeting process</w:t>
      </w:r>
      <w:r w:rsidR="00BE6CBE">
        <w:rPr>
          <w:rFonts w:ascii="Arial" w:eastAsia="Arial" w:hAnsi="Arial" w:cs="Arial"/>
          <w:sz w:val="22"/>
          <w:szCs w:val="22"/>
          <w:lang w:val="en-US"/>
        </w:rPr>
        <w:t xml:space="preserve"> rather than EIIF</w:t>
      </w:r>
      <w:r w:rsidR="006A1E16">
        <w:rPr>
          <w:rFonts w:ascii="Arial" w:eastAsia="Arial" w:hAnsi="Arial" w:cs="Arial"/>
          <w:sz w:val="22"/>
          <w:szCs w:val="22"/>
          <w:lang w:val="en-US"/>
        </w:rPr>
        <w:t xml:space="preserve">, placing the growth of the EIIF and early intervention investment at risk. For these reasons, a rigorous approach to quantifying impacts and returning ring-fenced funds to where benefits accrue will need to remain </w:t>
      </w:r>
      <w:r w:rsidR="00B943A4">
        <w:rPr>
          <w:rFonts w:ascii="Arial" w:eastAsia="Arial" w:hAnsi="Arial" w:cs="Arial"/>
          <w:sz w:val="22"/>
          <w:szCs w:val="22"/>
          <w:lang w:val="en-US"/>
        </w:rPr>
        <w:t xml:space="preserve">features of the </w:t>
      </w:r>
      <w:r w:rsidR="006A1E16">
        <w:rPr>
          <w:rFonts w:ascii="Arial" w:eastAsia="Arial" w:hAnsi="Arial" w:cs="Arial"/>
          <w:sz w:val="22"/>
          <w:szCs w:val="22"/>
          <w:lang w:val="en-US"/>
        </w:rPr>
        <w:t>EIIF.</w:t>
      </w:r>
    </w:p>
    <w:p w14:paraId="75C73ADA" w14:textId="2A739FCC" w:rsidR="01D29025" w:rsidRPr="008E44DA" w:rsidRDefault="01D29025" w:rsidP="009B1E99">
      <w:pPr>
        <w:spacing w:line="276" w:lineRule="auto"/>
        <w:jc w:val="both"/>
        <w:rPr>
          <w:rFonts w:ascii="Arial" w:eastAsia="Arial" w:hAnsi="Arial" w:cs="Arial"/>
          <w:sz w:val="22"/>
          <w:szCs w:val="22"/>
          <w:lang w:val="en-US"/>
        </w:rPr>
      </w:pPr>
    </w:p>
    <w:p w14:paraId="25D2729E" w14:textId="3988B544" w:rsidR="47467085" w:rsidRPr="008E44DA" w:rsidRDefault="47467085" w:rsidP="009B1E99">
      <w:pPr>
        <w:spacing w:line="276" w:lineRule="auto"/>
        <w:jc w:val="both"/>
        <w:rPr>
          <w:rFonts w:ascii="Arial" w:eastAsia="Arial" w:hAnsi="Arial" w:cs="Arial"/>
          <w:color w:val="262626" w:themeColor="text1" w:themeTint="D9"/>
          <w:sz w:val="22"/>
          <w:szCs w:val="22"/>
          <w:lang w:val="en-US"/>
        </w:rPr>
      </w:pPr>
      <w:r w:rsidRPr="008E44DA">
        <w:rPr>
          <w:rFonts w:ascii="Arial" w:eastAsia="Arial" w:hAnsi="Arial" w:cs="Arial"/>
          <w:color w:val="262626" w:themeColor="text1" w:themeTint="D9"/>
          <w:sz w:val="22"/>
          <w:szCs w:val="22"/>
          <w:lang w:val="en-US"/>
        </w:rPr>
        <w:t xml:space="preserve">One senior New Zealand Treasury official spoke to similar challenges in the recent piloting of budget clusters, </w:t>
      </w:r>
      <w:r w:rsidRPr="008E44DA">
        <w:rPr>
          <w:rFonts w:ascii="Arial" w:eastAsia="Arial" w:hAnsi="Arial" w:cs="Arial"/>
          <w:color w:val="333333"/>
          <w:sz w:val="22"/>
          <w:szCs w:val="22"/>
          <w:lang w:val="en-US"/>
        </w:rPr>
        <w:t>which sees agencies grouped together for budgetary collaboration and multiyear funding. The</w:t>
      </w:r>
      <w:r w:rsidR="00F70619" w:rsidRPr="008E44DA">
        <w:rPr>
          <w:rFonts w:ascii="Arial" w:eastAsia="Arial" w:hAnsi="Arial" w:cs="Arial"/>
          <w:color w:val="333333"/>
          <w:sz w:val="22"/>
          <w:szCs w:val="22"/>
          <w:lang w:val="en-US"/>
        </w:rPr>
        <w:t xml:space="preserve"> official</w:t>
      </w:r>
      <w:r w:rsidRPr="008E44DA">
        <w:rPr>
          <w:rFonts w:ascii="Arial" w:eastAsia="Arial" w:hAnsi="Arial" w:cs="Arial"/>
          <w:color w:val="333333"/>
          <w:sz w:val="22"/>
          <w:szCs w:val="22"/>
          <w:lang w:val="en-US"/>
        </w:rPr>
        <w:t xml:space="preserve"> observed </w:t>
      </w:r>
      <w:r w:rsidRPr="008E44DA">
        <w:rPr>
          <w:rFonts w:ascii="Arial" w:eastAsia="Arial" w:hAnsi="Arial" w:cs="Arial"/>
          <w:color w:val="262626" w:themeColor="text1" w:themeTint="D9"/>
          <w:sz w:val="22"/>
          <w:szCs w:val="22"/>
          <w:lang w:val="en-US"/>
        </w:rPr>
        <w:t>difficulties around maintaining engagement with a model when an agency observes an initiative being funded that fails to deliver outcomes in their individual portfolio, or funds spent in one portfolio detracting from another. The</w:t>
      </w:r>
      <w:r w:rsidR="00547389" w:rsidRPr="008E44DA">
        <w:rPr>
          <w:rFonts w:ascii="Arial" w:eastAsia="Arial" w:hAnsi="Arial" w:cs="Arial"/>
          <w:color w:val="262626" w:themeColor="text1" w:themeTint="D9"/>
          <w:sz w:val="22"/>
          <w:szCs w:val="22"/>
          <w:lang w:val="en-US"/>
        </w:rPr>
        <w:t xml:space="preserve"> proposed</w:t>
      </w:r>
      <w:r w:rsidRPr="008E44DA">
        <w:rPr>
          <w:rFonts w:ascii="Arial" w:eastAsia="Arial" w:hAnsi="Arial" w:cs="Arial"/>
          <w:color w:val="262626" w:themeColor="text1" w:themeTint="D9"/>
          <w:sz w:val="22"/>
          <w:szCs w:val="22"/>
          <w:lang w:val="en-US"/>
        </w:rPr>
        <w:t xml:space="preserve"> remedy, although not yet operating successfully, is </w:t>
      </w:r>
      <w:r w:rsidR="009E54D3" w:rsidRPr="008E44DA">
        <w:rPr>
          <w:rFonts w:ascii="Arial" w:eastAsia="Arial" w:hAnsi="Arial" w:cs="Arial"/>
          <w:color w:val="262626" w:themeColor="text1" w:themeTint="D9"/>
          <w:sz w:val="22"/>
          <w:szCs w:val="22"/>
          <w:lang w:val="en-US"/>
        </w:rPr>
        <w:t xml:space="preserve">the promotion of </w:t>
      </w:r>
      <w:r w:rsidRPr="008E44DA">
        <w:rPr>
          <w:rFonts w:ascii="Arial" w:eastAsia="Arial" w:hAnsi="Arial" w:cs="Arial"/>
          <w:color w:val="262626" w:themeColor="text1" w:themeTint="D9"/>
          <w:sz w:val="22"/>
          <w:szCs w:val="22"/>
          <w:lang w:val="en-US"/>
        </w:rPr>
        <w:t>a shared vision for government funding with wraparound impacts that cut across portfolio silos.</w:t>
      </w:r>
    </w:p>
    <w:p w14:paraId="13DEBFF6" w14:textId="1603A22A" w:rsidR="47467085" w:rsidRPr="008E44DA" w:rsidRDefault="47467085" w:rsidP="00ED20EA">
      <w:pPr>
        <w:spacing w:line="276" w:lineRule="auto"/>
        <w:rPr>
          <w:rFonts w:ascii="Arial" w:eastAsia="Arial" w:hAnsi="Arial" w:cs="Arial"/>
          <w:color w:val="262626" w:themeColor="text1" w:themeTint="D9"/>
          <w:sz w:val="20"/>
          <w:szCs w:val="20"/>
          <w:lang w:val="en-US"/>
        </w:rPr>
      </w:pPr>
    </w:p>
    <w:p w14:paraId="6C49BBFB" w14:textId="68DD6191" w:rsidR="47467085" w:rsidRPr="008E44DA" w:rsidRDefault="47467085" w:rsidP="00ED20EA">
      <w:pPr>
        <w:pStyle w:val="Heading3"/>
        <w:spacing w:before="0" w:line="276" w:lineRule="auto"/>
        <w:rPr>
          <w:rFonts w:ascii="Arial" w:eastAsia="DengXian Light" w:hAnsi="Arial" w:cs="Arial"/>
          <w:color w:val="1F3763"/>
          <w:sz w:val="20"/>
          <w:szCs w:val="20"/>
          <w:lang w:val="en-US"/>
        </w:rPr>
      </w:pPr>
      <w:r w:rsidRPr="008E44DA">
        <w:rPr>
          <w:rFonts w:ascii="Arial" w:hAnsi="Arial" w:cs="Arial"/>
          <w:lang w:val="en-US"/>
        </w:rPr>
        <w:t>4.3.1</w:t>
      </w:r>
      <w:r w:rsidRPr="008E44DA">
        <w:rPr>
          <w:rFonts w:ascii="Arial" w:hAnsi="Arial" w:cs="Arial"/>
        </w:rPr>
        <w:tab/>
      </w:r>
      <w:r w:rsidRPr="008E44DA">
        <w:rPr>
          <w:rFonts w:ascii="Arial" w:hAnsi="Arial" w:cs="Arial"/>
          <w:lang w:val="en-US"/>
        </w:rPr>
        <w:t xml:space="preserve">Considerations for DTF </w:t>
      </w:r>
    </w:p>
    <w:p w14:paraId="7F4F680A" w14:textId="3FB33002" w:rsidR="47467085" w:rsidRPr="008E44DA" w:rsidRDefault="47467085" w:rsidP="00ED20EA">
      <w:pPr>
        <w:spacing w:line="276" w:lineRule="auto"/>
        <w:rPr>
          <w:rFonts w:ascii="Arial" w:eastAsia="Arial" w:hAnsi="Arial" w:cs="Arial"/>
          <w:color w:val="262626" w:themeColor="text1" w:themeTint="D9"/>
          <w:sz w:val="20"/>
          <w:szCs w:val="20"/>
          <w:lang w:val="en-US"/>
        </w:rPr>
      </w:pPr>
    </w:p>
    <w:p w14:paraId="115B2AF3" w14:textId="2F98BFE3" w:rsidR="47467085" w:rsidRPr="008E44DA" w:rsidRDefault="7E5E05C7" w:rsidP="009B1E99">
      <w:pPr>
        <w:spacing w:line="276" w:lineRule="auto"/>
        <w:jc w:val="both"/>
        <w:rPr>
          <w:rFonts w:ascii="Arial" w:eastAsia="Arial" w:hAnsi="Arial" w:cs="Arial"/>
          <w:sz w:val="22"/>
          <w:szCs w:val="22"/>
          <w:lang w:val="en-US"/>
        </w:rPr>
      </w:pPr>
      <w:r w:rsidRPr="008E44DA">
        <w:rPr>
          <w:rFonts w:ascii="Arial" w:eastAsia="Arial" w:hAnsi="Arial" w:cs="Arial"/>
          <w:sz w:val="22"/>
          <w:szCs w:val="22"/>
          <w:lang w:val="en-US"/>
        </w:rPr>
        <w:t xml:space="preserve">To achieve sustained and genuine engagement with the EIIF, it is </w:t>
      </w:r>
      <w:r w:rsidR="36B15ACE" w:rsidRPr="008E44DA">
        <w:rPr>
          <w:rFonts w:ascii="Arial" w:eastAsia="Arial" w:hAnsi="Arial" w:cs="Arial"/>
          <w:sz w:val="22"/>
          <w:szCs w:val="22"/>
          <w:lang w:val="en-US"/>
        </w:rPr>
        <w:t xml:space="preserve">paramount that line agencies believe in the rationale of the </w:t>
      </w:r>
      <w:r w:rsidR="090871C5" w:rsidRPr="008E44DA">
        <w:rPr>
          <w:rFonts w:ascii="Arial" w:eastAsia="Arial" w:hAnsi="Arial" w:cs="Arial"/>
          <w:sz w:val="22"/>
          <w:szCs w:val="22"/>
          <w:lang w:val="en-US"/>
        </w:rPr>
        <w:t>model</w:t>
      </w:r>
      <w:r w:rsidR="36B15ACE" w:rsidRPr="008E44DA">
        <w:rPr>
          <w:rFonts w:ascii="Arial" w:eastAsia="Arial" w:hAnsi="Arial" w:cs="Arial"/>
          <w:sz w:val="22"/>
          <w:szCs w:val="22"/>
          <w:lang w:val="en-US"/>
        </w:rPr>
        <w:t xml:space="preserve"> and its </w:t>
      </w:r>
      <w:bookmarkStart w:id="2" w:name="_Int_BBxwDUFP"/>
      <w:r w:rsidR="36B15ACE" w:rsidRPr="008E44DA">
        <w:rPr>
          <w:rFonts w:ascii="Arial" w:eastAsia="Arial" w:hAnsi="Arial" w:cs="Arial"/>
          <w:sz w:val="22"/>
          <w:szCs w:val="22"/>
          <w:lang w:val="en-US"/>
        </w:rPr>
        <w:t>incentives structure</w:t>
      </w:r>
      <w:bookmarkEnd w:id="2"/>
      <w:r w:rsidR="36B15ACE" w:rsidRPr="008E44DA">
        <w:rPr>
          <w:rFonts w:ascii="Arial" w:eastAsia="Arial" w:hAnsi="Arial" w:cs="Arial"/>
          <w:sz w:val="22"/>
          <w:szCs w:val="22"/>
          <w:lang w:val="en-US"/>
        </w:rPr>
        <w:t>. In considering how to build this credibility and trust, we have given particular attention to the importance of framing impact measures as a tool for building public service capacity to determine successful initiatives and scale up investments in early intervention</w:t>
      </w:r>
      <w:r w:rsidRPr="008E44DA">
        <w:rPr>
          <w:rFonts w:ascii="Arial" w:eastAsia="Arial" w:hAnsi="Arial" w:cs="Arial"/>
          <w:sz w:val="22"/>
          <w:szCs w:val="22"/>
          <w:lang w:val="en-US"/>
        </w:rPr>
        <w:t xml:space="preserve">. </w:t>
      </w:r>
    </w:p>
    <w:p w14:paraId="425E2C26" w14:textId="3BD27866" w:rsidR="47467085" w:rsidRPr="008E44DA" w:rsidRDefault="47467085" w:rsidP="009B1E99">
      <w:pPr>
        <w:spacing w:line="276" w:lineRule="auto"/>
        <w:jc w:val="both"/>
        <w:rPr>
          <w:rFonts w:ascii="Arial" w:eastAsia="Arial" w:hAnsi="Arial" w:cs="Arial"/>
          <w:sz w:val="22"/>
          <w:szCs w:val="22"/>
          <w:lang w:val="en-US"/>
        </w:rPr>
      </w:pPr>
    </w:p>
    <w:p w14:paraId="4941FB93" w14:textId="42273588" w:rsidR="47467085" w:rsidRPr="008E44DA" w:rsidRDefault="01D29025" w:rsidP="009B1E99">
      <w:pPr>
        <w:spacing w:line="276" w:lineRule="auto"/>
        <w:jc w:val="both"/>
        <w:rPr>
          <w:rFonts w:ascii="Arial" w:eastAsia="Arial" w:hAnsi="Arial" w:cs="Arial"/>
          <w:sz w:val="22"/>
          <w:szCs w:val="22"/>
          <w:lang w:val="en-US"/>
        </w:rPr>
      </w:pPr>
      <w:r w:rsidRPr="008E44DA">
        <w:rPr>
          <w:rFonts w:ascii="Arial" w:eastAsia="Arial" w:hAnsi="Arial" w:cs="Arial"/>
          <w:sz w:val="22"/>
          <w:szCs w:val="22"/>
          <w:lang w:val="en-US"/>
        </w:rPr>
        <w:t xml:space="preserve">When approaching messaging around the role </w:t>
      </w:r>
      <w:r w:rsidR="47467085" w:rsidRPr="008E44DA">
        <w:rPr>
          <w:rFonts w:ascii="Arial" w:eastAsia="Arial" w:hAnsi="Arial" w:cs="Arial"/>
          <w:sz w:val="22"/>
          <w:szCs w:val="22"/>
          <w:lang w:val="en-US"/>
        </w:rPr>
        <w:t xml:space="preserve">of incentives, DTF may wish to consider how best to position the EIIF as both a </w:t>
      </w:r>
      <w:r w:rsidRPr="008E44DA">
        <w:rPr>
          <w:rFonts w:ascii="Arial" w:eastAsia="Arial" w:hAnsi="Arial" w:cs="Arial"/>
          <w:color w:val="000000" w:themeColor="text1"/>
          <w:sz w:val="22"/>
          <w:szCs w:val="22"/>
          <w:lang w:val="en-US"/>
        </w:rPr>
        <w:t xml:space="preserve">service reform exercise and savings exercise. </w:t>
      </w:r>
      <w:r w:rsidRPr="008E44DA">
        <w:rPr>
          <w:rFonts w:ascii="Arial" w:eastAsia="Arial" w:hAnsi="Arial" w:cs="Arial"/>
          <w:sz w:val="22"/>
          <w:szCs w:val="22"/>
          <w:lang w:val="en-US"/>
        </w:rPr>
        <w:t>Rather than a tool for redirecting funds, the focus should be on how the EIIF model will</w:t>
      </w:r>
      <w:r w:rsidR="00C37B2C" w:rsidRPr="008E44DA">
        <w:rPr>
          <w:rFonts w:ascii="Arial" w:eastAsia="Arial" w:hAnsi="Arial" w:cs="Arial"/>
          <w:sz w:val="22"/>
          <w:szCs w:val="22"/>
          <w:lang w:val="en-US"/>
        </w:rPr>
        <w:t xml:space="preserve"> remove </w:t>
      </w:r>
      <w:r w:rsidR="47467085" w:rsidRPr="008E44DA">
        <w:rPr>
          <w:rFonts w:ascii="Arial" w:eastAsia="Arial" w:hAnsi="Arial" w:cs="Arial"/>
          <w:sz w:val="22"/>
          <w:szCs w:val="22"/>
          <w:lang w:val="en-US"/>
        </w:rPr>
        <w:t xml:space="preserve">fiscal pressure on </w:t>
      </w:r>
      <w:r w:rsidR="001103A1">
        <w:rPr>
          <w:rFonts w:ascii="Arial" w:eastAsia="Arial" w:hAnsi="Arial" w:cs="Arial"/>
          <w:sz w:val="22"/>
          <w:szCs w:val="22"/>
          <w:lang w:val="en-US"/>
        </w:rPr>
        <w:t>G</w:t>
      </w:r>
      <w:r w:rsidR="001103A1" w:rsidRPr="008E44DA">
        <w:rPr>
          <w:rFonts w:ascii="Arial" w:eastAsia="Arial" w:hAnsi="Arial" w:cs="Arial"/>
          <w:sz w:val="22"/>
          <w:szCs w:val="22"/>
          <w:lang w:val="en-US"/>
        </w:rPr>
        <w:t>overnment</w:t>
      </w:r>
      <w:r w:rsidR="47467085" w:rsidRPr="008E44DA">
        <w:rPr>
          <w:rFonts w:ascii="Arial" w:eastAsia="Arial" w:hAnsi="Arial" w:cs="Arial"/>
          <w:sz w:val="22"/>
          <w:szCs w:val="22"/>
          <w:lang w:val="en-US"/>
        </w:rPr>
        <w:t xml:space="preserve">, improve decision-making and – through the ring-fencing of EIIF dividends – reinvest to scale up initiatives that work. </w:t>
      </w:r>
      <w:r w:rsidRPr="008E44DA">
        <w:rPr>
          <w:rFonts w:ascii="Arial" w:eastAsia="Arial" w:hAnsi="Arial" w:cs="Arial"/>
          <w:sz w:val="22"/>
          <w:szCs w:val="22"/>
          <w:lang w:val="en-US"/>
        </w:rPr>
        <w:t xml:space="preserve">Both the literature and interviewee observations suggest that this kind of purposeful messaging can help line agencies appreciate that evaluation </w:t>
      </w:r>
      <w:r w:rsidR="00E87D84">
        <w:rPr>
          <w:rFonts w:ascii="Arial" w:eastAsia="Arial" w:hAnsi="Arial" w:cs="Arial"/>
          <w:sz w:val="22"/>
          <w:szCs w:val="22"/>
          <w:lang w:val="en-US"/>
        </w:rPr>
        <w:t xml:space="preserve">and impact reporting </w:t>
      </w:r>
      <w:r w:rsidRPr="008E44DA">
        <w:rPr>
          <w:rFonts w:ascii="Arial" w:eastAsia="Arial" w:hAnsi="Arial" w:cs="Arial"/>
          <w:sz w:val="22"/>
          <w:szCs w:val="22"/>
          <w:lang w:val="en-US"/>
        </w:rPr>
        <w:t xml:space="preserve">will lead to greater allocations via </w:t>
      </w:r>
      <w:r w:rsidR="47467085" w:rsidRPr="008E44DA">
        <w:rPr>
          <w:rFonts w:ascii="Arial" w:eastAsia="Arial" w:hAnsi="Arial" w:cs="Arial"/>
          <w:sz w:val="22"/>
          <w:szCs w:val="22"/>
          <w:lang w:val="en-US"/>
        </w:rPr>
        <w:t>further investment in suc</w:t>
      </w:r>
      <w:r w:rsidR="00A16CD9" w:rsidRPr="008E44DA">
        <w:rPr>
          <w:rFonts w:ascii="Arial" w:eastAsia="Arial" w:hAnsi="Arial" w:cs="Arial"/>
          <w:sz w:val="22"/>
          <w:szCs w:val="22"/>
          <w:lang w:val="en-US"/>
        </w:rPr>
        <w:t>cessful, innovative in</w:t>
      </w:r>
      <w:r w:rsidRPr="008E44DA">
        <w:rPr>
          <w:rFonts w:ascii="Arial" w:eastAsia="Arial" w:hAnsi="Arial" w:cs="Arial"/>
          <w:sz w:val="22"/>
          <w:szCs w:val="22"/>
          <w:lang w:val="en-US"/>
        </w:rPr>
        <w:t xml:space="preserve">itiatives. </w:t>
      </w:r>
      <w:r w:rsidR="47467085" w:rsidRPr="008E44DA">
        <w:rPr>
          <w:rFonts w:ascii="Arial" w:eastAsia="Arial" w:hAnsi="Arial" w:cs="Arial"/>
          <w:sz w:val="22"/>
          <w:szCs w:val="22"/>
          <w:lang w:val="en-US"/>
        </w:rPr>
        <w:t xml:space="preserve">The </w:t>
      </w:r>
      <w:bookmarkStart w:id="3" w:name="_Int_InYrOQgm"/>
      <w:r w:rsidR="008915C0">
        <w:rPr>
          <w:rFonts w:ascii="Arial" w:eastAsia="Arial" w:hAnsi="Arial" w:cs="Arial"/>
          <w:sz w:val="22"/>
          <w:szCs w:val="22"/>
          <w:lang w:val="en-US"/>
        </w:rPr>
        <w:t>larger</w:t>
      </w:r>
      <w:r w:rsidR="008915C0" w:rsidRPr="008E44DA">
        <w:rPr>
          <w:rFonts w:ascii="Arial" w:eastAsia="Arial" w:hAnsi="Arial" w:cs="Arial"/>
          <w:sz w:val="22"/>
          <w:szCs w:val="22"/>
          <w:lang w:val="en-US"/>
        </w:rPr>
        <w:t xml:space="preserve"> </w:t>
      </w:r>
      <w:r w:rsidR="008915C0">
        <w:rPr>
          <w:rFonts w:ascii="Arial" w:eastAsia="Arial" w:hAnsi="Arial" w:cs="Arial"/>
          <w:sz w:val="22"/>
          <w:szCs w:val="22"/>
          <w:lang w:val="en-US"/>
        </w:rPr>
        <w:t xml:space="preserve">an initiative’s outcomes and </w:t>
      </w:r>
      <w:bookmarkEnd w:id="3"/>
      <w:r w:rsidR="47467085" w:rsidRPr="008E44DA">
        <w:rPr>
          <w:rFonts w:ascii="Arial" w:eastAsia="Arial" w:hAnsi="Arial" w:cs="Arial"/>
          <w:sz w:val="22"/>
          <w:szCs w:val="22"/>
          <w:lang w:val="en-US"/>
        </w:rPr>
        <w:t>avoided costs,</w:t>
      </w:r>
      <w:r w:rsidR="008915C0">
        <w:rPr>
          <w:rFonts w:ascii="Arial" w:eastAsia="Arial" w:hAnsi="Arial" w:cs="Arial"/>
          <w:sz w:val="22"/>
          <w:szCs w:val="22"/>
          <w:lang w:val="en-US"/>
        </w:rPr>
        <w:t xml:space="preserve"> the more meritorious it is likely to be viewed and the greater the amounts returned to departments for reinvestment in new early intervention proposals.</w:t>
      </w:r>
      <w:r w:rsidR="47467085" w:rsidRPr="008E44DA">
        <w:rPr>
          <w:rFonts w:ascii="Arial" w:eastAsia="Arial" w:hAnsi="Arial" w:cs="Arial"/>
          <w:sz w:val="22"/>
          <w:szCs w:val="22"/>
          <w:lang w:val="en-US"/>
        </w:rPr>
        <w:t xml:space="preserve"> </w:t>
      </w:r>
    </w:p>
    <w:p w14:paraId="7C548B1C" w14:textId="76045EB4" w:rsidR="47467085" w:rsidRPr="008E44DA" w:rsidRDefault="47467085" w:rsidP="009B1E99">
      <w:pPr>
        <w:spacing w:line="276" w:lineRule="auto"/>
        <w:jc w:val="both"/>
        <w:rPr>
          <w:rFonts w:ascii="Arial" w:eastAsia="Arial" w:hAnsi="Arial" w:cs="Arial"/>
          <w:sz w:val="22"/>
          <w:szCs w:val="22"/>
          <w:lang w:val="en-US"/>
        </w:rPr>
      </w:pPr>
    </w:p>
    <w:p w14:paraId="4CE4327C" w14:textId="4FA08C1F" w:rsidR="47467085" w:rsidRPr="008E44DA" w:rsidRDefault="01D29025" w:rsidP="009B1E99">
      <w:pPr>
        <w:spacing w:line="276" w:lineRule="auto"/>
        <w:jc w:val="both"/>
        <w:rPr>
          <w:rFonts w:ascii="Arial" w:eastAsia="Arial" w:hAnsi="Arial" w:cs="Arial"/>
          <w:sz w:val="22"/>
          <w:szCs w:val="22"/>
          <w:lang w:val="en-US"/>
        </w:rPr>
      </w:pPr>
      <w:r w:rsidRPr="008E44DA">
        <w:rPr>
          <w:rFonts w:ascii="Arial" w:eastAsia="Arial" w:hAnsi="Arial" w:cs="Arial"/>
          <w:sz w:val="22"/>
          <w:szCs w:val="22"/>
          <w:lang w:val="en-US"/>
        </w:rPr>
        <w:t xml:space="preserve">This incentive structure also has flow on effects for risk management. By rewarding line agencies for efficiency and the provision of better, more useful </w:t>
      </w:r>
      <w:r w:rsidR="00933074">
        <w:rPr>
          <w:rFonts w:ascii="Arial" w:eastAsia="Arial" w:hAnsi="Arial" w:cs="Arial"/>
          <w:sz w:val="22"/>
          <w:szCs w:val="22"/>
          <w:lang w:val="en-US"/>
        </w:rPr>
        <w:t>impact</w:t>
      </w:r>
      <w:r w:rsidR="00EA1F6D">
        <w:rPr>
          <w:rFonts w:ascii="Arial" w:eastAsia="Arial" w:hAnsi="Arial" w:cs="Arial"/>
          <w:sz w:val="22"/>
          <w:szCs w:val="22"/>
          <w:lang w:val="en-US"/>
        </w:rPr>
        <w:t xml:space="preserve"> or outcome</w:t>
      </w:r>
      <w:r w:rsidR="00933074" w:rsidRPr="008E44DA">
        <w:rPr>
          <w:rFonts w:ascii="Arial" w:eastAsia="Arial" w:hAnsi="Arial" w:cs="Arial"/>
          <w:sz w:val="22"/>
          <w:szCs w:val="22"/>
          <w:lang w:val="en-US"/>
        </w:rPr>
        <w:t xml:space="preserve"> </w:t>
      </w:r>
      <w:r w:rsidRPr="008E44DA">
        <w:rPr>
          <w:rFonts w:ascii="Arial" w:eastAsia="Arial" w:hAnsi="Arial" w:cs="Arial"/>
          <w:sz w:val="22"/>
          <w:szCs w:val="22"/>
          <w:lang w:val="en-US"/>
        </w:rPr>
        <w:t>information, DTF is provided with greater certainty that initiatives will deliver downstream savings.</w:t>
      </w:r>
    </w:p>
    <w:p w14:paraId="0E8CFD01" w14:textId="52F7D4D6" w:rsidR="47467085" w:rsidRPr="008E44DA" w:rsidRDefault="01D29025" w:rsidP="009B1E99">
      <w:pPr>
        <w:spacing w:line="276" w:lineRule="auto"/>
        <w:jc w:val="both"/>
        <w:rPr>
          <w:rFonts w:ascii="Arial" w:eastAsia="Arial" w:hAnsi="Arial" w:cs="Arial"/>
          <w:sz w:val="22"/>
          <w:szCs w:val="22"/>
          <w:lang w:val="en-US"/>
        </w:rPr>
      </w:pPr>
      <w:r w:rsidRPr="008E44DA">
        <w:rPr>
          <w:rFonts w:ascii="Arial" w:eastAsia="Arial" w:hAnsi="Arial" w:cs="Arial"/>
          <w:sz w:val="22"/>
          <w:szCs w:val="22"/>
          <w:lang w:val="en-US"/>
        </w:rPr>
        <w:t xml:space="preserve"> </w:t>
      </w:r>
    </w:p>
    <w:p w14:paraId="1EB57FFF" w14:textId="0BEAFFDD" w:rsidR="47467085" w:rsidRPr="008E44DA" w:rsidRDefault="7E5E05C7" w:rsidP="009B1E99">
      <w:pPr>
        <w:spacing w:line="276" w:lineRule="auto"/>
        <w:jc w:val="both"/>
        <w:rPr>
          <w:rFonts w:ascii="Arial" w:eastAsia="Arial" w:hAnsi="Arial" w:cs="Arial"/>
          <w:sz w:val="22"/>
          <w:szCs w:val="22"/>
          <w:lang w:val="en-US"/>
        </w:rPr>
      </w:pPr>
      <w:r w:rsidRPr="008E44DA">
        <w:rPr>
          <w:rFonts w:ascii="Arial" w:eastAsia="Arial" w:hAnsi="Arial" w:cs="Arial"/>
          <w:sz w:val="22"/>
          <w:szCs w:val="22"/>
          <w:lang w:val="en-US"/>
        </w:rPr>
        <w:t>As DTF seeks to address the challenges apparent in the</w:t>
      </w:r>
      <w:r w:rsidR="36B15ACE" w:rsidRPr="008E44DA">
        <w:rPr>
          <w:rFonts w:ascii="Arial" w:eastAsia="Arial" w:hAnsi="Arial" w:cs="Arial"/>
          <w:sz w:val="22"/>
          <w:szCs w:val="22"/>
          <w:lang w:val="en-US"/>
        </w:rPr>
        <w:t xml:space="preserve"> distributive nature of benefits sharing, it would do well to adopt a concerted effort to promote a whole-of-system approach to budgeting, one that prioritises inter-agency </w:t>
      </w:r>
      <w:r w:rsidR="36B15ACE" w:rsidRPr="008E44DA">
        <w:rPr>
          <w:rFonts w:ascii="Arial" w:eastAsia="Arial" w:hAnsi="Arial" w:cs="Arial"/>
          <w:sz w:val="22"/>
          <w:szCs w:val="22"/>
        </w:rPr>
        <w:t xml:space="preserve">relationships and their shared purpose, rather than </w:t>
      </w:r>
      <w:r w:rsidR="36B15ACE" w:rsidRPr="008E44DA">
        <w:rPr>
          <w:rFonts w:ascii="Arial" w:eastAsia="Arial" w:hAnsi="Arial" w:cs="Arial"/>
          <w:sz w:val="22"/>
          <w:szCs w:val="22"/>
        </w:rPr>
        <w:lastRenderedPageBreak/>
        <w:t>looking at the constituent parts of a system.</w:t>
      </w:r>
      <w:r w:rsidR="47467085" w:rsidRPr="008E44DA">
        <w:rPr>
          <w:rStyle w:val="FootnoteReference"/>
          <w:rFonts w:ascii="Arial" w:eastAsia="Arial" w:hAnsi="Arial" w:cs="Arial"/>
          <w:sz w:val="22"/>
          <w:szCs w:val="22"/>
        </w:rPr>
        <w:footnoteReference w:id="17"/>
      </w:r>
      <w:r w:rsidRPr="008E44DA">
        <w:rPr>
          <w:rFonts w:ascii="Arial" w:eastAsia="Arial" w:hAnsi="Arial" w:cs="Arial"/>
          <w:sz w:val="22"/>
          <w:szCs w:val="22"/>
        </w:rPr>
        <w:t xml:space="preserve"> The technical tools for promoting interagency alignment and increased opportunities for engagement and cooperation that have already been discussed in this paper are important enablers of this whole-of-systems outlook.</w:t>
      </w:r>
    </w:p>
    <w:p w14:paraId="714F0433" w14:textId="4C66E7D2" w:rsidR="47467085" w:rsidRPr="008E44DA" w:rsidRDefault="47467085" w:rsidP="009B1E99">
      <w:pPr>
        <w:spacing w:line="276" w:lineRule="auto"/>
        <w:jc w:val="both"/>
        <w:rPr>
          <w:rFonts w:ascii="Arial" w:eastAsia="Arial" w:hAnsi="Arial" w:cs="Arial"/>
          <w:sz w:val="22"/>
          <w:szCs w:val="22"/>
          <w:lang w:val="en-US"/>
        </w:rPr>
      </w:pPr>
    </w:p>
    <w:p w14:paraId="1F08CE9A" w14:textId="0CCDE21D" w:rsidR="001C27E3" w:rsidRDefault="36B15ACE" w:rsidP="009B1E99">
      <w:pPr>
        <w:spacing w:line="276" w:lineRule="auto"/>
        <w:jc w:val="both"/>
        <w:rPr>
          <w:rFonts w:ascii="Arial" w:eastAsia="Arial" w:hAnsi="Arial" w:cs="Arial"/>
          <w:sz w:val="22"/>
          <w:szCs w:val="22"/>
          <w:lang w:val="en-US"/>
        </w:rPr>
      </w:pPr>
      <w:r w:rsidRPr="008E44DA">
        <w:rPr>
          <w:rFonts w:ascii="Arial" w:eastAsia="Arial" w:hAnsi="Arial" w:cs="Arial"/>
          <w:sz w:val="22"/>
          <w:szCs w:val="22"/>
          <w:lang w:val="en-US"/>
        </w:rPr>
        <w:t>Avoided cost estimates can only provide an approximate indication of the scale and distribution of the</w:t>
      </w:r>
      <w:r w:rsidR="780C759C" w:rsidRPr="008E44DA">
        <w:rPr>
          <w:rFonts w:ascii="Arial" w:eastAsia="Arial" w:hAnsi="Arial" w:cs="Arial"/>
          <w:sz w:val="22"/>
          <w:szCs w:val="22"/>
          <w:lang w:val="en-US"/>
        </w:rPr>
        <w:t xml:space="preserve"> </w:t>
      </w:r>
      <w:r w:rsidRPr="008E44DA">
        <w:rPr>
          <w:rFonts w:ascii="Arial" w:eastAsia="Arial" w:hAnsi="Arial" w:cs="Arial"/>
          <w:sz w:val="22"/>
          <w:szCs w:val="22"/>
          <w:lang w:val="en-US"/>
        </w:rPr>
        <w:t>expected reduction in acute service usage across portfolios.</w:t>
      </w:r>
      <w:r w:rsidR="001C27E3">
        <w:rPr>
          <w:rFonts w:ascii="Arial" w:eastAsia="Arial" w:hAnsi="Arial" w:cs="Arial"/>
          <w:sz w:val="22"/>
          <w:szCs w:val="22"/>
          <w:lang w:val="en-US"/>
        </w:rPr>
        <w:t xml:space="preserve"> DTF has taken many important early steps in acknowledging </w:t>
      </w:r>
      <w:r w:rsidR="008E5422">
        <w:rPr>
          <w:rFonts w:ascii="Arial" w:eastAsia="Arial" w:hAnsi="Arial" w:cs="Arial"/>
          <w:sz w:val="22"/>
          <w:szCs w:val="22"/>
          <w:lang w:val="en-US"/>
        </w:rPr>
        <w:t xml:space="preserve">the estimation risks of the EIIF and preempting how line agencies may respond. </w:t>
      </w:r>
      <w:r w:rsidR="001C27E3">
        <w:rPr>
          <w:rFonts w:ascii="Arial" w:eastAsia="Arial" w:hAnsi="Arial" w:cs="Arial"/>
          <w:sz w:val="22"/>
          <w:szCs w:val="22"/>
          <w:lang w:val="en-US"/>
        </w:rPr>
        <w:t xml:space="preserve">This includes the design of a framework that incorporates a degree of a conservativism to manage this estimation risk. The </w:t>
      </w:r>
      <w:r w:rsidR="001C27E3" w:rsidRPr="008E44DA">
        <w:rPr>
          <w:rFonts w:ascii="Arial" w:eastAsia="Arial" w:hAnsi="Arial" w:cs="Arial"/>
          <w:sz w:val="22"/>
          <w:szCs w:val="22"/>
          <w:lang w:val="en-US"/>
        </w:rPr>
        <w:t>balanced approach to benefits sharing</w:t>
      </w:r>
      <w:r w:rsidR="00E868EB">
        <w:rPr>
          <w:rFonts w:ascii="Arial" w:eastAsia="Arial" w:hAnsi="Arial" w:cs="Arial"/>
          <w:sz w:val="22"/>
          <w:szCs w:val="22"/>
          <w:lang w:val="en-US"/>
        </w:rPr>
        <w:t xml:space="preserve"> -</w:t>
      </w:r>
      <w:r w:rsidR="001C27E3" w:rsidRPr="008E44DA">
        <w:rPr>
          <w:rFonts w:ascii="Arial" w:eastAsia="Arial" w:hAnsi="Arial" w:cs="Arial"/>
          <w:sz w:val="22"/>
          <w:szCs w:val="22"/>
          <w:lang w:val="en-US"/>
        </w:rPr>
        <w:t xml:space="preserve"> with dividends that are lower</w:t>
      </w:r>
      <w:r w:rsidR="001C27E3">
        <w:rPr>
          <w:rFonts w:ascii="Arial" w:eastAsia="Arial" w:hAnsi="Arial" w:cs="Arial"/>
          <w:sz w:val="22"/>
          <w:szCs w:val="22"/>
          <w:lang w:val="en-US"/>
        </w:rPr>
        <w:t xml:space="preserve"> (only a portion of avoided costs) yet still </w:t>
      </w:r>
      <w:r w:rsidR="001C27E3" w:rsidRPr="008E44DA">
        <w:rPr>
          <w:rFonts w:ascii="Arial" w:eastAsia="Arial" w:hAnsi="Arial" w:cs="Arial"/>
          <w:sz w:val="22"/>
          <w:szCs w:val="22"/>
          <w:lang w:val="en-US"/>
        </w:rPr>
        <w:t xml:space="preserve">adequate to meaningfully increase funding available to ERC for future investment in early intervention </w:t>
      </w:r>
      <w:r w:rsidR="00E868EB">
        <w:rPr>
          <w:rFonts w:ascii="Arial" w:eastAsia="Arial" w:hAnsi="Arial" w:cs="Arial"/>
          <w:sz w:val="22"/>
          <w:szCs w:val="22"/>
          <w:lang w:val="en-US"/>
        </w:rPr>
        <w:t xml:space="preserve">- </w:t>
      </w:r>
      <w:r w:rsidR="001C27E3" w:rsidRPr="008E44DA">
        <w:rPr>
          <w:rFonts w:ascii="Arial" w:eastAsia="Arial" w:hAnsi="Arial" w:cs="Arial"/>
          <w:sz w:val="22"/>
          <w:szCs w:val="22"/>
          <w:lang w:val="en-US"/>
        </w:rPr>
        <w:t>incentivise</w:t>
      </w:r>
      <w:r w:rsidR="001C27E3">
        <w:rPr>
          <w:rFonts w:ascii="Arial" w:eastAsia="Arial" w:hAnsi="Arial" w:cs="Arial"/>
          <w:sz w:val="22"/>
          <w:szCs w:val="22"/>
          <w:lang w:val="en-US"/>
        </w:rPr>
        <w:t>s</w:t>
      </w:r>
      <w:r w:rsidR="001C27E3" w:rsidRPr="008E44DA">
        <w:rPr>
          <w:rFonts w:ascii="Arial" w:eastAsia="Arial" w:hAnsi="Arial" w:cs="Arial"/>
          <w:sz w:val="22"/>
          <w:szCs w:val="22"/>
          <w:lang w:val="en-US"/>
        </w:rPr>
        <w:t xml:space="preserve"> line agencies to develop more EIIF initiatives. </w:t>
      </w:r>
    </w:p>
    <w:p w14:paraId="1134B122" w14:textId="77777777" w:rsidR="001C27E3" w:rsidRDefault="001C27E3" w:rsidP="009B1E99">
      <w:pPr>
        <w:spacing w:line="276" w:lineRule="auto"/>
        <w:jc w:val="both"/>
        <w:rPr>
          <w:rFonts w:ascii="Arial" w:eastAsia="Arial" w:hAnsi="Arial" w:cs="Arial"/>
          <w:sz w:val="22"/>
          <w:szCs w:val="22"/>
          <w:lang w:val="en-US"/>
        </w:rPr>
      </w:pPr>
    </w:p>
    <w:p w14:paraId="255807CB" w14:textId="0DA43109" w:rsidR="01D29025" w:rsidRDefault="008E5422" w:rsidP="009B1E99">
      <w:pPr>
        <w:spacing w:line="276" w:lineRule="auto"/>
        <w:jc w:val="both"/>
        <w:rPr>
          <w:rFonts w:ascii="Arial" w:eastAsia="Arial" w:hAnsi="Arial" w:cs="Arial"/>
          <w:sz w:val="22"/>
          <w:szCs w:val="22"/>
          <w:lang w:val="en-US"/>
        </w:rPr>
      </w:pPr>
      <w:r>
        <w:rPr>
          <w:rFonts w:ascii="Arial" w:eastAsia="Arial" w:hAnsi="Arial" w:cs="Arial"/>
          <w:sz w:val="22"/>
          <w:szCs w:val="22"/>
          <w:lang w:val="en-US"/>
        </w:rPr>
        <w:t>While these are certainly impressive early steps, DTF</w:t>
      </w:r>
      <w:r w:rsidR="006A1E16">
        <w:rPr>
          <w:rFonts w:ascii="Arial" w:eastAsia="Arial" w:hAnsi="Arial" w:cs="Arial"/>
          <w:sz w:val="22"/>
          <w:szCs w:val="22"/>
          <w:lang w:val="en-US"/>
        </w:rPr>
        <w:t xml:space="preserve"> would d</w:t>
      </w:r>
      <w:r>
        <w:rPr>
          <w:rFonts w:ascii="Arial" w:eastAsia="Arial" w:hAnsi="Arial" w:cs="Arial"/>
          <w:sz w:val="22"/>
          <w:szCs w:val="22"/>
          <w:lang w:val="en-US"/>
        </w:rPr>
        <w:t xml:space="preserve">o well to consider  </w:t>
      </w:r>
      <w:r w:rsidR="006A1E16">
        <w:rPr>
          <w:rFonts w:ascii="Arial" w:eastAsia="Arial" w:hAnsi="Arial" w:cs="Arial"/>
          <w:sz w:val="22"/>
          <w:szCs w:val="22"/>
          <w:lang w:val="en-US"/>
        </w:rPr>
        <w:t xml:space="preserve">if </w:t>
      </w:r>
      <w:r>
        <w:rPr>
          <w:rFonts w:ascii="Arial" w:eastAsia="Arial" w:hAnsi="Arial" w:cs="Arial"/>
          <w:sz w:val="22"/>
          <w:szCs w:val="22"/>
          <w:lang w:val="en-US"/>
        </w:rPr>
        <w:t>additional adapti</w:t>
      </w:r>
      <w:r w:rsidR="006A1E16">
        <w:rPr>
          <w:rFonts w:ascii="Arial" w:eastAsia="Arial" w:hAnsi="Arial" w:cs="Arial"/>
          <w:sz w:val="22"/>
          <w:szCs w:val="22"/>
          <w:lang w:val="en-US"/>
        </w:rPr>
        <w:t xml:space="preserve">ve changes and incentives are required to offset </w:t>
      </w:r>
      <w:r w:rsidRPr="008E5422">
        <w:rPr>
          <w:rFonts w:ascii="Arial" w:eastAsia="Arial" w:hAnsi="Arial" w:cs="Arial"/>
          <w:sz w:val="22"/>
          <w:szCs w:val="22"/>
          <w:lang w:val="en-US"/>
        </w:rPr>
        <w:t>fear among line agencies that demand reduction may not occur, but savings will nonetheless be taken</w:t>
      </w:r>
      <w:r>
        <w:rPr>
          <w:rFonts w:ascii="Arial" w:eastAsia="Arial" w:hAnsi="Arial" w:cs="Arial"/>
          <w:sz w:val="22"/>
          <w:szCs w:val="22"/>
          <w:lang w:val="en-US"/>
        </w:rPr>
        <w:t>.</w:t>
      </w:r>
      <w:r w:rsidR="47467085" w:rsidRPr="008E44DA">
        <w:rPr>
          <w:rFonts w:ascii="Arial" w:eastAsia="Arial" w:hAnsi="Arial" w:cs="Arial"/>
          <w:sz w:val="22"/>
          <w:szCs w:val="22"/>
          <w:lang w:val="en-US"/>
        </w:rPr>
        <w:t xml:space="preserve"> </w:t>
      </w:r>
      <w:r w:rsidR="01D29025" w:rsidRPr="008E44DA">
        <w:rPr>
          <w:rFonts w:ascii="Arial" w:eastAsia="Arial" w:hAnsi="Arial" w:cs="Arial"/>
          <w:sz w:val="22"/>
          <w:szCs w:val="22"/>
          <w:lang w:val="en-US"/>
        </w:rPr>
        <w:t>Should a CoP or similar network be established, DTF would be provided with a valuable network of peers whose insight could be drawn upon.</w:t>
      </w:r>
    </w:p>
    <w:p w14:paraId="6759E498" w14:textId="03CCEF74" w:rsidR="001E1E4A" w:rsidRDefault="001E1E4A" w:rsidP="00ED20EA">
      <w:pPr>
        <w:spacing w:line="276" w:lineRule="auto"/>
        <w:rPr>
          <w:rFonts w:ascii="Arial" w:eastAsia="Arial" w:hAnsi="Arial" w:cs="Arial"/>
          <w:sz w:val="22"/>
          <w:szCs w:val="22"/>
          <w:lang w:val="en-US"/>
        </w:rPr>
      </w:pPr>
    </w:p>
    <w:tbl>
      <w:tblPr>
        <w:tblStyle w:val="TableGrid"/>
        <w:tblW w:w="0" w:type="auto"/>
        <w:shd w:val="clear" w:color="auto" w:fill="DEEAF6" w:themeFill="accent5" w:themeFillTint="33"/>
        <w:tblLook w:val="04A0" w:firstRow="1" w:lastRow="0" w:firstColumn="1" w:lastColumn="0" w:noHBand="0" w:noVBand="1"/>
      </w:tblPr>
      <w:tblGrid>
        <w:gridCol w:w="9016"/>
      </w:tblGrid>
      <w:tr w:rsidR="00DF54D9" w14:paraId="1688B62A" w14:textId="77777777" w:rsidTr="00D36C4F">
        <w:tc>
          <w:tcPr>
            <w:tcW w:w="9016" w:type="dxa"/>
            <w:shd w:val="clear" w:color="auto" w:fill="DEEAF6" w:themeFill="accent5" w:themeFillTint="33"/>
          </w:tcPr>
          <w:p w14:paraId="089F2253" w14:textId="77777777" w:rsidR="00DF54D9" w:rsidRPr="00D36C4F" w:rsidRDefault="00DF54D9" w:rsidP="00DF54D9">
            <w:pPr>
              <w:spacing w:line="276" w:lineRule="auto"/>
              <w:rPr>
                <w:rFonts w:ascii="Arial" w:eastAsia="Arial" w:hAnsi="Arial" w:cs="Arial"/>
                <w:b/>
                <w:bCs/>
                <w:sz w:val="22"/>
                <w:szCs w:val="22"/>
                <w:lang w:val="en-US"/>
              </w:rPr>
            </w:pPr>
            <w:r w:rsidRPr="00D36C4F">
              <w:rPr>
                <w:rFonts w:ascii="Arial" w:eastAsia="Arial" w:hAnsi="Arial" w:cs="Arial"/>
                <w:b/>
                <w:bCs/>
                <w:sz w:val="22"/>
                <w:szCs w:val="22"/>
                <w:lang w:val="en-US"/>
              </w:rPr>
              <w:t>Questions to consider</w:t>
            </w:r>
          </w:p>
          <w:p w14:paraId="5BF47635" w14:textId="5C3DD9CC" w:rsidR="00DF54D9" w:rsidRPr="009F4C5F" w:rsidRDefault="00DF54D9" w:rsidP="00DF54D9">
            <w:pPr>
              <w:pStyle w:val="ListParagraph"/>
              <w:numPr>
                <w:ilvl w:val="0"/>
                <w:numId w:val="24"/>
              </w:numPr>
              <w:spacing w:line="276" w:lineRule="auto"/>
              <w:rPr>
                <w:rFonts w:ascii="Arial" w:eastAsia="Arial" w:hAnsi="Arial" w:cs="Arial"/>
                <w:sz w:val="22"/>
                <w:szCs w:val="22"/>
                <w:lang w:val="en-US"/>
              </w:rPr>
            </w:pPr>
            <w:r w:rsidRPr="009F4C5F">
              <w:rPr>
                <w:rFonts w:ascii="Arial" w:eastAsia="Arial" w:hAnsi="Arial" w:cs="Arial"/>
                <w:sz w:val="22"/>
                <w:szCs w:val="22"/>
                <w:lang w:val="en-US"/>
              </w:rPr>
              <w:t xml:space="preserve">What other incentives, </w:t>
            </w:r>
            <w:r w:rsidR="00FD7E33">
              <w:rPr>
                <w:rFonts w:ascii="Arial" w:eastAsia="Arial" w:hAnsi="Arial" w:cs="Arial"/>
                <w:sz w:val="22"/>
                <w:szCs w:val="22"/>
                <w:lang w:val="en-US"/>
              </w:rPr>
              <w:t>particularly</w:t>
            </w:r>
            <w:r w:rsidR="00FD7E33" w:rsidRPr="009F4C5F">
              <w:rPr>
                <w:rFonts w:ascii="Arial" w:eastAsia="Arial" w:hAnsi="Arial" w:cs="Arial"/>
                <w:sz w:val="22"/>
                <w:szCs w:val="22"/>
                <w:lang w:val="en-US"/>
              </w:rPr>
              <w:t xml:space="preserve"> </w:t>
            </w:r>
            <w:r w:rsidRPr="009F4C5F">
              <w:rPr>
                <w:rFonts w:ascii="Arial" w:eastAsia="Arial" w:hAnsi="Arial" w:cs="Arial"/>
                <w:sz w:val="22"/>
                <w:szCs w:val="22"/>
                <w:lang w:val="en-US"/>
              </w:rPr>
              <w:t>those that are non-financial, could support the implementation of the EIIF?</w:t>
            </w:r>
          </w:p>
          <w:p w14:paraId="5BACFD92" w14:textId="788869EC" w:rsidR="00DF54D9" w:rsidRPr="00D36C4F" w:rsidRDefault="00DF54D9" w:rsidP="00D36C4F">
            <w:pPr>
              <w:pStyle w:val="ListParagraph"/>
              <w:numPr>
                <w:ilvl w:val="0"/>
                <w:numId w:val="24"/>
              </w:numPr>
              <w:spacing w:line="276" w:lineRule="auto"/>
              <w:rPr>
                <w:rFonts w:ascii="Arial" w:eastAsia="Arial" w:hAnsi="Arial" w:cs="Arial"/>
                <w:sz w:val="22"/>
                <w:szCs w:val="22"/>
                <w:lang w:val="en-US"/>
              </w:rPr>
            </w:pPr>
            <w:r w:rsidRPr="009F4C5F">
              <w:rPr>
                <w:rFonts w:ascii="Arial" w:eastAsia="Arial" w:hAnsi="Arial" w:cs="Arial"/>
                <w:sz w:val="22"/>
                <w:szCs w:val="22"/>
                <w:lang w:val="en-US"/>
              </w:rPr>
              <w:t xml:space="preserve">In what ways are individuals or line </w:t>
            </w:r>
            <w:r w:rsidR="000418F4">
              <w:rPr>
                <w:rFonts w:ascii="Arial" w:eastAsia="Arial" w:hAnsi="Arial" w:cs="Arial"/>
                <w:sz w:val="22"/>
                <w:szCs w:val="22"/>
                <w:lang w:val="en-US"/>
              </w:rPr>
              <w:t>agencies</w:t>
            </w:r>
            <w:r w:rsidRPr="009F4C5F">
              <w:rPr>
                <w:rFonts w:ascii="Arial" w:eastAsia="Arial" w:hAnsi="Arial" w:cs="Arial"/>
                <w:sz w:val="22"/>
                <w:szCs w:val="22"/>
                <w:lang w:val="en-US"/>
              </w:rPr>
              <w:t xml:space="preserve"> currently </w:t>
            </w:r>
            <w:r w:rsidR="000E4B75">
              <w:rPr>
                <w:rFonts w:ascii="Arial" w:eastAsia="Arial" w:hAnsi="Arial" w:cs="Arial"/>
                <w:sz w:val="22"/>
                <w:szCs w:val="22"/>
                <w:lang w:val="en-US"/>
              </w:rPr>
              <w:t>dis</w:t>
            </w:r>
            <w:r w:rsidRPr="009F4C5F">
              <w:rPr>
                <w:rFonts w:ascii="Arial" w:eastAsia="Arial" w:hAnsi="Arial" w:cs="Arial"/>
                <w:sz w:val="22"/>
                <w:szCs w:val="22"/>
                <w:lang w:val="en-US"/>
              </w:rPr>
              <w:t>incentivised to</w:t>
            </w:r>
            <w:r w:rsidR="00814D24">
              <w:rPr>
                <w:rFonts w:ascii="Arial" w:eastAsia="Arial" w:hAnsi="Arial" w:cs="Arial"/>
                <w:sz w:val="22"/>
                <w:szCs w:val="22"/>
                <w:lang w:val="en-US"/>
              </w:rPr>
              <w:t xml:space="preserve"> </w:t>
            </w:r>
            <w:r w:rsidR="000E4B75" w:rsidRPr="00D36C4F">
              <w:rPr>
                <w:rFonts w:ascii="Arial" w:eastAsia="Arial" w:hAnsi="Arial" w:cs="Arial"/>
                <w:sz w:val="22"/>
                <w:szCs w:val="22"/>
                <w:lang w:val="en-US"/>
              </w:rPr>
              <w:t>engage with the</w:t>
            </w:r>
            <w:r w:rsidRPr="009F4C5F">
              <w:rPr>
                <w:rFonts w:ascii="Arial" w:eastAsia="Arial" w:hAnsi="Arial" w:cs="Arial"/>
                <w:sz w:val="22"/>
                <w:szCs w:val="22"/>
                <w:lang w:val="en-US"/>
              </w:rPr>
              <w:t xml:space="preserve"> EII</w:t>
            </w:r>
            <w:r>
              <w:rPr>
                <w:rFonts w:ascii="Arial" w:eastAsia="Arial" w:hAnsi="Arial" w:cs="Arial"/>
                <w:sz w:val="22"/>
                <w:szCs w:val="22"/>
                <w:lang w:val="en-US"/>
              </w:rPr>
              <w:t>F</w:t>
            </w:r>
            <w:r w:rsidRPr="009F4C5F">
              <w:rPr>
                <w:rFonts w:ascii="Arial" w:eastAsia="Arial" w:hAnsi="Arial" w:cs="Arial"/>
                <w:sz w:val="22"/>
                <w:szCs w:val="22"/>
                <w:lang w:val="en-US"/>
              </w:rPr>
              <w:t>?</w:t>
            </w:r>
          </w:p>
        </w:tc>
      </w:tr>
    </w:tbl>
    <w:p w14:paraId="784C0D50" w14:textId="1C28A937" w:rsidR="006F12FB" w:rsidRDefault="006F12FB">
      <w:pPr>
        <w:rPr>
          <w:rFonts w:ascii="Arial" w:eastAsia="Arial" w:hAnsi="Arial" w:cs="Arial"/>
          <w:color w:val="2F5496" w:themeColor="accent1" w:themeShade="BF"/>
          <w:sz w:val="32"/>
          <w:szCs w:val="32"/>
          <w:lang w:eastAsia="en-AU"/>
        </w:rPr>
      </w:pPr>
    </w:p>
    <w:p w14:paraId="34A79261" w14:textId="39547652" w:rsidR="49F94D9F" w:rsidRPr="008A76C4" w:rsidRDefault="49F94D9F" w:rsidP="00ED20EA">
      <w:pPr>
        <w:pStyle w:val="Heading1"/>
        <w:spacing w:before="0" w:line="276" w:lineRule="auto"/>
        <w:rPr>
          <w:rFonts w:ascii="Arial" w:eastAsia="Arial" w:hAnsi="Arial" w:cs="Arial"/>
          <w:sz w:val="28"/>
          <w:szCs w:val="28"/>
          <w:lang w:eastAsia="en-AU"/>
        </w:rPr>
      </w:pPr>
      <w:r w:rsidRPr="008A76C4">
        <w:rPr>
          <w:rFonts w:ascii="Arial" w:eastAsia="Arial" w:hAnsi="Arial" w:cs="Arial"/>
          <w:sz w:val="28"/>
          <w:szCs w:val="28"/>
          <w:lang w:eastAsia="en-AU"/>
        </w:rPr>
        <w:t>5.</w:t>
      </w:r>
      <w:r w:rsidRPr="008A76C4">
        <w:rPr>
          <w:rFonts w:ascii="Arial" w:hAnsi="Arial" w:cs="Arial"/>
          <w:sz w:val="28"/>
          <w:szCs w:val="28"/>
        </w:rPr>
        <w:tab/>
      </w:r>
      <w:r w:rsidRPr="008A76C4">
        <w:rPr>
          <w:rFonts w:ascii="Arial" w:eastAsia="Arial" w:hAnsi="Arial" w:cs="Arial"/>
          <w:sz w:val="28"/>
          <w:szCs w:val="28"/>
          <w:lang w:eastAsia="en-AU"/>
        </w:rPr>
        <w:t>CONCLUSION</w:t>
      </w:r>
    </w:p>
    <w:p w14:paraId="2A5273B2" w14:textId="22B4C0A8" w:rsidR="128230CA" w:rsidRPr="008E44DA" w:rsidRDefault="128230CA" w:rsidP="00ED20EA">
      <w:pPr>
        <w:spacing w:line="276" w:lineRule="auto"/>
        <w:rPr>
          <w:rFonts w:ascii="Arial" w:eastAsia="Arial" w:hAnsi="Arial" w:cs="Arial"/>
          <w:sz w:val="22"/>
          <w:szCs w:val="22"/>
          <w:lang w:val="en-US"/>
        </w:rPr>
      </w:pPr>
    </w:p>
    <w:p w14:paraId="61C5A060" w14:textId="22BCABBE" w:rsidR="128230CA" w:rsidRPr="008E44DA" w:rsidRDefault="128230CA" w:rsidP="009B1E99">
      <w:pPr>
        <w:spacing w:line="276" w:lineRule="auto"/>
        <w:jc w:val="both"/>
        <w:rPr>
          <w:rFonts w:ascii="Arial" w:eastAsia="Arial" w:hAnsi="Arial" w:cs="Arial"/>
          <w:color w:val="201F1E"/>
          <w:sz w:val="22"/>
          <w:szCs w:val="22"/>
          <w:lang w:val="en-US"/>
        </w:rPr>
      </w:pPr>
      <w:r w:rsidRPr="008E44DA">
        <w:rPr>
          <w:rFonts w:ascii="Arial" w:eastAsia="Arial" w:hAnsi="Arial" w:cs="Arial"/>
          <w:sz w:val="22"/>
          <w:szCs w:val="22"/>
          <w:lang w:val="en-US"/>
        </w:rPr>
        <w:t xml:space="preserve">The EIIF is a new budgeting tool designed to guide and grow the Victorian Government’s investment in early intervention initiatives. The EIIF is a better budgeting process, investing in the evidence-informed decision-making capabilities needed to assess the effectiveness </w:t>
      </w:r>
      <w:r w:rsidRPr="008E44DA">
        <w:rPr>
          <w:rFonts w:ascii="Arial" w:eastAsia="Arial" w:hAnsi="Arial" w:cs="Arial"/>
          <w:color w:val="201F1E"/>
          <w:sz w:val="22"/>
          <w:szCs w:val="22"/>
          <w:lang w:val="en-US"/>
        </w:rPr>
        <w:t>of a program</w:t>
      </w:r>
      <w:r w:rsidR="006C6D4D">
        <w:rPr>
          <w:rFonts w:ascii="Arial" w:eastAsia="Arial" w:hAnsi="Arial" w:cs="Arial"/>
          <w:color w:val="201F1E"/>
          <w:sz w:val="22"/>
          <w:szCs w:val="22"/>
          <w:lang w:val="en-US"/>
        </w:rPr>
        <w:t xml:space="preserve"> and</w:t>
      </w:r>
      <w:r w:rsidRPr="008E44DA">
        <w:rPr>
          <w:rFonts w:ascii="Arial" w:eastAsia="Arial" w:hAnsi="Arial" w:cs="Arial"/>
          <w:color w:val="201F1E"/>
          <w:sz w:val="22"/>
          <w:szCs w:val="22"/>
          <w:lang w:val="en-US"/>
        </w:rPr>
        <w:t xml:space="preserve"> </w:t>
      </w:r>
      <w:r w:rsidRPr="008E44DA">
        <w:rPr>
          <w:rFonts w:ascii="Arial" w:eastAsia="Arial" w:hAnsi="Arial" w:cs="Arial"/>
          <w:sz w:val="22"/>
          <w:szCs w:val="22"/>
          <w:lang w:val="en-US"/>
        </w:rPr>
        <w:t>allocate resources where they will have the greatest impact for citizens</w:t>
      </w:r>
      <w:r w:rsidR="00CA091C">
        <w:rPr>
          <w:rFonts w:ascii="Arial" w:eastAsia="Arial" w:hAnsi="Arial" w:cs="Arial"/>
          <w:sz w:val="22"/>
          <w:szCs w:val="22"/>
          <w:lang w:val="en-US"/>
        </w:rPr>
        <w:t xml:space="preserve"> and provide a clearer line of sight between investment and its impacts</w:t>
      </w:r>
      <w:r w:rsidRPr="008E44DA">
        <w:rPr>
          <w:rFonts w:ascii="Arial" w:eastAsia="Arial" w:hAnsi="Arial" w:cs="Arial"/>
          <w:sz w:val="22"/>
          <w:szCs w:val="22"/>
          <w:lang w:val="en-US"/>
        </w:rPr>
        <w:t>. It is, at times, also a better savings process</w:t>
      </w:r>
      <w:r w:rsidR="00211C0E">
        <w:rPr>
          <w:rFonts w:ascii="Arial" w:eastAsia="Arial" w:hAnsi="Arial" w:cs="Arial"/>
          <w:sz w:val="22"/>
          <w:szCs w:val="22"/>
          <w:lang w:val="en-US"/>
        </w:rPr>
        <w:t xml:space="preserve"> that</w:t>
      </w:r>
      <w:r w:rsidRPr="008E44DA">
        <w:rPr>
          <w:rFonts w:ascii="Arial" w:eastAsia="Arial" w:hAnsi="Arial" w:cs="Arial"/>
          <w:sz w:val="22"/>
          <w:szCs w:val="22"/>
          <w:lang w:val="en-US"/>
        </w:rPr>
        <w:t xml:space="preserve"> guid</w:t>
      </w:r>
      <w:r w:rsidR="00211C0E">
        <w:rPr>
          <w:rFonts w:ascii="Arial" w:eastAsia="Arial" w:hAnsi="Arial" w:cs="Arial"/>
          <w:sz w:val="22"/>
          <w:szCs w:val="22"/>
          <w:lang w:val="en-US"/>
        </w:rPr>
        <w:t>es</w:t>
      </w:r>
      <w:r w:rsidRPr="008E44DA">
        <w:rPr>
          <w:rFonts w:ascii="Arial" w:eastAsia="Arial" w:hAnsi="Arial" w:cs="Arial"/>
          <w:sz w:val="22"/>
          <w:szCs w:val="22"/>
          <w:lang w:val="en-US"/>
        </w:rPr>
        <w:t xml:space="preserve"> the responsible allocation of resources t</w:t>
      </w:r>
      <w:r w:rsidR="007723B6">
        <w:rPr>
          <w:rFonts w:ascii="Arial" w:eastAsia="Arial" w:hAnsi="Arial" w:cs="Arial"/>
          <w:sz w:val="22"/>
          <w:szCs w:val="22"/>
          <w:lang w:val="en-US"/>
        </w:rPr>
        <w:t>hat directly links t</w:t>
      </w:r>
      <w:r w:rsidRPr="008E44DA">
        <w:rPr>
          <w:rFonts w:ascii="Arial" w:eastAsia="Arial" w:hAnsi="Arial" w:cs="Arial"/>
          <w:sz w:val="22"/>
          <w:szCs w:val="22"/>
          <w:lang w:val="en-US"/>
        </w:rPr>
        <w:t xml:space="preserve">o </w:t>
      </w:r>
      <w:r w:rsidRPr="008E44DA">
        <w:rPr>
          <w:rFonts w:ascii="Arial" w:eastAsia="Arial" w:hAnsi="Arial" w:cs="Arial"/>
          <w:color w:val="201F1E"/>
          <w:sz w:val="22"/>
          <w:szCs w:val="22"/>
          <w:lang w:val="en-US"/>
        </w:rPr>
        <w:t>reduc</w:t>
      </w:r>
      <w:r w:rsidR="007723B6">
        <w:rPr>
          <w:rFonts w:ascii="Arial" w:eastAsia="Arial" w:hAnsi="Arial" w:cs="Arial"/>
          <w:color w:val="201F1E"/>
          <w:sz w:val="22"/>
          <w:szCs w:val="22"/>
          <w:lang w:val="en-US"/>
        </w:rPr>
        <w:t>ing</w:t>
      </w:r>
      <w:r w:rsidRPr="008E44DA">
        <w:rPr>
          <w:rFonts w:ascii="Arial" w:eastAsia="Arial" w:hAnsi="Arial" w:cs="Arial"/>
          <w:color w:val="201F1E"/>
          <w:sz w:val="22"/>
          <w:szCs w:val="22"/>
          <w:lang w:val="en-US"/>
        </w:rPr>
        <w:t xml:space="preserve"> the need for acute downstream services and costs to </w:t>
      </w:r>
      <w:r w:rsidR="001103A1">
        <w:rPr>
          <w:rFonts w:ascii="Arial" w:eastAsia="Arial" w:hAnsi="Arial" w:cs="Arial"/>
          <w:color w:val="201F1E"/>
          <w:sz w:val="22"/>
          <w:szCs w:val="22"/>
          <w:lang w:val="en-US"/>
        </w:rPr>
        <w:t>G</w:t>
      </w:r>
      <w:r w:rsidRPr="008E44DA">
        <w:rPr>
          <w:rFonts w:ascii="Arial" w:eastAsia="Arial" w:hAnsi="Arial" w:cs="Arial"/>
          <w:color w:val="201F1E"/>
          <w:sz w:val="22"/>
          <w:szCs w:val="22"/>
          <w:lang w:val="en-US"/>
        </w:rPr>
        <w:t xml:space="preserve">overnment. </w:t>
      </w:r>
    </w:p>
    <w:p w14:paraId="605AA6B1" w14:textId="54E91878" w:rsidR="128230CA" w:rsidRPr="008E44DA" w:rsidRDefault="128230CA" w:rsidP="009B1E99">
      <w:pPr>
        <w:spacing w:line="276" w:lineRule="auto"/>
        <w:jc w:val="both"/>
        <w:rPr>
          <w:rFonts w:ascii="Arial" w:eastAsia="Arial" w:hAnsi="Arial" w:cs="Arial"/>
          <w:sz w:val="22"/>
          <w:szCs w:val="22"/>
          <w:lang w:val="en-US"/>
        </w:rPr>
      </w:pPr>
    </w:p>
    <w:p w14:paraId="392FA0C5" w14:textId="03A35465" w:rsidR="128230CA" w:rsidRPr="008E44DA" w:rsidRDefault="128230CA" w:rsidP="009B1E99">
      <w:pPr>
        <w:spacing w:line="276" w:lineRule="auto"/>
        <w:jc w:val="both"/>
        <w:rPr>
          <w:rFonts w:ascii="Arial" w:eastAsia="Arial" w:hAnsi="Arial" w:cs="Arial"/>
          <w:color w:val="000000" w:themeColor="text1"/>
          <w:sz w:val="22"/>
          <w:szCs w:val="22"/>
          <w:lang w:val="en-US"/>
        </w:rPr>
      </w:pPr>
      <w:r w:rsidRPr="008E44DA">
        <w:rPr>
          <w:rFonts w:ascii="Arial" w:eastAsia="Arial" w:hAnsi="Arial" w:cs="Arial"/>
          <w:color w:val="000000" w:themeColor="text1"/>
          <w:sz w:val="22"/>
          <w:szCs w:val="22"/>
          <w:lang w:val="en-US"/>
        </w:rPr>
        <w:t xml:space="preserve">This research and practice paper has sought to aid the DTF in the refinement and implementation of the EIIF, examining the conditions necessary to realise a framework that effectively supports budgetary decision making on activities within scope. </w:t>
      </w:r>
      <w:r w:rsidRPr="008E44DA">
        <w:rPr>
          <w:rFonts w:ascii="Arial" w:eastAsia="Arial" w:hAnsi="Arial" w:cs="Arial"/>
          <w:color w:val="201F1E"/>
          <w:sz w:val="22"/>
          <w:szCs w:val="22"/>
          <w:lang w:val="en-US"/>
        </w:rPr>
        <w:t xml:space="preserve">In doing so, we have conceived of the EIIF </w:t>
      </w:r>
      <w:bookmarkStart w:id="4" w:name="_Int_MdkRW91M"/>
      <w:r w:rsidRPr="008E44DA">
        <w:rPr>
          <w:rFonts w:ascii="Arial" w:eastAsia="Arial" w:hAnsi="Arial" w:cs="Arial"/>
          <w:color w:val="201F1E"/>
          <w:sz w:val="22"/>
          <w:szCs w:val="22"/>
          <w:lang w:val="en-US"/>
        </w:rPr>
        <w:t>as a means to</w:t>
      </w:r>
      <w:bookmarkEnd w:id="4"/>
      <w:r w:rsidRPr="008E44DA">
        <w:rPr>
          <w:rFonts w:ascii="Arial" w:eastAsia="Arial" w:hAnsi="Arial" w:cs="Arial"/>
          <w:color w:val="201F1E"/>
          <w:sz w:val="22"/>
          <w:szCs w:val="22"/>
          <w:lang w:val="en-US"/>
        </w:rPr>
        <w:t xml:space="preserve"> address the Budgetary Tragedy of the Commons. It is a tool for supporting greater </w:t>
      </w:r>
      <w:r w:rsidRPr="008E44DA">
        <w:rPr>
          <w:rFonts w:ascii="Arial" w:eastAsia="Arial" w:hAnsi="Arial" w:cs="Arial"/>
          <w:color w:val="000000" w:themeColor="text1"/>
          <w:sz w:val="22"/>
          <w:szCs w:val="22"/>
          <w:lang w:val="en-US"/>
        </w:rPr>
        <w:t xml:space="preserve">flexibility across the </w:t>
      </w:r>
      <w:r w:rsidRPr="008E44DA">
        <w:rPr>
          <w:rFonts w:ascii="Arial" w:eastAsia="Arial" w:hAnsi="Arial" w:cs="Arial"/>
          <w:sz w:val="22"/>
          <w:szCs w:val="22"/>
          <w:lang w:val="en-US"/>
        </w:rPr>
        <w:t>budgeting process and encouraging line agencies to consider longer-term planning and the optimisation of shared financial resources for the common good</w:t>
      </w:r>
      <w:r w:rsidR="00384DA0">
        <w:rPr>
          <w:rFonts w:ascii="Arial" w:eastAsia="Arial" w:hAnsi="Arial" w:cs="Arial"/>
          <w:sz w:val="22"/>
          <w:szCs w:val="22"/>
          <w:lang w:val="en-US"/>
        </w:rPr>
        <w:t xml:space="preserve">, </w:t>
      </w:r>
      <w:r w:rsidR="008915C0">
        <w:rPr>
          <w:rFonts w:ascii="Arial" w:eastAsia="Arial" w:hAnsi="Arial" w:cs="Arial"/>
          <w:sz w:val="22"/>
          <w:szCs w:val="22"/>
          <w:lang w:val="en-US"/>
        </w:rPr>
        <w:t xml:space="preserve">facilitating </w:t>
      </w:r>
      <w:r w:rsidR="00384DA0">
        <w:rPr>
          <w:rFonts w:ascii="Arial" w:eastAsia="Arial" w:hAnsi="Arial" w:cs="Arial"/>
          <w:sz w:val="22"/>
          <w:szCs w:val="22"/>
          <w:lang w:val="en-US"/>
        </w:rPr>
        <w:t xml:space="preserve">the </w:t>
      </w:r>
      <w:r w:rsidR="008915C0">
        <w:rPr>
          <w:rFonts w:ascii="Arial" w:eastAsia="Arial" w:hAnsi="Arial" w:cs="Arial"/>
          <w:sz w:val="22"/>
          <w:szCs w:val="22"/>
          <w:lang w:val="en-US"/>
        </w:rPr>
        <w:t>safe scale up of initiatives that work</w:t>
      </w:r>
      <w:r w:rsidR="00D85095">
        <w:rPr>
          <w:rFonts w:ascii="Arial" w:eastAsia="Arial" w:hAnsi="Arial" w:cs="Arial"/>
          <w:sz w:val="22"/>
          <w:szCs w:val="22"/>
          <w:lang w:val="en-US"/>
        </w:rPr>
        <w:t xml:space="preserve"> through quantification requirement</w:t>
      </w:r>
      <w:r w:rsidR="00384DA0">
        <w:rPr>
          <w:rFonts w:ascii="Arial" w:eastAsia="Arial" w:hAnsi="Arial" w:cs="Arial"/>
          <w:sz w:val="22"/>
          <w:szCs w:val="22"/>
          <w:lang w:val="en-US"/>
        </w:rPr>
        <w:t>s</w:t>
      </w:r>
      <w:r w:rsidR="00D85095">
        <w:rPr>
          <w:rFonts w:ascii="Arial" w:eastAsia="Arial" w:hAnsi="Arial" w:cs="Arial"/>
          <w:sz w:val="22"/>
          <w:szCs w:val="22"/>
          <w:lang w:val="en-US"/>
        </w:rPr>
        <w:t xml:space="preserve"> and yearly outcome reporting</w:t>
      </w:r>
      <w:r w:rsidR="00384DA0">
        <w:rPr>
          <w:rFonts w:ascii="Arial" w:eastAsia="Arial" w:hAnsi="Arial" w:cs="Arial"/>
          <w:sz w:val="22"/>
          <w:szCs w:val="22"/>
          <w:lang w:val="en-US"/>
        </w:rPr>
        <w:t>.</w:t>
      </w:r>
    </w:p>
    <w:p w14:paraId="217881FC" w14:textId="1B24CDD1" w:rsidR="128230CA" w:rsidRPr="008E44DA" w:rsidRDefault="128230CA" w:rsidP="009B1E99">
      <w:pPr>
        <w:spacing w:line="276" w:lineRule="auto"/>
        <w:jc w:val="both"/>
        <w:rPr>
          <w:rFonts w:ascii="Arial" w:eastAsia="Arial" w:hAnsi="Arial" w:cs="Arial"/>
          <w:sz w:val="22"/>
          <w:szCs w:val="22"/>
          <w:lang w:val="en-US"/>
        </w:rPr>
      </w:pPr>
    </w:p>
    <w:p w14:paraId="72C03BBA" w14:textId="45A6AEDB" w:rsidR="369F18B1" w:rsidRPr="009E0530" w:rsidRDefault="128230CA" w:rsidP="009B1E99">
      <w:pPr>
        <w:spacing w:line="276" w:lineRule="auto"/>
        <w:jc w:val="both"/>
        <w:rPr>
          <w:rFonts w:ascii="Arial" w:eastAsia="Arial" w:hAnsi="Arial" w:cs="Arial"/>
          <w:sz w:val="22"/>
          <w:szCs w:val="22"/>
          <w:lang w:val="en-US"/>
        </w:rPr>
      </w:pPr>
      <w:r w:rsidRPr="008E44DA">
        <w:rPr>
          <w:rFonts w:ascii="Arial" w:eastAsia="Arial" w:hAnsi="Arial" w:cs="Arial"/>
          <w:color w:val="000000" w:themeColor="text1"/>
          <w:sz w:val="22"/>
          <w:szCs w:val="22"/>
          <w:lang w:val="en-US"/>
        </w:rPr>
        <w:lastRenderedPageBreak/>
        <w:t xml:space="preserve">Certainly, a central financing agency may develop new tools and processes and shore up technical features, however, we have found that the right behavioural and attitudinal changes are required to create a culture that drives demand for and deep investment in these tools. To address this feedback loop, this paper has adopted the Adaptive Leadership Framework, focusing on the changes required to ensure </w:t>
      </w:r>
      <w:r w:rsidRPr="008E44DA">
        <w:rPr>
          <w:rFonts w:ascii="Arial" w:eastAsia="Arial" w:hAnsi="Arial" w:cs="Arial"/>
          <w:color w:val="201F1E"/>
          <w:sz w:val="22"/>
          <w:szCs w:val="22"/>
          <w:lang w:val="en-US"/>
        </w:rPr>
        <w:t>both central and line agencies have verified the tools and trust the outputs.</w:t>
      </w:r>
      <w:r w:rsidRPr="008E44DA">
        <w:rPr>
          <w:rFonts w:ascii="Arial" w:eastAsia="Arial" w:hAnsi="Arial" w:cs="Arial"/>
          <w:sz w:val="22"/>
          <w:szCs w:val="22"/>
          <w:lang w:val="en-US"/>
        </w:rPr>
        <w:t xml:space="preserve"> </w:t>
      </w:r>
      <w:r w:rsidR="369F18B1" w:rsidRPr="008E44DA">
        <w:rPr>
          <w:rFonts w:ascii="Arial" w:eastAsia="Arial" w:hAnsi="Arial" w:cs="Arial"/>
          <w:sz w:val="22"/>
          <w:szCs w:val="22"/>
        </w:rPr>
        <w:t xml:space="preserve">This paper </w:t>
      </w:r>
      <w:r w:rsidR="002A7CE0">
        <w:rPr>
          <w:rFonts w:ascii="Arial" w:eastAsia="Arial" w:hAnsi="Arial" w:cs="Arial"/>
          <w:sz w:val="22"/>
          <w:szCs w:val="22"/>
        </w:rPr>
        <w:t xml:space="preserve">has </w:t>
      </w:r>
      <w:r w:rsidR="369F18B1" w:rsidRPr="008E44DA">
        <w:rPr>
          <w:rFonts w:ascii="Arial" w:eastAsia="Arial" w:hAnsi="Arial" w:cs="Arial"/>
          <w:sz w:val="22"/>
          <w:szCs w:val="22"/>
        </w:rPr>
        <w:t>test</w:t>
      </w:r>
      <w:r w:rsidR="002A7CE0">
        <w:rPr>
          <w:rFonts w:ascii="Arial" w:eastAsia="Arial" w:hAnsi="Arial" w:cs="Arial"/>
          <w:sz w:val="22"/>
          <w:szCs w:val="22"/>
        </w:rPr>
        <w:t>ed</w:t>
      </w:r>
      <w:r w:rsidR="369F18B1" w:rsidRPr="008E44DA">
        <w:rPr>
          <w:rFonts w:ascii="Arial" w:eastAsia="Arial" w:hAnsi="Arial" w:cs="Arial"/>
          <w:sz w:val="22"/>
          <w:szCs w:val="22"/>
        </w:rPr>
        <w:t xml:space="preserve"> </w:t>
      </w:r>
      <w:r w:rsidR="7E1DA8EB" w:rsidRPr="008E44DA">
        <w:rPr>
          <w:rFonts w:ascii="Arial" w:eastAsia="Arial" w:hAnsi="Arial" w:cs="Arial"/>
          <w:color w:val="201F1E"/>
          <w:sz w:val="22"/>
          <w:szCs w:val="22"/>
          <w:lang w:eastAsia="en-AU"/>
        </w:rPr>
        <w:t>identified features of the EIIF against the practical experiences of other jurisdictions</w:t>
      </w:r>
      <w:r w:rsidR="007D10C0">
        <w:rPr>
          <w:rFonts w:ascii="Arial" w:eastAsia="Arial" w:hAnsi="Arial" w:cs="Arial"/>
          <w:color w:val="201F1E"/>
          <w:sz w:val="22"/>
          <w:szCs w:val="22"/>
          <w:lang w:eastAsia="en-AU"/>
        </w:rPr>
        <w:t xml:space="preserve">. We have </w:t>
      </w:r>
      <w:r w:rsidR="007D10C0" w:rsidRPr="008E44DA">
        <w:rPr>
          <w:rFonts w:ascii="Arial" w:eastAsia="Arial" w:hAnsi="Arial" w:cs="Arial"/>
          <w:color w:val="201F1E"/>
          <w:sz w:val="22"/>
          <w:szCs w:val="22"/>
          <w:lang w:eastAsia="en-AU"/>
        </w:rPr>
        <w:t>examin</w:t>
      </w:r>
      <w:r w:rsidR="007D10C0">
        <w:rPr>
          <w:rFonts w:ascii="Arial" w:eastAsia="Arial" w:hAnsi="Arial" w:cs="Arial"/>
          <w:color w:val="201F1E"/>
          <w:sz w:val="22"/>
          <w:szCs w:val="22"/>
          <w:lang w:eastAsia="en-AU"/>
        </w:rPr>
        <w:t xml:space="preserve">ed </w:t>
      </w:r>
      <w:r w:rsidRPr="008E44DA">
        <w:rPr>
          <w:rFonts w:ascii="Arial" w:eastAsia="Arial" w:hAnsi="Arial" w:cs="Arial"/>
          <w:color w:val="000000" w:themeColor="text1"/>
          <w:sz w:val="22"/>
          <w:szCs w:val="22"/>
          <w:lang w:val="en-US"/>
        </w:rPr>
        <w:t xml:space="preserve">the </w:t>
      </w:r>
      <w:r w:rsidR="007D10C0">
        <w:rPr>
          <w:rFonts w:ascii="Arial" w:eastAsia="Arial" w:hAnsi="Arial" w:cs="Arial"/>
          <w:color w:val="000000" w:themeColor="text1"/>
          <w:sz w:val="22"/>
          <w:szCs w:val="22"/>
          <w:lang w:val="en-US"/>
        </w:rPr>
        <w:t xml:space="preserve">likely </w:t>
      </w:r>
      <w:r w:rsidRPr="008E44DA">
        <w:rPr>
          <w:rFonts w:ascii="Arial" w:eastAsia="Arial" w:hAnsi="Arial" w:cs="Arial"/>
          <w:color w:val="000000" w:themeColor="text1"/>
          <w:sz w:val="22"/>
          <w:szCs w:val="22"/>
          <w:lang w:val="en-US"/>
        </w:rPr>
        <w:t xml:space="preserve">challenges that DTF </w:t>
      </w:r>
      <w:r w:rsidR="0093781E">
        <w:rPr>
          <w:rFonts w:ascii="Arial" w:eastAsia="Arial" w:hAnsi="Arial" w:cs="Arial"/>
          <w:color w:val="000000" w:themeColor="text1"/>
          <w:sz w:val="22"/>
          <w:szCs w:val="22"/>
          <w:lang w:val="en-US"/>
        </w:rPr>
        <w:t>will</w:t>
      </w:r>
      <w:r w:rsidRPr="008E44DA">
        <w:rPr>
          <w:rFonts w:ascii="Arial" w:eastAsia="Arial" w:hAnsi="Arial" w:cs="Arial"/>
          <w:color w:val="000000" w:themeColor="text1"/>
          <w:sz w:val="22"/>
          <w:szCs w:val="22"/>
          <w:lang w:val="en-US"/>
        </w:rPr>
        <w:t xml:space="preserve"> face in</w:t>
      </w:r>
      <w:r w:rsidR="00D918AD">
        <w:rPr>
          <w:rFonts w:ascii="Arial" w:eastAsia="Arial" w:hAnsi="Arial" w:cs="Arial"/>
          <w:color w:val="000000" w:themeColor="text1"/>
          <w:sz w:val="22"/>
          <w:szCs w:val="22"/>
          <w:lang w:val="en-US"/>
        </w:rPr>
        <w:t xml:space="preserve"> progressing</w:t>
      </w:r>
      <w:r w:rsidRPr="008E44DA">
        <w:rPr>
          <w:rFonts w:ascii="Arial" w:eastAsia="Arial" w:hAnsi="Arial" w:cs="Arial"/>
          <w:color w:val="000000" w:themeColor="text1"/>
          <w:sz w:val="22"/>
          <w:szCs w:val="22"/>
          <w:lang w:val="en-US"/>
        </w:rPr>
        <w:t xml:space="preserve"> implement</w:t>
      </w:r>
      <w:r w:rsidR="00D918AD">
        <w:rPr>
          <w:rFonts w:ascii="Arial" w:eastAsia="Arial" w:hAnsi="Arial" w:cs="Arial"/>
          <w:color w:val="000000" w:themeColor="text1"/>
          <w:sz w:val="22"/>
          <w:szCs w:val="22"/>
          <w:lang w:val="en-US"/>
        </w:rPr>
        <w:t>ation of</w:t>
      </w:r>
      <w:r w:rsidRPr="008E44DA">
        <w:rPr>
          <w:rFonts w:ascii="Arial" w:eastAsia="Arial" w:hAnsi="Arial" w:cs="Arial"/>
          <w:color w:val="000000" w:themeColor="text1"/>
          <w:sz w:val="22"/>
          <w:szCs w:val="22"/>
          <w:lang w:val="en-US"/>
        </w:rPr>
        <w:t xml:space="preserve"> the EIIF and the learning required across the areas of </w:t>
      </w:r>
      <w:r w:rsidRPr="008E44DA">
        <w:rPr>
          <w:rFonts w:ascii="Arial" w:eastAsia="Arial" w:hAnsi="Arial" w:cs="Arial"/>
          <w:sz w:val="22"/>
          <w:szCs w:val="22"/>
        </w:rPr>
        <w:t xml:space="preserve">outcomes measures, risk sharing, and incentives. A common theme emerging across each of these areas is that </w:t>
      </w:r>
      <w:r w:rsidRPr="00384DA0">
        <w:rPr>
          <w:rFonts w:ascii="Arial" w:eastAsia="Arial" w:hAnsi="Arial" w:cs="Arial"/>
          <w:b/>
          <w:bCs/>
          <w:sz w:val="22"/>
          <w:szCs w:val="22"/>
        </w:rPr>
        <w:t>a sense of shared purpose, trust, and accountability are central to adaptive change and the successful implementation of the EIIF</w:t>
      </w:r>
      <w:r w:rsidRPr="008E44DA">
        <w:rPr>
          <w:rFonts w:ascii="Arial" w:eastAsia="Arial" w:hAnsi="Arial" w:cs="Arial"/>
          <w:sz w:val="22"/>
          <w:szCs w:val="22"/>
        </w:rPr>
        <w:t xml:space="preserve">. This will be an iterative process, likely over a period of several years, and will require a </w:t>
      </w:r>
      <w:r w:rsidR="23B4EF31" w:rsidRPr="008E44DA">
        <w:rPr>
          <w:rFonts w:ascii="Arial" w:eastAsia="Arial" w:hAnsi="Arial" w:cs="Arial"/>
          <w:color w:val="201F1E"/>
          <w:sz w:val="22"/>
          <w:szCs w:val="22"/>
          <w:lang w:eastAsia="en-AU"/>
        </w:rPr>
        <w:t>sustained campaign of collaboration and careful stewardship</w:t>
      </w:r>
      <w:r w:rsidRPr="008E44DA">
        <w:rPr>
          <w:rFonts w:ascii="Arial" w:eastAsia="Arial" w:hAnsi="Arial" w:cs="Arial"/>
          <w:sz w:val="22"/>
          <w:szCs w:val="22"/>
        </w:rPr>
        <w:t xml:space="preserve"> by DTF to </w:t>
      </w:r>
      <w:r w:rsidR="23B4EF31" w:rsidRPr="008E44DA">
        <w:rPr>
          <w:rFonts w:ascii="Arial" w:eastAsia="Arial" w:hAnsi="Arial" w:cs="Arial"/>
          <w:color w:val="201F1E"/>
          <w:sz w:val="22"/>
          <w:szCs w:val="22"/>
          <w:lang w:eastAsia="en-AU"/>
        </w:rPr>
        <w:t>incrementally build the legitimacy of the EIIF.</w:t>
      </w:r>
    </w:p>
    <w:p w14:paraId="3FCCEDB9" w14:textId="2FF9041E" w:rsidR="128230CA" w:rsidRPr="008E44DA" w:rsidRDefault="128230CA" w:rsidP="009B1E99">
      <w:pPr>
        <w:spacing w:line="276" w:lineRule="auto"/>
        <w:jc w:val="both"/>
        <w:rPr>
          <w:rFonts w:ascii="Arial" w:eastAsia="Arial" w:hAnsi="Arial" w:cs="Arial"/>
          <w:sz w:val="22"/>
          <w:szCs w:val="22"/>
        </w:rPr>
      </w:pPr>
    </w:p>
    <w:p w14:paraId="59EF1D8E" w14:textId="06994326" w:rsidR="128230CA" w:rsidRDefault="128230CA" w:rsidP="009B1E99">
      <w:pPr>
        <w:spacing w:line="276" w:lineRule="auto"/>
        <w:jc w:val="both"/>
        <w:rPr>
          <w:rFonts w:ascii="Arial" w:eastAsia="Arial" w:hAnsi="Arial" w:cs="Arial"/>
          <w:color w:val="000000" w:themeColor="text1"/>
          <w:sz w:val="22"/>
          <w:szCs w:val="22"/>
          <w:lang w:val="en-US"/>
        </w:rPr>
      </w:pPr>
      <w:r w:rsidRPr="008E44DA">
        <w:rPr>
          <w:rFonts w:ascii="Arial" w:eastAsia="Arial" w:hAnsi="Arial" w:cs="Arial"/>
          <w:color w:val="000000" w:themeColor="text1"/>
          <w:sz w:val="22"/>
          <w:szCs w:val="22"/>
          <w:lang w:val="en-US"/>
        </w:rPr>
        <w:t xml:space="preserve">A challenge that has </w:t>
      </w:r>
      <w:r w:rsidRPr="008E44DA">
        <w:rPr>
          <w:rFonts w:ascii="Arial" w:eastAsia="Arial" w:hAnsi="Arial" w:cs="Arial"/>
          <w:sz w:val="22"/>
          <w:szCs w:val="22"/>
          <w:lang w:val="en-US"/>
        </w:rPr>
        <w:t>emerged throughout this paper is DTF’s dual role, being both the architect of the EIIF – with a vested interest in its success and continued growth –</w:t>
      </w:r>
      <w:r w:rsidR="00384DA0">
        <w:rPr>
          <w:rFonts w:ascii="Arial" w:eastAsia="Arial" w:hAnsi="Arial" w:cs="Arial"/>
          <w:sz w:val="22"/>
          <w:szCs w:val="22"/>
          <w:lang w:val="en-US"/>
        </w:rPr>
        <w:t xml:space="preserve"> working collaboratively </w:t>
      </w:r>
      <w:r w:rsidR="00D85095">
        <w:rPr>
          <w:rFonts w:ascii="Arial" w:eastAsia="Arial" w:hAnsi="Arial" w:cs="Arial"/>
          <w:sz w:val="22"/>
          <w:szCs w:val="22"/>
          <w:lang w:val="en-US"/>
        </w:rPr>
        <w:t>with departments on the business case</w:t>
      </w:r>
      <w:r w:rsidR="00384DA0">
        <w:rPr>
          <w:rFonts w:ascii="Arial" w:eastAsia="Arial" w:hAnsi="Arial" w:cs="Arial"/>
          <w:sz w:val="22"/>
          <w:szCs w:val="22"/>
          <w:lang w:val="en-US"/>
        </w:rPr>
        <w:t>, as well as</w:t>
      </w:r>
      <w:r w:rsidRPr="008E44DA">
        <w:rPr>
          <w:rFonts w:ascii="Arial" w:eastAsia="Arial" w:hAnsi="Arial" w:cs="Arial"/>
          <w:sz w:val="22"/>
          <w:szCs w:val="22"/>
          <w:lang w:val="en-US"/>
        </w:rPr>
        <w:t xml:space="preserve"> </w:t>
      </w:r>
      <w:r w:rsidR="00FA5049">
        <w:rPr>
          <w:rFonts w:ascii="Arial" w:eastAsia="Arial" w:hAnsi="Arial" w:cs="Arial"/>
          <w:sz w:val="22"/>
          <w:szCs w:val="22"/>
          <w:lang w:val="en-US"/>
        </w:rPr>
        <w:t xml:space="preserve">advising Government on </w:t>
      </w:r>
      <w:r w:rsidR="009B5240">
        <w:rPr>
          <w:rFonts w:ascii="Arial" w:eastAsia="Arial" w:hAnsi="Arial" w:cs="Arial"/>
          <w:sz w:val="22"/>
          <w:szCs w:val="22"/>
          <w:lang w:val="en-US"/>
        </w:rPr>
        <w:t>which</w:t>
      </w:r>
      <w:r w:rsidRPr="008E44DA">
        <w:rPr>
          <w:rFonts w:ascii="Arial" w:eastAsia="Arial" w:hAnsi="Arial" w:cs="Arial"/>
          <w:sz w:val="22"/>
          <w:szCs w:val="22"/>
          <w:lang w:val="en-US"/>
        </w:rPr>
        <w:t xml:space="preserve"> EIIF proposals </w:t>
      </w:r>
      <w:r w:rsidR="00D85095">
        <w:rPr>
          <w:rFonts w:ascii="Arial" w:eastAsia="Arial" w:hAnsi="Arial" w:cs="Arial"/>
          <w:sz w:val="22"/>
          <w:szCs w:val="22"/>
          <w:lang w:val="en-US"/>
        </w:rPr>
        <w:t>are meritorious for funding through the budget process</w:t>
      </w:r>
      <w:r w:rsidRPr="008E44DA">
        <w:rPr>
          <w:rFonts w:ascii="Arial" w:eastAsia="Arial" w:hAnsi="Arial" w:cs="Arial"/>
          <w:sz w:val="22"/>
          <w:szCs w:val="22"/>
          <w:lang w:val="en-US"/>
        </w:rPr>
        <w:t xml:space="preserve">. This duality is not easily navigated, and potential solutions are beyond the scope of this paper. Nevertheless, this may inform </w:t>
      </w:r>
      <w:r w:rsidRPr="008E44DA">
        <w:rPr>
          <w:rFonts w:ascii="Arial" w:eastAsia="Arial" w:hAnsi="Arial" w:cs="Arial"/>
          <w:color w:val="000000" w:themeColor="text1"/>
          <w:sz w:val="22"/>
          <w:szCs w:val="22"/>
        </w:rPr>
        <w:t>an agenda for future research and internal discussion.</w:t>
      </w:r>
      <w:r w:rsidRPr="008E44DA">
        <w:rPr>
          <w:rFonts w:ascii="Arial" w:eastAsia="Arial" w:hAnsi="Arial" w:cs="Arial"/>
          <w:color w:val="000000" w:themeColor="text1"/>
          <w:sz w:val="22"/>
          <w:szCs w:val="22"/>
          <w:lang w:val="en-US"/>
        </w:rPr>
        <w:t xml:space="preserve"> </w:t>
      </w:r>
    </w:p>
    <w:p w14:paraId="3B3C881E" w14:textId="7CDE7B87" w:rsidR="00384DA0" w:rsidRDefault="00384DA0" w:rsidP="009B1E99">
      <w:pPr>
        <w:spacing w:line="276" w:lineRule="auto"/>
        <w:jc w:val="both"/>
        <w:rPr>
          <w:rFonts w:ascii="Arial" w:eastAsia="Arial" w:hAnsi="Arial" w:cs="Arial"/>
          <w:color w:val="000000" w:themeColor="text1"/>
          <w:sz w:val="22"/>
          <w:szCs w:val="22"/>
          <w:lang w:val="en-US"/>
        </w:rPr>
      </w:pPr>
    </w:p>
    <w:p w14:paraId="7C6EF452" w14:textId="1469AB99" w:rsidR="009679AC" w:rsidRDefault="007330B7" w:rsidP="006F12FB">
      <w:pPr>
        <w:spacing w:line="276" w:lineRule="auto"/>
        <w:jc w:val="both"/>
        <w:rPr>
          <w:rFonts w:ascii="Arial" w:eastAsia="Arial" w:hAnsi="Arial" w:cs="Arial"/>
          <w:color w:val="201F1E"/>
          <w:sz w:val="22"/>
          <w:szCs w:val="22"/>
          <w:lang w:val="en-US"/>
        </w:rPr>
      </w:pPr>
      <w:r>
        <w:rPr>
          <w:noProof/>
          <w:lang w:eastAsia="en-AU"/>
        </w:rPr>
        <w:drawing>
          <wp:anchor distT="0" distB="0" distL="114300" distR="114300" simplePos="0" relativeHeight="251660288" behindDoc="0" locked="0" layoutInCell="1" allowOverlap="1" wp14:anchorId="6253E354" wp14:editId="30BF046E">
            <wp:simplePos x="0" y="0"/>
            <wp:positionH relativeFrom="column">
              <wp:posOffset>3003185</wp:posOffset>
            </wp:positionH>
            <wp:positionV relativeFrom="page">
              <wp:posOffset>8488680</wp:posOffset>
            </wp:positionV>
            <wp:extent cx="2782570" cy="1548130"/>
            <wp:effectExtent l="0" t="0" r="0" b="0"/>
            <wp:wrapSquare wrapText="bothSides"/>
            <wp:docPr id="5" name="Picture 1">
              <a:extLst xmlns:a="http://schemas.openxmlformats.org/drawingml/2006/main">
                <a:ext uri="{FF2B5EF4-FFF2-40B4-BE49-F238E27FC236}">
                  <a16:creationId xmlns:a16="http://schemas.microsoft.com/office/drawing/2014/main" id="{30095FC1-850D-46CF-8C9F-3344AD78FD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0095FC1-850D-46CF-8C9F-3344AD78FD3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82570" cy="1548130"/>
                    </a:xfrm>
                    <a:prstGeom prst="rect">
                      <a:avLst/>
                    </a:prstGeom>
                  </pic:spPr>
                </pic:pic>
              </a:graphicData>
            </a:graphic>
            <wp14:sizeRelH relativeFrom="margin">
              <wp14:pctWidth>0</wp14:pctWidth>
            </wp14:sizeRelH>
            <wp14:sizeRelV relativeFrom="margin">
              <wp14:pctHeight>0</wp14:pctHeight>
            </wp14:sizeRelV>
          </wp:anchor>
        </w:drawing>
      </w:r>
      <w:r w:rsidR="128230CA" w:rsidRPr="008E44DA">
        <w:rPr>
          <w:rFonts w:ascii="Arial" w:eastAsia="Arial" w:hAnsi="Arial" w:cs="Arial"/>
          <w:color w:val="000000" w:themeColor="text1"/>
          <w:sz w:val="22"/>
          <w:szCs w:val="22"/>
          <w:lang w:val="en-US"/>
        </w:rPr>
        <w:t xml:space="preserve">In this paper, we have sought to </w:t>
      </w:r>
      <w:r w:rsidR="00FD7E33" w:rsidRPr="008E44DA">
        <w:rPr>
          <w:rFonts w:ascii="Arial" w:eastAsia="Arial" w:hAnsi="Arial" w:cs="Arial"/>
          <w:color w:val="000000" w:themeColor="text1"/>
          <w:sz w:val="22"/>
          <w:szCs w:val="22"/>
          <w:lang w:val="en-US"/>
        </w:rPr>
        <w:t xml:space="preserve">generate </w:t>
      </w:r>
      <w:r w:rsidR="00FD7E33">
        <w:rPr>
          <w:rFonts w:ascii="Arial" w:eastAsia="Arial" w:hAnsi="Arial" w:cs="Arial"/>
          <w:color w:val="201F1E"/>
          <w:sz w:val="22"/>
          <w:szCs w:val="22"/>
          <w:lang w:val="en-US"/>
        </w:rPr>
        <w:t>discussion</w:t>
      </w:r>
      <w:r w:rsidR="00D142BE">
        <w:rPr>
          <w:rFonts w:ascii="Arial" w:eastAsia="Arial" w:hAnsi="Arial" w:cs="Arial"/>
          <w:color w:val="201F1E"/>
          <w:sz w:val="22"/>
          <w:szCs w:val="22"/>
          <w:lang w:val="en-US"/>
        </w:rPr>
        <w:t xml:space="preserve"> </w:t>
      </w:r>
      <w:r w:rsidR="00E61165">
        <w:rPr>
          <w:rFonts w:ascii="Arial" w:eastAsia="Arial" w:hAnsi="Arial" w:cs="Arial"/>
          <w:color w:val="201F1E"/>
          <w:sz w:val="22"/>
          <w:szCs w:val="22"/>
          <w:lang w:val="en-US"/>
        </w:rPr>
        <w:t>and creative</w:t>
      </w:r>
      <w:r w:rsidR="128230CA" w:rsidRPr="008E44DA">
        <w:rPr>
          <w:rFonts w:ascii="Arial" w:eastAsia="Arial" w:hAnsi="Arial" w:cs="Arial"/>
          <w:color w:val="201F1E"/>
          <w:sz w:val="22"/>
          <w:szCs w:val="22"/>
          <w:lang w:val="en-US"/>
        </w:rPr>
        <w:t xml:space="preserve"> thinking within DTF</w:t>
      </w:r>
      <w:r w:rsidR="128230CA" w:rsidRPr="008E44DA">
        <w:rPr>
          <w:rFonts w:ascii="Arial" w:eastAsia="Arial" w:hAnsi="Arial" w:cs="Arial"/>
          <w:sz w:val="22"/>
          <w:szCs w:val="22"/>
          <w:lang w:val="en-US"/>
        </w:rPr>
        <w:t xml:space="preserve">, rather than provide prescriptive solutions, with our hope being that we can support DTF’s own </w:t>
      </w:r>
      <w:r w:rsidR="00DA6E23" w:rsidRPr="008E44DA">
        <w:rPr>
          <w:rFonts w:ascii="Arial" w:eastAsia="Arial" w:hAnsi="Arial" w:cs="Arial"/>
          <w:sz w:val="22"/>
          <w:szCs w:val="22"/>
          <w:lang w:val="en-US"/>
        </w:rPr>
        <w:t>learning</w:t>
      </w:r>
      <w:r w:rsidR="00647771">
        <w:rPr>
          <w:rFonts w:ascii="Arial" w:eastAsia="Arial" w:hAnsi="Arial" w:cs="Arial"/>
          <w:sz w:val="22"/>
          <w:szCs w:val="22"/>
          <w:lang w:val="en-US"/>
        </w:rPr>
        <w:t xml:space="preserve"> on</w:t>
      </w:r>
      <w:r w:rsidR="128230CA" w:rsidRPr="008E44DA">
        <w:rPr>
          <w:rFonts w:ascii="Arial" w:eastAsia="Arial" w:hAnsi="Arial" w:cs="Arial"/>
          <w:sz w:val="22"/>
          <w:szCs w:val="22"/>
          <w:lang w:val="en-US"/>
        </w:rPr>
        <w:t xml:space="preserve"> the adaptive leadership required to optimise the potential of the EIIF. The next step for DTF is to determine the priority areas and actions among those identified in this paper and </w:t>
      </w:r>
      <w:r w:rsidR="128230CA" w:rsidRPr="008E44DA">
        <w:rPr>
          <w:rFonts w:ascii="Arial" w:eastAsia="Arial" w:hAnsi="Arial" w:cs="Arial"/>
          <w:color w:val="201F1E"/>
          <w:sz w:val="22"/>
          <w:szCs w:val="22"/>
          <w:lang w:val="en-US"/>
        </w:rPr>
        <w:t>what learning and by whom will deliver the greatest impact.</w:t>
      </w:r>
    </w:p>
    <w:p w14:paraId="32D430A3" w14:textId="77777777" w:rsidR="009679AC" w:rsidRDefault="009679AC">
      <w:pPr>
        <w:rPr>
          <w:rFonts w:ascii="Arial" w:eastAsia="Arial" w:hAnsi="Arial" w:cs="Arial"/>
          <w:color w:val="201F1E"/>
          <w:sz w:val="22"/>
          <w:szCs w:val="22"/>
          <w:lang w:val="en-US"/>
        </w:rPr>
      </w:pPr>
      <w:r>
        <w:rPr>
          <w:rFonts w:ascii="Arial" w:eastAsia="Arial" w:hAnsi="Arial" w:cs="Arial"/>
          <w:color w:val="201F1E"/>
          <w:sz w:val="22"/>
          <w:szCs w:val="22"/>
          <w:lang w:val="en-US"/>
        </w:rPr>
        <w:br w:type="page"/>
      </w:r>
    </w:p>
    <w:p w14:paraId="5F5BB7F8" w14:textId="61CDC5E6" w:rsidR="009679AC" w:rsidRPr="008A76C4" w:rsidRDefault="008A76C4" w:rsidP="00131BEF">
      <w:pPr>
        <w:pStyle w:val="Heading1"/>
        <w:spacing w:before="0" w:line="276" w:lineRule="auto"/>
        <w:rPr>
          <w:rFonts w:ascii="Arial" w:eastAsia="Arial" w:hAnsi="Arial" w:cs="Arial"/>
          <w:sz w:val="28"/>
          <w:szCs w:val="28"/>
          <w:lang w:eastAsia="en-AU"/>
        </w:rPr>
      </w:pPr>
      <w:r w:rsidRPr="008A76C4">
        <w:rPr>
          <w:rFonts w:ascii="Arial" w:eastAsia="Arial" w:hAnsi="Arial" w:cs="Arial"/>
          <w:sz w:val="28"/>
          <w:szCs w:val="28"/>
          <w:lang w:eastAsia="en-AU"/>
        </w:rPr>
        <w:lastRenderedPageBreak/>
        <w:t xml:space="preserve">APPENDIX 1: REVIEW OF THE LITERATURE </w:t>
      </w:r>
    </w:p>
    <w:p w14:paraId="5CAD9602" w14:textId="77777777" w:rsidR="009679AC" w:rsidRPr="009679AC" w:rsidRDefault="009679AC" w:rsidP="009679AC">
      <w:pPr>
        <w:spacing w:after="160" w:line="259" w:lineRule="auto"/>
        <w:jc w:val="both"/>
        <w:rPr>
          <w:rFonts w:ascii="Arial" w:eastAsia="Arial" w:hAnsi="Arial" w:cs="Arial"/>
          <w:b/>
          <w:bCs/>
          <w:sz w:val="22"/>
          <w:szCs w:val="22"/>
          <w:lang w:val="en-US"/>
        </w:rPr>
      </w:pPr>
      <w:r w:rsidRPr="009679AC">
        <w:rPr>
          <w:rFonts w:ascii="Arial" w:eastAsia="Arial" w:hAnsi="Arial" w:cs="Arial"/>
          <w:b/>
          <w:bCs/>
          <w:sz w:val="22"/>
          <w:szCs w:val="22"/>
          <w:lang w:val="en-US"/>
        </w:rPr>
        <w:t>Introduction</w:t>
      </w:r>
    </w:p>
    <w:p w14:paraId="0A60C0AB" w14:textId="77777777" w:rsidR="009679AC" w:rsidRPr="009679AC" w:rsidRDefault="009679AC" w:rsidP="009679AC">
      <w:pPr>
        <w:spacing w:after="160" w:line="259" w:lineRule="auto"/>
        <w:jc w:val="both"/>
        <w:rPr>
          <w:rFonts w:ascii="Arial" w:eastAsia="Arial" w:hAnsi="Arial" w:cs="Arial"/>
          <w:sz w:val="22"/>
          <w:szCs w:val="22"/>
          <w:lang w:val="en-US"/>
        </w:rPr>
      </w:pPr>
      <w:r w:rsidRPr="009679AC">
        <w:rPr>
          <w:rFonts w:ascii="Arial" w:eastAsia="Arial" w:hAnsi="Arial" w:cs="Arial"/>
          <w:sz w:val="22"/>
          <w:szCs w:val="22"/>
          <w:lang w:val="en-US"/>
        </w:rPr>
        <w:t>Announced in Victoria’s 2021-2022 budget, the Early Intervention Investment Framework (EIIF) is an innovative social services funding mechanism designed to link government investment with the quantifiable outcomes of early intervention programs. These outcomes are organised into two categories: the impacts on the lives of services users, their families, and the broader Victorian community, and the avoided costs to government from reduced need for acute services. The overarching goal of the EIIF is to balance budgetary reform with budgetary savings to deliver initiatives that are efficient and improve the lives of Victorians.</w:t>
      </w:r>
    </w:p>
    <w:p w14:paraId="3CCC0FDA" w14:textId="77777777" w:rsidR="009679AC" w:rsidRPr="009679AC" w:rsidRDefault="009679AC" w:rsidP="009679AC">
      <w:pPr>
        <w:spacing w:after="160" w:line="259" w:lineRule="auto"/>
        <w:jc w:val="both"/>
        <w:rPr>
          <w:rFonts w:ascii="Arial" w:eastAsia="Arial" w:hAnsi="Arial" w:cs="Arial"/>
          <w:sz w:val="22"/>
          <w:szCs w:val="22"/>
          <w:lang w:val="en-US"/>
        </w:rPr>
      </w:pPr>
      <w:r w:rsidRPr="009679AC">
        <w:rPr>
          <w:rFonts w:ascii="Arial" w:eastAsia="Arial" w:hAnsi="Arial" w:cs="Arial"/>
          <w:sz w:val="22"/>
          <w:szCs w:val="22"/>
          <w:lang w:val="en-US"/>
        </w:rPr>
        <w:t xml:space="preserve">The first EIIF package – a total of $324 million over 4 years – supports Victorians from a range of cohorts, with complex policy issues and avoided costs that fall across several portfolios, including child protection, housing, health, and crime prevention. The EIIF reflects a broader trend in the public service away from budget and accountability silos towards a focus on whole systems approaches, greater fiscal sustainability and innovative budget management systems that support a wider set of outcomes. </w:t>
      </w:r>
    </w:p>
    <w:p w14:paraId="7B88ECB8" w14:textId="77777777" w:rsidR="009679AC" w:rsidRPr="009679AC" w:rsidRDefault="009679AC" w:rsidP="009679AC">
      <w:pPr>
        <w:spacing w:after="160" w:line="259" w:lineRule="auto"/>
        <w:jc w:val="both"/>
        <w:rPr>
          <w:rFonts w:ascii="Arial" w:eastAsia="Arial" w:hAnsi="Arial" w:cs="Arial"/>
          <w:sz w:val="22"/>
          <w:szCs w:val="22"/>
          <w:lang w:val="en-US"/>
        </w:rPr>
      </w:pPr>
      <w:r w:rsidRPr="009679AC">
        <w:rPr>
          <w:rFonts w:ascii="Arial" w:eastAsia="Arial" w:hAnsi="Arial" w:cs="Arial"/>
          <w:sz w:val="22"/>
          <w:szCs w:val="22"/>
          <w:lang w:val="en-US"/>
        </w:rPr>
        <w:t xml:space="preserve">While the EIIF and similar government funding mechanisms encourage cross-portfolio collaboration and greater autonomy to innovate and manage resources, considerable implementation challenges exist. These challenges are largely attitudinal and structural in nature, including the distinct roles and responsibilities of central and line agencies and the flow on effects for negotiating shared benefits and risks. This review draws on academic and practitioner literature to provide a high-level assessment of the barriers to and the </w:t>
      </w:r>
      <w:bookmarkStart w:id="5" w:name="_Int_O5zXo752"/>
      <w:r w:rsidRPr="009679AC">
        <w:rPr>
          <w:rFonts w:ascii="Arial" w:eastAsia="Arial" w:hAnsi="Arial" w:cs="Arial"/>
          <w:sz w:val="22"/>
          <w:szCs w:val="22"/>
          <w:lang w:val="en-US"/>
        </w:rPr>
        <w:t>enablers</w:t>
      </w:r>
      <w:bookmarkEnd w:id="5"/>
      <w:r w:rsidRPr="009679AC">
        <w:rPr>
          <w:rFonts w:ascii="Arial" w:eastAsia="Arial" w:hAnsi="Arial" w:cs="Arial"/>
          <w:sz w:val="22"/>
          <w:szCs w:val="22"/>
          <w:lang w:val="en-US"/>
        </w:rPr>
        <w:t xml:space="preserve"> of long-term and intersectional government budgeting. </w:t>
      </w:r>
    </w:p>
    <w:p w14:paraId="23AC7B87" w14:textId="248408CF" w:rsidR="009679AC" w:rsidRPr="009679AC" w:rsidRDefault="009679AC" w:rsidP="009679AC">
      <w:pPr>
        <w:spacing w:after="160" w:line="259" w:lineRule="auto"/>
        <w:jc w:val="both"/>
        <w:rPr>
          <w:rFonts w:ascii="Arial" w:eastAsia="Arial" w:hAnsi="Arial" w:cs="Arial"/>
          <w:sz w:val="22"/>
          <w:szCs w:val="22"/>
          <w:lang w:val="en-US"/>
        </w:rPr>
      </w:pPr>
      <w:r w:rsidRPr="009679AC">
        <w:rPr>
          <w:rFonts w:ascii="Arial" w:eastAsia="Arial" w:hAnsi="Arial" w:cs="Arial"/>
          <w:sz w:val="22"/>
          <w:szCs w:val="22"/>
          <w:lang w:val="en-US"/>
        </w:rPr>
        <w:t xml:space="preserve">This literature review begins with an overview of the mechanics of government collaboration and the importance of developing a sense of shared purpose. The review then explores social impact bonds (SIB), as the closest comparator to the EIIF. The mindsets, tools, and processes that support collaboration are examined through SIBs literature and case studies. The review closes with </w:t>
      </w:r>
      <w:bookmarkStart w:id="6" w:name="_Int_w9MQX62T"/>
      <w:r w:rsidRPr="009679AC">
        <w:rPr>
          <w:rFonts w:ascii="Arial" w:eastAsia="Arial" w:hAnsi="Arial" w:cs="Arial"/>
          <w:sz w:val="22"/>
          <w:szCs w:val="22"/>
          <w:lang w:val="en-US"/>
        </w:rPr>
        <w:t>a consideration</w:t>
      </w:r>
      <w:bookmarkEnd w:id="6"/>
      <w:r w:rsidRPr="009679AC">
        <w:rPr>
          <w:rFonts w:ascii="Arial" w:eastAsia="Arial" w:hAnsi="Arial" w:cs="Arial"/>
          <w:sz w:val="22"/>
          <w:szCs w:val="22"/>
          <w:lang w:val="en-US"/>
        </w:rPr>
        <w:t xml:space="preserve"> of the relationship between central and line agencies, and proposed models for greater autonomy to facilitate trust and budgetary innovation. </w:t>
      </w:r>
    </w:p>
    <w:p w14:paraId="2B0BAD08" w14:textId="77777777" w:rsidR="009679AC" w:rsidRPr="009679AC" w:rsidRDefault="009679AC" w:rsidP="009679AC">
      <w:pPr>
        <w:spacing w:after="160" w:line="259" w:lineRule="auto"/>
        <w:jc w:val="both"/>
        <w:rPr>
          <w:rFonts w:ascii="Arial" w:eastAsia="Arial" w:hAnsi="Arial" w:cs="Arial"/>
          <w:sz w:val="22"/>
          <w:szCs w:val="22"/>
          <w:lang w:val="en-US"/>
        </w:rPr>
      </w:pPr>
      <w:r w:rsidRPr="009679AC">
        <w:rPr>
          <w:rFonts w:ascii="Arial" w:eastAsia="Arial" w:hAnsi="Arial" w:cs="Arial"/>
          <w:b/>
          <w:bCs/>
          <w:sz w:val="22"/>
          <w:szCs w:val="22"/>
          <w:lang w:val="en-US"/>
        </w:rPr>
        <w:t>The Mechanics of Government Collaboration</w:t>
      </w:r>
    </w:p>
    <w:p w14:paraId="79F9CE37" w14:textId="77777777" w:rsidR="009679AC" w:rsidRPr="009679AC" w:rsidRDefault="009679AC" w:rsidP="009679AC">
      <w:pPr>
        <w:spacing w:after="160" w:line="259" w:lineRule="auto"/>
        <w:jc w:val="both"/>
        <w:rPr>
          <w:rFonts w:ascii="Arial" w:eastAsia="Arial" w:hAnsi="Arial" w:cs="Arial"/>
          <w:sz w:val="22"/>
          <w:szCs w:val="22"/>
          <w:vertAlign w:val="superscript"/>
          <w:lang w:val="en-US"/>
        </w:rPr>
      </w:pPr>
      <w:r w:rsidRPr="009679AC">
        <w:rPr>
          <w:rFonts w:ascii="Arial" w:eastAsia="Arial" w:hAnsi="Arial" w:cs="Arial"/>
          <w:sz w:val="22"/>
          <w:szCs w:val="22"/>
          <w:lang w:val="en-US"/>
        </w:rPr>
        <w:t xml:space="preserve">Collaboration is key to the delivery of government programs in which </w:t>
      </w:r>
      <w:bookmarkStart w:id="7" w:name="_Int_gz1OdBeg"/>
      <w:r w:rsidRPr="009679AC">
        <w:rPr>
          <w:rFonts w:ascii="Arial" w:eastAsia="Arial" w:hAnsi="Arial" w:cs="Arial"/>
          <w:sz w:val="22"/>
          <w:szCs w:val="22"/>
          <w:lang w:val="en-US"/>
        </w:rPr>
        <w:t>benefits</w:t>
      </w:r>
      <w:bookmarkEnd w:id="7"/>
      <w:r w:rsidRPr="009679AC">
        <w:rPr>
          <w:rFonts w:ascii="Arial" w:eastAsia="Arial" w:hAnsi="Arial" w:cs="Arial"/>
          <w:sz w:val="22"/>
          <w:szCs w:val="22"/>
          <w:lang w:val="en-US"/>
        </w:rPr>
        <w:t xml:space="preserve"> and risks are distributed across portfolios. However, as the literature notes, collaboration is difficult to implement when contending with different priorities and operating environments.</w:t>
      </w:r>
      <w:r w:rsidRPr="009679AC">
        <w:rPr>
          <w:rFonts w:ascii="Arial" w:eastAsia="Arial" w:hAnsi="Arial" w:cs="Arial"/>
          <w:sz w:val="22"/>
          <w:szCs w:val="22"/>
          <w:vertAlign w:val="superscript"/>
          <w:lang w:val="en-US"/>
        </w:rPr>
        <w:footnoteReference w:id="18"/>
      </w:r>
      <w:r w:rsidRPr="009679AC">
        <w:rPr>
          <w:rFonts w:ascii="Arial" w:eastAsia="Arial" w:hAnsi="Arial" w:cs="Arial"/>
          <w:sz w:val="22"/>
          <w:szCs w:val="22"/>
          <w:lang w:val="en-US"/>
        </w:rPr>
        <w:t xml:space="preserve"> This is particularly true of intersectional and long-term budgeting programs where benefits are diffused across multiple agencies. While these kinds of programs break down budgeting silos, encouraging innovation and greater efficiency, there are a lack of incentives when program risks and benefits are owned by another agency.</w:t>
      </w:r>
      <w:r w:rsidRPr="009679AC">
        <w:rPr>
          <w:rFonts w:ascii="Arial" w:eastAsia="Arial" w:hAnsi="Arial" w:cs="Arial"/>
          <w:sz w:val="22"/>
          <w:szCs w:val="22"/>
          <w:vertAlign w:val="superscript"/>
          <w:lang w:val="en-US"/>
        </w:rPr>
        <w:footnoteReference w:id="19"/>
      </w:r>
      <w:r w:rsidRPr="009679AC">
        <w:rPr>
          <w:rFonts w:ascii="Arial" w:eastAsia="Arial" w:hAnsi="Arial" w:cs="Arial"/>
          <w:sz w:val="22"/>
          <w:szCs w:val="22"/>
          <w:lang w:val="en-US"/>
        </w:rPr>
        <w:t xml:space="preserve"> The challenge is an attitudinal one, Emily Miles and William Trott observe, in which governments must adopt a whole systems approach that prioritises the relationships between agencies and their shared purpose, rather than looking at the constituent parts of a system as if they operate independently from one </w:t>
      </w:r>
      <w:r w:rsidRPr="009679AC">
        <w:rPr>
          <w:rFonts w:ascii="Arial" w:eastAsia="Arial" w:hAnsi="Arial" w:cs="Arial"/>
          <w:sz w:val="22"/>
          <w:szCs w:val="22"/>
          <w:lang w:val="en-US"/>
        </w:rPr>
        <w:lastRenderedPageBreak/>
        <w:t>another.</w:t>
      </w:r>
      <w:r w:rsidRPr="009679AC">
        <w:rPr>
          <w:rFonts w:ascii="Arial" w:eastAsia="Arial" w:hAnsi="Arial" w:cs="Arial"/>
          <w:sz w:val="22"/>
          <w:szCs w:val="22"/>
          <w:vertAlign w:val="superscript"/>
          <w:lang w:val="en-US"/>
        </w:rPr>
        <w:footnoteReference w:id="20"/>
      </w:r>
      <w:r w:rsidRPr="009679AC">
        <w:rPr>
          <w:rFonts w:ascii="Arial" w:eastAsia="Arial" w:hAnsi="Arial" w:cs="Arial"/>
          <w:sz w:val="22"/>
          <w:szCs w:val="22"/>
          <w:lang w:val="en-US"/>
        </w:rPr>
        <w:t xml:space="preserve"> Three broad enablers of this whole systems approach </w:t>
      </w:r>
      <w:bookmarkStart w:id="8" w:name="_Int_3GuIyECl"/>
      <w:r w:rsidRPr="009679AC">
        <w:rPr>
          <w:rFonts w:ascii="Arial" w:eastAsia="Arial" w:hAnsi="Arial" w:cs="Arial"/>
          <w:sz w:val="22"/>
          <w:szCs w:val="22"/>
          <w:lang w:val="en-US"/>
        </w:rPr>
        <w:t>were</w:t>
      </w:r>
      <w:bookmarkEnd w:id="8"/>
      <w:r w:rsidRPr="009679AC">
        <w:rPr>
          <w:rFonts w:ascii="Arial" w:eastAsia="Arial" w:hAnsi="Arial" w:cs="Arial"/>
          <w:sz w:val="22"/>
          <w:szCs w:val="22"/>
          <w:lang w:val="en-US"/>
        </w:rPr>
        <w:t xml:space="preserve"> identified in the literature: shared purpose and benefits, trust, and effective and supportive leadership.</w:t>
      </w:r>
    </w:p>
    <w:p w14:paraId="7F690AAA" w14:textId="77777777" w:rsidR="009679AC" w:rsidRPr="009679AC" w:rsidRDefault="009679AC" w:rsidP="009679AC">
      <w:pPr>
        <w:spacing w:after="160" w:line="259" w:lineRule="auto"/>
        <w:jc w:val="both"/>
        <w:rPr>
          <w:rFonts w:ascii="Arial" w:eastAsia="Arial" w:hAnsi="Arial" w:cs="Arial"/>
          <w:sz w:val="22"/>
          <w:szCs w:val="22"/>
          <w:lang w:val="en-US"/>
        </w:rPr>
      </w:pPr>
      <w:r w:rsidRPr="009679AC">
        <w:rPr>
          <w:rFonts w:ascii="Arial" w:eastAsia="Arial" w:hAnsi="Arial" w:cs="Arial"/>
          <w:sz w:val="22"/>
          <w:szCs w:val="22"/>
          <w:lang w:val="en-US"/>
        </w:rPr>
        <w:t>The literature shows in abundance that shared purpose is required for successful collaboration. A focus on desired outcomes from the outset is useful in developing a shared purpose and sense of shared ownership of both risks and benefits. In their overview of resource pooling at the local government area level, Lonsdale et al. found that a focus on jointly negotiated outcomes promoted a common understanding of an issue, overall objectives, and the standard of evidence needed to determine if objectives had been met.</w:t>
      </w:r>
      <w:r w:rsidRPr="009679AC">
        <w:rPr>
          <w:rFonts w:ascii="Arial" w:eastAsia="Arial" w:hAnsi="Arial" w:cs="Arial"/>
          <w:sz w:val="22"/>
          <w:szCs w:val="22"/>
          <w:vertAlign w:val="superscript"/>
          <w:lang w:val="en-US"/>
        </w:rPr>
        <w:footnoteReference w:id="21"/>
      </w:r>
      <w:r w:rsidRPr="009679AC">
        <w:rPr>
          <w:rFonts w:ascii="Arial" w:eastAsia="Arial" w:hAnsi="Arial" w:cs="Arial"/>
          <w:sz w:val="22"/>
          <w:szCs w:val="22"/>
          <w:lang w:val="en-US"/>
        </w:rPr>
        <w:t xml:space="preserve"> </w:t>
      </w:r>
    </w:p>
    <w:p w14:paraId="7BCB112B" w14:textId="77777777" w:rsidR="009679AC" w:rsidRPr="009679AC" w:rsidRDefault="009679AC" w:rsidP="009679AC">
      <w:pPr>
        <w:spacing w:after="160" w:line="259" w:lineRule="auto"/>
        <w:jc w:val="both"/>
        <w:rPr>
          <w:rFonts w:ascii="Arial" w:eastAsia="Arial" w:hAnsi="Arial" w:cs="Arial"/>
          <w:sz w:val="22"/>
          <w:szCs w:val="22"/>
          <w:lang w:val="en-US"/>
        </w:rPr>
      </w:pPr>
      <w:r w:rsidRPr="009679AC">
        <w:rPr>
          <w:rFonts w:ascii="Arial" w:eastAsia="Arial" w:hAnsi="Arial" w:cs="Arial"/>
          <w:sz w:val="22"/>
          <w:szCs w:val="22"/>
          <w:lang w:val="en-US"/>
        </w:rPr>
        <w:t>Leadership traits and mindsets – both at the individual and systems level – also play an important role in promoting shared purpose and driving altitudinal change. Strong leadership that consistently and repeatedly emphasises a shared vision and explores opportunities for cross-boundary working sets the tone throughout the participating organisations.</w:t>
      </w:r>
      <w:r w:rsidRPr="009679AC">
        <w:rPr>
          <w:rFonts w:ascii="Arial" w:eastAsia="Arial" w:hAnsi="Arial" w:cs="Arial"/>
          <w:sz w:val="22"/>
          <w:szCs w:val="22"/>
          <w:vertAlign w:val="superscript"/>
          <w:lang w:val="en-US"/>
        </w:rPr>
        <w:footnoteReference w:id="22"/>
      </w:r>
      <w:r w:rsidRPr="009679AC">
        <w:rPr>
          <w:rFonts w:ascii="Arial" w:eastAsia="Arial" w:hAnsi="Arial" w:cs="Arial"/>
          <w:sz w:val="22"/>
          <w:szCs w:val="22"/>
          <w:lang w:val="en-US"/>
        </w:rPr>
        <w:t xml:space="preserve"> In the case of the Suffolk Lowestoft Rising project – which focused on pooling resources to promote a whole systems approach joining up local social services – a Sponsoring Group</w:t>
      </w:r>
      <w:r w:rsidRPr="009679AC">
        <w:rPr>
          <w:rFonts w:ascii="Arial" w:eastAsia="Arial" w:hAnsi="Arial" w:cs="Arial"/>
          <w:b/>
          <w:bCs/>
          <w:sz w:val="22"/>
          <w:szCs w:val="22"/>
          <w:lang w:val="en-US"/>
        </w:rPr>
        <w:t xml:space="preserve"> </w:t>
      </w:r>
      <w:r w:rsidRPr="009679AC">
        <w:rPr>
          <w:rFonts w:ascii="Arial" w:eastAsia="Arial" w:hAnsi="Arial" w:cs="Arial"/>
          <w:sz w:val="22"/>
          <w:szCs w:val="22"/>
          <w:lang w:val="en-US"/>
        </w:rPr>
        <w:t>of chief officers from the five partners provides leadership and strategic decision-making on resource allocation and work streams. The Sponsoring Group reaffirmed their commitment to cross-boundary collaboration through the Support Team, which consists of at least one staff member from each participating organisation to lead work streams and engage with staff from each of the other participating organisations.</w:t>
      </w:r>
      <w:r w:rsidRPr="009679AC">
        <w:rPr>
          <w:rFonts w:ascii="Arial" w:eastAsia="Arial" w:hAnsi="Arial" w:cs="Arial"/>
          <w:sz w:val="22"/>
          <w:szCs w:val="22"/>
          <w:vertAlign w:val="superscript"/>
          <w:lang w:val="en-US"/>
        </w:rPr>
        <w:footnoteReference w:id="23"/>
      </w:r>
      <w:r w:rsidRPr="009679AC">
        <w:rPr>
          <w:rFonts w:ascii="Arial" w:eastAsia="Arial" w:hAnsi="Arial" w:cs="Arial"/>
          <w:sz w:val="22"/>
          <w:szCs w:val="22"/>
          <w:lang w:val="en-US"/>
        </w:rPr>
        <w:t xml:space="preserve"> Groups such as these signal a common objective and a commitment to cross-collaboration.</w:t>
      </w:r>
    </w:p>
    <w:p w14:paraId="715F404A" w14:textId="77777777" w:rsidR="00194088" w:rsidRPr="006B265B" w:rsidRDefault="009679AC" w:rsidP="009679AC">
      <w:pPr>
        <w:spacing w:after="160" w:line="259" w:lineRule="auto"/>
        <w:jc w:val="both"/>
        <w:rPr>
          <w:rFonts w:ascii="Arial" w:eastAsia="Arial" w:hAnsi="Arial" w:cs="Arial"/>
          <w:b/>
          <w:bCs/>
          <w:sz w:val="22"/>
          <w:szCs w:val="22"/>
          <w:lang w:val="en-US"/>
        </w:rPr>
      </w:pPr>
      <w:r w:rsidRPr="009679AC">
        <w:rPr>
          <w:rFonts w:ascii="Arial" w:eastAsia="Arial" w:hAnsi="Arial" w:cs="Arial"/>
          <w:sz w:val="22"/>
          <w:szCs w:val="22"/>
          <w:lang w:val="en-US"/>
        </w:rPr>
        <w:t>However, more than simple signaling is necessary to facilitate effective government collaboration. Purpose-build tools and processes are also required from the outset to establish trust and close any links between agencies. As different agencies have varying objectives and regulatory structures, they will likely view the management of risks and benefits differently. The literature suggests that early engagement that is driven by strong leadership is central to understanding the different contexts and interests at play and, where possible, seek alignment. Alignment is best achieved through well-designed mechanisms, such as governance structures and risk frameworks, which set out common terminology, balance and allocate risk between parties, and provide guidelines for the management of resources.</w:t>
      </w:r>
      <w:r w:rsidRPr="009679AC">
        <w:rPr>
          <w:rFonts w:ascii="Arial" w:eastAsia="Arial" w:hAnsi="Arial" w:cs="Arial"/>
          <w:sz w:val="22"/>
          <w:szCs w:val="22"/>
          <w:vertAlign w:val="superscript"/>
          <w:lang w:val="en-US"/>
        </w:rPr>
        <w:footnoteReference w:id="24"/>
      </w:r>
      <w:r w:rsidRPr="009679AC">
        <w:rPr>
          <w:rFonts w:ascii="Arial" w:eastAsia="Arial" w:hAnsi="Arial" w:cs="Arial"/>
          <w:sz w:val="22"/>
          <w:szCs w:val="22"/>
          <w:lang w:val="en-US"/>
        </w:rPr>
        <w:t xml:space="preserve"> In the case of shared budgets, this may take the form of a shared accountability structure for each agency to promote transparency in how allocations are spent.</w:t>
      </w:r>
      <w:r w:rsidRPr="009679AC">
        <w:rPr>
          <w:rFonts w:ascii="Arial" w:eastAsia="Arial" w:hAnsi="Arial" w:cs="Arial"/>
          <w:sz w:val="22"/>
          <w:szCs w:val="22"/>
          <w:vertAlign w:val="superscript"/>
          <w:lang w:val="en-US"/>
        </w:rPr>
        <w:footnoteReference w:id="25"/>
      </w:r>
      <w:r w:rsidRPr="009679AC">
        <w:rPr>
          <w:rFonts w:ascii="Arial" w:eastAsia="Arial" w:hAnsi="Arial" w:cs="Arial"/>
          <w:sz w:val="22"/>
          <w:szCs w:val="22"/>
          <w:lang w:val="en-US"/>
        </w:rPr>
        <w:t xml:space="preserve"> As Lonsdale et al. note, “such tools provide the basis for considering strategically the overall objectives that all partners are seeking to achieve, and help to link individual contributions to the wider initiative.”</w:t>
      </w:r>
      <w:r w:rsidRPr="009679AC">
        <w:rPr>
          <w:rFonts w:ascii="Arial" w:eastAsia="Arial" w:hAnsi="Arial" w:cs="Arial"/>
          <w:sz w:val="22"/>
          <w:szCs w:val="22"/>
          <w:vertAlign w:val="superscript"/>
          <w:lang w:val="en-US"/>
        </w:rPr>
        <w:footnoteReference w:id="26"/>
      </w:r>
      <w:r w:rsidRPr="009679AC">
        <w:rPr>
          <w:rFonts w:ascii="Arial" w:eastAsia="Arial" w:hAnsi="Arial" w:cs="Arial"/>
          <w:sz w:val="22"/>
          <w:szCs w:val="22"/>
          <w:lang w:val="en-US"/>
        </w:rPr>
        <w:t xml:space="preserve"> Moreover, they establish common operating guidelines that are relevant to all participants and offset any fear that individual agencies will behave in a way that threatens the objectives of other </w:t>
      </w:r>
      <w:r w:rsidRPr="009679AC">
        <w:rPr>
          <w:rFonts w:ascii="Arial" w:eastAsia="Arial" w:hAnsi="Arial" w:cs="Arial"/>
          <w:sz w:val="22"/>
          <w:szCs w:val="22"/>
          <w:lang w:val="en-US"/>
        </w:rPr>
        <w:lastRenderedPageBreak/>
        <w:t>agencies. The ideal result is high buy-in among participants and a sense of shared responsibility to one another and for the management of risks and benefits.</w:t>
      </w:r>
    </w:p>
    <w:p w14:paraId="161B23F8" w14:textId="7C695E9A" w:rsidR="009679AC" w:rsidRPr="009679AC" w:rsidRDefault="009679AC" w:rsidP="009679AC">
      <w:pPr>
        <w:spacing w:after="160" w:line="259" w:lineRule="auto"/>
        <w:jc w:val="both"/>
        <w:rPr>
          <w:rFonts w:ascii="Arial" w:eastAsia="Arial" w:hAnsi="Arial" w:cs="Arial"/>
          <w:sz w:val="22"/>
          <w:szCs w:val="22"/>
          <w:lang w:val="en-US"/>
        </w:rPr>
      </w:pPr>
      <w:r w:rsidRPr="009679AC">
        <w:rPr>
          <w:rFonts w:ascii="Arial" w:eastAsia="Arial" w:hAnsi="Arial" w:cs="Arial"/>
          <w:b/>
          <w:bCs/>
          <w:sz w:val="22"/>
          <w:szCs w:val="22"/>
          <w:lang w:val="en-US"/>
        </w:rPr>
        <w:t>Social Impact Bonds: Challenges and Enablers</w:t>
      </w:r>
    </w:p>
    <w:p w14:paraId="2A3FB17E" w14:textId="77777777" w:rsidR="009679AC" w:rsidRPr="009679AC" w:rsidRDefault="009679AC" w:rsidP="009679AC">
      <w:pPr>
        <w:spacing w:after="160" w:line="259" w:lineRule="auto"/>
        <w:jc w:val="both"/>
        <w:rPr>
          <w:rFonts w:ascii="Arial" w:eastAsia="Arial" w:hAnsi="Arial" w:cs="Arial"/>
          <w:sz w:val="22"/>
          <w:szCs w:val="22"/>
          <w:lang w:val="en-US"/>
        </w:rPr>
      </w:pPr>
      <w:r w:rsidRPr="009679AC">
        <w:rPr>
          <w:rFonts w:ascii="Arial" w:eastAsia="Arial" w:hAnsi="Arial" w:cs="Arial"/>
          <w:sz w:val="22"/>
          <w:szCs w:val="22"/>
          <w:lang w:val="en-US"/>
        </w:rPr>
        <w:t>The last decade has seen an increased focus on developing new funding approaches for delivering social impact. There has been a drive towards reform within the public service, moving away from a spending mindset that responds to the consequences of a crisis towards spending that seeks to lessen the consequences of a crisis.</w:t>
      </w:r>
      <w:r w:rsidRPr="009679AC">
        <w:rPr>
          <w:rFonts w:ascii="Arial" w:eastAsia="Arial" w:hAnsi="Arial" w:cs="Arial"/>
          <w:sz w:val="22"/>
          <w:szCs w:val="22"/>
          <w:vertAlign w:val="superscript"/>
          <w:lang w:val="en-US"/>
        </w:rPr>
        <w:footnoteReference w:id="27"/>
      </w:r>
      <w:r w:rsidRPr="009679AC">
        <w:rPr>
          <w:rFonts w:ascii="Arial" w:eastAsia="Arial" w:hAnsi="Arial" w:cs="Arial"/>
          <w:sz w:val="22"/>
          <w:szCs w:val="22"/>
          <w:lang w:val="en-US"/>
        </w:rPr>
        <w:t xml:space="preserve"> One such mechanism are social impact bonds (SIBs), a type of pay for success contract between government and private or philanthropic investors in which repayment on investment is linked to agreed measurable social outcomes. The EIIF draws on the best parts of the SIBs model – quantification and rigorous program evaluation linked to government payments – and scales it up. As the closest comparator to the EIIF, the lessons learnt from SIBs are highly relevant.</w:t>
      </w:r>
    </w:p>
    <w:p w14:paraId="688904CA" w14:textId="77777777" w:rsidR="009679AC" w:rsidRPr="009679AC" w:rsidRDefault="009679AC" w:rsidP="009679AC">
      <w:pPr>
        <w:spacing w:after="160" w:line="259" w:lineRule="auto"/>
        <w:jc w:val="both"/>
        <w:rPr>
          <w:rFonts w:ascii="Arial" w:eastAsia="Arial" w:hAnsi="Arial" w:cs="Arial"/>
          <w:sz w:val="22"/>
          <w:szCs w:val="22"/>
          <w:lang w:val="en-US"/>
        </w:rPr>
      </w:pPr>
      <w:r w:rsidRPr="009679AC">
        <w:rPr>
          <w:rFonts w:ascii="Arial" w:eastAsia="Arial" w:hAnsi="Arial" w:cs="Arial"/>
          <w:sz w:val="22"/>
          <w:szCs w:val="22"/>
          <w:lang w:val="en-US"/>
        </w:rPr>
        <w:t>Social outcomes funding has been commended in the literature as an innovative approach that delivers the following benefits:</w:t>
      </w:r>
    </w:p>
    <w:p w14:paraId="6B89A74D" w14:textId="77777777" w:rsidR="009679AC" w:rsidRPr="009679AC" w:rsidRDefault="009679AC" w:rsidP="009679AC">
      <w:pPr>
        <w:numPr>
          <w:ilvl w:val="0"/>
          <w:numId w:val="25"/>
        </w:numPr>
        <w:spacing w:after="160" w:line="259" w:lineRule="auto"/>
        <w:contextualSpacing/>
        <w:jc w:val="both"/>
        <w:rPr>
          <w:rFonts w:ascii="Arial" w:eastAsia="Arial" w:hAnsi="Arial" w:cs="Arial"/>
          <w:sz w:val="22"/>
          <w:szCs w:val="22"/>
          <w:lang w:val="en-US"/>
        </w:rPr>
      </w:pPr>
      <w:r w:rsidRPr="009679AC">
        <w:rPr>
          <w:rFonts w:ascii="Arial" w:eastAsia="Arial" w:hAnsi="Arial" w:cs="Arial"/>
          <w:sz w:val="22"/>
          <w:szCs w:val="22"/>
          <w:lang w:val="en-US"/>
        </w:rPr>
        <w:t>More efficient use of public funds: the cost and benefits of a program are assessed on merit, while early intervention programs prevent poor social outcomes and, in turn, reduce future social service expenditure.</w:t>
      </w:r>
    </w:p>
    <w:p w14:paraId="1AE420B9" w14:textId="77777777" w:rsidR="009679AC" w:rsidRPr="009679AC" w:rsidRDefault="009679AC" w:rsidP="009679AC">
      <w:pPr>
        <w:numPr>
          <w:ilvl w:val="0"/>
          <w:numId w:val="25"/>
        </w:numPr>
        <w:spacing w:after="160" w:line="259" w:lineRule="auto"/>
        <w:contextualSpacing/>
        <w:jc w:val="both"/>
        <w:rPr>
          <w:rFonts w:ascii="Arial" w:eastAsia="Arial" w:hAnsi="Arial" w:cs="Arial"/>
          <w:sz w:val="22"/>
          <w:szCs w:val="22"/>
          <w:lang w:val="en-US"/>
        </w:rPr>
      </w:pPr>
      <w:r w:rsidRPr="009679AC">
        <w:rPr>
          <w:rFonts w:ascii="Arial" w:eastAsia="Arial" w:hAnsi="Arial" w:cs="Arial"/>
          <w:sz w:val="22"/>
          <w:szCs w:val="22"/>
          <w:lang w:val="en-US"/>
        </w:rPr>
        <w:t xml:space="preserve">Improved accountability: with funding based on achieving measurable targets, there is an increased incentive to generate rigorous program performance data. </w:t>
      </w:r>
    </w:p>
    <w:p w14:paraId="3CC8147A" w14:textId="77777777" w:rsidR="009679AC" w:rsidRPr="009679AC" w:rsidRDefault="009679AC" w:rsidP="009679AC">
      <w:pPr>
        <w:numPr>
          <w:ilvl w:val="0"/>
          <w:numId w:val="25"/>
        </w:numPr>
        <w:spacing w:after="160" w:line="259" w:lineRule="auto"/>
        <w:contextualSpacing/>
        <w:jc w:val="both"/>
        <w:rPr>
          <w:rFonts w:ascii="Arial" w:eastAsia="Arial" w:hAnsi="Arial" w:cs="Arial"/>
          <w:sz w:val="22"/>
          <w:szCs w:val="22"/>
          <w:lang w:val="en-US"/>
        </w:rPr>
      </w:pPr>
      <w:r w:rsidRPr="009679AC">
        <w:rPr>
          <w:rFonts w:ascii="Arial" w:eastAsia="Arial" w:hAnsi="Arial" w:cs="Arial"/>
          <w:sz w:val="22"/>
          <w:szCs w:val="22"/>
          <w:lang w:val="en-US"/>
        </w:rPr>
        <w:t>Accelerated uptake and sharing of best practice: responsible agencies use performance data to make evidence-based deliberation, allowing them to test new models of delivery about the best way to reach individual targets and promote scaled up implementation.</w:t>
      </w:r>
      <w:r w:rsidRPr="009679AC">
        <w:rPr>
          <w:rFonts w:ascii="Arial" w:eastAsia="Arial" w:hAnsi="Arial" w:cs="Arial"/>
          <w:sz w:val="22"/>
          <w:szCs w:val="22"/>
          <w:vertAlign w:val="superscript"/>
          <w:lang w:val="en-US"/>
        </w:rPr>
        <w:footnoteReference w:id="28"/>
      </w:r>
    </w:p>
    <w:p w14:paraId="62C659CB" w14:textId="77777777" w:rsidR="009679AC" w:rsidRPr="009679AC" w:rsidRDefault="009679AC" w:rsidP="009679AC">
      <w:pPr>
        <w:spacing w:after="160" w:line="259" w:lineRule="auto"/>
        <w:jc w:val="both"/>
        <w:rPr>
          <w:rFonts w:ascii="Arial" w:eastAsia="Arial" w:hAnsi="Arial" w:cs="Arial"/>
          <w:sz w:val="22"/>
          <w:szCs w:val="22"/>
          <w:lang w:val="en-US"/>
        </w:rPr>
      </w:pPr>
      <w:r w:rsidRPr="009679AC">
        <w:rPr>
          <w:rFonts w:ascii="Arial" w:eastAsia="Arial" w:hAnsi="Arial" w:cs="Arial"/>
          <w:sz w:val="22"/>
          <w:szCs w:val="22"/>
          <w:lang w:val="en-US"/>
        </w:rPr>
        <w:t>The world’s first SIB was the United Kingdom Justice Ministry’s contract with Social Finance to provide a package of intensive support services designed to prevent reoffending among 3,000 prisoners at Peterborough Prison. The Justice Ministry agreed to make repayments on Social Justice’s £5 million investment if the reoffending rate among prisoners released from the prison fell by at least 7.5 percent relative to the recidivism rate in a comparison group. The greater the reduction in reoffending rates beyond 7.5 percent, the larger the repayments, with a maximum return to investors of 13 per cent. The Peterborough Prison pilot, which operated between September 2010 and June 2015, resulted in a reoffending rate 9 per cent lower than the control group and was commended among stakeholders.</w:t>
      </w:r>
      <w:r w:rsidRPr="009679AC">
        <w:rPr>
          <w:rFonts w:ascii="Arial" w:eastAsia="Arial" w:hAnsi="Arial" w:cs="Arial"/>
          <w:sz w:val="22"/>
          <w:szCs w:val="22"/>
          <w:vertAlign w:val="superscript"/>
          <w:lang w:val="en-US"/>
        </w:rPr>
        <w:footnoteReference w:id="29"/>
      </w:r>
    </w:p>
    <w:p w14:paraId="6E6FB9E7" w14:textId="77777777" w:rsidR="009679AC" w:rsidRPr="009679AC" w:rsidRDefault="009679AC" w:rsidP="009679AC">
      <w:pPr>
        <w:spacing w:after="160" w:line="259" w:lineRule="auto"/>
        <w:jc w:val="both"/>
        <w:rPr>
          <w:rFonts w:ascii="Arial" w:eastAsia="Arial" w:hAnsi="Arial" w:cs="Arial"/>
          <w:b/>
          <w:bCs/>
          <w:sz w:val="22"/>
          <w:szCs w:val="22"/>
          <w:lang w:val="en-US"/>
        </w:rPr>
      </w:pPr>
      <w:r w:rsidRPr="009679AC">
        <w:rPr>
          <w:rFonts w:ascii="Arial" w:eastAsia="Arial" w:hAnsi="Arial" w:cs="Arial"/>
          <w:sz w:val="22"/>
          <w:szCs w:val="22"/>
          <w:lang w:val="en-US"/>
        </w:rPr>
        <w:t xml:space="preserve">Despite early success, SIBs remain a relatively new field of research and practice. As such, the evidence base underpinning the effectiveness of SIBs remains relatively limited. There is still much to test and refine and a sound agenda for future research. What can be gleaned from the literature are the challenges and conditions for success when implementing SIBs and similar mechanisms. </w:t>
      </w:r>
    </w:p>
    <w:p w14:paraId="4F3BC81B" w14:textId="77777777" w:rsidR="009679AC" w:rsidRPr="009679AC" w:rsidRDefault="009679AC" w:rsidP="009679AC">
      <w:pPr>
        <w:spacing w:after="160" w:line="259" w:lineRule="auto"/>
        <w:jc w:val="both"/>
        <w:rPr>
          <w:rFonts w:ascii="Arial" w:eastAsia="Arial" w:hAnsi="Arial" w:cs="Arial"/>
          <w:sz w:val="22"/>
          <w:szCs w:val="22"/>
          <w:lang w:val="en-US"/>
        </w:rPr>
      </w:pPr>
      <w:r w:rsidRPr="009679AC">
        <w:rPr>
          <w:rFonts w:ascii="Arial" w:eastAsia="Arial" w:hAnsi="Arial" w:cs="Arial"/>
          <w:sz w:val="22"/>
          <w:szCs w:val="22"/>
          <w:lang w:val="en-US"/>
        </w:rPr>
        <w:lastRenderedPageBreak/>
        <w:t xml:space="preserve">The literature identifies structural factors particular to the public service that make SIBs and other performance-based funding schemes difficult to implement. Chief among these are political and ethical drivers to focus on acute crises as they emerge and the flow </w:t>
      </w:r>
      <w:bookmarkStart w:id="9" w:name="_Int_kI79tT5C"/>
      <w:r w:rsidRPr="009679AC">
        <w:rPr>
          <w:rFonts w:ascii="Arial" w:eastAsia="Arial" w:hAnsi="Arial" w:cs="Arial"/>
          <w:sz w:val="22"/>
          <w:szCs w:val="22"/>
          <w:lang w:val="en-US"/>
        </w:rPr>
        <w:t>on</w:t>
      </w:r>
      <w:bookmarkEnd w:id="9"/>
      <w:r w:rsidRPr="009679AC">
        <w:rPr>
          <w:rFonts w:ascii="Arial" w:eastAsia="Arial" w:hAnsi="Arial" w:cs="Arial"/>
          <w:sz w:val="22"/>
          <w:szCs w:val="22"/>
          <w:lang w:val="en-US"/>
        </w:rPr>
        <w:t xml:space="preserve"> effect this has for funding certainty. This is exacerbated by the fact that SIBs take several years to deliver results. Accordingly, guarantees are required that policy changes and crisis response within central government will not lead to the diversion of funds. This generally takes the form of explicit mandates over a mid to long-term timeframe.</w:t>
      </w:r>
      <w:r w:rsidRPr="009679AC">
        <w:rPr>
          <w:rFonts w:ascii="Arial" w:eastAsia="Arial" w:hAnsi="Arial" w:cs="Arial"/>
          <w:sz w:val="22"/>
          <w:szCs w:val="22"/>
          <w:vertAlign w:val="superscript"/>
          <w:lang w:val="en-US"/>
        </w:rPr>
        <w:footnoteReference w:id="30"/>
      </w:r>
      <w:r w:rsidRPr="009679AC">
        <w:rPr>
          <w:rFonts w:ascii="Arial" w:eastAsia="Arial" w:hAnsi="Arial" w:cs="Arial"/>
          <w:sz w:val="22"/>
          <w:szCs w:val="22"/>
          <w:lang w:val="en-US"/>
        </w:rPr>
        <w:t xml:space="preserve"> To provide additional certainty, Peter Willis and Matt Tyler have suggested that the expectations of both the public and government should be managed to ensure results are understood contextually. This includes avoiding messaging that “successful programs will ‘pay for themselves’”, instead placing an emphasis on sustainability and combining fiscal responsibility with improved lives.</w:t>
      </w:r>
      <w:r w:rsidRPr="009679AC">
        <w:rPr>
          <w:rFonts w:ascii="Arial" w:eastAsia="Arial" w:hAnsi="Arial" w:cs="Arial"/>
          <w:sz w:val="22"/>
          <w:szCs w:val="22"/>
          <w:vertAlign w:val="superscript"/>
          <w:lang w:val="en-US"/>
        </w:rPr>
        <w:footnoteReference w:id="31"/>
      </w:r>
    </w:p>
    <w:p w14:paraId="437890F2" w14:textId="77777777" w:rsidR="009679AC" w:rsidRPr="009679AC" w:rsidRDefault="009679AC" w:rsidP="009679AC">
      <w:pPr>
        <w:spacing w:after="160" w:line="259" w:lineRule="auto"/>
        <w:jc w:val="both"/>
        <w:rPr>
          <w:rFonts w:ascii="Arial" w:eastAsia="Arial" w:hAnsi="Arial" w:cs="Arial"/>
          <w:sz w:val="22"/>
          <w:szCs w:val="22"/>
          <w:lang w:val="en-US"/>
        </w:rPr>
      </w:pPr>
      <w:r w:rsidRPr="009679AC">
        <w:rPr>
          <w:rFonts w:ascii="Arial" w:eastAsia="Arial" w:hAnsi="Arial" w:cs="Arial"/>
          <w:sz w:val="22"/>
          <w:szCs w:val="22"/>
          <w:lang w:val="en-US"/>
        </w:rPr>
        <w:t>For SIBs to be feasible, they must be founded on credibility. Outcome measures and the regular collection of program performance data are primary tools for ensuring this. Outcome measures provide a clear and quantified understanding of the anticipated impact that a SIBs program will deliver for the community and the service system. The literature notes the complexity of identifying appropriate and reliable outcome measures. Measures must be clear and well defined, credible over the course of a program, particularly given the long timelines of preventative funding. They must also be based on a variable, ideally a method for assessing predicted outcomes in the absence of the program. Measures that are weakly correlated with program outcomes or only measure narrow components may distort performance data and erode trust.</w:t>
      </w:r>
      <w:r w:rsidRPr="009679AC">
        <w:rPr>
          <w:rFonts w:ascii="Arial" w:eastAsia="Arial" w:hAnsi="Arial" w:cs="Arial"/>
          <w:sz w:val="22"/>
          <w:szCs w:val="22"/>
          <w:vertAlign w:val="superscript"/>
          <w:lang w:val="en-US"/>
        </w:rPr>
        <w:footnoteReference w:id="32"/>
      </w:r>
      <w:r w:rsidRPr="009679AC">
        <w:rPr>
          <w:rFonts w:ascii="Arial" w:eastAsia="Arial" w:hAnsi="Arial" w:cs="Arial"/>
          <w:sz w:val="22"/>
          <w:szCs w:val="22"/>
          <w:lang w:val="en-US"/>
        </w:rPr>
        <w:t xml:space="preserve"> In the case of one of Australia’s first SIBs – the NSW Government’s Benevolent Society Social Benefit Bond, which provides an intensive support program designed to prevent children entering out-of-home care – three outcome measurements are used to monitor the scale of impact. These are out-of-home care entries, Child Protection Helpline Reports, and the number of safety and risk assessments. Each outcome is weighted to provide a final performance percentage which determines repayment rates. The performance percentage is compared against a control group and independently certified, ensuring the credibility of the program.</w:t>
      </w:r>
      <w:r w:rsidRPr="009679AC">
        <w:rPr>
          <w:rFonts w:ascii="Arial" w:eastAsia="Arial" w:hAnsi="Arial" w:cs="Arial"/>
          <w:sz w:val="22"/>
          <w:szCs w:val="22"/>
          <w:vertAlign w:val="superscript"/>
          <w:lang w:val="en-US"/>
        </w:rPr>
        <w:footnoteReference w:id="33"/>
      </w:r>
      <w:r w:rsidRPr="009679AC">
        <w:rPr>
          <w:rFonts w:ascii="Arial" w:eastAsia="Arial" w:hAnsi="Arial" w:cs="Arial"/>
          <w:sz w:val="22"/>
          <w:szCs w:val="22"/>
          <w:lang w:val="en-US"/>
        </w:rPr>
        <w:t xml:space="preserve"> While setting and monitoring outcome measures promotes accountability, it is a time consuming and analytically complex process.</w:t>
      </w:r>
      <w:r w:rsidRPr="009679AC">
        <w:rPr>
          <w:rFonts w:ascii="Arial" w:eastAsia="Arial" w:hAnsi="Arial" w:cs="Arial"/>
          <w:b/>
          <w:bCs/>
          <w:sz w:val="22"/>
          <w:szCs w:val="22"/>
          <w:lang w:val="en-US"/>
        </w:rPr>
        <w:t xml:space="preserve"> </w:t>
      </w:r>
      <w:r w:rsidRPr="009679AC">
        <w:rPr>
          <w:rFonts w:ascii="Arial" w:eastAsia="Arial" w:hAnsi="Arial" w:cs="Arial"/>
          <w:sz w:val="22"/>
          <w:szCs w:val="22"/>
          <w:lang w:val="en-US"/>
        </w:rPr>
        <w:t>Accordingly, practitioner literature underscores the importance of planning for the time and capabilities required to ensure successful program implementation.</w:t>
      </w:r>
      <w:r w:rsidRPr="009679AC">
        <w:rPr>
          <w:rFonts w:ascii="Arial" w:eastAsia="Arial" w:hAnsi="Arial" w:cs="Arial"/>
          <w:sz w:val="22"/>
          <w:szCs w:val="22"/>
          <w:vertAlign w:val="superscript"/>
          <w:lang w:val="en-US"/>
        </w:rPr>
        <w:footnoteReference w:id="34"/>
      </w:r>
    </w:p>
    <w:p w14:paraId="035D654A" w14:textId="77777777" w:rsidR="009679AC" w:rsidRPr="009679AC" w:rsidRDefault="009679AC" w:rsidP="009679AC">
      <w:pPr>
        <w:spacing w:after="160" w:line="259" w:lineRule="auto"/>
        <w:jc w:val="both"/>
        <w:rPr>
          <w:rFonts w:ascii="Arial" w:eastAsia="Arial" w:hAnsi="Arial" w:cs="Arial"/>
          <w:sz w:val="22"/>
          <w:szCs w:val="22"/>
          <w:lang w:val="en-US"/>
        </w:rPr>
      </w:pPr>
      <w:r w:rsidRPr="009679AC">
        <w:rPr>
          <w:rFonts w:ascii="Arial" w:eastAsia="Arial" w:hAnsi="Arial" w:cs="Arial"/>
          <w:sz w:val="22"/>
          <w:szCs w:val="22"/>
          <w:lang w:val="en-US"/>
        </w:rPr>
        <w:t>A focus on outcomes not only lends credibility to SIBs, it also incentivises buy-in and evidence-based decision making through the allocation of risks and benefits.</w:t>
      </w:r>
      <w:r w:rsidRPr="009679AC">
        <w:rPr>
          <w:rFonts w:ascii="Arial" w:eastAsia="Arial" w:hAnsi="Arial" w:cs="Arial"/>
          <w:b/>
          <w:bCs/>
          <w:sz w:val="22"/>
          <w:szCs w:val="22"/>
          <w:lang w:val="en-US"/>
        </w:rPr>
        <w:t xml:space="preserve"> </w:t>
      </w:r>
      <w:r w:rsidRPr="009679AC">
        <w:rPr>
          <w:rFonts w:ascii="Arial" w:eastAsia="Arial" w:hAnsi="Arial" w:cs="Arial"/>
          <w:sz w:val="22"/>
          <w:szCs w:val="22"/>
          <w:lang w:val="en-US"/>
        </w:rPr>
        <w:t xml:space="preserve">Service providers are generally unable to provide sufficient capital upfront to fund long-term program. They are also unable to absorb the entire risk of failing to deliver on outcomes targets. SIBs allow private investors to absorb most of the risk, as well as perform a quality control role, as service </w:t>
      </w:r>
      <w:r w:rsidRPr="009679AC">
        <w:rPr>
          <w:rFonts w:ascii="Arial" w:eastAsia="Arial" w:hAnsi="Arial" w:cs="Arial"/>
          <w:sz w:val="22"/>
          <w:szCs w:val="22"/>
          <w:lang w:val="en-US"/>
        </w:rPr>
        <w:lastRenderedPageBreak/>
        <w:t>providers must be able to reasonably demonstrate that they can deliver outcomes. This risk allocation is only viable if benefits satisfy investors.</w:t>
      </w:r>
      <w:r w:rsidRPr="009679AC">
        <w:rPr>
          <w:rFonts w:ascii="Arial" w:eastAsia="Arial" w:hAnsi="Arial" w:cs="Arial"/>
          <w:b/>
          <w:bCs/>
          <w:sz w:val="22"/>
          <w:szCs w:val="22"/>
          <w:lang w:val="en-US"/>
        </w:rPr>
        <w:t xml:space="preserve"> </w:t>
      </w:r>
      <w:r w:rsidRPr="009679AC">
        <w:rPr>
          <w:rFonts w:ascii="Arial" w:eastAsia="Arial" w:hAnsi="Arial" w:cs="Arial"/>
          <w:sz w:val="22"/>
          <w:szCs w:val="22"/>
          <w:lang w:val="en-US"/>
        </w:rPr>
        <w:t>A common feature of SIBs are payments to investors that are tiered, with higher interest rates tied to higher overall improvements in outcomes.</w:t>
      </w:r>
      <w:r w:rsidRPr="009679AC">
        <w:rPr>
          <w:rFonts w:ascii="Arial" w:eastAsia="Arial" w:hAnsi="Arial" w:cs="Arial"/>
          <w:sz w:val="22"/>
          <w:szCs w:val="22"/>
          <w:vertAlign w:val="superscript"/>
          <w:lang w:val="en-US"/>
        </w:rPr>
        <w:footnoteReference w:id="35"/>
      </w:r>
      <w:r w:rsidRPr="009679AC">
        <w:rPr>
          <w:rFonts w:ascii="Arial" w:eastAsia="Arial" w:hAnsi="Arial" w:cs="Arial"/>
          <w:sz w:val="22"/>
          <w:szCs w:val="22"/>
          <w:lang w:val="en-US"/>
        </w:rPr>
        <w:t xml:space="preserve"> By linking benefits to measurable outcomes, investors understand that improved program outcomes will result in higher-level returns. Service providers similarly understand that a failure to meet outcomes will result in funding being terminated or reduced, placing the continuation of a program at risk. This model incentivises transparency and rigorous evaluation, as both parties seek to find the most effective and efficient way of delivering services.</w:t>
      </w:r>
      <w:r w:rsidRPr="009679AC">
        <w:rPr>
          <w:rFonts w:ascii="Arial" w:eastAsia="Arial" w:hAnsi="Arial" w:cs="Arial"/>
          <w:sz w:val="22"/>
          <w:szCs w:val="22"/>
          <w:vertAlign w:val="superscript"/>
          <w:lang w:val="en-US"/>
        </w:rPr>
        <w:footnoteReference w:id="36"/>
      </w:r>
      <w:r w:rsidRPr="009679AC">
        <w:rPr>
          <w:rFonts w:ascii="Arial" w:eastAsia="Arial" w:hAnsi="Arial" w:cs="Arial"/>
          <w:sz w:val="22"/>
          <w:szCs w:val="22"/>
          <w:lang w:val="en-US"/>
        </w:rPr>
        <w:t xml:space="preserve"> </w:t>
      </w:r>
    </w:p>
    <w:p w14:paraId="6F2178C3" w14:textId="5A158D2D" w:rsidR="009679AC" w:rsidRPr="009679AC" w:rsidRDefault="009679AC" w:rsidP="009679AC">
      <w:pPr>
        <w:spacing w:after="160" w:line="259" w:lineRule="auto"/>
        <w:jc w:val="both"/>
        <w:rPr>
          <w:rFonts w:ascii="Arial" w:eastAsia="Arial" w:hAnsi="Arial" w:cs="Arial"/>
          <w:sz w:val="22"/>
          <w:szCs w:val="22"/>
          <w:lang w:val="en-US"/>
        </w:rPr>
      </w:pPr>
      <w:r w:rsidRPr="009679AC">
        <w:rPr>
          <w:rFonts w:ascii="Arial" w:eastAsia="Arial" w:hAnsi="Arial" w:cs="Arial"/>
          <w:sz w:val="22"/>
          <w:szCs w:val="22"/>
          <w:lang w:val="en-US"/>
        </w:rPr>
        <w:t>Leadership that encourages and facilitates collaboration is a common feature among successful SIBs. For example, the NSW Office of Social Impact Investment (OSII) – launched in 2015 following successful SIBs piloting – is overseen by the Social Impact Investment Steering Committee. The governance group consists of executives appointed from the NSW Treasury, NSW Department of Communities and Justice, NSW Department of Education, NSW Department of Premier and Cabinet, including Aboriginal Affairs, and NSW Ministry of Health.</w:t>
      </w:r>
      <w:r w:rsidRPr="009679AC">
        <w:rPr>
          <w:rFonts w:ascii="Arial" w:eastAsia="Arial" w:hAnsi="Arial" w:cs="Arial"/>
          <w:sz w:val="22"/>
          <w:szCs w:val="22"/>
          <w:vertAlign w:val="superscript"/>
          <w:lang w:val="en-US"/>
        </w:rPr>
        <w:footnoteReference w:id="37"/>
      </w:r>
      <w:r w:rsidRPr="009679AC">
        <w:rPr>
          <w:rFonts w:ascii="Arial" w:eastAsia="Arial" w:hAnsi="Arial" w:cs="Arial"/>
          <w:sz w:val="22"/>
          <w:szCs w:val="22"/>
          <w:lang w:val="en-US"/>
        </w:rPr>
        <w:t xml:space="preserve"> After identifying the need for improved capabilities in identifying and measuring outcomes, the Social Impact Investment Steering Committee oversaw the development of the Technical Guide for Outcomes Measurement. This guide assists providers in identifying their population, counterfactuals, and outcomes, and select appropriate methods for measuring the effectiveness of interventions.</w:t>
      </w:r>
      <w:r w:rsidRPr="009679AC">
        <w:rPr>
          <w:rFonts w:ascii="Arial" w:eastAsia="Arial" w:hAnsi="Arial" w:cs="Arial"/>
          <w:sz w:val="22"/>
          <w:szCs w:val="22"/>
          <w:vertAlign w:val="superscript"/>
          <w:lang w:val="en-US"/>
        </w:rPr>
        <w:footnoteReference w:id="38"/>
      </w:r>
      <w:r w:rsidRPr="009679AC">
        <w:rPr>
          <w:rFonts w:ascii="Arial" w:eastAsia="Arial" w:hAnsi="Arial" w:cs="Arial"/>
          <w:sz w:val="22"/>
          <w:szCs w:val="22"/>
          <w:lang w:val="en-US"/>
        </w:rPr>
        <w:t xml:space="preserve"> The OSII has also sought to improve the quality of and access to performance data, including removing barriers to data sharing across agencies. OSII reports that these steps help streamline processes and make for more credible, comprehensive assessments of how programs are performing.</w:t>
      </w:r>
      <w:r w:rsidRPr="009679AC">
        <w:rPr>
          <w:rFonts w:ascii="Arial" w:eastAsia="Arial" w:hAnsi="Arial" w:cs="Arial"/>
          <w:sz w:val="22"/>
          <w:szCs w:val="22"/>
          <w:vertAlign w:val="superscript"/>
          <w:lang w:val="en-US"/>
        </w:rPr>
        <w:footnoteReference w:id="39"/>
      </w:r>
      <w:r w:rsidRPr="009679AC">
        <w:rPr>
          <w:rFonts w:ascii="Arial" w:eastAsia="Arial" w:hAnsi="Arial" w:cs="Arial"/>
          <w:sz w:val="22"/>
          <w:szCs w:val="22"/>
          <w:lang w:val="en-US"/>
        </w:rPr>
        <w:t xml:space="preserve"> With repayments tied to performance, participants are positively incentivised to engage in collaborative efforts, make use of available tools, and identify and share examples of factors that have contributed to success.</w:t>
      </w:r>
    </w:p>
    <w:p w14:paraId="7222C174" w14:textId="77777777" w:rsidR="009679AC" w:rsidRPr="009679AC" w:rsidRDefault="009679AC" w:rsidP="009679AC">
      <w:pPr>
        <w:spacing w:after="160" w:line="259" w:lineRule="auto"/>
        <w:jc w:val="both"/>
        <w:rPr>
          <w:rFonts w:ascii="Arial" w:eastAsia="Arial" w:hAnsi="Arial" w:cs="Arial"/>
          <w:b/>
          <w:bCs/>
          <w:sz w:val="22"/>
          <w:szCs w:val="22"/>
          <w:lang w:val="en-US"/>
        </w:rPr>
      </w:pPr>
      <w:r w:rsidRPr="009679AC">
        <w:rPr>
          <w:rFonts w:ascii="Arial" w:eastAsia="Arial" w:hAnsi="Arial" w:cs="Arial"/>
          <w:b/>
          <w:bCs/>
          <w:sz w:val="22"/>
          <w:szCs w:val="22"/>
          <w:lang w:val="en-US"/>
        </w:rPr>
        <w:t xml:space="preserve">Models for Greater Budget Flexibility </w:t>
      </w:r>
    </w:p>
    <w:p w14:paraId="3A647FA5" w14:textId="77777777" w:rsidR="009679AC" w:rsidRPr="009679AC" w:rsidRDefault="009679AC" w:rsidP="009679AC">
      <w:pPr>
        <w:spacing w:after="160" w:line="259" w:lineRule="auto"/>
        <w:jc w:val="both"/>
        <w:rPr>
          <w:rFonts w:ascii="Arial" w:eastAsia="Arial" w:hAnsi="Arial" w:cs="Arial"/>
          <w:b/>
          <w:bCs/>
          <w:sz w:val="22"/>
          <w:szCs w:val="22"/>
          <w:lang w:val="en-US"/>
        </w:rPr>
      </w:pPr>
      <w:r w:rsidRPr="009679AC">
        <w:rPr>
          <w:rFonts w:ascii="Arial" w:eastAsia="Arial" w:hAnsi="Arial" w:cs="Arial"/>
          <w:sz w:val="22"/>
          <w:szCs w:val="22"/>
          <w:lang w:val="en-US"/>
        </w:rPr>
        <w:t>Long-term government budgeting initiatives that rely on the quantification of a broader range of impacts necessitate a degree of flexibility in the budgeting process. This marks a trend away from the traditional command-and-control system in which central financing agencies closely inspect and regulate the financial behaviours of line agencies.</w:t>
      </w:r>
      <w:r w:rsidRPr="009679AC">
        <w:rPr>
          <w:rFonts w:ascii="Arial" w:eastAsia="Arial" w:hAnsi="Arial" w:cs="Arial"/>
          <w:sz w:val="22"/>
          <w:szCs w:val="22"/>
          <w:vertAlign w:val="superscript"/>
          <w:lang w:val="en-US"/>
        </w:rPr>
        <w:footnoteReference w:id="40"/>
      </w:r>
      <w:r w:rsidRPr="009679AC">
        <w:rPr>
          <w:rFonts w:ascii="Arial" w:eastAsia="Arial" w:hAnsi="Arial" w:cs="Arial"/>
          <w:sz w:val="22"/>
          <w:szCs w:val="22"/>
          <w:lang w:val="en-US"/>
        </w:rPr>
        <w:t xml:space="preserve"> While flexibility and devolved power are beneficial, they cannot be without limits. There are inherent differences in the budgeting principles of central and line agencies and certain rules must be upheld to ensure accountability around how public resources are allocated, spent, and transferred and who has authority to permit these actions.</w:t>
      </w:r>
      <w:r w:rsidRPr="009679AC">
        <w:rPr>
          <w:rFonts w:ascii="Arial" w:eastAsia="Arial" w:hAnsi="Arial" w:cs="Arial"/>
          <w:sz w:val="22"/>
          <w:szCs w:val="22"/>
          <w:vertAlign w:val="superscript"/>
          <w:lang w:val="en-US"/>
        </w:rPr>
        <w:footnoteReference w:id="41"/>
      </w:r>
      <w:r w:rsidRPr="009679AC">
        <w:rPr>
          <w:rFonts w:ascii="Arial" w:eastAsia="Arial" w:hAnsi="Arial" w:cs="Arial"/>
          <w:sz w:val="22"/>
          <w:szCs w:val="22"/>
          <w:lang w:val="en-US"/>
        </w:rPr>
        <w:t xml:space="preserve"> Some work has been done to identify a balance between enhancing the flexibility and autonomy of line agencies and maintaining the rules of budget control that ensure public money is managed with accountability.</w:t>
      </w:r>
    </w:p>
    <w:p w14:paraId="3C81A433" w14:textId="77777777" w:rsidR="009679AC" w:rsidRPr="009679AC" w:rsidRDefault="009679AC" w:rsidP="009679AC">
      <w:pPr>
        <w:spacing w:after="160" w:line="259" w:lineRule="auto"/>
        <w:jc w:val="both"/>
        <w:rPr>
          <w:rFonts w:ascii="Arial" w:eastAsia="Arial" w:hAnsi="Arial" w:cs="Arial"/>
          <w:sz w:val="22"/>
          <w:szCs w:val="22"/>
          <w:lang w:val="en-US"/>
        </w:rPr>
      </w:pPr>
      <w:r w:rsidRPr="009679AC">
        <w:rPr>
          <w:rFonts w:ascii="Arial" w:eastAsia="Arial" w:hAnsi="Arial" w:cs="Arial"/>
          <w:sz w:val="22"/>
          <w:szCs w:val="22"/>
          <w:lang w:val="en-US"/>
        </w:rPr>
        <w:lastRenderedPageBreak/>
        <w:t>One such model is the ‘reform deal’ proposed by Lonsdale et al., which is predicated on a link between performance and greater flexibility. In the context of pooled budgeting and local-central government relations, the reform deal seeks to offer greater flexibility at the local level, while providing the central government with reassurances that public money is being managed responsibly. Commitments from central government to devolve responsibilities are traded for corresponding commitments to governance, transparency, and accountability from local governments. At the central level, these commitments are grouped into the four categories of funding, collaboration, regulation, and support, while at the local level they are grouped into a focus on outcomes and efficiency, taking an evidence-based approach, governance and capability, and accountability. For instance, central governments may provide funding with a multi-year mandate to allow upfront investment to focus resources on complex needs, demand reduction and improve outcomes in the longer term. In return, local governments would be required to commit to clear and specific outcomes, with obligations attached to funding. One such obligation may be annual reporting requirements on program performance, ensuring the credibility of programs and building trust between the central and local government.</w:t>
      </w:r>
      <w:r w:rsidRPr="009679AC">
        <w:rPr>
          <w:rFonts w:ascii="Arial" w:eastAsia="Arial" w:hAnsi="Arial" w:cs="Arial"/>
          <w:sz w:val="22"/>
          <w:szCs w:val="22"/>
          <w:vertAlign w:val="superscript"/>
          <w:lang w:val="en-US"/>
        </w:rPr>
        <w:footnoteReference w:id="42"/>
      </w:r>
      <w:r w:rsidRPr="009679AC">
        <w:rPr>
          <w:rFonts w:ascii="Arial" w:eastAsia="Arial" w:hAnsi="Arial" w:cs="Arial"/>
          <w:sz w:val="22"/>
          <w:szCs w:val="22"/>
          <w:lang w:val="en-US"/>
        </w:rPr>
        <w:t xml:space="preserve"> Michael Di Francesco and John Alford’s model for earned autonomy builds on the reform deal through the inclusion of teared incentives and regulatory protections. Earned autonomy operates as a scaled incentive mechanism, where a line agency's performance against predetermined minimum financial management requirements is rated, compared, and </w:t>
      </w:r>
      <w:bookmarkStart w:id="10" w:name="_Int_S03laP7n"/>
      <w:r w:rsidRPr="009679AC">
        <w:rPr>
          <w:rFonts w:ascii="Arial" w:eastAsia="Arial" w:hAnsi="Arial" w:cs="Arial"/>
          <w:sz w:val="22"/>
          <w:szCs w:val="22"/>
          <w:lang w:val="en-US"/>
        </w:rPr>
        <w:t>either rewarded</w:t>
      </w:r>
      <w:bookmarkEnd w:id="10"/>
      <w:r w:rsidRPr="009679AC">
        <w:rPr>
          <w:rFonts w:ascii="Arial" w:eastAsia="Arial" w:hAnsi="Arial" w:cs="Arial"/>
          <w:sz w:val="22"/>
          <w:szCs w:val="22"/>
          <w:lang w:val="en-US"/>
        </w:rPr>
        <w:t xml:space="preserve"> or sanctioned.</w:t>
      </w:r>
      <w:r w:rsidRPr="009679AC">
        <w:rPr>
          <w:rFonts w:ascii="Arial" w:eastAsia="Arial" w:hAnsi="Arial" w:cs="Arial"/>
          <w:sz w:val="22"/>
          <w:szCs w:val="22"/>
          <w:vertAlign w:val="superscript"/>
          <w:lang w:val="en-US"/>
        </w:rPr>
        <w:footnoteReference w:id="43"/>
      </w:r>
      <w:r w:rsidRPr="009679AC">
        <w:rPr>
          <w:rFonts w:ascii="Arial" w:eastAsia="Arial" w:hAnsi="Arial" w:cs="Arial"/>
          <w:sz w:val="22"/>
          <w:szCs w:val="22"/>
          <w:lang w:val="en-US"/>
        </w:rPr>
        <w:t xml:space="preserve"> </w:t>
      </w:r>
    </w:p>
    <w:p w14:paraId="54850866" w14:textId="77777777" w:rsidR="009679AC" w:rsidRPr="009679AC" w:rsidRDefault="009679AC" w:rsidP="009679AC">
      <w:pPr>
        <w:spacing w:after="160" w:line="259" w:lineRule="auto"/>
        <w:jc w:val="both"/>
        <w:rPr>
          <w:rFonts w:ascii="Arial" w:eastAsia="Arial" w:hAnsi="Arial" w:cs="Arial"/>
          <w:sz w:val="22"/>
          <w:szCs w:val="22"/>
          <w:lang w:val="en-US"/>
        </w:rPr>
      </w:pPr>
      <w:r w:rsidRPr="009679AC">
        <w:rPr>
          <w:rFonts w:ascii="Arial" w:eastAsia="Arial" w:hAnsi="Arial" w:cs="Arial"/>
          <w:sz w:val="22"/>
          <w:szCs w:val="22"/>
          <w:lang w:val="en-US"/>
        </w:rPr>
        <w:t>While there is no single model for governing the allocation of risks between parties, both the reform deal and earned autonomy are useful in the context of the EIIF. Both models are grounded in considerations of the distinct roles of central and line agencies, and how this constrains action and relationships within the budgeting process. Importantly, both models suggest that there is the potential for a degree of latitude if higher levels of trust are built. This is a delicate balance between mutual obligations and regulatory protections, which, if executed correctly, will offset any paranoia within the central agency that spending agencies may behave poorly. The concept of earned autonomy</w:t>
      </w:r>
      <w:bookmarkStart w:id="11" w:name="_Int_9XJgA5b7"/>
      <w:r w:rsidRPr="009679AC">
        <w:rPr>
          <w:rFonts w:ascii="Arial" w:eastAsia="Arial" w:hAnsi="Arial" w:cs="Arial"/>
          <w:sz w:val="22"/>
          <w:szCs w:val="22"/>
          <w:lang w:val="en-US"/>
        </w:rPr>
        <w:t>, in particular, raises</w:t>
      </w:r>
      <w:bookmarkEnd w:id="11"/>
      <w:r w:rsidRPr="009679AC">
        <w:rPr>
          <w:rFonts w:ascii="Arial" w:eastAsia="Arial" w:hAnsi="Arial" w:cs="Arial"/>
          <w:sz w:val="22"/>
          <w:szCs w:val="22"/>
          <w:lang w:val="en-US"/>
        </w:rPr>
        <w:t xml:space="preserve"> the potential for collective earned autonomy, in which a high level of buy-in across departments promotes greater autonomy than low buy-in, thereby acting as a shared incentive for aligning budgeting processes, building trust, and sharing risks and benefits. </w:t>
      </w:r>
    </w:p>
    <w:p w14:paraId="0EA02306" w14:textId="77777777" w:rsidR="009679AC" w:rsidRPr="009679AC" w:rsidRDefault="009679AC" w:rsidP="009679AC">
      <w:pPr>
        <w:spacing w:after="160" w:line="259" w:lineRule="auto"/>
        <w:jc w:val="both"/>
        <w:rPr>
          <w:rFonts w:ascii="Arial" w:eastAsia="Arial" w:hAnsi="Arial" w:cs="Arial"/>
          <w:sz w:val="20"/>
          <w:szCs w:val="20"/>
          <w:lang w:val="en-US"/>
        </w:rPr>
      </w:pPr>
      <w:r w:rsidRPr="009679AC">
        <w:rPr>
          <w:rFonts w:ascii="Arial" w:eastAsia="Arial" w:hAnsi="Arial" w:cs="Arial"/>
          <w:sz w:val="22"/>
          <w:szCs w:val="22"/>
          <w:lang w:val="en-US"/>
        </w:rPr>
        <w:t>The key point taken from the literature is that trust is dynamic; trust and the greater autonomy it offers can easily be eroded by behaviors that lacks transparency or are unexpected. For DTF and the implementation of the EIIF, building and maintaining trust will be an iterative process that relies on commitments from all parties and embracing a more open dialogue about the successes and failures of investment performance.</w:t>
      </w:r>
    </w:p>
    <w:p w14:paraId="5388D3B2" w14:textId="1AFAD07A" w:rsidR="009679AC" w:rsidRPr="00D06D27" w:rsidRDefault="009679AC">
      <w:pPr>
        <w:rPr>
          <w:rFonts w:ascii="Arial" w:eastAsia="Arial" w:hAnsi="Arial" w:cs="Arial"/>
          <w:sz w:val="20"/>
          <w:szCs w:val="20"/>
          <w:lang w:val="en-US"/>
        </w:rPr>
      </w:pPr>
      <w:r>
        <w:rPr>
          <w:rFonts w:ascii="Arial" w:eastAsia="Arial" w:hAnsi="Arial" w:cs="Arial"/>
          <w:b/>
          <w:bCs/>
          <w:color w:val="000000"/>
        </w:rPr>
        <w:br w:type="page"/>
      </w:r>
    </w:p>
    <w:p w14:paraId="6BFDDDAD" w14:textId="30390757" w:rsidR="009679AC" w:rsidRPr="009679AC" w:rsidRDefault="00131BEF" w:rsidP="009679AC">
      <w:pPr>
        <w:keepNext/>
        <w:keepLines/>
        <w:spacing w:after="160" w:line="216" w:lineRule="auto"/>
        <w:outlineLvl w:val="0"/>
        <w:rPr>
          <w:rFonts w:ascii="Arial" w:eastAsia="Arial" w:hAnsi="Arial" w:cs="Arial"/>
          <w:color w:val="2F5496" w:themeColor="accent1" w:themeShade="BF"/>
          <w:sz w:val="28"/>
          <w:szCs w:val="28"/>
          <w:lang w:eastAsia="en-AU"/>
        </w:rPr>
      </w:pPr>
      <w:r w:rsidRPr="009679AC">
        <w:rPr>
          <w:rFonts w:ascii="Arial" w:eastAsia="Arial" w:hAnsi="Arial" w:cs="Arial"/>
          <w:color w:val="2F5496" w:themeColor="accent1" w:themeShade="BF"/>
          <w:sz w:val="28"/>
          <w:szCs w:val="28"/>
          <w:lang w:eastAsia="en-AU"/>
        </w:rPr>
        <w:lastRenderedPageBreak/>
        <w:t>WORKS CITED</w:t>
      </w:r>
    </w:p>
    <w:p w14:paraId="052E1490" w14:textId="288D5298"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vertAlign w:val="superscript"/>
        </w:rPr>
        <w:t>"</w:t>
      </w:r>
      <w:r w:rsidRPr="009679AC">
        <w:rPr>
          <w:rFonts w:ascii="Arial" w:eastAsia="Arial" w:hAnsi="Arial" w:cs="Arial"/>
          <w:color w:val="000000"/>
          <w:sz w:val="19"/>
          <w:szCs w:val="19"/>
        </w:rPr>
        <w:t xml:space="preserve">NSW Social Impact Investment Policy: Statement of Progress 2015.” Office of Social Impact Investment. NSW Government. Accessed 28 March 2022. </w:t>
      </w:r>
      <w:hyperlink r:id="rId14">
        <w:r w:rsidRPr="009679AC">
          <w:rPr>
            <w:rFonts w:ascii="Arial" w:eastAsia="Arial" w:hAnsi="Arial" w:cs="Arial"/>
            <w:color w:val="0563C1"/>
            <w:sz w:val="19"/>
            <w:szCs w:val="19"/>
            <w:u w:val="single"/>
          </w:rPr>
          <w:t>https://www.osii.nsw.gov.au/assets/office-of-social-impact-investment/files/Statement-of-Progress-2015.pdf</w:t>
        </w:r>
      </w:hyperlink>
      <w:r w:rsidRPr="009679AC">
        <w:rPr>
          <w:rFonts w:ascii="Arial" w:eastAsia="Arial" w:hAnsi="Arial" w:cs="Arial"/>
          <w:color w:val="000000"/>
          <w:sz w:val="19"/>
          <w:szCs w:val="19"/>
        </w:rPr>
        <w:t xml:space="preserve">. </w:t>
      </w:r>
    </w:p>
    <w:p w14:paraId="36653D42" w14:textId="4E5E7098" w:rsidR="006C5CC2" w:rsidRPr="00131BEF"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“About Us.” Office of Social Impact Investment. NSW Government. Accessed 28 March 2022. </w:t>
      </w:r>
      <w:hyperlink r:id="rId15">
        <w:r w:rsidRPr="009679AC">
          <w:rPr>
            <w:rFonts w:ascii="Arial" w:eastAsia="Arial" w:hAnsi="Arial" w:cs="Arial"/>
            <w:color w:val="0563C1"/>
            <w:sz w:val="19"/>
            <w:szCs w:val="19"/>
            <w:u w:val="single"/>
          </w:rPr>
          <w:t>https://www.osii.nsw.gov.au/about-us/about-us-2/</w:t>
        </w:r>
      </w:hyperlink>
      <w:r w:rsidRPr="009679AC">
        <w:rPr>
          <w:rFonts w:ascii="Arial" w:eastAsia="Arial" w:hAnsi="Arial" w:cs="Arial"/>
          <w:color w:val="000000"/>
          <w:sz w:val="19"/>
          <w:szCs w:val="19"/>
        </w:rPr>
        <w:t xml:space="preserve">. </w:t>
      </w:r>
    </w:p>
    <w:p w14:paraId="0CC4B0F5" w14:textId="64EBDF05"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“Evaluating the World’s First Social Impact Bond,” </w:t>
      </w:r>
      <w:r w:rsidRPr="009679AC">
        <w:rPr>
          <w:rFonts w:ascii="Arial" w:eastAsia="Arial" w:hAnsi="Arial" w:cs="Arial"/>
          <w:i/>
          <w:iCs/>
          <w:color w:val="000000"/>
          <w:sz w:val="19"/>
          <w:szCs w:val="19"/>
        </w:rPr>
        <w:t>Rand Corporation</w:t>
      </w:r>
      <w:r w:rsidRPr="009679AC">
        <w:rPr>
          <w:rFonts w:ascii="Arial" w:eastAsia="Arial" w:hAnsi="Arial" w:cs="Arial"/>
          <w:color w:val="000000"/>
          <w:sz w:val="19"/>
          <w:szCs w:val="19"/>
        </w:rPr>
        <w:t xml:space="preserve">. 18 December 2015. </w:t>
      </w:r>
      <w:hyperlink r:id="rId16" w:anchor="key-lessons">
        <w:r w:rsidRPr="009679AC">
          <w:rPr>
            <w:rFonts w:ascii="Arial" w:eastAsia="Arial" w:hAnsi="Arial" w:cs="Arial"/>
            <w:color w:val="0563C1"/>
            <w:sz w:val="19"/>
            <w:szCs w:val="19"/>
            <w:u w:val="single"/>
          </w:rPr>
          <w:t>https://www.rand.org/randeurope/research/projects/social-impact-bonds.html#key-lessons</w:t>
        </w:r>
      </w:hyperlink>
      <w:r w:rsidRPr="009679AC">
        <w:rPr>
          <w:rFonts w:ascii="Arial" w:eastAsia="Arial" w:hAnsi="Arial" w:cs="Arial"/>
          <w:color w:val="000000"/>
          <w:sz w:val="19"/>
          <w:szCs w:val="19"/>
        </w:rPr>
        <w:t xml:space="preserve">.  </w:t>
      </w:r>
    </w:p>
    <w:p w14:paraId="70C56737" w14:textId="3E344449"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“Factsheet: Understanding and Managing Shared Risks.” Department of Finance, Commonwealth Government of Australia. 2020. Accessed 28 March 2022.</w:t>
      </w:r>
      <w:r w:rsidR="006C5CC2" w:rsidRPr="00131BEF">
        <w:rPr>
          <w:rFonts w:ascii="Arial" w:eastAsia="Arial" w:hAnsi="Arial" w:cs="Arial"/>
          <w:color w:val="000000"/>
          <w:sz w:val="19"/>
          <w:szCs w:val="19"/>
        </w:rPr>
        <w:t xml:space="preserve"> </w:t>
      </w:r>
      <w:hyperlink r:id="rId17" w:history="1">
        <w:r w:rsidR="00DF407A" w:rsidRPr="009679AC">
          <w:rPr>
            <w:rStyle w:val="Hyperlink"/>
            <w:rFonts w:ascii="Arial" w:eastAsia="Arial" w:hAnsi="Arial" w:cs="Arial"/>
            <w:sz w:val="19"/>
            <w:szCs w:val="19"/>
          </w:rPr>
          <w:t>https://www.finance.gov.au/sites/default/files/2020-11/comcover-information-sheet-understanding-and-managing-shared-risk.docx</w:t>
        </w:r>
      </w:hyperlink>
      <w:r w:rsidRPr="009679AC">
        <w:rPr>
          <w:rFonts w:ascii="Arial" w:eastAsia="Arial" w:hAnsi="Arial" w:cs="Arial"/>
          <w:color w:val="000000"/>
          <w:sz w:val="19"/>
          <w:szCs w:val="19"/>
        </w:rPr>
        <w:t xml:space="preserve">. </w:t>
      </w:r>
    </w:p>
    <w:p w14:paraId="60159C5E" w14:textId="131A37CF"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“NSW Social Impact Investment: Statement of Progress 2018.” Office of Social Impact Investment. NSW Government. Accessed 28 March 2022. </w:t>
      </w:r>
      <w:hyperlink r:id="rId18">
        <w:r w:rsidRPr="009679AC">
          <w:rPr>
            <w:rFonts w:ascii="Arial" w:eastAsia="Arial" w:hAnsi="Arial" w:cs="Arial"/>
            <w:color w:val="0563C1"/>
            <w:sz w:val="19"/>
            <w:szCs w:val="19"/>
            <w:u w:val="single"/>
          </w:rPr>
          <w:t>https://www.osii.nsw.gov.au/assets/Statement-of-Progress-2018.pdf</w:t>
        </w:r>
      </w:hyperlink>
      <w:r w:rsidRPr="009679AC">
        <w:rPr>
          <w:rFonts w:ascii="Arial" w:eastAsia="Arial" w:hAnsi="Arial" w:cs="Arial"/>
          <w:color w:val="000000"/>
          <w:sz w:val="19"/>
          <w:szCs w:val="19"/>
        </w:rPr>
        <w:t xml:space="preserve">.  </w:t>
      </w:r>
    </w:p>
    <w:p w14:paraId="381CB7DD" w14:textId="3F01A0E1"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“OSII Releases 2016 Statement of Progress.” Office of Social Impact Investment, NSW Government. Accessed 28 March 2022. </w:t>
      </w:r>
      <w:hyperlink r:id="rId19">
        <w:r w:rsidRPr="009679AC">
          <w:rPr>
            <w:rFonts w:ascii="Arial" w:eastAsia="Arial" w:hAnsi="Arial" w:cs="Arial"/>
            <w:color w:val="0563C1"/>
            <w:sz w:val="19"/>
            <w:szCs w:val="19"/>
            <w:u w:val="single"/>
          </w:rPr>
          <w:t>https://www.osii.nsw.gov.au/news/2017/07/07/2016-statement-of-progress/</w:t>
        </w:r>
      </w:hyperlink>
      <w:r w:rsidRPr="009679AC">
        <w:rPr>
          <w:rFonts w:ascii="Arial" w:eastAsia="Arial" w:hAnsi="Arial" w:cs="Arial"/>
          <w:color w:val="000000"/>
          <w:sz w:val="19"/>
          <w:szCs w:val="19"/>
        </w:rPr>
        <w:t xml:space="preserve">. </w:t>
      </w:r>
    </w:p>
    <w:p w14:paraId="40C65A79" w14:textId="2410A86B"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“Technical Guide for Outcomes Measurement.” Office of Social Impact Investment. NSW Government. Accessed 28 March 2022. </w:t>
      </w:r>
      <w:hyperlink r:id="rId20">
        <w:r w:rsidRPr="009679AC">
          <w:rPr>
            <w:rFonts w:ascii="Arial" w:eastAsia="Arial" w:hAnsi="Arial" w:cs="Arial"/>
            <w:color w:val="0563C1"/>
            <w:sz w:val="19"/>
            <w:szCs w:val="19"/>
            <w:u w:val="single"/>
          </w:rPr>
          <w:t>https://www.osii.nsw.gov.au/tools-and-resources/technical-guide/</w:t>
        </w:r>
      </w:hyperlink>
      <w:r w:rsidRPr="009679AC">
        <w:rPr>
          <w:rFonts w:ascii="Arial" w:eastAsia="Arial" w:hAnsi="Arial" w:cs="Arial"/>
          <w:color w:val="000000"/>
          <w:sz w:val="19"/>
          <w:szCs w:val="19"/>
        </w:rPr>
        <w:t xml:space="preserve">.   </w:t>
      </w:r>
    </w:p>
    <w:p w14:paraId="1489AED9" w14:textId="05CA0F4A"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“The Benevolent Society Social Benefit Bond,” Office of Social Impact Investment, NSW Government, Accessed 28 March 2022. </w:t>
      </w:r>
      <w:hyperlink r:id="rId21">
        <w:r w:rsidRPr="009679AC">
          <w:rPr>
            <w:rFonts w:ascii="Arial" w:eastAsia="Arial" w:hAnsi="Arial" w:cs="Arial"/>
            <w:color w:val="0563C1"/>
            <w:sz w:val="19"/>
            <w:szCs w:val="19"/>
            <w:u w:val="single"/>
          </w:rPr>
          <w:t>https://www.osii.nsw.gov.au/initiatives/sii/the-benevolent-society-bond/</w:t>
        </w:r>
      </w:hyperlink>
      <w:r w:rsidRPr="009679AC">
        <w:rPr>
          <w:rFonts w:ascii="Arial" w:eastAsia="Arial" w:hAnsi="Arial" w:cs="Arial"/>
          <w:color w:val="000000"/>
          <w:sz w:val="19"/>
          <w:szCs w:val="19"/>
        </w:rPr>
        <w:t>.</w:t>
      </w:r>
    </w:p>
    <w:p w14:paraId="41DE0966" w14:textId="77777777" w:rsidR="006C5CC2" w:rsidRPr="00131BEF"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i/>
          <w:iCs/>
          <w:color w:val="000000"/>
          <w:sz w:val="19"/>
          <w:szCs w:val="19"/>
        </w:rPr>
        <w:t>Collaboration – Build, Support and Sustain a Culture of Collaboration between and within Government and the Community Services Sector</w:t>
      </w:r>
      <w:r w:rsidRPr="009679AC">
        <w:rPr>
          <w:rFonts w:ascii="Arial" w:eastAsia="Arial" w:hAnsi="Arial" w:cs="Arial"/>
          <w:color w:val="000000"/>
          <w:sz w:val="19"/>
          <w:szCs w:val="19"/>
        </w:rPr>
        <w:t xml:space="preserve">: </w:t>
      </w:r>
      <w:r w:rsidRPr="009679AC">
        <w:rPr>
          <w:rFonts w:ascii="Arial" w:eastAsia="Arial" w:hAnsi="Arial" w:cs="Arial"/>
          <w:i/>
          <w:iCs/>
          <w:color w:val="000000"/>
          <w:sz w:val="19"/>
          <w:szCs w:val="19"/>
        </w:rPr>
        <w:t>Literature Review Report</w:t>
      </w:r>
      <w:r w:rsidRPr="009679AC">
        <w:rPr>
          <w:rFonts w:ascii="Arial" w:eastAsia="Arial" w:hAnsi="Arial" w:cs="Arial"/>
          <w:color w:val="000000"/>
          <w:sz w:val="19"/>
          <w:szCs w:val="19"/>
        </w:rPr>
        <w:t>. Supporting Communities Forum, Western Australian Government. 2019.</w:t>
      </w:r>
    </w:p>
    <w:p w14:paraId="4A4B6884" w14:textId="3FE1509A"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i/>
          <w:iCs/>
          <w:color w:val="000000"/>
          <w:sz w:val="19"/>
          <w:szCs w:val="19"/>
        </w:rPr>
        <w:t>Collaboration Between Sectors to Improve Customer Outcomes for Citizens of NSW</w:t>
      </w:r>
      <w:r w:rsidRPr="009679AC">
        <w:rPr>
          <w:rFonts w:ascii="Arial" w:eastAsia="Arial" w:hAnsi="Arial" w:cs="Arial"/>
          <w:color w:val="000000"/>
          <w:sz w:val="19"/>
          <w:szCs w:val="19"/>
        </w:rPr>
        <w:t>. Research Report Prepared for the NSW Public Service Commission, Nous Group. 2013.</w:t>
      </w:r>
    </w:p>
    <w:p w14:paraId="49F5636D" w14:textId="25A7C7F5"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i/>
          <w:iCs/>
          <w:color w:val="000000"/>
          <w:sz w:val="19"/>
          <w:szCs w:val="19"/>
        </w:rPr>
        <w:t>Early Intervention: Smart Investment, Massive Savings. The Second Independent Report to Her Majesty’s Government</w:t>
      </w:r>
      <w:r w:rsidRPr="009679AC">
        <w:rPr>
          <w:rFonts w:ascii="Arial" w:eastAsia="Arial" w:hAnsi="Arial" w:cs="Arial"/>
          <w:color w:val="000000"/>
          <w:sz w:val="19"/>
          <w:szCs w:val="19"/>
        </w:rPr>
        <w:t>. Cabinet Office, Government of the United Kingdom</w:t>
      </w:r>
      <w:r w:rsidRPr="009679AC">
        <w:rPr>
          <w:rFonts w:ascii="Arial" w:eastAsia="Arial" w:hAnsi="Arial" w:cs="Arial"/>
          <w:i/>
          <w:iCs/>
          <w:color w:val="000000"/>
          <w:sz w:val="19"/>
          <w:szCs w:val="19"/>
        </w:rPr>
        <w:t xml:space="preserve">. </w:t>
      </w:r>
      <w:r w:rsidRPr="009679AC">
        <w:rPr>
          <w:rFonts w:ascii="Arial" w:eastAsia="Arial" w:hAnsi="Arial" w:cs="Arial"/>
          <w:color w:val="000000"/>
          <w:sz w:val="19"/>
          <w:szCs w:val="19"/>
        </w:rPr>
        <w:t>2011.</w:t>
      </w:r>
    </w:p>
    <w:p w14:paraId="65F418DF" w14:textId="71F7E2B4"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Victorian Budget 2021/22, Budget Update, Presented by Tim Pallas MP, Treasurer of the State of Victoria. Department of Treasury and Finance. Victorian Government. 2021.</w:t>
      </w:r>
    </w:p>
    <w:p w14:paraId="606B1FC4" w14:textId="77777777"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Anders, Jake and Dorsett, Richard. </w:t>
      </w:r>
      <w:r w:rsidRPr="009679AC">
        <w:rPr>
          <w:rFonts w:ascii="Arial" w:eastAsia="Arial" w:hAnsi="Arial" w:cs="Arial"/>
          <w:i/>
          <w:iCs/>
          <w:color w:val="000000"/>
          <w:sz w:val="19"/>
          <w:szCs w:val="19"/>
        </w:rPr>
        <w:t>HMP Peterborough Social Impact Bond - Cohort 2 and Final Cohort Impact Evaluation</w:t>
      </w:r>
      <w:r w:rsidRPr="009679AC">
        <w:rPr>
          <w:rFonts w:ascii="Arial" w:eastAsia="Arial" w:hAnsi="Arial" w:cs="Arial"/>
          <w:color w:val="000000"/>
          <w:sz w:val="19"/>
          <w:szCs w:val="19"/>
        </w:rPr>
        <w:t xml:space="preserve">. National Institute of Economic and Social Research. 2017. </w:t>
      </w:r>
    </w:p>
    <w:p w14:paraId="08AE8C9B" w14:textId="77777777"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Bryson, John M., Crosby, Barbara, and Middleton Stone, Melissa. “Designing and Implementing Cross-sector Collaborations: Needed and Challenging,” </w:t>
      </w:r>
      <w:r w:rsidRPr="009679AC">
        <w:rPr>
          <w:rFonts w:ascii="Arial" w:eastAsia="Arial" w:hAnsi="Arial" w:cs="Arial"/>
          <w:i/>
          <w:iCs/>
          <w:color w:val="000000"/>
          <w:sz w:val="19"/>
          <w:szCs w:val="19"/>
        </w:rPr>
        <w:t xml:space="preserve">Public Administration Review </w:t>
      </w:r>
      <w:r w:rsidRPr="009679AC">
        <w:rPr>
          <w:rFonts w:ascii="Arial" w:eastAsia="Arial" w:hAnsi="Arial" w:cs="Arial"/>
          <w:color w:val="000000"/>
          <w:sz w:val="19"/>
          <w:szCs w:val="19"/>
        </w:rPr>
        <w:t>75, vol. 5 (2015):</w:t>
      </w:r>
      <w:r w:rsidRPr="009679AC">
        <w:rPr>
          <w:rFonts w:ascii="Arial" w:eastAsia="Arial" w:hAnsi="Arial" w:cs="Arial"/>
          <w:i/>
          <w:iCs/>
          <w:color w:val="000000"/>
          <w:sz w:val="19"/>
          <w:szCs w:val="19"/>
        </w:rPr>
        <w:t xml:space="preserve"> </w:t>
      </w:r>
      <w:r w:rsidRPr="009679AC">
        <w:rPr>
          <w:rFonts w:ascii="Arial" w:eastAsia="Arial" w:hAnsi="Arial" w:cs="Arial"/>
          <w:color w:val="000000"/>
          <w:sz w:val="19"/>
          <w:szCs w:val="19"/>
        </w:rPr>
        <w:t>647-63.</w:t>
      </w:r>
    </w:p>
    <w:p w14:paraId="2B54C717" w14:textId="77777777"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Clifford, Jim and Jung, Tobias. “Social Impact Bonds: Exploring and Understanding Emerging Funding Approach.” In Lehner, Othmar M. (ed.) </w:t>
      </w:r>
      <w:r w:rsidRPr="009679AC">
        <w:rPr>
          <w:rFonts w:ascii="Arial" w:eastAsia="Arial" w:hAnsi="Arial" w:cs="Arial"/>
          <w:i/>
          <w:iCs/>
          <w:color w:val="000000"/>
          <w:sz w:val="19"/>
          <w:szCs w:val="19"/>
        </w:rPr>
        <w:t>Routledge Handbook of Social and Sustainable Finance</w:t>
      </w:r>
      <w:r w:rsidRPr="009679AC">
        <w:rPr>
          <w:rFonts w:ascii="Arial" w:eastAsia="Arial" w:hAnsi="Arial" w:cs="Arial"/>
          <w:color w:val="000000"/>
          <w:sz w:val="19"/>
          <w:szCs w:val="19"/>
        </w:rPr>
        <w:t>. Oxfordshire: Taylor &amp; Francis. 2016.</w:t>
      </w:r>
    </w:p>
    <w:p w14:paraId="6E667A58" w14:textId="77777777"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Di Francesco, Michael and Alford, John. “Balancing Budget Control and Flexibility: The Central Finance Agency as ‘Responsive Regulator’.” </w:t>
      </w:r>
      <w:r w:rsidRPr="009679AC">
        <w:rPr>
          <w:rFonts w:ascii="Arial" w:eastAsia="Arial" w:hAnsi="Arial" w:cs="Arial"/>
          <w:i/>
          <w:iCs/>
          <w:color w:val="000000"/>
          <w:sz w:val="19"/>
          <w:szCs w:val="19"/>
        </w:rPr>
        <w:t>Public Management Review</w:t>
      </w:r>
      <w:r w:rsidRPr="009679AC">
        <w:rPr>
          <w:rFonts w:ascii="Arial" w:eastAsia="Arial" w:hAnsi="Arial" w:cs="Arial"/>
          <w:color w:val="000000"/>
          <w:sz w:val="19"/>
          <w:szCs w:val="19"/>
        </w:rPr>
        <w:t xml:space="preserve"> 19, vol. 7 (2017): 972-89. </w:t>
      </w:r>
      <w:hyperlink r:id="rId22">
        <w:r w:rsidRPr="009679AC">
          <w:rPr>
            <w:rFonts w:ascii="Arial" w:eastAsia="Arial" w:hAnsi="Arial" w:cs="Arial"/>
            <w:color w:val="0563C1"/>
            <w:sz w:val="19"/>
            <w:szCs w:val="19"/>
            <w:u w:val="single"/>
          </w:rPr>
          <w:t>https://doi.org/10.1080/14719037.2016.1243812</w:t>
        </w:r>
      </w:hyperlink>
      <w:r w:rsidRPr="009679AC">
        <w:rPr>
          <w:rFonts w:ascii="Arial" w:eastAsia="Arial" w:hAnsi="Arial" w:cs="Arial"/>
          <w:color w:val="000000"/>
          <w:sz w:val="19"/>
          <w:szCs w:val="19"/>
        </w:rPr>
        <w:t xml:space="preserve">. </w:t>
      </w:r>
    </w:p>
    <w:p w14:paraId="6C707CA0" w14:textId="77777777"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lastRenderedPageBreak/>
        <w:t xml:space="preserve">Gustafsson-Wright, Emily, Gardiner, Sophie and Putcha, Vidya. </w:t>
      </w:r>
      <w:r w:rsidRPr="009679AC">
        <w:rPr>
          <w:rFonts w:ascii="Arial" w:eastAsia="Arial" w:hAnsi="Arial" w:cs="Arial"/>
          <w:i/>
          <w:iCs/>
          <w:color w:val="000000"/>
          <w:sz w:val="19"/>
          <w:szCs w:val="19"/>
        </w:rPr>
        <w:t>The Potential and Limitations of Impact Bonds: Lessons from the First Five Years of Experience Worldwide</w:t>
      </w:r>
      <w:r w:rsidRPr="009679AC">
        <w:rPr>
          <w:rFonts w:ascii="Arial" w:eastAsia="Arial" w:hAnsi="Arial" w:cs="Arial"/>
          <w:color w:val="000000"/>
          <w:sz w:val="19"/>
          <w:szCs w:val="19"/>
        </w:rPr>
        <w:t>. Global Economy and Development Program. Brookings Institute. 2015.</w:t>
      </w:r>
    </w:p>
    <w:p w14:paraId="3269ED4D" w14:textId="77777777"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Hardin, Garrett. “The Tragedy of the Commons</w:t>
      </w:r>
      <w:r w:rsidRPr="009679AC">
        <w:rPr>
          <w:rFonts w:ascii="Arial" w:eastAsia="Arial" w:hAnsi="Arial" w:cs="Arial"/>
          <w:i/>
          <w:iCs/>
          <w:color w:val="000000"/>
          <w:sz w:val="19"/>
          <w:szCs w:val="19"/>
        </w:rPr>
        <w:t>,” Science</w:t>
      </w:r>
      <w:r w:rsidRPr="009679AC">
        <w:rPr>
          <w:rFonts w:ascii="Arial" w:eastAsia="Arial" w:hAnsi="Arial" w:cs="Arial"/>
          <w:color w:val="000000"/>
          <w:sz w:val="19"/>
          <w:szCs w:val="19"/>
        </w:rPr>
        <w:t xml:space="preserve"> 162, no. 3859 (1968): pp. 1243–48.</w:t>
      </w:r>
    </w:p>
    <w:p w14:paraId="24C18176" w14:textId="77777777"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Heifetz, Rondal. </w:t>
      </w:r>
      <w:r w:rsidRPr="009679AC">
        <w:rPr>
          <w:rFonts w:ascii="Arial" w:eastAsia="Arial" w:hAnsi="Arial" w:cs="Arial"/>
          <w:i/>
          <w:iCs/>
          <w:color w:val="000000"/>
          <w:sz w:val="19"/>
          <w:szCs w:val="19"/>
        </w:rPr>
        <w:t>Leadership Without Easy Answers.</w:t>
      </w:r>
      <w:r w:rsidRPr="009679AC">
        <w:rPr>
          <w:rFonts w:ascii="Arial" w:eastAsia="Arial" w:hAnsi="Arial" w:cs="Arial"/>
          <w:color w:val="000000"/>
          <w:sz w:val="19"/>
          <w:szCs w:val="19"/>
        </w:rPr>
        <w:t xml:space="preserve"> Cambridge: The Belkap Press of Harvard University Press. 1994.</w:t>
      </w:r>
    </w:p>
    <w:p w14:paraId="2E904138" w14:textId="77777777" w:rsidR="009679AC" w:rsidRPr="009679AC" w:rsidRDefault="009679AC" w:rsidP="009679AC">
      <w:pPr>
        <w:spacing w:after="160"/>
        <w:rPr>
          <w:rFonts w:ascii="Arial" w:eastAsia="Arial" w:hAnsi="Arial" w:cs="Arial"/>
          <w:color w:val="000000"/>
          <w:sz w:val="19"/>
          <w:szCs w:val="19"/>
          <w:lang w:val="en-US"/>
        </w:rPr>
      </w:pPr>
      <w:r w:rsidRPr="009679AC">
        <w:rPr>
          <w:rFonts w:ascii="Arial" w:eastAsia="Arial" w:hAnsi="Arial" w:cs="Arial"/>
          <w:color w:val="000000"/>
          <w:sz w:val="19"/>
          <w:szCs w:val="19"/>
          <w:lang w:val="en-US"/>
        </w:rPr>
        <w:t xml:space="preserve">Heifetz, Ronald A. and Laurie, Donald L. “The Work of Leadership.” </w:t>
      </w:r>
      <w:r w:rsidRPr="009679AC">
        <w:rPr>
          <w:rFonts w:ascii="Arial" w:eastAsia="Arial" w:hAnsi="Arial" w:cs="Arial"/>
          <w:i/>
          <w:iCs/>
          <w:color w:val="000000"/>
          <w:sz w:val="19"/>
          <w:szCs w:val="19"/>
          <w:lang w:val="en-US"/>
        </w:rPr>
        <w:t xml:space="preserve">Harvard Business Review </w:t>
      </w:r>
      <w:r w:rsidRPr="009679AC">
        <w:rPr>
          <w:rFonts w:ascii="Arial" w:eastAsia="Arial" w:hAnsi="Arial" w:cs="Arial"/>
          <w:color w:val="000000"/>
          <w:sz w:val="19"/>
          <w:szCs w:val="19"/>
          <w:lang w:val="en-US"/>
        </w:rPr>
        <w:t>75, no. 1 (1997): 124-134.</w:t>
      </w:r>
    </w:p>
    <w:p w14:paraId="6F22C168" w14:textId="77777777"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Heifetz, Ronald, Grashow, Alexander and Linksy, Marty. </w:t>
      </w:r>
      <w:r w:rsidRPr="009679AC">
        <w:rPr>
          <w:rFonts w:ascii="Arial" w:eastAsia="Arial" w:hAnsi="Arial" w:cs="Arial"/>
          <w:i/>
          <w:iCs/>
          <w:color w:val="000000"/>
          <w:sz w:val="19"/>
          <w:szCs w:val="19"/>
        </w:rPr>
        <w:t xml:space="preserve">The Practice of Adaptive Leadership: Tools and Tactics for Changing your Organisation and the World. </w:t>
      </w:r>
      <w:r w:rsidRPr="009679AC">
        <w:rPr>
          <w:rFonts w:ascii="Arial" w:eastAsia="Arial" w:hAnsi="Arial" w:cs="Arial"/>
          <w:color w:val="000000"/>
          <w:sz w:val="19"/>
          <w:szCs w:val="19"/>
        </w:rPr>
        <w:t>Boston: Harvard Business Press. 2009.</w:t>
      </w:r>
    </w:p>
    <w:p w14:paraId="2362983C" w14:textId="1B02DC92"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Keast, Robyn. “Joined-up Governance in Australia: How the Past can Inform the Future.” </w:t>
      </w:r>
      <w:r w:rsidRPr="009679AC">
        <w:rPr>
          <w:rFonts w:ascii="Arial" w:eastAsia="Arial" w:hAnsi="Arial" w:cs="Arial"/>
          <w:i/>
          <w:iCs/>
          <w:color w:val="000000"/>
          <w:sz w:val="19"/>
          <w:szCs w:val="19"/>
        </w:rPr>
        <w:t>International Journal of Public Administration</w:t>
      </w:r>
      <w:r w:rsidRPr="009679AC">
        <w:rPr>
          <w:rFonts w:ascii="Arial" w:eastAsia="Arial" w:hAnsi="Arial" w:cs="Arial"/>
          <w:color w:val="000000"/>
          <w:sz w:val="19"/>
          <w:szCs w:val="19"/>
        </w:rPr>
        <w:t xml:space="preserve"> 34, vol. 4 (2011): 397-419.</w:t>
      </w:r>
      <w:r w:rsidR="00DF407A" w:rsidRPr="00131BEF">
        <w:rPr>
          <w:rFonts w:ascii="Arial" w:eastAsia="Arial" w:hAnsi="Arial" w:cs="Arial"/>
          <w:color w:val="000000"/>
          <w:sz w:val="19"/>
          <w:szCs w:val="19"/>
        </w:rPr>
        <w:t xml:space="preserve"> </w:t>
      </w:r>
      <w:hyperlink r:id="rId23" w:history="1">
        <w:r w:rsidR="00E933CB" w:rsidRPr="009679AC">
          <w:rPr>
            <w:rStyle w:val="Hyperlink"/>
            <w:rFonts w:ascii="Arial" w:eastAsia="Arial" w:hAnsi="Arial" w:cs="Arial"/>
            <w:sz w:val="19"/>
            <w:szCs w:val="19"/>
          </w:rPr>
          <w:t>https://doi.org/10.1080/01900692.2010.549799</w:t>
        </w:r>
      </w:hyperlink>
      <w:r w:rsidRPr="009679AC">
        <w:rPr>
          <w:rFonts w:ascii="Arial" w:eastAsia="Arial" w:hAnsi="Arial" w:cs="Arial"/>
          <w:color w:val="000000"/>
          <w:sz w:val="19"/>
          <w:szCs w:val="19"/>
        </w:rPr>
        <w:t xml:space="preserve">. </w:t>
      </w:r>
    </w:p>
    <w:p w14:paraId="18770D8A" w14:textId="77777777"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Liebman, Jeffrey B. </w:t>
      </w:r>
      <w:r w:rsidRPr="009679AC">
        <w:rPr>
          <w:rFonts w:ascii="Arial" w:eastAsia="Arial" w:hAnsi="Arial" w:cs="Arial"/>
          <w:i/>
          <w:iCs/>
          <w:color w:val="000000"/>
          <w:sz w:val="19"/>
          <w:szCs w:val="19"/>
        </w:rPr>
        <w:t>Social Impact Bonds: A Promising New Financing Model to Accelerate Social Innovation and Improve Government Performanc</w:t>
      </w:r>
      <w:r w:rsidRPr="009679AC">
        <w:rPr>
          <w:rFonts w:ascii="Arial" w:eastAsia="Arial" w:hAnsi="Arial" w:cs="Arial"/>
          <w:color w:val="000000"/>
          <w:sz w:val="19"/>
          <w:szCs w:val="19"/>
        </w:rPr>
        <w:t xml:space="preserve">e. Centre for American Progress. 2011. </w:t>
      </w:r>
    </w:p>
    <w:p w14:paraId="2A4F3582" w14:textId="77777777"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Lonsdale, Jeremy, Schweppenstedde, Daniel, van Stolk, Christian,Guerin, Benoit and Hafner, Marco. </w:t>
      </w:r>
      <w:r w:rsidRPr="009679AC">
        <w:rPr>
          <w:rFonts w:ascii="Arial" w:eastAsia="Arial" w:hAnsi="Arial" w:cs="Arial"/>
          <w:i/>
          <w:iCs/>
          <w:color w:val="000000"/>
          <w:sz w:val="19"/>
          <w:szCs w:val="19"/>
        </w:rPr>
        <w:t>One Place, One Budget – Approaches to Pooling Resources for Public Service Transformation</w:t>
      </w:r>
      <w:r w:rsidRPr="009679AC">
        <w:rPr>
          <w:rFonts w:ascii="Arial" w:eastAsia="Arial" w:hAnsi="Arial" w:cs="Arial"/>
          <w:color w:val="000000"/>
          <w:sz w:val="19"/>
          <w:szCs w:val="19"/>
        </w:rPr>
        <w:t>. RAND Corporation. 2015</w:t>
      </w:r>
    </w:p>
    <w:p w14:paraId="3BC495EB" w14:textId="77777777" w:rsidR="009679AC" w:rsidRPr="009679AC" w:rsidRDefault="009679AC" w:rsidP="009679AC">
      <w:pPr>
        <w:spacing w:after="160"/>
        <w:rPr>
          <w:rFonts w:ascii="Arial" w:eastAsia="Arial" w:hAnsi="Arial" w:cs="Arial"/>
          <w:color w:val="000000"/>
          <w:sz w:val="19"/>
          <w:szCs w:val="19"/>
          <w:lang w:val="en-US"/>
        </w:rPr>
      </w:pPr>
      <w:r w:rsidRPr="009679AC">
        <w:rPr>
          <w:rFonts w:ascii="Arial" w:eastAsia="Arial" w:hAnsi="Arial" w:cs="Arial"/>
          <w:color w:val="000000"/>
          <w:sz w:val="19"/>
          <w:szCs w:val="19"/>
        </w:rPr>
        <w:t>Lord Andrew Adonis, National Community Budgets Conference, London. 29 November 2012.</w:t>
      </w:r>
    </w:p>
    <w:p w14:paraId="7FB81C1A" w14:textId="77777777"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McDaid, David and Park, A-La. </w:t>
      </w:r>
      <w:r w:rsidRPr="009679AC">
        <w:rPr>
          <w:rFonts w:ascii="Arial" w:eastAsia="Arial" w:hAnsi="Arial" w:cs="Arial"/>
          <w:i/>
          <w:iCs/>
          <w:color w:val="000000"/>
          <w:sz w:val="19"/>
          <w:szCs w:val="19"/>
        </w:rPr>
        <w:t>Evidence on Financing and Budgeting Mechanisms to Support Intersectoral Actions between Health, Education, Social Welfare and Labour Sectors.</w:t>
      </w:r>
      <w:r w:rsidRPr="009679AC">
        <w:rPr>
          <w:rFonts w:ascii="Arial" w:eastAsia="Arial" w:hAnsi="Arial" w:cs="Arial"/>
          <w:color w:val="000000"/>
          <w:sz w:val="19"/>
          <w:szCs w:val="19"/>
        </w:rPr>
        <w:t xml:space="preserve"> Health Evidence Network Synthesis Report 48. WHO Europe. 2016.</w:t>
      </w:r>
    </w:p>
    <w:p w14:paraId="551B1970" w14:textId="77777777"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Miles, Emily and Trott, William. </w:t>
      </w:r>
      <w:r w:rsidRPr="009679AC">
        <w:rPr>
          <w:rFonts w:ascii="Arial" w:eastAsia="Arial" w:hAnsi="Arial" w:cs="Arial"/>
          <w:i/>
          <w:iCs/>
          <w:color w:val="000000"/>
          <w:sz w:val="19"/>
          <w:szCs w:val="19"/>
        </w:rPr>
        <w:t>Collaborative Working: How Publicly Funded Services can take a Whole System Approach</w:t>
      </w:r>
      <w:r w:rsidRPr="009679AC">
        <w:rPr>
          <w:rFonts w:ascii="Arial" w:eastAsia="Arial" w:hAnsi="Arial" w:cs="Arial"/>
          <w:color w:val="000000"/>
          <w:sz w:val="19"/>
          <w:szCs w:val="19"/>
        </w:rPr>
        <w:t>. InsideOUT Series. Institute for Government, 2011.</w:t>
      </w:r>
    </w:p>
    <w:p w14:paraId="0BABD19B" w14:textId="77777777"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Ostrom, Elinor. </w:t>
      </w:r>
      <w:r w:rsidRPr="009679AC">
        <w:rPr>
          <w:rFonts w:ascii="Arial" w:eastAsia="Arial" w:hAnsi="Arial" w:cs="Arial"/>
          <w:i/>
          <w:iCs/>
          <w:color w:val="000000"/>
          <w:sz w:val="19"/>
          <w:szCs w:val="19"/>
        </w:rPr>
        <w:t>Governing the Commons: The Evolution of Institutions for Collective Action</w:t>
      </w:r>
      <w:r w:rsidRPr="009679AC">
        <w:rPr>
          <w:rFonts w:ascii="Arial" w:eastAsia="Arial" w:hAnsi="Arial" w:cs="Arial"/>
          <w:color w:val="000000"/>
          <w:sz w:val="19"/>
          <w:szCs w:val="19"/>
        </w:rPr>
        <w:t>. Cambridge: Cambridge University Press. 1990.</w:t>
      </w:r>
    </w:p>
    <w:p w14:paraId="5994DAB5" w14:textId="77777777" w:rsidR="009679AC" w:rsidRPr="009679AC" w:rsidRDefault="009679AC" w:rsidP="009679AC">
      <w:pPr>
        <w:spacing w:after="160" w:line="288" w:lineRule="auto"/>
        <w:rPr>
          <w:rFonts w:ascii="Arial" w:eastAsia="Arial" w:hAnsi="Arial" w:cs="Arial"/>
          <w:color w:val="808080"/>
          <w:sz w:val="19"/>
          <w:szCs w:val="19"/>
          <w:lang w:val="en-US"/>
        </w:rPr>
      </w:pPr>
      <w:r w:rsidRPr="009679AC">
        <w:rPr>
          <w:rFonts w:ascii="Arial" w:eastAsia="Arial" w:hAnsi="Arial" w:cs="Arial"/>
          <w:color w:val="000000"/>
          <w:sz w:val="19"/>
          <w:szCs w:val="19"/>
        </w:rPr>
        <w:t>Schick, Allen. "The Changing Role of the Central Budget Office." </w:t>
      </w:r>
      <w:r w:rsidRPr="009679AC">
        <w:rPr>
          <w:rFonts w:ascii="Arial" w:eastAsia="Arial" w:hAnsi="Arial" w:cs="Arial"/>
          <w:i/>
          <w:iCs/>
          <w:color w:val="000000"/>
          <w:sz w:val="19"/>
          <w:szCs w:val="19"/>
        </w:rPr>
        <w:t>OECD Journal on Budgeting</w:t>
      </w:r>
      <w:r w:rsidRPr="009679AC">
        <w:rPr>
          <w:rFonts w:ascii="Arial" w:eastAsia="Arial" w:hAnsi="Arial" w:cs="Arial"/>
          <w:color w:val="000000"/>
          <w:sz w:val="19"/>
          <w:szCs w:val="19"/>
        </w:rPr>
        <w:t xml:space="preserve"> 1, vol. 1 (2001): 9-26. </w:t>
      </w:r>
      <w:hyperlink r:id="rId24">
        <w:r w:rsidRPr="009679AC">
          <w:rPr>
            <w:rFonts w:ascii="Arial" w:eastAsia="Arial" w:hAnsi="Arial" w:cs="Arial"/>
            <w:color w:val="0563C1"/>
            <w:sz w:val="19"/>
            <w:szCs w:val="19"/>
            <w:u w:val="single"/>
          </w:rPr>
          <w:t>https://doi.org/10.1787/budget-v1-art3-en</w:t>
        </w:r>
      </w:hyperlink>
      <w:r w:rsidRPr="009679AC">
        <w:rPr>
          <w:rFonts w:ascii="Arial" w:eastAsia="Arial" w:hAnsi="Arial" w:cs="Arial"/>
          <w:color w:val="0563C1"/>
          <w:sz w:val="19"/>
          <w:szCs w:val="19"/>
          <w:u w:val="single"/>
        </w:rPr>
        <w:t>.</w:t>
      </w:r>
    </w:p>
    <w:p w14:paraId="3E9742D2" w14:textId="77777777" w:rsidR="009679AC" w:rsidRPr="009679AC" w:rsidRDefault="009679AC" w:rsidP="009679AC">
      <w:pPr>
        <w:spacing w:after="160" w:line="288" w:lineRule="auto"/>
        <w:rPr>
          <w:rFonts w:ascii="Arial" w:eastAsia="Arial" w:hAnsi="Arial" w:cs="Arial"/>
          <w:color w:val="0563C1"/>
          <w:sz w:val="19"/>
          <w:szCs w:val="19"/>
          <w:u w:val="single"/>
        </w:rPr>
      </w:pPr>
      <w:r w:rsidRPr="009679AC">
        <w:rPr>
          <w:rFonts w:ascii="Arial" w:eastAsia="Arial" w:hAnsi="Arial" w:cs="Arial"/>
          <w:color w:val="000000"/>
          <w:sz w:val="19"/>
          <w:szCs w:val="19"/>
        </w:rPr>
        <w:t xml:space="preserve">Torracinta, Simon. “Bad Economics.” </w:t>
      </w:r>
      <w:r w:rsidRPr="009679AC">
        <w:rPr>
          <w:rFonts w:ascii="Arial" w:eastAsia="Arial" w:hAnsi="Arial" w:cs="Arial"/>
          <w:i/>
          <w:iCs/>
          <w:color w:val="000000"/>
          <w:sz w:val="19"/>
          <w:szCs w:val="19"/>
        </w:rPr>
        <w:t>Boston Review.</w:t>
      </w:r>
      <w:r w:rsidRPr="009679AC">
        <w:rPr>
          <w:rFonts w:ascii="Arial" w:eastAsia="Arial" w:hAnsi="Arial" w:cs="Arial"/>
          <w:color w:val="000000"/>
          <w:sz w:val="19"/>
          <w:szCs w:val="19"/>
        </w:rPr>
        <w:t xml:space="preserve"> 9 March 2022. </w:t>
      </w:r>
      <w:hyperlink r:id="rId25">
        <w:r w:rsidRPr="009679AC">
          <w:rPr>
            <w:rFonts w:ascii="Arial" w:eastAsia="Arial" w:hAnsi="Arial" w:cs="Arial"/>
            <w:color w:val="0563C1"/>
            <w:sz w:val="19"/>
            <w:szCs w:val="19"/>
            <w:u w:val="single"/>
          </w:rPr>
          <w:t>https://bostonreview.net/articles/bad-economics/.</w:t>
        </w:r>
      </w:hyperlink>
    </w:p>
    <w:p w14:paraId="4BEB4FCD" w14:textId="77777777" w:rsidR="009679AC" w:rsidRPr="009679AC" w:rsidRDefault="009679AC" w:rsidP="009679AC">
      <w:pPr>
        <w:spacing w:after="160" w:line="288" w:lineRule="auto"/>
        <w:rPr>
          <w:rFonts w:ascii="Arial" w:eastAsia="Arial" w:hAnsi="Arial" w:cs="Arial"/>
          <w:color w:val="808080"/>
          <w:sz w:val="19"/>
          <w:szCs w:val="19"/>
          <w:lang w:val="en-US"/>
        </w:rPr>
      </w:pPr>
      <w:r w:rsidRPr="009679AC">
        <w:rPr>
          <w:rFonts w:ascii="Arial" w:eastAsia="Arial" w:hAnsi="Arial" w:cs="Arial"/>
          <w:color w:val="000000"/>
          <w:sz w:val="19"/>
          <w:szCs w:val="19"/>
        </w:rPr>
        <w:t xml:space="preserve">Tyler, Matt and Stephens, Ben. “Paying for Outcomes: Beyond the Social Impact Bond Buzz.” </w:t>
      </w:r>
      <w:r w:rsidRPr="009679AC">
        <w:rPr>
          <w:rFonts w:ascii="Arial" w:eastAsia="Arial" w:hAnsi="Arial" w:cs="Arial"/>
          <w:i/>
          <w:iCs/>
          <w:color w:val="000000"/>
          <w:sz w:val="19"/>
          <w:szCs w:val="19"/>
        </w:rPr>
        <w:t>Inside Story</w:t>
      </w:r>
      <w:r w:rsidRPr="009679AC">
        <w:rPr>
          <w:rFonts w:ascii="Arial" w:eastAsia="Arial" w:hAnsi="Arial" w:cs="Arial"/>
          <w:color w:val="000000"/>
          <w:sz w:val="19"/>
          <w:szCs w:val="19"/>
        </w:rPr>
        <w:t>. 28 October 2016.</w:t>
      </w:r>
      <w:r w:rsidRPr="009679AC">
        <w:rPr>
          <w:rFonts w:ascii="Arial" w:eastAsia="Arial" w:hAnsi="Arial" w:cs="Arial"/>
          <w:i/>
          <w:iCs/>
          <w:color w:val="000000"/>
          <w:sz w:val="19"/>
          <w:szCs w:val="19"/>
        </w:rPr>
        <w:t xml:space="preserve"> </w:t>
      </w:r>
      <w:hyperlink r:id="rId26">
        <w:r w:rsidRPr="009679AC">
          <w:rPr>
            <w:rFonts w:ascii="Arial" w:eastAsia="Arial" w:hAnsi="Arial" w:cs="Arial"/>
            <w:color w:val="0563C1"/>
            <w:sz w:val="19"/>
            <w:szCs w:val="19"/>
            <w:u w:val="single"/>
          </w:rPr>
          <w:t>https://insidestory.org.au/paying-for-outcomes-beyond-the-social-impact-bond-buzz/</w:t>
        </w:r>
      </w:hyperlink>
      <w:r w:rsidRPr="009679AC">
        <w:rPr>
          <w:rFonts w:ascii="Arial" w:eastAsia="Arial" w:hAnsi="Arial" w:cs="Arial"/>
          <w:color w:val="000000"/>
          <w:sz w:val="19"/>
          <w:szCs w:val="19"/>
        </w:rPr>
        <w:t>.</w:t>
      </w:r>
      <w:r w:rsidRPr="009679AC">
        <w:rPr>
          <w:rFonts w:ascii="Arial" w:eastAsia="Arial" w:hAnsi="Arial" w:cs="Arial"/>
          <w:color w:val="0563C1"/>
          <w:sz w:val="19"/>
          <w:szCs w:val="19"/>
          <w:u w:val="single"/>
        </w:rPr>
        <w:t xml:space="preserve">  </w:t>
      </w:r>
    </w:p>
    <w:p w14:paraId="1D613953" w14:textId="77777777"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Tyler, Matt and Willis, Peter. </w:t>
      </w:r>
      <w:r w:rsidRPr="009679AC">
        <w:rPr>
          <w:rFonts w:ascii="Arial" w:eastAsia="Arial" w:hAnsi="Arial" w:cs="Arial"/>
          <w:i/>
          <w:iCs/>
          <w:color w:val="000000"/>
          <w:sz w:val="19"/>
          <w:szCs w:val="19"/>
        </w:rPr>
        <w:t>Improving Outcomes in Social Services: Modernizing Australia’s Social Infrastructure.</w:t>
      </w:r>
      <w:r w:rsidRPr="009679AC">
        <w:rPr>
          <w:rFonts w:ascii="Arial" w:eastAsia="Arial" w:hAnsi="Arial" w:cs="Arial"/>
          <w:color w:val="000000"/>
          <w:sz w:val="19"/>
          <w:szCs w:val="19"/>
        </w:rPr>
        <w:t xml:space="preserve"> Final Report for the Australian Labor Party. 2017.</w:t>
      </w:r>
    </w:p>
    <w:p w14:paraId="35E0F46D" w14:textId="483A5B9C"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Wilkins, Peter, Phillimore, John and Gilchrist, David. </w:t>
      </w:r>
      <w:r w:rsidRPr="009679AC">
        <w:rPr>
          <w:rFonts w:ascii="Arial" w:eastAsia="Arial" w:hAnsi="Arial" w:cs="Arial"/>
          <w:i/>
          <w:iCs/>
          <w:color w:val="000000"/>
          <w:sz w:val="19"/>
          <w:szCs w:val="19"/>
        </w:rPr>
        <w:t>Working Together: Evidence on Collaboration from the Reports of Independent Watchdogs</w:t>
      </w:r>
      <w:r w:rsidRPr="009679AC">
        <w:rPr>
          <w:rFonts w:ascii="Arial" w:eastAsia="Arial" w:hAnsi="Arial" w:cs="Arial"/>
          <w:color w:val="000000"/>
          <w:sz w:val="19"/>
          <w:szCs w:val="19"/>
        </w:rPr>
        <w:t xml:space="preserve">. </w:t>
      </w:r>
      <w:r w:rsidR="006C5CC2" w:rsidRPr="00131BEF">
        <w:rPr>
          <w:rFonts w:ascii="Arial" w:eastAsia="Arial" w:hAnsi="Arial" w:cs="Arial"/>
          <w:color w:val="000000"/>
          <w:sz w:val="19"/>
          <w:szCs w:val="19"/>
        </w:rPr>
        <w:t>ANZSOG</w:t>
      </w:r>
      <w:r w:rsidRPr="009679AC">
        <w:rPr>
          <w:rFonts w:ascii="Arial" w:eastAsia="Arial" w:hAnsi="Arial" w:cs="Arial"/>
          <w:color w:val="000000"/>
          <w:sz w:val="19"/>
          <w:szCs w:val="19"/>
        </w:rPr>
        <w:t>. 2015.</w:t>
      </w:r>
    </w:p>
    <w:p w14:paraId="120DDA2F" w14:textId="77777777" w:rsidR="009679AC" w:rsidRPr="009679AC" w:rsidRDefault="009679AC" w:rsidP="009679AC">
      <w:pPr>
        <w:spacing w:after="160" w:line="288" w:lineRule="auto"/>
        <w:rPr>
          <w:rFonts w:ascii="Arial" w:eastAsia="Arial" w:hAnsi="Arial" w:cs="Arial"/>
          <w:color w:val="000000"/>
          <w:sz w:val="19"/>
          <w:szCs w:val="19"/>
          <w:lang w:val="en-US"/>
        </w:rPr>
      </w:pPr>
      <w:r w:rsidRPr="009679AC">
        <w:rPr>
          <w:rFonts w:ascii="Arial" w:eastAsia="Arial" w:hAnsi="Arial" w:cs="Arial"/>
          <w:color w:val="000000"/>
          <w:sz w:val="19"/>
          <w:szCs w:val="19"/>
        </w:rPr>
        <w:t xml:space="preserve">Willis, Peter and Tyler, Matt. “Implementing a Social Outcomes Fund in Australia.” </w:t>
      </w:r>
      <w:r w:rsidRPr="009679AC">
        <w:rPr>
          <w:rFonts w:ascii="Arial" w:eastAsia="Arial" w:hAnsi="Arial" w:cs="Arial"/>
          <w:i/>
          <w:iCs/>
          <w:color w:val="000000"/>
          <w:sz w:val="19"/>
          <w:szCs w:val="19"/>
        </w:rPr>
        <w:t>The Mandarin</w:t>
      </w:r>
      <w:r w:rsidRPr="009679AC">
        <w:rPr>
          <w:rFonts w:ascii="Arial" w:eastAsia="Arial" w:hAnsi="Arial" w:cs="Arial"/>
          <w:color w:val="000000"/>
          <w:sz w:val="19"/>
          <w:szCs w:val="19"/>
        </w:rPr>
        <w:t xml:space="preserve">, 3 September 2018. </w:t>
      </w:r>
      <w:hyperlink r:id="rId27">
        <w:r w:rsidRPr="009679AC">
          <w:rPr>
            <w:rFonts w:ascii="Arial" w:eastAsia="Arial" w:hAnsi="Arial" w:cs="Arial"/>
            <w:color w:val="0563C1"/>
            <w:sz w:val="19"/>
            <w:szCs w:val="19"/>
            <w:u w:val="single"/>
          </w:rPr>
          <w:t>https://www.themandarin.com.au/97738-implementing-a-social-outcomes-fund-in-australia/</w:t>
        </w:r>
      </w:hyperlink>
      <w:r w:rsidRPr="009679AC">
        <w:rPr>
          <w:rFonts w:ascii="Arial" w:eastAsia="Arial" w:hAnsi="Arial" w:cs="Arial"/>
          <w:color w:val="000000"/>
          <w:sz w:val="19"/>
          <w:szCs w:val="19"/>
        </w:rPr>
        <w:t>.</w:t>
      </w:r>
    </w:p>
    <w:p w14:paraId="3877F5B9" w14:textId="77777777" w:rsidR="009679AC" w:rsidRPr="009679AC" w:rsidRDefault="009679AC" w:rsidP="009679AC">
      <w:pPr>
        <w:spacing w:after="160" w:line="259" w:lineRule="auto"/>
        <w:rPr>
          <w:rFonts w:ascii="Arial" w:eastAsia="Arial" w:hAnsi="Arial" w:cs="Arial"/>
          <w:sz w:val="20"/>
          <w:szCs w:val="20"/>
          <w:lang w:val="en-US"/>
        </w:rPr>
      </w:pPr>
    </w:p>
    <w:p w14:paraId="6D1A79F8" w14:textId="77777777" w:rsidR="009679AC" w:rsidRPr="009679AC" w:rsidRDefault="009679AC" w:rsidP="009679AC">
      <w:pPr>
        <w:spacing w:after="160" w:line="259" w:lineRule="auto"/>
        <w:rPr>
          <w:rFonts w:ascii="Arial" w:eastAsia="Arial" w:hAnsi="Arial" w:cs="Arial"/>
          <w:sz w:val="20"/>
          <w:szCs w:val="20"/>
          <w:lang w:val="en-US"/>
        </w:rPr>
      </w:pPr>
    </w:p>
    <w:p w14:paraId="14A7FA5E" w14:textId="77777777" w:rsidR="36B1B4F0" w:rsidRPr="008E44DA" w:rsidRDefault="36B1B4F0" w:rsidP="009B1E99">
      <w:pPr>
        <w:spacing w:line="276" w:lineRule="auto"/>
        <w:jc w:val="both"/>
        <w:rPr>
          <w:rFonts w:ascii="Arial" w:eastAsia="Calibri" w:hAnsi="Arial" w:cs="Arial"/>
          <w:color w:val="201F1E"/>
          <w:sz w:val="22"/>
          <w:szCs w:val="22"/>
        </w:rPr>
      </w:pPr>
    </w:p>
    <w:sectPr w:rsidR="36B1B4F0" w:rsidRPr="008E44DA">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2AFF" w14:textId="77777777" w:rsidR="00F12D4E" w:rsidRDefault="00F12D4E" w:rsidP="008B036D">
      <w:r>
        <w:separator/>
      </w:r>
    </w:p>
  </w:endnote>
  <w:endnote w:type="continuationSeparator" w:id="0">
    <w:p w14:paraId="3D86A1B9" w14:textId="77777777" w:rsidR="00F12D4E" w:rsidRDefault="00F12D4E" w:rsidP="008B036D">
      <w:r>
        <w:continuationSeparator/>
      </w:r>
    </w:p>
  </w:endnote>
  <w:endnote w:type="continuationNotice" w:id="1">
    <w:p w14:paraId="4E6F2DB7" w14:textId="77777777" w:rsidR="00F12D4E" w:rsidRDefault="00F12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7182" w14:textId="06886052" w:rsidR="002A1D47" w:rsidRDefault="002A1D47">
    <w:pPr>
      <w:pStyle w:val="Footer"/>
    </w:pPr>
    <w:r>
      <w:rPr>
        <w:noProof/>
        <w:lang w:eastAsia="en-AU"/>
      </w:rPr>
      <mc:AlternateContent>
        <mc:Choice Requires="wps">
          <w:drawing>
            <wp:anchor distT="0" distB="0" distL="114300" distR="114300" simplePos="0" relativeHeight="251658240" behindDoc="0" locked="0" layoutInCell="0" allowOverlap="1" wp14:anchorId="38E3D1BA" wp14:editId="05217AE3">
              <wp:simplePos x="0" y="0"/>
              <wp:positionH relativeFrom="page">
                <wp:posOffset>0</wp:posOffset>
              </wp:positionH>
              <wp:positionV relativeFrom="page">
                <wp:posOffset>10228580</wp:posOffset>
              </wp:positionV>
              <wp:extent cx="7560310" cy="273050"/>
              <wp:effectExtent l="0" t="0" r="0" b="12700"/>
              <wp:wrapNone/>
              <wp:docPr id="1" name="MSIPCM729141909aee1e65022d54c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20C063" w14:textId="3D185F89" w:rsidR="002A1D47" w:rsidRPr="00E24CF5" w:rsidRDefault="00E24CF5" w:rsidP="00E24CF5">
                          <w:pPr>
                            <w:rPr>
                              <w:rFonts w:ascii="Calibri" w:hAnsi="Calibri" w:cs="Calibri"/>
                              <w:color w:val="000000"/>
                              <w:sz w:val="22"/>
                            </w:rPr>
                          </w:pPr>
                          <w:r w:rsidRPr="00E24CF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E3D1BA" id="_x0000_t202" coordsize="21600,21600" o:spt="202" path="m,l,21600r21600,l21600,xe">
              <v:stroke joinstyle="miter"/>
              <v:path gradientshapeok="t" o:connecttype="rect"/>
            </v:shapetype>
            <v:shape id="MSIPCM729141909aee1e65022d54c3" o:spid="_x0000_s1026" type="#_x0000_t202" alt="{&quot;HashCode&quot;:-1267603503,&quot;Height&quot;:841.0,&quot;Width&quot;:595.0,&quot;Placement&quot;:&quot;Footer&quot;,&quot;Index&quot;:&quot;Primary&quot;,&quot;Section&quot;:1,&quot;Top&quot;:0.0,&quot;Left&quot;:0.0}" style="position:absolute;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6E20C063" w14:textId="3D185F89" w:rsidR="002A1D47" w:rsidRPr="00E24CF5" w:rsidRDefault="00E24CF5" w:rsidP="00E24CF5">
                    <w:pPr>
                      <w:rPr>
                        <w:rFonts w:ascii="Calibri" w:hAnsi="Calibri" w:cs="Calibri"/>
                        <w:color w:val="000000"/>
                        <w:sz w:val="22"/>
                      </w:rPr>
                    </w:pPr>
                    <w:r w:rsidRPr="00E24CF5">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623A" w14:textId="77777777" w:rsidR="00F12D4E" w:rsidRDefault="00F12D4E" w:rsidP="008B036D">
      <w:r>
        <w:separator/>
      </w:r>
    </w:p>
  </w:footnote>
  <w:footnote w:type="continuationSeparator" w:id="0">
    <w:p w14:paraId="18810006" w14:textId="77777777" w:rsidR="00F12D4E" w:rsidRDefault="00F12D4E" w:rsidP="008B036D">
      <w:r>
        <w:continuationSeparator/>
      </w:r>
    </w:p>
  </w:footnote>
  <w:footnote w:type="continuationNotice" w:id="1">
    <w:p w14:paraId="70B075B2" w14:textId="77777777" w:rsidR="00F12D4E" w:rsidRDefault="00F12D4E"/>
  </w:footnote>
  <w:footnote w:id="2">
    <w:p w14:paraId="5D0B5FBA" w14:textId="23DB467F" w:rsidR="00D3287F" w:rsidRPr="007E2F74" w:rsidRDefault="00D3287F" w:rsidP="00D3287F">
      <w:pPr>
        <w:spacing w:line="276" w:lineRule="auto"/>
        <w:rPr>
          <w:rFonts w:ascii="Arial" w:eastAsia="Arial" w:hAnsi="Arial" w:cs="Arial"/>
          <w:color w:val="201F1E"/>
          <w:sz w:val="20"/>
          <w:szCs w:val="20"/>
        </w:rPr>
      </w:pPr>
      <w:r w:rsidRPr="009B1E99">
        <w:rPr>
          <w:rStyle w:val="FootnoteReference"/>
          <w:rFonts w:ascii="Arial" w:hAnsi="Arial" w:cs="Arial"/>
          <w:sz w:val="20"/>
          <w:szCs w:val="20"/>
        </w:rPr>
        <w:footnoteRef/>
      </w:r>
      <w:r w:rsidRPr="009B1E99">
        <w:rPr>
          <w:rFonts w:ascii="Arial" w:hAnsi="Arial" w:cs="Arial"/>
          <w:sz w:val="20"/>
          <w:szCs w:val="20"/>
        </w:rPr>
        <w:t xml:space="preserve"> </w:t>
      </w:r>
      <w:r w:rsidR="007E2F74">
        <w:rPr>
          <w:rFonts w:ascii="Arial" w:eastAsia="Arial" w:hAnsi="Arial" w:cs="Arial"/>
          <w:color w:val="201F1E"/>
          <w:sz w:val="20"/>
          <w:szCs w:val="20"/>
        </w:rPr>
        <w:t>A</w:t>
      </w:r>
      <w:r w:rsidR="00F71F1F">
        <w:rPr>
          <w:rFonts w:ascii="Arial" w:eastAsia="Arial" w:hAnsi="Arial" w:cs="Arial"/>
          <w:color w:val="201F1E"/>
          <w:sz w:val="20"/>
          <w:szCs w:val="20"/>
        </w:rPr>
        <w:t xml:space="preserve"> methodological</w:t>
      </w:r>
      <w:r w:rsidR="007E2F74">
        <w:rPr>
          <w:rFonts w:ascii="Arial" w:eastAsia="Arial" w:hAnsi="Arial" w:cs="Arial"/>
          <w:color w:val="201F1E"/>
          <w:sz w:val="20"/>
          <w:szCs w:val="20"/>
        </w:rPr>
        <w:t xml:space="preserve"> </w:t>
      </w:r>
      <w:r w:rsidR="007E2F74" w:rsidRPr="007E2F74">
        <w:rPr>
          <w:rFonts w:ascii="Arial" w:eastAsia="Arial" w:hAnsi="Arial" w:cs="Arial"/>
          <w:color w:val="201F1E"/>
          <w:sz w:val="20"/>
          <w:szCs w:val="20"/>
        </w:rPr>
        <w:t>limitation of our paper and its findings is that</w:t>
      </w:r>
      <w:r w:rsidR="00C303FC" w:rsidRPr="007E2F74">
        <w:rPr>
          <w:rFonts w:ascii="Arial" w:eastAsia="Arial" w:hAnsi="Arial" w:cs="Arial"/>
          <w:color w:val="201F1E"/>
          <w:sz w:val="20"/>
          <w:szCs w:val="20"/>
        </w:rPr>
        <w:t xml:space="preserve"> </w:t>
      </w:r>
      <w:r w:rsidR="007E2F74">
        <w:rPr>
          <w:rFonts w:ascii="Arial" w:eastAsia="Arial" w:hAnsi="Arial" w:cs="Arial"/>
          <w:color w:val="201F1E"/>
          <w:sz w:val="20"/>
          <w:szCs w:val="20"/>
        </w:rPr>
        <w:t>our</w:t>
      </w:r>
      <w:r w:rsidR="007E2F74" w:rsidRPr="007E2F74">
        <w:rPr>
          <w:rFonts w:ascii="Arial" w:eastAsia="Arial" w:hAnsi="Arial" w:cs="Arial"/>
          <w:color w:val="201F1E"/>
          <w:sz w:val="20"/>
          <w:szCs w:val="20"/>
        </w:rPr>
        <w:t xml:space="preserve"> </w:t>
      </w:r>
      <w:r w:rsidRPr="007E2F74">
        <w:rPr>
          <w:rFonts w:ascii="Arial" w:eastAsia="Arial" w:hAnsi="Arial" w:cs="Arial"/>
          <w:color w:val="201F1E"/>
          <w:sz w:val="20"/>
          <w:szCs w:val="20"/>
        </w:rPr>
        <w:t xml:space="preserve">interviews were solely </w:t>
      </w:r>
      <w:r w:rsidR="00C303FC" w:rsidRPr="007E2F74">
        <w:rPr>
          <w:rFonts w:ascii="Arial" w:eastAsia="Arial" w:hAnsi="Arial" w:cs="Arial"/>
          <w:color w:val="201F1E"/>
          <w:sz w:val="20"/>
          <w:szCs w:val="20"/>
        </w:rPr>
        <w:t xml:space="preserve">with officials from </w:t>
      </w:r>
      <w:r w:rsidRPr="007E2F74">
        <w:rPr>
          <w:rFonts w:ascii="Arial" w:eastAsia="Arial" w:hAnsi="Arial" w:cs="Arial"/>
          <w:color w:val="201F1E"/>
          <w:sz w:val="20"/>
          <w:szCs w:val="20"/>
        </w:rPr>
        <w:t>central financing agencies</w:t>
      </w:r>
      <w:r w:rsidR="007E2F74">
        <w:rPr>
          <w:rFonts w:ascii="Arial" w:eastAsia="Arial" w:hAnsi="Arial" w:cs="Arial"/>
          <w:color w:val="201F1E"/>
          <w:sz w:val="20"/>
          <w:szCs w:val="20"/>
        </w:rPr>
        <w:t>.</w:t>
      </w:r>
      <w:r w:rsidR="00740AC2">
        <w:rPr>
          <w:rFonts w:ascii="Arial" w:eastAsia="Arial" w:hAnsi="Arial" w:cs="Arial"/>
          <w:color w:val="201F1E"/>
          <w:sz w:val="20"/>
          <w:szCs w:val="20"/>
        </w:rPr>
        <w:t xml:space="preserve"> Consequently, we</w:t>
      </w:r>
      <w:r w:rsidRPr="007E2F74">
        <w:rPr>
          <w:rFonts w:ascii="Arial" w:eastAsia="Arial" w:hAnsi="Arial" w:cs="Arial"/>
          <w:color w:val="201F1E"/>
          <w:sz w:val="20"/>
          <w:szCs w:val="20"/>
        </w:rPr>
        <w:t xml:space="preserve"> </w:t>
      </w:r>
      <w:r w:rsidR="00740AC2">
        <w:rPr>
          <w:rFonts w:ascii="Arial" w:eastAsia="Arial" w:hAnsi="Arial" w:cs="Arial"/>
          <w:color w:val="201F1E"/>
          <w:sz w:val="20"/>
          <w:szCs w:val="20"/>
        </w:rPr>
        <w:t>strongly</w:t>
      </w:r>
      <w:r w:rsidRPr="007E2F74">
        <w:rPr>
          <w:rFonts w:ascii="Arial" w:eastAsia="Arial" w:hAnsi="Arial" w:cs="Arial"/>
          <w:color w:val="201F1E"/>
          <w:sz w:val="20"/>
          <w:szCs w:val="20"/>
        </w:rPr>
        <w:t xml:space="preserve"> </w:t>
      </w:r>
      <w:r w:rsidR="00743CE7" w:rsidRPr="007E2F74">
        <w:rPr>
          <w:rFonts w:ascii="Arial" w:eastAsia="Arial" w:hAnsi="Arial" w:cs="Arial"/>
          <w:color w:val="201F1E"/>
          <w:sz w:val="20"/>
          <w:szCs w:val="20"/>
        </w:rPr>
        <w:t>recommend</w:t>
      </w:r>
      <w:r w:rsidRPr="007E2F74">
        <w:rPr>
          <w:rFonts w:ascii="Arial" w:eastAsia="Arial" w:hAnsi="Arial" w:cs="Arial"/>
          <w:color w:val="201F1E"/>
          <w:sz w:val="20"/>
          <w:szCs w:val="20"/>
        </w:rPr>
        <w:t xml:space="preserve"> that </w:t>
      </w:r>
      <w:r w:rsidR="00743CE7" w:rsidRPr="007E2F74">
        <w:rPr>
          <w:rFonts w:ascii="Arial" w:eastAsia="Arial" w:hAnsi="Arial" w:cs="Arial"/>
          <w:color w:val="201F1E"/>
          <w:sz w:val="20"/>
          <w:szCs w:val="20"/>
        </w:rPr>
        <w:t>any</w:t>
      </w:r>
      <w:r w:rsidRPr="007E2F74">
        <w:rPr>
          <w:rFonts w:ascii="Arial" w:eastAsia="Arial" w:hAnsi="Arial" w:cs="Arial"/>
          <w:color w:val="201F1E"/>
          <w:sz w:val="20"/>
          <w:szCs w:val="20"/>
        </w:rPr>
        <w:t xml:space="preserve"> next stage in refining and implementing the EIIF involve engagement with line agencies </w:t>
      </w:r>
      <w:r w:rsidR="00463E69" w:rsidRPr="007E2F74">
        <w:rPr>
          <w:rFonts w:ascii="Arial" w:eastAsia="Arial" w:hAnsi="Arial" w:cs="Arial"/>
          <w:color w:val="201F1E"/>
          <w:sz w:val="20"/>
          <w:szCs w:val="20"/>
        </w:rPr>
        <w:t>to facilitate</w:t>
      </w:r>
      <w:r w:rsidRPr="007E2F74">
        <w:rPr>
          <w:rFonts w:ascii="Arial" w:eastAsia="Arial" w:hAnsi="Arial" w:cs="Arial"/>
          <w:color w:val="201F1E"/>
          <w:sz w:val="20"/>
          <w:szCs w:val="20"/>
        </w:rPr>
        <w:t xml:space="preserve"> </w:t>
      </w:r>
      <w:r w:rsidR="00740AC2">
        <w:rPr>
          <w:rFonts w:ascii="Arial" w:eastAsia="Arial" w:hAnsi="Arial" w:cs="Arial"/>
          <w:color w:val="201F1E"/>
          <w:sz w:val="20"/>
          <w:szCs w:val="20"/>
        </w:rPr>
        <w:t xml:space="preserve">understanding of their perspectives on the EIIF, </w:t>
      </w:r>
      <w:r w:rsidRPr="007E2F74">
        <w:rPr>
          <w:rStyle w:val="normaltextrun"/>
          <w:rFonts w:ascii="Arial" w:eastAsia="Arial" w:hAnsi="Arial" w:cs="Arial"/>
          <w:color w:val="000000" w:themeColor="text1"/>
          <w:sz w:val="20"/>
          <w:szCs w:val="20"/>
        </w:rPr>
        <w:t>peer-to-peer discussion and mutual learning.</w:t>
      </w:r>
    </w:p>
    <w:p w14:paraId="18645297" w14:textId="77777777" w:rsidR="00D3287F" w:rsidRDefault="00D3287F" w:rsidP="00D3287F">
      <w:pPr>
        <w:pStyle w:val="FootnoteText"/>
      </w:pPr>
    </w:p>
  </w:footnote>
  <w:footnote w:id="3">
    <w:p w14:paraId="3D4C23E3" w14:textId="422739CD" w:rsidR="002A1D47" w:rsidRPr="00E05BA5" w:rsidRDefault="002A1D47" w:rsidP="654E807E">
      <w:pPr>
        <w:rPr>
          <w:rFonts w:ascii="Arial" w:eastAsia="Arial" w:hAnsi="Arial" w:cs="Arial"/>
          <w:sz w:val="22"/>
          <w:szCs w:val="22"/>
        </w:rPr>
      </w:pPr>
      <w:r w:rsidRPr="00E05BA5">
        <w:rPr>
          <w:rStyle w:val="FootnoteReference"/>
          <w:rFonts w:ascii="Arial" w:hAnsi="Arial" w:cs="Arial"/>
          <w:sz w:val="20"/>
          <w:szCs w:val="20"/>
        </w:rPr>
        <w:footnoteRef/>
      </w:r>
      <w:r w:rsidRPr="00E05BA5">
        <w:rPr>
          <w:rFonts w:ascii="Arial" w:hAnsi="Arial" w:cs="Arial"/>
          <w:sz w:val="20"/>
          <w:szCs w:val="20"/>
        </w:rPr>
        <w:t xml:space="preserve"> </w:t>
      </w:r>
      <w:r w:rsidRPr="00E05BA5">
        <w:rPr>
          <w:rFonts w:ascii="Arial" w:eastAsia="Arial" w:hAnsi="Arial" w:cs="Arial"/>
          <w:sz w:val="20"/>
          <w:szCs w:val="20"/>
        </w:rPr>
        <w:t>Garrett Hardin, “The Tragedy of the Commons</w:t>
      </w:r>
      <w:r w:rsidRPr="00E05BA5">
        <w:rPr>
          <w:rFonts w:ascii="Arial" w:eastAsia="Arial" w:hAnsi="Arial" w:cs="Arial"/>
          <w:i/>
          <w:iCs/>
          <w:sz w:val="20"/>
          <w:szCs w:val="20"/>
        </w:rPr>
        <w:t>,” Science</w:t>
      </w:r>
      <w:r w:rsidRPr="00E05BA5">
        <w:rPr>
          <w:rFonts w:ascii="Arial" w:eastAsia="Arial" w:hAnsi="Arial" w:cs="Arial"/>
          <w:sz w:val="20"/>
          <w:szCs w:val="20"/>
        </w:rPr>
        <w:t xml:space="preserve"> 162, no. 3859 (1968): pp. 1243–48.</w:t>
      </w:r>
    </w:p>
  </w:footnote>
  <w:footnote w:id="4">
    <w:p w14:paraId="0E972623" w14:textId="4B56D0F9" w:rsidR="002A1D47" w:rsidRPr="00E05BA5" w:rsidRDefault="002A1D47" w:rsidP="6591D532">
      <w:pPr>
        <w:rPr>
          <w:rFonts w:ascii="Arial" w:hAnsi="Arial" w:cs="Arial"/>
        </w:rPr>
      </w:pPr>
      <w:r w:rsidRPr="00E05BA5">
        <w:rPr>
          <w:rStyle w:val="FootnoteReference"/>
          <w:rFonts w:ascii="Arial" w:hAnsi="Arial" w:cs="Arial"/>
          <w:sz w:val="20"/>
          <w:szCs w:val="20"/>
        </w:rPr>
        <w:footnoteRef/>
      </w:r>
      <w:r w:rsidRPr="00E05BA5">
        <w:rPr>
          <w:rFonts w:ascii="Arial" w:hAnsi="Arial" w:cs="Arial"/>
          <w:sz w:val="20"/>
          <w:szCs w:val="20"/>
        </w:rPr>
        <w:t xml:space="preserve"> </w:t>
      </w:r>
      <w:r w:rsidRPr="00E05BA5">
        <w:rPr>
          <w:rFonts w:ascii="Arial" w:eastAsia="Arial" w:hAnsi="Arial" w:cs="Arial"/>
          <w:sz w:val="20"/>
          <w:szCs w:val="20"/>
        </w:rPr>
        <w:t xml:space="preserve">Elinor Ostrom, </w:t>
      </w:r>
      <w:r w:rsidRPr="00E05BA5">
        <w:rPr>
          <w:rFonts w:ascii="Arial" w:eastAsia="Arial" w:hAnsi="Arial" w:cs="Arial"/>
          <w:i/>
          <w:iCs/>
          <w:sz w:val="20"/>
          <w:szCs w:val="20"/>
        </w:rPr>
        <w:t>Governing the Commons: The Evolution of Institutions for Collective Action</w:t>
      </w:r>
      <w:r w:rsidRPr="00E05BA5">
        <w:rPr>
          <w:rFonts w:ascii="Arial" w:eastAsia="Arial" w:hAnsi="Arial" w:cs="Arial"/>
          <w:sz w:val="20"/>
          <w:szCs w:val="20"/>
        </w:rPr>
        <w:t>. Cambridge: Cambridge University Press, 1990.</w:t>
      </w:r>
    </w:p>
  </w:footnote>
  <w:footnote w:id="5">
    <w:p w14:paraId="5D1B2686" w14:textId="2AA40B58" w:rsidR="002A1D47" w:rsidRPr="00E05BA5" w:rsidRDefault="002A1D47" w:rsidP="6591D532">
      <w:pPr>
        <w:pStyle w:val="FootnoteText"/>
        <w:rPr>
          <w:rFonts w:ascii="Arial" w:eastAsia="Arial" w:hAnsi="Arial" w:cs="Arial"/>
        </w:rPr>
      </w:pPr>
      <w:r w:rsidRPr="00E05BA5">
        <w:rPr>
          <w:rStyle w:val="FootnoteReference"/>
          <w:rFonts w:ascii="Arial" w:eastAsia="Arial" w:hAnsi="Arial" w:cs="Arial"/>
        </w:rPr>
        <w:footnoteRef/>
      </w:r>
      <w:r w:rsidRPr="00E05BA5">
        <w:rPr>
          <w:rFonts w:ascii="Arial" w:eastAsia="Arial" w:hAnsi="Arial" w:cs="Arial"/>
        </w:rPr>
        <w:t xml:space="preserve"> Lord Andrew Adonis, National Community Budgets Conference, London, 29 November 2012.</w:t>
      </w:r>
    </w:p>
  </w:footnote>
  <w:footnote w:id="6">
    <w:p w14:paraId="2FCD7593" w14:textId="4A5E7041" w:rsidR="002A1D47" w:rsidRPr="00E05BA5" w:rsidRDefault="002A1D47" w:rsidP="654E807E">
      <w:pPr>
        <w:pStyle w:val="FootnoteText"/>
        <w:rPr>
          <w:rFonts w:ascii="Arial" w:eastAsia="Arial" w:hAnsi="Arial" w:cs="Arial"/>
        </w:rPr>
      </w:pPr>
      <w:r w:rsidRPr="00E05BA5">
        <w:rPr>
          <w:rStyle w:val="FootnoteReference"/>
          <w:rFonts w:ascii="Arial" w:eastAsia="Arial" w:hAnsi="Arial" w:cs="Arial"/>
        </w:rPr>
        <w:footnoteRef/>
      </w:r>
      <w:r w:rsidRPr="00E05BA5">
        <w:rPr>
          <w:rFonts w:ascii="Arial" w:eastAsia="Arial" w:hAnsi="Arial" w:cs="Arial"/>
        </w:rPr>
        <w:t xml:space="preserve"> Ronald Heifetz, Alexander Grashow and Marty Linksy, </w:t>
      </w:r>
      <w:r w:rsidRPr="00E05BA5">
        <w:rPr>
          <w:rFonts w:ascii="Arial" w:eastAsia="Arial" w:hAnsi="Arial" w:cs="Arial"/>
          <w:i/>
          <w:iCs/>
        </w:rPr>
        <w:t xml:space="preserve">The Practice of Adaptive Leadership: Tools and Tactics for Changing your Organisation and the World. </w:t>
      </w:r>
      <w:r w:rsidRPr="00E05BA5">
        <w:rPr>
          <w:rFonts w:ascii="Arial" w:eastAsia="Arial" w:hAnsi="Arial" w:cs="Arial"/>
        </w:rPr>
        <w:t>Boston: Harvard Business Press, 2009, pp. 19-20.</w:t>
      </w:r>
    </w:p>
  </w:footnote>
  <w:footnote w:id="7">
    <w:p w14:paraId="3614C906" w14:textId="58107C3D" w:rsidR="002A1D47" w:rsidRPr="00E05BA5" w:rsidRDefault="002A1D47" w:rsidP="369F18B1">
      <w:pPr>
        <w:pStyle w:val="FootnoteText"/>
        <w:rPr>
          <w:rFonts w:ascii="Arial" w:eastAsia="Calibri" w:hAnsi="Arial" w:cs="Arial"/>
          <w:lang w:val="en-US"/>
        </w:rPr>
      </w:pPr>
      <w:r w:rsidRPr="00E05BA5">
        <w:rPr>
          <w:rStyle w:val="FootnoteReference"/>
          <w:rFonts w:ascii="Arial" w:hAnsi="Arial" w:cs="Arial"/>
        </w:rPr>
        <w:footnoteRef/>
      </w:r>
      <w:r w:rsidRPr="00E05BA5">
        <w:rPr>
          <w:rFonts w:ascii="Arial" w:hAnsi="Arial" w:cs="Arial"/>
        </w:rPr>
        <w:t xml:space="preserve"> </w:t>
      </w:r>
      <w:r w:rsidRPr="00E05BA5">
        <w:rPr>
          <w:rFonts w:ascii="Arial" w:eastAsia="Calibri" w:hAnsi="Arial" w:cs="Arial"/>
          <w:lang w:val="en-US"/>
        </w:rPr>
        <w:t xml:space="preserve">Ronald A. Heifetz and Donald L. Laurie, “The Work of Leadership,” </w:t>
      </w:r>
      <w:r w:rsidRPr="00E05BA5">
        <w:rPr>
          <w:rFonts w:ascii="Arial" w:eastAsia="Calibri" w:hAnsi="Arial" w:cs="Arial"/>
          <w:i/>
          <w:iCs/>
          <w:lang w:val="en-US"/>
        </w:rPr>
        <w:t xml:space="preserve">Harvard Business Review </w:t>
      </w:r>
      <w:r w:rsidRPr="00E05BA5">
        <w:rPr>
          <w:rFonts w:ascii="Arial" w:eastAsia="Calibri" w:hAnsi="Arial" w:cs="Arial"/>
          <w:lang w:val="en-US"/>
        </w:rPr>
        <w:t>75, no. 1 (1997): pp. 124-134.</w:t>
      </w:r>
    </w:p>
  </w:footnote>
  <w:footnote w:id="8">
    <w:p w14:paraId="64B28FD2" w14:textId="4742C243" w:rsidR="002A1D47" w:rsidRPr="00E05BA5" w:rsidRDefault="002A1D47" w:rsidP="654E807E">
      <w:pPr>
        <w:rPr>
          <w:rFonts w:ascii="Arial" w:eastAsia="Arial" w:hAnsi="Arial" w:cs="Arial"/>
          <w:sz w:val="20"/>
          <w:szCs w:val="20"/>
        </w:rPr>
      </w:pPr>
      <w:r w:rsidRPr="00E05BA5">
        <w:rPr>
          <w:rStyle w:val="FootnoteReference"/>
          <w:rFonts w:ascii="Arial" w:eastAsia="Arial" w:hAnsi="Arial" w:cs="Arial"/>
          <w:sz w:val="20"/>
          <w:szCs w:val="20"/>
        </w:rPr>
        <w:footnoteRef/>
      </w:r>
      <w:r w:rsidRPr="00E05BA5">
        <w:rPr>
          <w:rFonts w:ascii="Arial" w:eastAsia="Arial" w:hAnsi="Arial" w:cs="Arial"/>
          <w:sz w:val="20"/>
          <w:szCs w:val="20"/>
        </w:rPr>
        <w:t xml:space="preserve"> Ron</w:t>
      </w:r>
      <w:r w:rsidR="00DA6E23">
        <w:rPr>
          <w:rFonts w:ascii="Arial" w:eastAsia="Arial" w:hAnsi="Arial" w:cs="Arial"/>
          <w:sz w:val="20"/>
          <w:szCs w:val="20"/>
        </w:rPr>
        <w:t>ald</w:t>
      </w:r>
      <w:r w:rsidRPr="00E05BA5">
        <w:rPr>
          <w:rFonts w:ascii="Arial" w:eastAsia="Arial" w:hAnsi="Arial" w:cs="Arial"/>
          <w:sz w:val="20"/>
          <w:szCs w:val="20"/>
        </w:rPr>
        <w:t xml:space="preserve"> Heifertz, </w:t>
      </w:r>
      <w:r w:rsidRPr="00E05BA5">
        <w:rPr>
          <w:rFonts w:ascii="Arial" w:eastAsia="Arial" w:hAnsi="Arial" w:cs="Arial"/>
          <w:i/>
          <w:iCs/>
          <w:sz w:val="20"/>
          <w:szCs w:val="20"/>
        </w:rPr>
        <w:t>Leadership Without Easy Answers.</w:t>
      </w:r>
      <w:r w:rsidRPr="00E05BA5">
        <w:rPr>
          <w:rFonts w:ascii="Arial" w:eastAsia="Arial" w:hAnsi="Arial" w:cs="Arial"/>
          <w:sz w:val="20"/>
          <w:szCs w:val="20"/>
        </w:rPr>
        <w:t xml:space="preserve"> Cambridge: The Belkap Press of Harvard University Press, 1994, p. 69.</w:t>
      </w:r>
    </w:p>
  </w:footnote>
  <w:footnote w:id="9">
    <w:p w14:paraId="1CCC3CEA" w14:textId="01D6E287" w:rsidR="002A1D47" w:rsidRPr="00E05BA5" w:rsidRDefault="002A1D47" w:rsidP="369F18B1">
      <w:pPr>
        <w:rPr>
          <w:rFonts w:ascii="Arial" w:eastAsia="Arial" w:hAnsi="Arial" w:cs="Arial"/>
          <w:lang w:val="en-US"/>
        </w:rPr>
      </w:pPr>
      <w:r w:rsidRPr="00E05BA5">
        <w:rPr>
          <w:rStyle w:val="FootnoteReference"/>
          <w:rFonts w:ascii="Arial" w:hAnsi="Arial" w:cs="Arial"/>
          <w:sz w:val="20"/>
          <w:szCs w:val="20"/>
        </w:rPr>
        <w:footnoteRef/>
      </w:r>
      <w:r w:rsidRPr="00E05BA5">
        <w:rPr>
          <w:rFonts w:ascii="Arial" w:hAnsi="Arial" w:cs="Arial"/>
          <w:sz w:val="20"/>
          <w:szCs w:val="20"/>
        </w:rPr>
        <w:t xml:space="preserve"> </w:t>
      </w:r>
      <w:r w:rsidRPr="00E05BA5">
        <w:rPr>
          <w:rFonts w:ascii="Arial" w:eastAsia="Arial" w:hAnsi="Arial" w:cs="Arial"/>
          <w:sz w:val="20"/>
          <w:szCs w:val="20"/>
          <w:lang w:val="en-US"/>
        </w:rPr>
        <w:t>Heifetz and Laurie, “The Work of Leadership,” p. 133.</w:t>
      </w:r>
    </w:p>
  </w:footnote>
  <w:footnote w:id="10">
    <w:p w14:paraId="06C98CD8" w14:textId="3B3AC0CC" w:rsidR="002A1D47" w:rsidRPr="00E05BA5" w:rsidRDefault="002A1D47" w:rsidP="654E807E">
      <w:pPr>
        <w:pStyle w:val="Heading2"/>
        <w:spacing w:before="0"/>
        <w:rPr>
          <w:rFonts w:ascii="Arial" w:eastAsia="Arial" w:hAnsi="Arial" w:cs="Arial"/>
          <w:color w:val="auto"/>
          <w:sz w:val="20"/>
          <w:szCs w:val="20"/>
        </w:rPr>
      </w:pPr>
      <w:r w:rsidRPr="00E05BA5">
        <w:rPr>
          <w:rStyle w:val="FootnoteReference"/>
          <w:rFonts w:ascii="Arial" w:hAnsi="Arial" w:cs="Arial"/>
          <w:color w:val="auto"/>
          <w:sz w:val="20"/>
          <w:szCs w:val="20"/>
        </w:rPr>
        <w:footnoteRef/>
      </w:r>
      <w:r w:rsidRPr="00E05BA5">
        <w:rPr>
          <w:rFonts w:ascii="Arial" w:hAnsi="Arial" w:cs="Arial"/>
          <w:color w:val="auto"/>
          <w:sz w:val="20"/>
          <w:szCs w:val="20"/>
        </w:rPr>
        <w:t xml:space="preserve"> </w:t>
      </w:r>
      <w:r w:rsidRPr="00E05BA5">
        <w:rPr>
          <w:rFonts w:ascii="Arial" w:hAnsi="Arial" w:cs="Arial"/>
          <w:i/>
          <w:iCs/>
          <w:color w:val="auto"/>
          <w:sz w:val="20"/>
          <w:szCs w:val="20"/>
        </w:rPr>
        <w:t>C</w:t>
      </w:r>
      <w:r w:rsidRPr="00E05BA5">
        <w:rPr>
          <w:rStyle w:val="findhit"/>
          <w:rFonts w:ascii="Arial" w:hAnsi="Arial" w:cs="Arial"/>
          <w:i/>
          <w:iCs/>
          <w:color w:val="auto"/>
          <w:sz w:val="20"/>
          <w:szCs w:val="20"/>
          <w:shd w:val="clear" w:color="auto" w:fill="FFFFFF"/>
          <w:lang w:val="en-US"/>
        </w:rPr>
        <w:t>ollaboration Between</w:t>
      </w:r>
      <w:r w:rsidRPr="00E05BA5">
        <w:rPr>
          <w:rStyle w:val="normaltextrun"/>
          <w:rFonts w:ascii="Arial" w:hAnsi="Arial" w:cs="Arial"/>
          <w:i/>
          <w:iCs/>
          <w:color w:val="auto"/>
          <w:sz w:val="20"/>
          <w:szCs w:val="20"/>
          <w:shd w:val="clear" w:color="auto" w:fill="FFFFFF"/>
          <w:lang w:val="en-US"/>
        </w:rPr>
        <w:t> Sectors to Improve Customer Outcomes for Citizens of NSW</w:t>
      </w:r>
      <w:r w:rsidRPr="00E05BA5">
        <w:rPr>
          <w:rStyle w:val="normaltextrun"/>
          <w:rFonts w:ascii="Arial" w:hAnsi="Arial" w:cs="Arial"/>
          <w:color w:val="auto"/>
          <w:sz w:val="20"/>
          <w:szCs w:val="20"/>
          <w:shd w:val="clear" w:color="auto" w:fill="FFFFFF"/>
          <w:lang w:val="en-US"/>
        </w:rPr>
        <w:t>. Research Report Prepared for the NSW Public Service Commission, Nous Group (2013), p. 18;</w:t>
      </w:r>
      <w:r w:rsidRPr="00E05BA5">
        <w:rPr>
          <w:rFonts w:ascii="Arial" w:eastAsia="Arial" w:hAnsi="Arial" w:cs="Arial"/>
          <w:color w:val="auto"/>
          <w:sz w:val="20"/>
          <w:szCs w:val="20"/>
          <w:lang w:val="en-US"/>
        </w:rPr>
        <w:t xml:space="preserve"> </w:t>
      </w:r>
      <w:r w:rsidRPr="00E05BA5">
        <w:rPr>
          <w:rFonts w:ascii="Arial" w:eastAsia="Arial" w:hAnsi="Arial" w:cs="Arial"/>
          <w:i/>
          <w:iCs/>
          <w:color w:val="auto"/>
          <w:sz w:val="20"/>
          <w:szCs w:val="20"/>
          <w:lang w:val="en-US"/>
        </w:rPr>
        <w:t>Collaboration – Build, Support and Sustain a Culture of Collaboration between and within Government and the Community Services Sector</w:t>
      </w:r>
      <w:r w:rsidRPr="00E05BA5">
        <w:rPr>
          <w:rFonts w:ascii="Arial" w:eastAsia="Arial" w:hAnsi="Arial" w:cs="Arial"/>
          <w:color w:val="auto"/>
          <w:sz w:val="20"/>
          <w:szCs w:val="20"/>
          <w:lang w:val="en-US"/>
        </w:rPr>
        <w:t xml:space="preserve">: </w:t>
      </w:r>
      <w:r w:rsidRPr="00E05BA5">
        <w:rPr>
          <w:rFonts w:ascii="Arial" w:eastAsia="Arial" w:hAnsi="Arial" w:cs="Arial"/>
          <w:i/>
          <w:iCs/>
          <w:color w:val="auto"/>
          <w:sz w:val="20"/>
          <w:szCs w:val="20"/>
          <w:lang w:val="en-US"/>
        </w:rPr>
        <w:t>Literature Review Report</w:t>
      </w:r>
      <w:r w:rsidRPr="00E05BA5">
        <w:rPr>
          <w:rFonts w:ascii="Arial" w:eastAsia="Arial" w:hAnsi="Arial" w:cs="Arial"/>
          <w:color w:val="auto"/>
          <w:sz w:val="20"/>
          <w:szCs w:val="20"/>
          <w:lang w:val="en-US"/>
        </w:rPr>
        <w:t>. Supporting Communities Forum, Western Australian Government, 2019, p. 12.</w:t>
      </w:r>
    </w:p>
  </w:footnote>
  <w:footnote w:id="11">
    <w:p w14:paraId="3FF08D68" w14:textId="1D55F5CC" w:rsidR="002A1D47" w:rsidRPr="00E05BA5" w:rsidRDefault="002A1D47" w:rsidP="00C13F6B">
      <w:pPr>
        <w:pStyle w:val="Heading2"/>
        <w:spacing w:before="0"/>
        <w:rPr>
          <w:rFonts w:ascii="Arial" w:eastAsia="Arial" w:hAnsi="Arial" w:cs="Arial"/>
          <w:color w:val="auto"/>
          <w:sz w:val="20"/>
          <w:szCs w:val="20"/>
        </w:rPr>
      </w:pPr>
      <w:r w:rsidRPr="00E05BA5">
        <w:rPr>
          <w:rStyle w:val="FootnoteReference"/>
          <w:rFonts w:ascii="Arial" w:hAnsi="Arial" w:cs="Arial"/>
          <w:color w:val="auto"/>
          <w:sz w:val="20"/>
          <w:szCs w:val="20"/>
        </w:rPr>
        <w:footnoteRef/>
      </w:r>
      <w:r w:rsidRPr="00E05BA5">
        <w:rPr>
          <w:rFonts w:ascii="Arial" w:hAnsi="Arial" w:cs="Arial"/>
          <w:color w:val="auto"/>
          <w:sz w:val="20"/>
          <w:szCs w:val="20"/>
        </w:rPr>
        <w:t xml:space="preserve"> </w:t>
      </w:r>
      <w:r w:rsidRPr="00E05BA5">
        <w:rPr>
          <w:rFonts w:ascii="Arial" w:eastAsia="Calibri Light" w:hAnsi="Arial" w:cs="Arial"/>
          <w:color w:val="auto"/>
          <w:sz w:val="20"/>
          <w:szCs w:val="20"/>
        </w:rPr>
        <w:t xml:space="preserve">Jeremy Lonsdale, Daniel Schweppenstedde, Christian van Stolk, Benoit Guerin, and Marco Hafner, </w:t>
      </w:r>
      <w:r w:rsidRPr="00E05BA5">
        <w:rPr>
          <w:rFonts w:ascii="Arial" w:eastAsia="Calibri Light" w:hAnsi="Arial" w:cs="Arial"/>
          <w:i/>
          <w:iCs/>
          <w:color w:val="auto"/>
          <w:sz w:val="20"/>
          <w:szCs w:val="20"/>
        </w:rPr>
        <w:t>One Place, One Budget – Approaches to Pooling Resources for Public Service Transformation</w:t>
      </w:r>
      <w:r w:rsidRPr="00E05BA5">
        <w:rPr>
          <w:rFonts w:ascii="Arial" w:eastAsia="Calibri Light" w:hAnsi="Arial" w:cs="Arial"/>
          <w:color w:val="auto"/>
          <w:sz w:val="20"/>
          <w:szCs w:val="20"/>
        </w:rPr>
        <w:t xml:space="preserve">, RAND Corporation, 2015, </w:t>
      </w:r>
      <w:r w:rsidRPr="00E05BA5">
        <w:rPr>
          <w:rFonts w:ascii="Arial" w:eastAsia="Arial" w:hAnsi="Arial" w:cs="Arial"/>
          <w:color w:val="auto"/>
          <w:sz w:val="20"/>
          <w:szCs w:val="20"/>
          <w:lang w:val="en-US"/>
        </w:rPr>
        <w:t>pp. 21-22, 61.</w:t>
      </w:r>
    </w:p>
  </w:footnote>
  <w:footnote w:id="12">
    <w:p w14:paraId="09E9975E" w14:textId="47B14C1F" w:rsidR="002A1D47" w:rsidRPr="00E05BA5" w:rsidRDefault="002A1D47" w:rsidP="00C13F6B">
      <w:pPr>
        <w:pStyle w:val="FootnoteText"/>
        <w:rPr>
          <w:rFonts w:ascii="Arial" w:hAnsi="Arial" w:cs="Arial"/>
        </w:rPr>
      </w:pPr>
      <w:r w:rsidRPr="00E05BA5">
        <w:rPr>
          <w:rStyle w:val="FootnoteReference"/>
          <w:rFonts w:ascii="Arial" w:hAnsi="Arial" w:cs="Arial"/>
        </w:rPr>
        <w:footnoteRef/>
      </w:r>
      <w:r w:rsidRPr="00E05BA5">
        <w:rPr>
          <w:rFonts w:ascii="Arial" w:hAnsi="Arial" w:cs="Arial"/>
        </w:rPr>
        <w:t xml:space="preserve"> </w:t>
      </w:r>
      <w:r w:rsidRPr="00E05BA5">
        <w:rPr>
          <w:rFonts w:ascii="Arial" w:eastAsia="Arial" w:hAnsi="Arial" w:cs="Arial"/>
        </w:rPr>
        <w:t xml:space="preserve">Simon Torracinta, “Bad Economics,” </w:t>
      </w:r>
      <w:r w:rsidRPr="00E05BA5">
        <w:rPr>
          <w:rFonts w:ascii="Arial" w:eastAsia="Arial" w:hAnsi="Arial" w:cs="Arial"/>
          <w:i/>
          <w:iCs/>
        </w:rPr>
        <w:t>Boston Review,</w:t>
      </w:r>
      <w:r w:rsidRPr="00E05BA5">
        <w:rPr>
          <w:rFonts w:ascii="Arial" w:eastAsia="Arial" w:hAnsi="Arial" w:cs="Arial"/>
        </w:rPr>
        <w:t xml:space="preserve"> 9 March 2022, </w:t>
      </w:r>
      <w:hyperlink r:id="rId1">
        <w:r w:rsidRPr="00E05BA5">
          <w:rPr>
            <w:rStyle w:val="Hyperlink"/>
            <w:rFonts w:ascii="Arial" w:eastAsia="Arial" w:hAnsi="Arial" w:cs="Arial"/>
          </w:rPr>
          <w:t>https://bostonreview.net/articles/bad-economics/.</w:t>
        </w:r>
      </w:hyperlink>
    </w:p>
  </w:footnote>
  <w:footnote w:id="13">
    <w:p w14:paraId="42FF7FAC" w14:textId="55F0A3A5" w:rsidR="002A1D47" w:rsidRPr="00E05BA5" w:rsidRDefault="002A1D47" w:rsidP="00C13F6B">
      <w:pPr>
        <w:rPr>
          <w:rFonts w:ascii="Arial" w:eastAsia="Calibri Light" w:hAnsi="Arial" w:cs="Arial"/>
          <w:sz w:val="20"/>
          <w:szCs w:val="20"/>
        </w:rPr>
      </w:pPr>
      <w:r w:rsidRPr="00E05BA5">
        <w:rPr>
          <w:rStyle w:val="FootnoteReference"/>
          <w:rFonts w:ascii="Arial" w:hAnsi="Arial" w:cs="Arial"/>
          <w:sz w:val="20"/>
          <w:szCs w:val="20"/>
        </w:rPr>
        <w:footnoteRef/>
      </w:r>
      <w:r w:rsidRPr="00E05BA5">
        <w:rPr>
          <w:rFonts w:ascii="Arial" w:hAnsi="Arial" w:cs="Arial"/>
          <w:sz w:val="20"/>
          <w:szCs w:val="20"/>
        </w:rPr>
        <w:t xml:space="preserve"> </w:t>
      </w:r>
      <w:r w:rsidRPr="00E05BA5">
        <w:rPr>
          <w:rFonts w:ascii="Arial" w:eastAsia="Calibri Light" w:hAnsi="Arial" w:cs="Arial"/>
          <w:sz w:val="20"/>
          <w:szCs w:val="20"/>
          <w:lang w:val="en-US"/>
        </w:rPr>
        <w:t>Heifetz and Laurie, “The Work of Leadership,” p. 133.</w:t>
      </w:r>
    </w:p>
  </w:footnote>
  <w:footnote w:id="14">
    <w:p w14:paraId="4974D428" w14:textId="7D8B4BA4" w:rsidR="002A1D47" w:rsidRPr="00E05BA5" w:rsidRDefault="002A1D47" w:rsidP="00C13F6B">
      <w:pPr>
        <w:pStyle w:val="FootnoteText"/>
        <w:rPr>
          <w:rFonts w:ascii="Arial" w:hAnsi="Arial" w:cs="Arial"/>
        </w:rPr>
      </w:pPr>
      <w:r w:rsidRPr="00E05BA5">
        <w:rPr>
          <w:rStyle w:val="FootnoteReference"/>
          <w:rFonts w:ascii="Arial" w:hAnsi="Arial" w:cs="Arial"/>
        </w:rPr>
        <w:footnoteRef/>
      </w:r>
      <w:r w:rsidRPr="00E05BA5">
        <w:rPr>
          <w:rFonts w:ascii="Arial" w:hAnsi="Arial" w:cs="Arial"/>
        </w:rPr>
        <w:t xml:space="preserve"> </w:t>
      </w:r>
      <w:r w:rsidRPr="00E05BA5">
        <w:rPr>
          <w:rStyle w:val="normaltextrun"/>
          <w:rFonts w:ascii="Arial" w:hAnsi="Arial" w:cs="Arial"/>
          <w:shd w:val="clear" w:color="auto" w:fill="FFFFFF"/>
          <w:lang w:val="en-US"/>
        </w:rPr>
        <w:t>Jeremy Lonsdale, Daniel Schweppenstedde, Christian van Stolk, Benoit Guerin, and Marco Hafner, </w:t>
      </w:r>
      <w:r w:rsidRPr="00E05BA5">
        <w:rPr>
          <w:rStyle w:val="normaltextrun"/>
          <w:rFonts w:ascii="Arial" w:hAnsi="Arial" w:cs="Arial"/>
          <w:i/>
          <w:iCs/>
          <w:shd w:val="clear" w:color="auto" w:fill="FFFFFF"/>
          <w:lang w:val="en-US"/>
        </w:rPr>
        <w:t>One Place, One Budget – Approaches to Pooling Resources for Public Service Transformation</w:t>
      </w:r>
      <w:r w:rsidRPr="00E05BA5">
        <w:rPr>
          <w:rStyle w:val="normaltextrun"/>
          <w:rFonts w:ascii="Arial" w:hAnsi="Arial" w:cs="Arial"/>
          <w:shd w:val="clear" w:color="auto" w:fill="FFFFFF"/>
          <w:lang w:val="en-US"/>
        </w:rPr>
        <w:t>, RAND Corporation, 2015, pp. 27–31.</w:t>
      </w:r>
    </w:p>
  </w:footnote>
  <w:footnote w:id="15">
    <w:p w14:paraId="043A1B21" w14:textId="0925B523" w:rsidR="002A1D47" w:rsidRPr="00E05BA5" w:rsidRDefault="002A1D47" w:rsidP="36B1B4F0">
      <w:pPr>
        <w:rPr>
          <w:rFonts w:ascii="Arial" w:eastAsia="Arial" w:hAnsi="Arial" w:cs="Arial"/>
          <w:sz w:val="20"/>
          <w:szCs w:val="20"/>
        </w:rPr>
      </w:pPr>
      <w:r w:rsidRPr="00E05BA5">
        <w:rPr>
          <w:rStyle w:val="FootnoteReference"/>
          <w:rFonts w:ascii="Arial" w:hAnsi="Arial" w:cs="Arial"/>
          <w:sz w:val="20"/>
          <w:szCs w:val="20"/>
        </w:rPr>
        <w:footnoteRef/>
      </w:r>
      <w:r w:rsidRPr="00E05BA5">
        <w:rPr>
          <w:rFonts w:ascii="Arial" w:hAnsi="Arial" w:cs="Arial"/>
          <w:sz w:val="20"/>
          <w:szCs w:val="20"/>
        </w:rPr>
        <w:t xml:space="preserve"> </w:t>
      </w:r>
      <w:r w:rsidRPr="00E05BA5">
        <w:rPr>
          <w:rFonts w:ascii="Arial" w:eastAsia="Arial" w:hAnsi="Arial" w:cs="Arial"/>
          <w:sz w:val="20"/>
          <w:szCs w:val="20"/>
        </w:rPr>
        <w:t>Torracinta, “Bad Economics.”</w:t>
      </w:r>
    </w:p>
  </w:footnote>
  <w:footnote w:id="16">
    <w:p w14:paraId="219E8688" w14:textId="2DA948FB" w:rsidR="002A1D47" w:rsidRPr="00E05BA5" w:rsidRDefault="002A1D47" w:rsidP="00C13F6B">
      <w:pPr>
        <w:rPr>
          <w:rFonts w:ascii="Arial" w:eastAsia="Arial" w:hAnsi="Arial" w:cs="Arial"/>
          <w:sz w:val="20"/>
          <w:szCs w:val="20"/>
        </w:rPr>
      </w:pPr>
      <w:r w:rsidRPr="00E05BA5">
        <w:rPr>
          <w:rStyle w:val="FootnoteReference"/>
          <w:rFonts w:ascii="Arial" w:hAnsi="Arial" w:cs="Arial"/>
          <w:sz w:val="20"/>
          <w:szCs w:val="20"/>
        </w:rPr>
        <w:footnoteRef/>
      </w:r>
      <w:r w:rsidRPr="00E05BA5">
        <w:rPr>
          <w:rFonts w:ascii="Arial" w:hAnsi="Arial" w:cs="Arial"/>
          <w:sz w:val="20"/>
          <w:szCs w:val="20"/>
        </w:rPr>
        <w:t xml:space="preserve"> </w:t>
      </w:r>
      <w:r w:rsidRPr="00E05BA5">
        <w:rPr>
          <w:rFonts w:ascii="Arial" w:eastAsia="Arial" w:hAnsi="Arial" w:cs="Arial"/>
          <w:sz w:val="20"/>
          <w:szCs w:val="20"/>
        </w:rPr>
        <w:t>Torracinta, “Bad Economics.”</w:t>
      </w:r>
    </w:p>
  </w:footnote>
  <w:footnote w:id="17">
    <w:p w14:paraId="4BF8BF98" w14:textId="77777777" w:rsidR="002A1D47" w:rsidRPr="00E05BA5" w:rsidRDefault="002A1D47" w:rsidP="00C13F6B">
      <w:pPr>
        <w:rPr>
          <w:rFonts w:ascii="Arial" w:eastAsia="Arial" w:hAnsi="Arial" w:cs="Arial"/>
          <w:sz w:val="20"/>
          <w:szCs w:val="20"/>
          <w:lang w:val="en-US"/>
        </w:rPr>
      </w:pPr>
      <w:r w:rsidRPr="00E05BA5">
        <w:rPr>
          <w:rStyle w:val="FootnoteReference"/>
          <w:rFonts w:ascii="Arial" w:hAnsi="Arial" w:cs="Arial"/>
          <w:sz w:val="20"/>
          <w:szCs w:val="20"/>
        </w:rPr>
        <w:footnoteRef/>
      </w:r>
      <w:r w:rsidRPr="00E05BA5">
        <w:rPr>
          <w:rFonts w:ascii="Arial" w:hAnsi="Arial" w:cs="Arial"/>
          <w:sz w:val="20"/>
          <w:szCs w:val="20"/>
        </w:rPr>
        <w:t xml:space="preserve"> </w:t>
      </w:r>
      <w:r w:rsidRPr="00E05BA5">
        <w:rPr>
          <w:rFonts w:ascii="Arial" w:eastAsia="Arial" w:hAnsi="Arial" w:cs="Arial"/>
          <w:sz w:val="20"/>
          <w:szCs w:val="20"/>
          <w:lang w:val="en-US"/>
        </w:rPr>
        <w:t xml:space="preserve">Emily Miles with William Trott, </w:t>
      </w:r>
      <w:r w:rsidRPr="00E05BA5">
        <w:rPr>
          <w:rFonts w:ascii="Arial" w:eastAsia="Arial" w:hAnsi="Arial" w:cs="Arial"/>
          <w:i/>
          <w:iCs/>
          <w:sz w:val="20"/>
          <w:szCs w:val="20"/>
          <w:lang w:val="en-US"/>
        </w:rPr>
        <w:t>Collaborative Working: How Publicly Funded Services can take a Whole System Approach</w:t>
      </w:r>
      <w:r w:rsidRPr="00E05BA5">
        <w:rPr>
          <w:rFonts w:ascii="Arial" w:eastAsia="Arial" w:hAnsi="Arial" w:cs="Arial"/>
          <w:sz w:val="20"/>
          <w:szCs w:val="20"/>
          <w:lang w:val="en-US"/>
        </w:rPr>
        <w:t>, InsideOUT Series, Institute for Government, 2011.</w:t>
      </w:r>
    </w:p>
  </w:footnote>
  <w:footnote w:id="18">
    <w:p w14:paraId="2BC60F0A" w14:textId="77777777" w:rsidR="009679AC" w:rsidRPr="0068057B" w:rsidRDefault="009679AC" w:rsidP="009679AC">
      <w:pPr>
        <w:pStyle w:val="FootnoteText"/>
        <w:rPr>
          <w:rFonts w:ascii="Arial" w:eastAsia="Calibri Light" w:hAnsi="Arial" w:cs="Arial"/>
          <w:sz w:val="18"/>
          <w:szCs w:val="18"/>
        </w:rPr>
      </w:pPr>
      <w:r w:rsidRPr="0068057B">
        <w:rPr>
          <w:rStyle w:val="FootnoteReference"/>
          <w:rFonts w:ascii="Arial" w:hAnsi="Arial" w:cs="Arial"/>
          <w:sz w:val="18"/>
          <w:szCs w:val="18"/>
        </w:rPr>
        <w:footnoteRef/>
      </w:r>
      <w:r w:rsidRPr="0068057B">
        <w:rPr>
          <w:rFonts w:ascii="Arial" w:hAnsi="Arial" w:cs="Arial"/>
          <w:sz w:val="18"/>
          <w:szCs w:val="18"/>
        </w:rPr>
        <w:t xml:space="preserve"> John M. </w:t>
      </w:r>
      <w:r w:rsidRPr="0068057B">
        <w:rPr>
          <w:rFonts w:ascii="Arial" w:eastAsia="Calibri Light" w:hAnsi="Arial" w:cs="Arial"/>
          <w:sz w:val="18"/>
          <w:szCs w:val="18"/>
        </w:rPr>
        <w:t xml:space="preserve">Bryson, Barbara Crosby, and Melissa Middleton Stone, “Designing and Implementing Cross-sector Collaborations: Needed and Challenging,” </w:t>
      </w:r>
      <w:r w:rsidRPr="0068057B">
        <w:rPr>
          <w:rFonts w:ascii="Arial" w:eastAsia="Calibri Light" w:hAnsi="Arial" w:cs="Arial"/>
          <w:i/>
          <w:iCs/>
          <w:sz w:val="18"/>
          <w:szCs w:val="18"/>
        </w:rPr>
        <w:t xml:space="preserve">Public Administration Review </w:t>
      </w:r>
      <w:r w:rsidRPr="0068057B">
        <w:rPr>
          <w:rFonts w:ascii="Arial" w:eastAsia="Calibri Light" w:hAnsi="Arial" w:cs="Arial"/>
          <w:sz w:val="18"/>
          <w:szCs w:val="18"/>
        </w:rPr>
        <w:t>75, vol. 5 (2015):</w:t>
      </w:r>
      <w:r w:rsidRPr="0068057B">
        <w:rPr>
          <w:rFonts w:ascii="Arial" w:eastAsia="Calibri Light" w:hAnsi="Arial" w:cs="Arial"/>
          <w:i/>
          <w:iCs/>
          <w:sz w:val="18"/>
          <w:szCs w:val="18"/>
        </w:rPr>
        <w:t xml:space="preserve"> </w:t>
      </w:r>
      <w:r w:rsidRPr="0068057B">
        <w:rPr>
          <w:rFonts w:ascii="Arial" w:eastAsia="Calibri Light" w:hAnsi="Arial" w:cs="Arial"/>
          <w:sz w:val="18"/>
          <w:szCs w:val="18"/>
        </w:rPr>
        <w:t>pp. 647-63</w:t>
      </w:r>
      <w:r>
        <w:rPr>
          <w:rFonts w:ascii="Arial" w:eastAsia="Calibri Light" w:hAnsi="Arial" w:cs="Arial"/>
          <w:sz w:val="18"/>
          <w:szCs w:val="18"/>
        </w:rPr>
        <w:t xml:space="preserve">, </w:t>
      </w:r>
      <w:hyperlink r:id="rId2" w:history="1">
        <w:r w:rsidRPr="00031949">
          <w:rPr>
            <w:rStyle w:val="Hyperlink"/>
            <w:rFonts w:ascii="Arial" w:eastAsia="Calibri Light" w:hAnsi="Arial" w:cs="Arial"/>
            <w:sz w:val="18"/>
            <w:szCs w:val="18"/>
          </w:rPr>
          <w:t>https://doi.org/10.1111/puar.12432</w:t>
        </w:r>
      </w:hyperlink>
      <w:r w:rsidRPr="0068057B">
        <w:rPr>
          <w:rFonts w:ascii="Arial" w:eastAsia="Calibri Light" w:hAnsi="Arial" w:cs="Arial"/>
          <w:sz w:val="18"/>
          <w:szCs w:val="18"/>
        </w:rPr>
        <w:t xml:space="preserve">; </w:t>
      </w:r>
      <w:r w:rsidRPr="0068057B">
        <w:rPr>
          <w:rFonts w:ascii="Arial" w:hAnsi="Arial" w:cs="Arial"/>
          <w:i/>
          <w:iCs/>
          <w:sz w:val="18"/>
          <w:szCs w:val="18"/>
        </w:rPr>
        <w:t>Collaboration Between Sectors to Improve Customer Outcomes for Citizens of NSW</w:t>
      </w:r>
      <w:r w:rsidRPr="0068057B">
        <w:rPr>
          <w:rFonts w:ascii="Arial" w:hAnsi="Arial" w:cs="Arial"/>
          <w:sz w:val="18"/>
          <w:szCs w:val="18"/>
        </w:rPr>
        <w:t>. Research Report Prepared for the NSW Public Service Commission, Nous Group</w:t>
      </w:r>
      <w:r>
        <w:rPr>
          <w:rFonts w:ascii="Arial" w:hAnsi="Arial" w:cs="Arial"/>
          <w:sz w:val="18"/>
          <w:szCs w:val="18"/>
        </w:rPr>
        <w:t xml:space="preserve">, </w:t>
      </w:r>
      <w:r w:rsidRPr="0068057B">
        <w:rPr>
          <w:rFonts w:ascii="Arial" w:hAnsi="Arial" w:cs="Arial"/>
          <w:sz w:val="18"/>
          <w:szCs w:val="18"/>
        </w:rPr>
        <w:t>2013, pp. 9, 19-20.</w:t>
      </w:r>
    </w:p>
  </w:footnote>
  <w:footnote w:id="19">
    <w:p w14:paraId="683BB47E" w14:textId="77777777" w:rsidR="009679AC" w:rsidRPr="0068057B" w:rsidRDefault="009679AC" w:rsidP="009679AC">
      <w:pPr>
        <w:pStyle w:val="Heading2"/>
        <w:spacing w:before="0"/>
        <w:rPr>
          <w:rFonts w:ascii="Arial" w:eastAsia="Calibri Light" w:hAnsi="Arial" w:cs="Arial"/>
          <w:color w:val="auto"/>
          <w:sz w:val="18"/>
          <w:szCs w:val="18"/>
        </w:rPr>
      </w:pPr>
      <w:r w:rsidRPr="0068057B">
        <w:rPr>
          <w:rStyle w:val="FootnoteReference"/>
          <w:rFonts w:ascii="Arial" w:hAnsi="Arial" w:cs="Arial"/>
          <w:color w:val="auto"/>
          <w:sz w:val="18"/>
          <w:szCs w:val="18"/>
        </w:rPr>
        <w:footnoteRef/>
      </w:r>
      <w:r w:rsidRPr="0068057B">
        <w:rPr>
          <w:rFonts w:ascii="Arial" w:hAnsi="Arial" w:cs="Arial"/>
          <w:color w:val="auto"/>
          <w:sz w:val="18"/>
          <w:szCs w:val="18"/>
        </w:rPr>
        <w:t xml:space="preserve"> </w:t>
      </w:r>
      <w:r w:rsidRPr="0068057B">
        <w:rPr>
          <w:rFonts w:ascii="Arial" w:eastAsia="Calibri Light" w:hAnsi="Arial" w:cs="Arial"/>
          <w:i/>
          <w:color w:val="auto"/>
          <w:sz w:val="18"/>
          <w:szCs w:val="18"/>
        </w:rPr>
        <w:t xml:space="preserve">Early Intervention: Smart Investment, Massive Savings. The Second Independent Report to Her Majesty’s Government. </w:t>
      </w:r>
      <w:r w:rsidRPr="0068057B">
        <w:rPr>
          <w:rFonts w:ascii="Arial" w:eastAsia="Calibri Light" w:hAnsi="Arial" w:cs="Arial"/>
          <w:color w:val="auto"/>
          <w:sz w:val="18"/>
          <w:szCs w:val="18"/>
        </w:rPr>
        <w:t xml:space="preserve">Cabinet Office, Government of the United Kingdom, 2011, pp. 1-9; Peter Willis and Matt Tyler, “Implementing a Social Outcomes Fund in Australia,” </w:t>
      </w:r>
      <w:r w:rsidRPr="0068057B">
        <w:rPr>
          <w:rFonts w:ascii="Arial" w:eastAsia="Calibri Light" w:hAnsi="Arial" w:cs="Arial"/>
          <w:i/>
          <w:iCs/>
          <w:color w:val="auto"/>
          <w:sz w:val="18"/>
          <w:szCs w:val="18"/>
        </w:rPr>
        <w:t>The Mandarin</w:t>
      </w:r>
      <w:r w:rsidRPr="0068057B">
        <w:rPr>
          <w:rFonts w:ascii="Arial" w:eastAsia="Calibri Light" w:hAnsi="Arial" w:cs="Arial"/>
          <w:color w:val="auto"/>
          <w:sz w:val="18"/>
          <w:szCs w:val="18"/>
        </w:rPr>
        <w:t xml:space="preserve">, 3 September 2018, </w:t>
      </w:r>
      <w:hyperlink r:id="rId3" w:history="1">
        <w:r w:rsidRPr="00031949">
          <w:rPr>
            <w:rStyle w:val="Hyperlink"/>
            <w:rFonts w:ascii="Arial" w:eastAsia="Calibri Light" w:hAnsi="Arial" w:cs="Arial"/>
            <w:sz w:val="18"/>
            <w:szCs w:val="18"/>
          </w:rPr>
          <w:t>https://www.themandarin.com.au/97738-implementing-a-social-outcomes-fund-in-australia/</w:t>
        </w:r>
      </w:hyperlink>
      <w:r>
        <w:rPr>
          <w:rFonts w:ascii="Arial" w:eastAsia="Calibri Light" w:hAnsi="Arial" w:cs="Arial"/>
          <w:color w:val="auto"/>
          <w:sz w:val="18"/>
          <w:szCs w:val="18"/>
        </w:rPr>
        <w:t>.</w:t>
      </w:r>
      <w:r>
        <w:rPr>
          <w:rFonts w:ascii="Arial" w:hAnsi="Arial" w:cs="Arial"/>
          <w:color w:val="auto"/>
          <w:sz w:val="18"/>
          <w:szCs w:val="18"/>
        </w:rPr>
        <w:t xml:space="preserve">  </w:t>
      </w:r>
    </w:p>
  </w:footnote>
  <w:footnote w:id="20">
    <w:p w14:paraId="55883903" w14:textId="77777777" w:rsidR="009679AC" w:rsidRPr="0068057B" w:rsidRDefault="009679AC" w:rsidP="009679AC">
      <w:pPr>
        <w:pStyle w:val="Heading2"/>
        <w:spacing w:before="0"/>
        <w:rPr>
          <w:rFonts w:ascii="Arial" w:eastAsia="Calibri Light" w:hAnsi="Arial" w:cs="Arial"/>
          <w:color w:val="auto"/>
          <w:sz w:val="18"/>
          <w:szCs w:val="18"/>
        </w:rPr>
      </w:pPr>
      <w:r w:rsidRPr="0068057B">
        <w:rPr>
          <w:rStyle w:val="FootnoteReference"/>
          <w:rFonts w:ascii="Arial" w:hAnsi="Arial" w:cs="Arial"/>
          <w:color w:val="auto"/>
          <w:sz w:val="18"/>
          <w:szCs w:val="18"/>
        </w:rPr>
        <w:footnoteRef/>
      </w:r>
      <w:r w:rsidRPr="0068057B">
        <w:rPr>
          <w:rFonts w:ascii="Arial" w:hAnsi="Arial" w:cs="Arial"/>
          <w:color w:val="auto"/>
          <w:sz w:val="18"/>
          <w:szCs w:val="18"/>
        </w:rPr>
        <w:t xml:space="preserve"> </w:t>
      </w:r>
      <w:r w:rsidRPr="0068057B">
        <w:rPr>
          <w:rFonts w:ascii="Arial" w:eastAsia="Calibri Light" w:hAnsi="Arial" w:cs="Arial"/>
          <w:color w:val="auto"/>
          <w:sz w:val="18"/>
          <w:szCs w:val="18"/>
        </w:rPr>
        <w:t xml:space="preserve">Emily Miles with William Trott, </w:t>
      </w:r>
      <w:r w:rsidRPr="0068057B">
        <w:rPr>
          <w:rFonts w:ascii="Arial" w:eastAsia="Calibri Light" w:hAnsi="Arial" w:cs="Arial"/>
          <w:i/>
          <w:iCs/>
          <w:color w:val="auto"/>
          <w:sz w:val="18"/>
          <w:szCs w:val="18"/>
        </w:rPr>
        <w:t>Collaborative Working: How Publicly Funded Services can take a Whole System Approach</w:t>
      </w:r>
      <w:r w:rsidRPr="0068057B">
        <w:rPr>
          <w:rFonts w:ascii="Arial" w:eastAsia="Calibri Light" w:hAnsi="Arial" w:cs="Arial"/>
          <w:color w:val="auto"/>
          <w:sz w:val="18"/>
          <w:szCs w:val="18"/>
        </w:rPr>
        <w:t>, InsideOUT Series, Institute for Government, 2011.</w:t>
      </w:r>
    </w:p>
  </w:footnote>
  <w:footnote w:id="21">
    <w:p w14:paraId="66000FDD" w14:textId="77777777" w:rsidR="009679AC" w:rsidRPr="0068057B" w:rsidRDefault="009679AC" w:rsidP="009679AC">
      <w:pPr>
        <w:pStyle w:val="Heading2"/>
        <w:spacing w:before="0"/>
        <w:rPr>
          <w:rFonts w:ascii="Arial" w:hAnsi="Arial" w:cs="Arial"/>
          <w:color w:val="auto"/>
          <w:sz w:val="18"/>
          <w:szCs w:val="18"/>
        </w:rPr>
      </w:pPr>
      <w:r w:rsidRPr="0068057B">
        <w:rPr>
          <w:rStyle w:val="FootnoteReference"/>
          <w:rFonts w:ascii="Arial" w:hAnsi="Arial" w:cs="Arial"/>
          <w:color w:val="auto"/>
          <w:sz w:val="18"/>
          <w:szCs w:val="18"/>
        </w:rPr>
        <w:footnoteRef/>
      </w:r>
      <w:r w:rsidRPr="0068057B">
        <w:rPr>
          <w:rFonts w:ascii="Arial" w:hAnsi="Arial" w:cs="Arial"/>
          <w:color w:val="auto"/>
          <w:sz w:val="18"/>
          <w:szCs w:val="18"/>
        </w:rPr>
        <w:t xml:space="preserve"> </w:t>
      </w:r>
      <w:r w:rsidRPr="0068057B">
        <w:rPr>
          <w:rFonts w:ascii="Arial" w:eastAsia="Calibri Light" w:hAnsi="Arial" w:cs="Arial"/>
          <w:color w:val="auto"/>
          <w:sz w:val="18"/>
          <w:szCs w:val="18"/>
        </w:rPr>
        <w:t xml:space="preserve">Jeremy Lonsdale, Daniel Schweppenstedde, Christian van Stolk, Benoit Guerin, and Marco Hafner, </w:t>
      </w:r>
      <w:r w:rsidRPr="0068057B">
        <w:rPr>
          <w:rFonts w:ascii="Arial" w:eastAsia="Calibri Light" w:hAnsi="Arial" w:cs="Arial"/>
          <w:i/>
          <w:iCs/>
          <w:color w:val="auto"/>
          <w:sz w:val="18"/>
          <w:szCs w:val="18"/>
        </w:rPr>
        <w:t>One Place, One Budget – Approaches to Pooling Resources for Public Service Transformation</w:t>
      </w:r>
      <w:r w:rsidRPr="0068057B">
        <w:rPr>
          <w:rFonts w:ascii="Arial" w:eastAsia="Calibri Light" w:hAnsi="Arial" w:cs="Arial"/>
          <w:color w:val="auto"/>
          <w:sz w:val="18"/>
          <w:szCs w:val="18"/>
        </w:rPr>
        <w:t>, RAND Corporation, 2015, pp. 17-21.</w:t>
      </w:r>
    </w:p>
  </w:footnote>
  <w:footnote w:id="22">
    <w:p w14:paraId="2B6D8114" w14:textId="77777777" w:rsidR="009679AC" w:rsidRPr="0068057B" w:rsidRDefault="009679AC" w:rsidP="009679AC">
      <w:pPr>
        <w:pStyle w:val="Heading2"/>
        <w:spacing w:before="0"/>
        <w:rPr>
          <w:rFonts w:ascii="Arial" w:eastAsia="Calibri Light" w:hAnsi="Arial" w:cs="Arial"/>
          <w:color w:val="auto"/>
          <w:sz w:val="18"/>
          <w:szCs w:val="18"/>
        </w:rPr>
      </w:pPr>
      <w:r w:rsidRPr="0068057B">
        <w:rPr>
          <w:rStyle w:val="FootnoteReference"/>
          <w:rFonts w:ascii="Arial" w:hAnsi="Arial" w:cs="Arial"/>
          <w:color w:val="auto"/>
          <w:sz w:val="18"/>
          <w:szCs w:val="18"/>
        </w:rPr>
        <w:footnoteRef/>
      </w:r>
      <w:r w:rsidRPr="0068057B">
        <w:rPr>
          <w:rFonts w:ascii="Arial" w:eastAsia="Calibri Light" w:hAnsi="Arial" w:cs="Arial"/>
          <w:color w:val="auto"/>
          <w:sz w:val="18"/>
          <w:szCs w:val="18"/>
        </w:rPr>
        <w:t xml:space="preserve"> </w:t>
      </w:r>
      <w:r w:rsidRPr="0068057B">
        <w:rPr>
          <w:rFonts w:ascii="Arial" w:eastAsia="Calibri Light" w:hAnsi="Arial" w:cs="Arial"/>
          <w:i/>
          <w:iCs/>
          <w:color w:val="auto"/>
          <w:sz w:val="18"/>
          <w:szCs w:val="18"/>
        </w:rPr>
        <w:t xml:space="preserve">Collaboration Between Sectors, </w:t>
      </w:r>
      <w:r w:rsidRPr="0068057B">
        <w:rPr>
          <w:rFonts w:ascii="Arial" w:eastAsia="Calibri Light" w:hAnsi="Arial" w:cs="Arial"/>
          <w:color w:val="auto"/>
          <w:sz w:val="18"/>
          <w:szCs w:val="18"/>
        </w:rPr>
        <w:t xml:space="preserve">p. 18; </w:t>
      </w:r>
      <w:r w:rsidRPr="0068057B">
        <w:rPr>
          <w:rFonts w:ascii="Arial" w:eastAsia="Calibri Light" w:hAnsi="Arial" w:cs="Arial"/>
          <w:i/>
          <w:iCs/>
          <w:color w:val="auto"/>
          <w:sz w:val="18"/>
          <w:szCs w:val="18"/>
        </w:rPr>
        <w:t>Collaboration – Build, Support and Sustain a Culture of C</w:t>
      </w:r>
      <w:r>
        <w:rPr>
          <w:rFonts w:ascii="Arial" w:eastAsia="Calibri Light" w:hAnsi="Arial" w:cs="Arial"/>
          <w:i/>
          <w:iCs/>
          <w:color w:val="auto"/>
          <w:sz w:val="18"/>
          <w:szCs w:val="18"/>
        </w:rPr>
        <w:t>ollaboration B</w:t>
      </w:r>
      <w:r w:rsidRPr="0068057B">
        <w:rPr>
          <w:rFonts w:ascii="Arial" w:eastAsia="Calibri Light" w:hAnsi="Arial" w:cs="Arial"/>
          <w:i/>
          <w:iCs/>
          <w:color w:val="auto"/>
          <w:sz w:val="18"/>
          <w:szCs w:val="18"/>
        </w:rPr>
        <w:t>etween and within Government and the Community Services Sector</w:t>
      </w:r>
      <w:r>
        <w:rPr>
          <w:rFonts w:ascii="Arial" w:eastAsia="Calibri Light" w:hAnsi="Arial" w:cs="Arial"/>
          <w:color w:val="auto"/>
          <w:sz w:val="18"/>
          <w:szCs w:val="18"/>
        </w:rPr>
        <w:t>:</w:t>
      </w:r>
      <w:r w:rsidRPr="0068057B">
        <w:rPr>
          <w:rFonts w:ascii="Arial" w:eastAsia="Calibri Light" w:hAnsi="Arial" w:cs="Arial"/>
          <w:color w:val="auto"/>
          <w:sz w:val="18"/>
          <w:szCs w:val="18"/>
        </w:rPr>
        <w:t xml:space="preserve"> </w:t>
      </w:r>
      <w:r w:rsidRPr="0068057B">
        <w:rPr>
          <w:rFonts w:ascii="Arial" w:eastAsia="Calibri Light" w:hAnsi="Arial" w:cs="Arial"/>
          <w:i/>
          <w:iCs/>
          <w:color w:val="auto"/>
          <w:sz w:val="18"/>
          <w:szCs w:val="18"/>
        </w:rPr>
        <w:t>Literature Review Report</w:t>
      </w:r>
      <w:r>
        <w:rPr>
          <w:rFonts w:ascii="Arial" w:eastAsia="Calibri Light" w:hAnsi="Arial" w:cs="Arial"/>
          <w:color w:val="auto"/>
          <w:sz w:val="18"/>
          <w:szCs w:val="18"/>
        </w:rPr>
        <w:t xml:space="preserve">, </w:t>
      </w:r>
      <w:r w:rsidRPr="0068057B">
        <w:rPr>
          <w:rFonts w:ascii="Arial" w:eastAsia="Calibri Light" w:hAnsi="Arial" w:cs="Arial"/>
          <w:color w:val="auto"/>
          <w:sz w:val="18"/>
          <w:szCs w:val="18"/>
        </w:rPr>
        <w:t>Supporting Communities Forum, Western Australian Government, 2019, p. 12.</w:t>
      </w:r>
    </w:p>
  </w:footnote>
  <w:footnote w:id="23">
    <w:p w14:paraId="22FDB668" w14:textId="77777777" w:rsidR="009679AC" w:rsidRPr="0068057B" w:rsidRDefault="009679AC" w:rsidP="009679AC">
      <w:pPr>
        <w:pStyle w:val="FootnoteText"/>
        <w:rPr>
          <w:rFonts w:ascii="Arial" w:hAnsi="Arial" w:cs="Arial"/>
          <w:sz w:val="18"/>
          <w:szCs w:val="18"/>
        </w:rPr>
      </w:pPr>
      <w:r w:rsidRPr="0068057B">
        <w:rPr>
          <w:rStyle w:val="FootnoteReference"/>
          <w:rFonts w:ascii="Arial" w:hAnsi="Arial" w:cs="Arial"/>
          <w:sz w:val="18"/>
          <w:szCs w:val="18"/>
        </w:rPr>
        <w:footnoteRef/>
      </w:r>
      <w:r w:rsidRPr="0068057B">
        <w:rPr>
          <w:rFonts w:ascii="Arial" w:hAnsi="Arial" w:cs="Arial"/>
          <w:sz w:val="18"/>
          <w:szCs w:val="18"/>
        </w:rPr>
        <w:t xml:space="preserve"> </w:t>
      </w:r>
      <w:r w:rsidRPr="0068057B">
        <w:rPr>
          <w:rFonts w:ascii="Arial" w:eastAsia="Calibri Light" w:hAnsi="Arial" w:cs="Arial"/>
          <w:sz w:val="18"/>
          <w:szCs w:val="18"/>
        </w:rPr>
        <w:t xml:space="preserve">Lonsdale, Schweppenstedde, van Stolk, Guerin, and Hafner, </w:t>
      </w:r>
      <w:r w:rsidRPr="0068057B">
        <w:rPr>
          <w:rFonts w:ascii="Arial" w:eastAsia="Calibri Light" w:hAnsi="Arial" w:cs="Arial"/>
          <w:i/>
          <w:iCs/>
          <w:sz w:val="18"/>
          <w:szCs w:val="18"/>
        </w:rPr>
        <w:t>One Place, One Budget</w:t>
      </w:r>
      <w:r w:rsidRPr="0068057B">
        <w:rPr>
          <w:rFonts w:ascii="Arial" w:eastAsia="Calibri Light" w:hAnsi="Arial" w:cs="Arial"/>
          <w:sz w:val="18"/>
          <w:szCs w:val="18"/>
        </w:rPr>
        <w:t xml:space="preserve">, pp. 21-22, 61. </w:t>
      </w:r>
    </w:p>
  </w:footnote>
  <w:footnote w:id="24">
    <w:p w14:paraId="7A4B7AF6" w14:textId="77777777" w:rsidR="009679AC" w:rsidRPr="0068057B" w:rsidRDefault="009679AC" w:rsidP="009679AC">
      <w:pPr>
        <w:pStyle w:val="Heading2"/>
        <w:spacing w:before="0"/>
        <w:rPr>
          <w:rFonts w:ascii="Arial" w:eastAsia="Calibri Light" w:hAnsi="Arial" w:cs="Arial"/>
          <w:color w:val="auto"/>
          <w:sz w:val="18"/>
          <w:szCs w:val="18"/>
        </w:rPr>
      </w:pPr>
      <w:r w:rsidRPr="0068057B">
        <w:rPr>
          <w:rStyle w:val="FootnoteReference"/>
          <w:rFonts w:ascii="Arial" w:hAnsi="Arial" w:cs="Arial"/>
          <w:color w:val="auto"/>
          <w:sz w:val="18"/>
          <w:szCs w:val="18"/>
        </w:rPr>
        <w:footnoteRef/>
      </w:r>
      <w:r w:rsidRPr="0068057B">
        <w:rPr>
          <w:rFonts w:ascii="Arial" w:hAnsi="Arial" w:cs="Arial"/>
          <w:color w:val="auto"/>
          <w:sz w:val="18"/>
          <w:szCs w:val="18"/>
        </w:rPr>
        <w:t xml:space="preserve"> “Factsheet: </w:t>
      </w:r>
      <w:r w:rsidRPr="0068057B">
        <w:rPr>
          <w:rFonts w:ascii="Arial" w:eastAsia="Calibri Light" w:hAnsi="Arial" w:cs="Arial"/>
          <w:color w:val="auto"/>
          <w:sz w:val="18"/>
          <w:szCs w:val="18"/>
        </w:rPr>
        <w:t xml:space="preserve">Understanding and Managing Shared Risks,” Department of Finance, Commonwealth Government of Australia, 2020, </w:t>
      </w:r>
      <w:hyperlink r:id="rId4">
        <w:r w:rsidRPr="0068057B">
          <w:rPr>
            <w:rStyle w:val="Hyperlink"/>
            <w:rFonts w:ascii="Arial" w:eastAsia="Calibri Light" w:hAnsi="Arial" w:cs="Arial"/>
            <w:color w:val="auto"/>
            <w:sz w:val="18"/>
            <w:szCs w:val="18"/>
          </w:rPr>
          <w:t>https://www.finance.gov.au/sites/default/files/2020-11/comcover-information-sheet-understanding-and-managing-shared-risk.docx</w:t>
        </w:r>
      </w:hyperlink>
      <w:r w:rsidRPr="0068057B">
        <w:rPr>
          <w:rFonts w:ascii="Arial" w:eastAsia="Calibri Light" w:hAnsi="Arial" w:cs="Arial"/>
          <w:color w:val="auto"/>
          <w:sz w:val="18"/>
          <w:szCs w:val="18"/>
        </w:rPr>
        <w:t xml:space="preserve">; </w:t>
      </w:r>
      <w:r w:rsidRPr="0068057B">
        <w:rPr>
          <w:rFonts w:ascii="Arial" w:eastAsia="Calibri Light" w:hAnsi="Arial" w:cs="Arial"/>
          <w:i/>
          <w:iCs/>
          <w:color w:val="auto"/>
          <w:sz w:val="18"/>
          <w:szCs w:val="18"/>
        </w:rPr>
        <w:t>Collaboration – Build, Support and Sustain a Culture of Collaboration</w:t>
      </w:r>
      <w:r w:rsidRPr="0068057B">
        <w:rPr>
          <w:rFonts w:ascii="Arial" w:eastAsia="Calibri Light" w:hAnsi="Arial" w:cs="Arial"/>
          <w:color w:val="auto"/>
          <w:sz w:val="18"/>
          <w:szCs w:val="18"/>
        </w:rPr>
        <w:t>, pp. 9-10.</w:t>
      </w:r>
    </w:p>
  </w:footnote>
  <w:footnote w:id="25">
    <w:p w14:paraId="3CB91EA3" w14:textId="77777777" w:rsidR="009679AC" w:rsidRPr="0068057B" w:rsidRDefault="009679AC" w:rsidP="009679AC">
      <w:pPr>
        <w:pStyle w:val="Heading2"/>
        <w:spacing w:before="0"/>
        <w:rPr>
          <w:rFonts w:ascii="Arial" w:hAnsi="Arial" w:cs="Arial"/>
          <w:color w:val="auto"/>
          <w:sz w:val="18"/>
          <w:szCs w:val="18"/>
        </w:rPr>
      </w:pPr>
      <w:r w:rsidRPr="0068057B">
        <w:rPr>
          <w:rStyle w:val="FootnoteReference"/>
          <w:rFonts w:ascii="Arial" w:hAnsi="Arial" w:cs="Arial"/>
          <w:color w:val="auto"/>
          <w:sz w:val="18"/>
          <w:szCs w:val="18"/>
        </w:rPr>
        <w:footnoteRef/>
      </w:r>
      <w:r w:rsidRPr="0068057B">
        <w:rPr>
          <w:rFonts w:ascii="Arial" w:hAnsi="Arial" w:cs="Arial"/>
          <w:color w:val="auto"/>
          <w:sz w:val="18"/>
          <w:szCs w:val="18"/>
        </w:rPr>
        <w:t xml:space="preserve"> David McDaid and A-La Park, </w:t>
      </w:r>
      <w:r w:rsidRPr="0068057B">
        <w:rPr>
          <w:rFonts w:ascii="Arial" w:eastAsia="Calibri Light" w:hAnsi="Arial" w:cs="Arial"/>
          <w:i/>
          <w:iCs/>
          <w:color w:val="auto"/>
          <w:sz w:val="18"/>
          <w:szCs w:val="18"/>
        </w:rPr>
        <w:t>Evidence on Financing and Budgeting Mechanisms to Support Intersectoral Actions between Health, Education, Social Welfare and Labour Sectors,</w:t>
      </w:r>
      <w:r w:rsidRPr="0068057B">
        <w:rPr>
          <w:rFonts w:ascii="Arial" w:eastAsia="Calibri Light" w:hAnsi="Arial" w:cs="Arial"/>
          <w:color w:val="auto"/>
          <w:sz w:val="18"/>
          <w:szCs w:val="18"/>
        </w:rPr>
        <w:t xml:space="preserve"> Health Evidence Network Synthesis Report 48,</w:t>
      </w:r>
      <w:r>
        <w:rPr>
          <w:rFonts w:ascii="Arial" w:eastAsia="Calibri Light" w:hAnsi="Arial" w:cs="Arial"/>
          <w:color w:val="auto"/>
          <w:sz w:val="18"/>
          <w:szCs w:val="18"/>
        </w:rPr>
        <w:t xml:space="preserve"> WHO Europe, 2016</w:t>
      </w:r>
      <w:r w:rsidRPr="0068057B">
        <w:rPr>
          <w:rFonts w:ascii="Arial" w:eastAsia="Calibri Light" w:hAnsi="Arial" w:cs="Arial"/>
          <w:color w:val="auto"/>
          <w:sz w:val="18"/>
          <w:szCs w:val="18"/>
        </w:rPr>
        <w:t>, p. 23.</w:t>
      </w:r>
    </w:p>
  </w:footnote>
  <w:footnote w:id="26">
    <w:p w14:paraId="24D92304" w14:textId="77777777" w:rsidR="009679AC" w:rsidRPr="0068057B" w:rsidRDefault="009679AC" w:rsidP="009679AC">
      <w:pPr>
        <w:pStyle w:val="Heading2"/>
        <w:spacing w:before="0"/>
        <w:rPr>
          <w:rFonts w:ascii="Arial" w:hAnsi="Arial" w:cs="Arial"/>
          <w:color w:val="auto"/>
          <w:sz w:val="18"/>
          <w:szCs w:val="18"/>
        </w:rPr>
      </w:pPr>
      <w:r w:rsidRPr="0068057B">
        <w:rPr>
          <w:rStyle w:val="FootnoteReference"/>
          <w:rFonts w:ascii="Arial" w:hAnsi="Arial" w:cs="Arial"/>
          <w:color w:val="auto"/>
          <w:sz w:val="18"/>
          <w:szCs w:val="18"/>
        </w:rPr>
        <w:footnoteRef/>
      </w:r>
      <w:r w:rsidRPr="0068057B">
        <w:rPr>
          <w:rFonts w:ascii="Arial" w:hAnsi="Arial" w:cs="Arial"/>
          <w:color w:val="auto"/>
          <w:sz w:val="18"/>
          <w:szCs w:val="18"/>
        </w:rPr>
        <w:t xml:space="preserve"> </w:t>
      </w:r>
      <w:r w:rsidRPr="0068057B">
        <w:rPr>
          <w:rFonts w:ascii="Arial" w:eastAsia="Calibri Light" w:hAnsi="Arial" w:cs="Arial"/>
          <w:color w:val="auto"/>
          <w:sz w:val="18"/>
          <w:szCs w:val="18"/>
        </w:rPr>
        <w:t xml:space="preserve">Lonsdale, Schweppenstedde, van Stolk, Guerin, and Hafner, </w:t>
      </w:r>
      <w:r w:rsidRPr="0068057B">
        <w:rPr>
          <w:rFonts w:ascii="Arial" w:eastAsia="Calibri Light" w:hAnsi="Arial" w:cs="Arial"/>
          <w:i/>
          <w:iCs/>
          <w:color w:val="auto"/>
          <w:sz w:val="18"/>
          <w:szCs w:val="18"/>
        </w:rPr>
        <w:t>One Place, One Budget</w:t>
      </w:r>
      <w:r w:rsidRPr="0068057B">
        <w:rPr>
          <w:rFonts w:ascii="Arial" w:eastAsia="Calibri Light" w:hAnsi="Arial" w:cs="Arial"/>
          <w:color w:val="auto"/>
          <w:sz w:val="18"/>
          <w:szCs w:val="18"/>
        </w:rPr>
        <w:t xml:space="preserve">, pp. 20. </w:t>
      </w:r>
    </w:p>
  </w:footnote>
  <w:footnote w:id="27">
    <w:p w14:paraId="39211517" w14:textId="77777777" w:rsidR="009679AC" w:rsidRPr="00406F18" w:rsidRDefault="009679AC" w:rsidP="009679AC">
      <w:pPr>
        <w:pStyle w:val="Heading2"/>
        <w:spacing w:before="0"/>
        <w:rPr>
          <w:rFonts w:ascii="Arial" w:eastAsia="Calibri Light" w:hAnsi="Arial" w:cs="Arial"/>
          <w:iCs/>
          <w:color w:val="auto"/>
          <w:sz w:val="18"/>
          <w:szCs w:val="18"/>
        </w:rPr>
      </w:pPr>
      <w:r w:rsidRPr="0068057B">
        <w:rPr>
          <w:rStyle w:val="FootnoteReference"/>
          <w:rFonts w:ascii="Arial" w:hAnsi="Arial" w:cs="Arial"/>
          <w:color w:val="auto"/>
          <w:sz w:val="18"/>
          <w:szCs w:val="18"/>
        </w:rPr>
        <w:footnoteRef/>
      </w:r>
      <w:r w:rsidRPr="0068057B">
        <w:rPr>
          <w:rFonts w:ascii="Arial" w:hAnsi="Arial" w:cs="Arial"/>
          <w:color w:val="auto"/>
          <w:sz w:val="18"/>
          <w:szCs w:val="18"/>
        </w:rPr>
        <w:t xml:space="preserve"> </w:t>
      </w:r>
      <w:r w:rsidRPr="0068057B">
        <w:rPr>
          <w:rFonts w:ascii="Arial" w:eastAsia="Calibri Light" w:hAnsi="Arial" w:cs="Arial"/>
          <w:i/>
          <w:color w:val="auto"/>
          <w:sz w:val="18"/>
          <w:szCs w:val="18"/>
        </w:rPr>
        <w:t xml:space="preserve">Early Intervention: Smart Investment, Massive Savings, </w:t>
      </w:r>
      <w:r w:rsidRPr="0068057B">
        <w:rPr>
          <w:rFonts w:ascii="Arial" w:eastAsia="Calibri Light" w:hAnsi="Arial" w:cs="Arial"/>
          <w:iCs/>
          <w:color w:val="auto"/>
          <w:sz w:val="18"/>
          <w:szCs w:val="18"/>
        </w:rPr>
        <w:t>pp. 1-2.</w:t>
      </w:r>
    </w:p>
  </w:footnote>
  <w:footnote w:id="28">
    <w:p w14:paraId="4532D584" w14:textId="77777777" w:rsidR="009679AC" w:rsidRPr="0068057B" w:rsidRDefault="009679AC" w:rsidP="009679AC">
      <w:pPr>
        <w:pStyle w:val="Heading2"/>
        <w:spacing w:before="0"/>
        <w:rPr>
          <w:rFonts w:ascii="Arial" w:eastAsia="Calibri Light" w:hAnsi="Arial" w:cs="Arial"/>
          <w:color w:val="auto"/>
          <w:sz w:val="18"/>
          <w:szCs w:val="18"/>
        </w:rPr>
      </w:pPr>
      <w:r w:rsidRPr="0068057B">
        <w:rPr>
          <w:rStyle w:val="FootnoteReference"/>
          <w:rFonts w:ascii="Arial" w:hAnsi="Arial" w:cs="Arial"/>
          <w:color w:val="auto"/>
          <w:sz w:val="18"/>
          <w:szCs w:val="18"/>
        </w:rPr>
        <w:footnoteRef/>
      </w:r>
      <w:r w:rsidRPr="0068057B">
        <w:rPr>
          <w:rFonts w:ascii="Arial" w:hAnsi="Arial" w:cs="Arial"/>
          <w:color w:val="auto"/>
          <w:sz w:val="18"/>
          <w:szCs w:val="18"/>
        </w:rPr>
        <w:t xml:space="preserve"> Jeffr</w:t>
      </w:r>
      <w:r>
        <w:rPr>
          <w:rFonts w:ascii="Arial" w:hAnsi="Arial" w:cs="Arial"/>
          <w:color w:val="auto"/>
          <w:sz w:val="18"/>
          <w:szCs w:val="18"/>
        </w:rPr>
        <w:t>e</w:t>
      </w:r>
      <w:r w:rsidRPr="0068057B">
        <w:rPr>
          <w:rFonts w:ascii="Arial" w:hAnsi="Arial" w:cs="Arial"/>
          <w:color w:val="auto"/>
          <w:sz w:val="18"/>
          <w:szCs w:val="18"/>
        </w:rPr>
        <w:t>y B. Lieb</w:t>
      </w:r>
      <w:r>
        <w:rPr>
          <w:rFonts w:ascii="Arial" w:hAnsi="Arial" w:cs="Arial"/>
          <w:color w:val="auto"/>
          <w:sz w:val="18"/>
          <w:szCs w:val="18"/>
        </w:rPr>
        <w:t>m</w:t>
      </w:r>
      <w:r w:rsidRPr="0068057B">
        <w:rPr>
          <w:rFonts w:ascii="Arial" w:hAnsi="Arial" w:cs="Arial"/>
          <w:color w:val="auto"/>
          <w:sz w:val="18"/>
          <w:szCs w:val="18"/>
        </w:rPr>
        <w:t xml:space="preserve">an, </w:t>
      </w:r>
      <w:r w:rsidRPr="0068057B">
        <w:rPr>
          <w:rFonts w:ascii="Arial" w:hAnsi="Arial" w:cs="Arial"/>
          <w:i/>
          <w:color w:val="auto"/>
          <w:sz w:val="18"/>
          <w:szCs w:val="18"/>
        </w:rPr>
        <w:t>Social Impact Bonds: A Promising New Financing Model to Accelerate Social Innovation and Improve Government Performanc</w:t>
      </w:r>
      <w:r>
        <w:rPr>
          <w:rFonts w:ascii="Arial" w:hAnsi="Arial" w:cs="Arial"/>
          <w:color w:val="auto"/>
          <w:sz w:val="18"/>
          <w:szCs w:val="18"/>
        </w:rPr>
        <w:t>e,</w:t>
      </w:r>
      <w:r w:rsidRPr="0068057B">
        <w:rPr>
          <w:rFonts w:ascii="Arial" w:hAnsi="Arial" w:cs="Arial"/>
          <w:color w:val="auto"/>
          <w:sz w:val="18"/>
          <w:szCs w:val="18"/>
        </w:rPr>
        <w:t xml:space="preserve"> Centre for American Progress, 2011, pp. 10-14; Jim Clifford and Tobias Jung, “Social Impact Bonds: Exploring and Understanding Emerging Funding Approach,” </w:t>
      </w:r>
      <w:r w:rsidRPr="0068057B">
        <w:rPr>
          <w:rFonts w:ascii="Arial" w:hAnsi="Arial" w:cs="Arial"/>
          <w:i/>
          <w:color w:val="auto"/>
          <w:sz w:val="18"/>
          <w:szCs w:val="18"/>
        </w:rPr>
        <w:t>Routledge Handbook of Social and Sustainable Finance</w:t>
      </w:r>
      <w:r w:rsidRPr="0068057B">
        <w:rPr>
          <w:rFonts w:ascii="Arial" w:hAnsi="Arial" w:cs="Arial"/>
          <w:color w:val="auto"/>
          <w:sz w:val="18"/>
          <w:szCs w:val="18"/>
        </w:rPr>
        <w:t xml:space="preserve">, ed. Othmar M. Lehner (Oxfordshire: Taylor &amp; Francis, 2016), pp. 161-176; </w:t>
      </w:r>
      <w:r w:rsidRPr="0068057B">
        <w:rPr>
          <w:rFonts w:ascii="Arial" w:eastAsia="Calibri Light" w:hAnsi="Arial" w:cs="Arial"/>
          <w:color w:val="auto"/>
          <w:sz w:val="18"/>
          <w:szCs w:val="18"/>
        </w:rPr>
        <w:t xml:space="preserve">Matt Tyler and Ben Stephens, “Paying for Outcomes: Beyond the Social Impact Bond Buzz,” </w:t>
      </w:r>
      <w:r w:rsidRPr="0068057B">
        <w:rPr>
          <w:rFonts w:ascii="Arial" w:eastAsia="Calibri Light" w:hAnsi="Arial" w:cs="Arial"/>
          <w:i/>
          <w:color w:val="auto"/>
          <w:sz w:val="18"/>
          <w:szCs w:val="18"/>
        </w:rPr>
        <w:t>Inside Story</w:t>
      </w:r>
      <w:r w:rsidRPr="0068057B">
        <w:rPr>
          <w:rFonts w:ascii="Arial" w:eastAsia="Calibri Light" w:hAnsi="Arial" w:cs="Arial"/>
          <w:color w:val="auto"/>
          <w:sz w:val="18"/>
          <w:szCs w:val="18"/>
        </w:rPr>
        <w:t>, 28 October 2016,</w:t>
      </w:r>
      <w:r>
        <w:rPr>
          <w:rFonts w:ascii="Arial" w:eastAsia="Calibri Light" w:hAnsi="Arial" w:cs="Arial"/>
          <w:color w:val="auto"/>
          <w:sz w:val="18"/>
          <w:szCs w:val="18"/>
        </w:rPr>
        <w:t xml:space="preserve"> </w:t>
      </w:r>
      <w:hyperlink r:id="rId5">
        <w:r w:rsidRPr="0068057B">
          <w:rPr>
            <w:rStyle w:val="Hyperlink"/>
            <w:rFonts w:ascii="Arial" w:eastAsia="Calibri Light" w:hAnsi="Arial" w:cs="Arial"/>
            <w:color w:val="auto"/>
            <w:sz w:val="18"/>
            <w:szCs w:val="18"/>
          </w:rPr>
          <w:t>https://insidestory.org.au/paying-for-outcomes-beyond-the-social-impact-bond-buzz/</w:t>
        </w:r>
      </w:hyperlink>
      <w:r w:rsidRPr="0068057B">
        <w:rPr>
          <w:rStyle w:val="Hyperlink"/>
          <w:rFonts w:ascii="Arial" w:eastAsia="Calibri Light" w:hAnsi="Arial" w:cs="Arial"/>
          <w:color w:val="auto"/>
          <w:sz w:val="18"/>
          <w:szCs w:val="18"/>
        </w:rPr>
        <w:t>.</w:t>
      </w:r>
    </w:p>
  </w:footnote>
  <w:footnote w:id="29">
    <w:p w14:paraId="4A3611B4" w14:textId="77777777" w:rsidR="009679AC" w:rsidRPr="0068057B" w:rsidRDefault="009679AC" w:rsidP="009679AC">
      <w:pPr>
        <w:rPr>
          <w:rFonts w:ascii="Arial" w:eastAsia="Calibri Light" w:hAnsi="Arial" w:cs="Arial"/>
          <w:i/>
          <w:iCs/>
          <w:sz w:val="18"/>
          <w:szCs w:val="18"/>
        </w:rPr>
      </w:pPr>
      <w:r w:rsidRPr="0068057B">
        <w:rPr>
          <w:rStyle w:val="FootnoteReference"/>
          <w:rFonts w:ascii="Arial" w:hAnsi="Arial" w:cs="Arial"/>
          <w:sz w:val="18"/>
          <w:szCs w:val="18"/>
        </w:rPr>
        <w:footnoteRef/>
      </w:r>
      <w:r w:rsidRPr="0068057B">
        <w:rPr>
          <w:rFonts w:ascii="Arial" w:hAnsi="Arial" w:cs="Arial"/>
          <w:sz w:val="18"/>
          <w:szCs w:val="18"/>
        </w:rPr>
        <w:t xml:space="preserve"> </w:t>
      </w:r>
      <w:r w:rsidRPr="0068057B">
        <w:rPr>
          <w:rFonts w:ascii="Arial" w:eastAsia="Calibri Light" w:hAnsi="Arial" w:cs="Arial"/>
          <w:sz w:val="18"/>
          <w:szCs w:val="18"/>
        </w:rPr>
        <w:t xml:space="preserve">“Evaluating the World’s First Social Impact Bond,” </w:t>
      </w:r>
      <w:r w:rsidRPr="0068057B">
        <w:rPr>
          <w:rFonts w:ascii="Arial" w:eastAsia="Calibri Light" w:hAnsi="Arial" w:cs="Arial"/>
          <w:i/>
          <w:sz w:val="18"/>
          <w:szCs w:val="18"/>
        </w:rPr>
        <w:t>Rand Corporation</w:t>
      </w:r>
      <w:r w:rsidRPr="0068057B">
        <w:rPr>
          <w:rFonts w:ascii="Arial" w:eastAsia="Calibri Light" w:hAnsi="Arial" w:cs="Arial"/>
          <w:sz w:val="18"/>
          <w:szCs w:val="18"/>
        </w:rPr>
        <w:t xml:space="preserve">, 18 December 2015, </w:t>
      </w:r>
      <w:hyperlink r:id="rId6" w:anchor="key-lessons" w:history="1">
        <w:r w:rsidRPr="00031949">
          <w:rPr>
            <w:rStyle w:val="Hyperlink"/>
            <w:rFonts w:ascii="Arial" w:eastAsia="Calibri Light" w:hAnsi="Arial" w:cs="Arial"/>
            <w:sz w:val="18"/>
            <w:szCs w:val="18"/>
          </w:rPr>
          <w:t>https://www.rand.org/randeurope/research/projects/social-impact-bonds.html#key-lessons</w:t>
        </w:r>
      </w:hyperlink>
      <w:r w:rsidRPr="0068057B">
        <w:rPr>
          <w:rFonts w:ascii="Arial" w:eastAsia="Calibri Light" w:hAnsi="Arial" w:cs="Arial"/>
          <w:sz w:val="18"/>
          <w:szCs w:val="18"/>
        </w:rPr>
        <w:t xml:space="preserve">; Jake Anders and Richard Dorsett, </w:t>
      </w:r>
      <w:r w:rsidRPr="0068057B">
        <w:rPr>
          <w:rFonts w:ascii="Arial" w:eastAsia="Calibri Light" w:hAnsi="Arial" w:cs="Arial"/>
          <w:i/>
          <w:iCs/>
          <w:sz w:val="18"/>
          <w:szCs w:val="18"/>
        </w:rPr>
        <w:t>HMP Peterborough Social Impact Bond - Cohort 2 and Final Cohort Impact Evaluation</w:t>
      </w:r>
      <w:r w:rsidRPr="0068057B">
        <w:rPr>
          <w:rFonts w:ascii="Arial" w:eastAsia="Calibri Light" w:hAnsi="Arial" w:cs="Arial"/>
          <w:sz w:val="18"/>
          <w:szCs w:val="18"/>
        </w:rPr>
        <w:t xml:space="preserve">, National Institute of Economic and Social Research, 2017, pp. 13-14. </w:t>
      </w:r>
    </w:p>
  </w:footnote>
  <w:footnote w:id="30">
    <w:p w14:paraId="1751FDAF" w14:textId="77777777" w:rsidR="009679AC" w:rsidRPr="0068057B" w:rsidRDefault="009679AC" w:rsidP="009679AC">
      <w:pPr>
        <w:pStyle w:val="Heading2"/>
        <w:spacing w:before="0"/>
        <w:rPr>
          <w:rFonts w:ascii="Arial" w:eastAsia="Calibri Light" w:hAnsi="Arial" w:cs="Arial"/>
          <w:color w:val="auto"/>
          <w:sz w:val="18"/>
          <w:szCs w:val="18"/>
        </w:rPr>
      </w:pPr>
      <w:r w:rsidRPr="0068057B">
        <w:rPr>
          <w:rStyle w:val="FootnoteReference"/>
          <w:rFonts w:ascii="Arial" w:hAnsi="Arial" w:cs="Arial"/>
          <w:color w:val="auto"/>
          <w:sz w:val="18"/>
          <w:szCs w:val="18"/>
        </w:rPr>
        <w:footnoteRef/>
      </w:r>
      <w:r w:rsidRPr="0068057B">
        <w:rPr>
          <w:rFonts w:ascii="Arial" w:hAnsi="Arial" w:cs="Arial"/>
          <w:color w:val="auto"/>
          <w:sz w:val="18"/>
          <w:szCs w:val="18"/>
        </w:rPr>
        <w:t xml:space="preserve"> </w:t>
      </w:r>
      <w:r w:rsidRPr="0068057B">
        <w:rPr>
          <w:rFonts w:ascii="Arial" w:eastAsia="Calibri Light" w:hAnsi="Arial" w:cs="Arial"/>
          <w:i/>
          <w:color w:val="auto"/>
          <w:sz w:val="18"/>
          <w:szCs w:val="18"/>
        </w:rPr>
        <w:t xml:space="preserve">Early Intervention: Smart Investment, Massive Savings, </w:t>
      </w:r>
      <w:r w:rsidRPr="0068057B">
        <w:rPr>
          <w:rFonts w:ascii="Arial" w:eastAsia="Calibri Light" w:hAnsi="Arial" w:cs="Arial"/>
          <w:color w:val="auto"/>
          <w:sz w:val="18"/>
          <w:szCs w:val="18"/>
        </w:rPr>
        <w:t xml:space="preserve">pp. 13-19; Willis and Tyler, “Implementing a Social Outcomes Fund in Australia”; Matt Tyler and Peter Willis, </w:t>
      </w:r>
      <w:r w:rsidRPr="0068057B">
        <w:rPr>
          <w:rFonts w:ascii="Arial" w:eastAsia="Calibri Light" w:hAnsi="Arial" w:cs="Arial"/>
          <w:i/>
          <w:color w:val="auto"/>
          <w:sz w:val="18"/>
          <w:szCs w:val="18"/>
        </w:rPr>
        <w:t>Improving Outcomes in Social Services: Modernizing Australia’s Social Infrastructure</w:t>
      </w:r>
      <w:r>
        <w:rPr>
          <w:rFonts w:ascii="Arial" w:eastAsia="Calibri Light" w:hAnsi="Arial" w:cs="Arial"/>
          <w:i/>
          <w:color w:val="auto"/>
          <w:sz w:val="18"/>
          <w:szCs w:val="18"/>
        </w:rPr>
        <w:t>,</w:t>
      </w:r>
      <w:r w:rsidRPr="0068057B">
        <w:rPr>
          <w:rFonts w:ascii="Arial" w:eastAsia="Calibri Light" w:hAnsi="Arial" w:cs="Arial"/>
          <w:color w:val="auto"/>
          <w:sz w:val="18"/>
          <w:szCs w:val="18"/>
        </w:rPr>
        <w:t xml:space="preserve"> </w:t>
      </w:r>
      <w:r w:rsidRPr="0068057B">
        <w:rPr>
          <w:rFonts w:ascii="Arial" w:eastAsia="Calibri Light" w:hAnsi="Arial" w:cs="Arial"/>
          <w:iCs/>
          <w:color w:val="auto"/>
          <w:sz w:val="18"/>
          <w:szCs w:val="18"/>
        </w:rPr>
        <w:t>Final Report for the Australian Labor Party</w:t>
      </w:r>
      <w:r w:rsidRPr="0068057B">
        <w:rPr>
          <w:rFonts w:ascii="Arial" w:eastAsia="Calibri Light" w:hAnsi="Arial" w:cs="Arial"/>
          <w:color w:val="auto"/>
          <w:sz w:val="18"/>
          <w:szCs w:val="18"/>
        </w:rPr>
        <w:t>, 2017, pp. 51-52.</w:t>
      </w:r>
    </w:p>
  </w:footnote>
  <w:footnote w:id="31">
    <w:p w14:paraId="3F7DED81" w14:textId="77777777" w:rsidR="009679AC" w:rsidRPr="0068057B" w:rsidRDefault="009679AC" w:rsidP="009679AC">
      <w:pPr>
        <w:pStyle w:val="FootnoteText"/>
        <w:rPr>
          <w:rFonts w:ascii="Arial" w:eastAsia="Calibri Light" w:hAnsi="Arial" w:cs="Arial"/>
          <w:sz w:val="18"/>
          <w:szCs w:val="18"/>
        </w:rPr>
      </w:pPr>
      <w:r w:rsidRPr="0068057B">
        <w:rPr>
          <w:rStyle w:val="FootnoteReference"/>
          <w:rFonts w:ascii="Arial" w:hAnsi="Arial" w:cs="Arial"/>
          <w:sz w:val="18"/>
          <w:szCs w:val="18"/>
        </w:rPr>
        <w:footnoteRef/>
      </w:r>
      <w:r w:rsidRPr="0068057B">
        <w:rPr>
          <w:rFonts w:ascii="Arial" w:hAnsi="Arial" w:cs="Arial"/>
          <w:sz w:val="18"/>
          <w:szCs w:val="18"/>
        </w:rPr>
        <w:t xml:space="preserve"> </w:t>
      </w:r>
      <w:r w:rsidRPr="0068057B">
        <w:rPr>
          <w:rFonts w:ascii="Arial" w:eastAsia="Calibri Light" w:hAnsi="Arial" w:cs="Arial"/>
          <w:sz w:val="18"/>
          <w:szCs w:val="18"/>
        </w:rPr>
        <w:t>Willis and Tyler, “Implementing a Social Outcomes Fund in Australia”.</w:t>
      </w:r>
    </w:p>
  </w:footnote>
  <w:footnote w:id="32">
    <w:p w14:paraId="5D0D39EA" w14:textId="77777777" w:rsidR="009679AC" w:rsidRPr="0068057B" w:rsidRDefault="009679AC" w:rsidP="009679AC">
      <w:pPr>
        <w:pStyle w:val="Heading2"/>
        <w:spacing w:before="0"/>
        <w:rPr>
          <w:rFonts w:ascii="Arial" w:eastAsia="Calibri Light" w:hAnsi="Arial" w:cs="Arial"/>
          <w:color w:val="auto"/>
          <w:sz w:val="18"/>
          <w:szCs w:val="18"/>
        </w:rPr>
      </w:pPr>
      <w:r w:rsidRPr="0068057B">
        <w:rPr>
          <w:rStyle w:val="FootnoteReference"/>
          <w:rFonts w:ascii="Arial" w:hAnsi="Arial" w:cs="Arial"/>
          <w:color w:val="auto"/>
          <w:sz w:val="18"/>
          <w:szCs w:val="18"/>
        </w:rPr>
        <w:footnoteRef/>
      </w:r>
      <w:r w:rsidRPr="0068057B">
        <w:rPr>
          <w:rFonts w:ascii="Arial" w:hAnsi="Arial" w:cs="Arial"/>
          <w:color w:val="auto"/>
          <w:sz w:val="18"/>
          <w:szCs w:val="18"/>
        </w:rPr>
        <w:t xml:space="preserve"> </w:t>
      </w:r>
      <w:r w:rsidRPr="0068057B">
        <w:rPr>
          <w:rFonts w:ascii="Arial" w:eastAsia="Calibri Light" w:hAnsi="Arial" w:cs="Arial"/>
          <w:color w:val="auto"/>
          <w:sz w:val="18"/>
          <w:szCs w:val="18"/>
        </w:rPr>
        <w:t>Lieb</w:t>
      </w:r>
      <w:r>
        <w:rPr>
          <w:rFonts w:ascii="Arial" w:eastAsia="Calibri Light" w:hAnsi="Arial" w:cs="Arial"/>
          <w:color w:val="auto"/>
          <w:sz w:val="18"/>
          <w:szCs w:val="18"/>
        </w:rPr>
        <w:t>m</w:t>
      </w:r>
      <w:r w:rsidRPr="0068057B">
        <w:rPr>
          <w:rFonts w:ascii="Arial" w:eastAsia="Calibri Light" w:hAnsi="Arial" w:cs="Arial"/>
          <w:color w:val="auto"/>
          <w:sz w:val="18"/>
          <w:szCs w:val="18"/>
        </w:rPr>
        <w:t xml:space="preserve">an, </w:t>
      </w:r>
      <w:r w:rsidRPr="0068057B">
        <w:rPr>
          <w:rFonts w:ascii="Arial" w:eastAsia="Calibri Light" w:hAnsi="Arial" w:cs="Arial"/>
          <w:i/>
          <w:iCs/>
          <w:color w:val="auto"/>
          <w:sz w:val="18"/>
          <w:szCs w:val="18"/>
        </w:rPr>
        <w:t>Social Impact Bonds</w:t>
      </w:r>
      <w:r w:rsidRPr="0068057B">
        <w:rPr>
          <w:rFonts w:ascii="Arial" w:eastAsia="Calibri Light" w:hAnsi="Arial" w:cs="Arial"/>
          <w:color w:val="auto"/>
          <w:sz w:val="18"/>
          <w:szCs w:val="18"/>
        </w:rPr>
        <w:t>, pp. 3-4, 13-14.</w:t>
      </w:r>
    </w:p>
  </w:footnote>
  <w:footnote w:id="33">
    <w:p w14:paraId="5F73ADDB" w14:textId="77777777" w:rsidR="009679AC" w:rsidRPr="0068057B" w:rsidRDefault="009679AC" w:rsidP="009679AC">
      <w:pPr>
        <w:pStyle w:val="FootnoteText"/>
        <w:rPr>
          <w:rFonts w:ascii="Arial" w:hAnsi="Arial" w:cs="Arial"/>
          <w:sz w:val="18"/>
          <w:szCs w:val="18"/>
        </w:rPr>
      </w:pPr>
      <w:r w:rsidRPr="0068057B">
        <w:rPr>
          <w:rStyle w:val="FootnoteReference"/>
          <w:rFonts w:ascii="Arial" w:hAnsi="Arial" w:cs="Arial"/>
          <w:sz w:val="18"/>
          <w:szCs w:val="18"/>
        </w:rPr>
        <w:footnoteRef/>
      </w:r>
      <w:r w:rsidRPr="0068057B">
        <w:rPr>
          <w:rFonts w:ascii="Arial" w:hAnsi="Arial" w:cs="Arial"/>
          <w:sz w:val="18"/>
          <w:szCs w:val="18"/>
        </w:rPr>
        <w:t xml:space="preserve"> Emily Gustafsson-Wright, Sophie Gardiner and Vidya Putcha, </w:t>
      </w:r>
      <w:r w:rsidRPr="0068057B">
        <w:rPr>
          <w:rFonts w:ascii="Arial" w:hAnsi="Arial" w:cs="Arial"/>
          <w:i/>
          <w:iCs/>
          <w:sz w:val="18"/>
          <w:szCs w:val="18"/>
        </w:rPr>
        <w:t>The Potential and Limitations of Impact Bonds: Lessons from the First Five Years of Experience Worldwide</w:t>
      </w:r>
      <w:r w:rsidRPr="0068057B">
        <w:rPr>
          <w:rFonts w:ascii="Arial" w:hAnsi="Arial" w:cs="Arial"/>
          <w:sz w:val="18"/>
          <w:szCs w:val="18"/>
        </w:rPr>
        <w:t xml:space="preserve">, Global Economy and Development Program, Brookings Institute, 2015, pp. 121-22; “The Benevolent Society Social Benefit Bond,” Office of Social Impact Investment, NSW Government, </w:t>
      </w:r>
      <w:hyperlink r:id="rId7">
        <w:r w:rsidRPr="0068057B">
          <w:rPr>
            <w:rStyle w:val="Hyperlink"/>
            <w:rFonts w:ascii="Arial" w:hAnsi="Arial" w:cs="Arial"/>
            <w:sz w:val="18"/>
            <w:szCs w:val="18"/>
          </w:rPr>
          <w:t>https://</w:t>
        </w:r>
        <w:r w:rsidRPr="0068057B">
          <w:rPr>
            <w:rStyle w:val="Hyperlink"/>
            <w:rFonts w:ascii="Arial" w:eastAsia="Calibri Light" w:hAnsi="Arial" w:cs="Arial"/>
            <w:sz w:val="18"/>
            <w:szCs w:val="18"/>
          </w:rPr>
          <w:t>www.osii.nsw.gov.au/initiatives/sii/the-benevolent-society-bond/</w:t>
        </w:r>
      </w:hyperlink>
      <w:r w:rsidRPr="0068057B">
        <w:rPr>
          <w:rFonts w:ascii="Arial" w:hAnsi="Arial" w:cs="Arial"/>
          <w:sz w:val="18"/>
          <w:szCs w:val="18"/>
        </w:rPr>
        <w:t>.</w:t>
      </w:r>
    </w:p>
  </w:footnote>
  <w:footnote w:id="34">
    <w:p w14:paraId="73E1A151" w14:textId="77777777" w:rsidR="009679AC" w:rsidRPr="0068057B" w:rsidRDefault="009679AC" w:rsidP="009679AC">
      <w:pPr>
        <w:rPr>
          <w:rFonts w:ascii="Arial" w:eastAsia="Calibri Light" w:hAnsi="Arial" w:cs="Arial"/>
          <w:sz w:val="18"/>
          <w:szCs w:val="18"/>
        </w:rPr>
      </w:pPr>
      <w:r w:rsidRPr="0068057B">
        <w:rPr>
          <w:rStyle w:val="FootnoteReference"/>
          <w:rFonts w:ascii="Arial" w:hAnsi="Arial" w:cs="Arial"/>
          <w:sz w:val="18"/>
          <w:szCs w:val="18"/>
        </w:rPr>
        <w:footnoteRef/>
      </w:r>
      <w:r w:rsidRPr="0068057B">
        <w:rPr>
          <w:rFonts w:ascii="Arial" w:hAnsi="Arial" w:cs="Arial"/>
          <w:sz w:val="18"/>
          <w:szCs w:val="18"/>
        </w:rPr>
        <w:t xml:space="preserve"> </w:t>
      </w:r>
      <w:r w:rsidRPr="0068057B">
        <w:rPr>
          <w:rFonts w:ascii="Arial" w:eastAsia="Calibri Light" w:hAnsi="Arial" w:cs="Arial"/>
          <w:sz w:val="18"/>
          <w:szCs w:val="18"/>
        </w:rPr>
        <w:t xml:space="preserve">Lonsdale, Schweppenstedde, van Stolk, Guerin, and Hafner, </w:t>
      </w:r>
      <w:r w:rsidRPr="0068057B">
        <w:rPr>
          <w:rFonts w:ascii="Arial" w:eastAsia="Calibri Light" w:hAnsi="Arial" w:cs="Arial"/>
          <w:i/>
          <w:iCs/>
          <w:sz w:val="18"/>
          <w:szCs w:val="18"/>
        </w:rPr>
        <w:t>One Place, One Budget</w:t>
      </w:r>
      <w:r w:rsidRPr="0068057B">
        <w:rPr>
          <w:rFonts w:ascii="Arial" w:eastAsia="Calibri Light" w:hAnsi="Arial" w:cs="Arial"/>
          <w:sz w:val="18"/>
          <w:szCs w:val="18"/>
        </w:rPr>
        <w:t xml:space="preserve">, pg. 18; “NSW Social Impact Investment Policy: Statement of Progress 2015,” Office of Social Impact Investment, NSW Government, </w:t>
      </w:r>
      <w:hyperlink r:id="rId8" w:history="1">
        <w:r w:rsidRPr="0068057B">
          <w:rPr>
            <w:rStyle w:val="Hyperlink"/>
            <w:rFonts w:ascii="Arial" w:eastAsia="Calibri Light" w:hAnsi="Arial" w:cs="Arial"/>
            <w:sz w:val="18"/>
            <w:szCs w:val="18"/>
          </w:rPr>
          <w:t>https://www.osii.nsw.gov.au/assets/office-of-social-impact-investment/files/Statement-of-Progress-2015.pdf</w:t>
        </w:r>
      </w:hyperlink>
      <w:r w:rsidRPr="0068057B">
        <w:rPr>
          <w:rFonts w:ascii="Arial" w:eastAsia="Calibri Light" w:hAnsi="Arial" w:cs="Arial"/>
          <w:sz w:val="18"/>
          <w:szCs w:val="18"/>
        </w:rPr>
        <w:t xml:space="preserve">; “OSII Releases 2016 Statement of Progress,” Office of Social Impact Investment, NSW Government, </w:t>
      </w:r>
      <w:hyperlink r:id="rId9" w:history="1">
        <w:r w:rsidRPr="0068057B">
          <w:rPr>
            <w:rStyle w:val="Hyperlink"/>
            <w:rFonts w:ascii="Arial" w:eastAsia="Calibri Light" w:hAnsi="Arial" w:cs="Arial"/>
            <w:sz w:val="18"/>
            <w:szCs w:val="18"/>
          </w:rPr>
          <w:t>https://www.osii.nsw.gov.au/news/2017/07/07/2016-statement-of-progress/</w:t>
        </w:r>
      </w:hyperlink>
      <w:r w:rsidRPr="0068057B">
        <w:rPr>
          <w:rFonts w:ascii="Arial" w:eastAsia="Calibri Light" w:hAnsi="Arial" w:cs="Arial"/>
          <w:sz w:val="18"/>
          <w:szCs w:val="18"/>
        </w:rPr>
        <w:t xml:space="preserve">; “NSW Social Impact Investment: Statement of Progress 2018,” Office of Social Impact Investment, NSW Government,  </w:t>
      </w:r>
      <w:hyperlink r:id="rId10" w:history="1">
        <w:r w:rsidRPr="0068057B">
          <w:rPr>
            <w:rStyle w:val="Hyperlink"/>
            <w:rFonts w:ascii="Arial" w:eastAsia="Calibri Light" w:hAnsi="Arial" w:cs="Arial"/>
            <w:sz w:val="18"/>
            <w:szCs w:val="18"/>
          </w:rPr>
          <w:t>https://www.osii.nsw.gov.au/assets/Statement-of-Progress-2018.pdf</w:t>
        </w:r>
      </w:hyperlink>
      <w:r w:rsidRPr="0068057B">
        <w:rPr>
          <w:rFonts w:ascii="Arial" w:eastAsia="Calibri Light" w:hAnsi="Arial" w:cs="Arial"/>
          <w:sz w:val="18"/>
          <w:szCs w:val="18"/>
        </w:rPr>
        <w:t>.</w:t>
      </w:r>
    </w:p>
  </w:footnote>
  <w:footnote w:id="35">
    <w:p w14:paraId="31F69CCF" w14:textId="77777777" w:rsidR="009679AC" w:rsidRPr="0068057B" w:rsidRDefault="009679AC" w:rsidP="009679AC">
      <w:pPr>
        <w:pStyle w:val="FootnoteText"/>
        <w:rPr>
          <w:rFonts w:ascii="Arial" w:hAnsi="Arial" w:cs="Arial"/>
          <w:sz w:val="18"/>
          <w:szCs w:val="18"/>
        </w:rPr>
      </w:pPr>
      <w:r w:rsidRPr="0068057B">
        <w:rPr>
          <w:rStyle w:val="FootnoteReference"/>
          <w:rFonts w:ascii="Arial" w:hAnsi="Arial" w:cs="Arial"/>
          <w:sz w:val="18"/>
          <w:szCs w:val="18"/>
        </w:rPr>
        <w:footnoteRef/>
      </w:r>
      <w:r w:rsidRPr="0068057B">
        <w:rPr>
          <w:rFonts w:ascii="Arial" w:hAnsi="Arial" w:cs="Arial"/>
          <w:sz w:val="18"/>
          <w:szCs w:val="18"/>
        </w:rPr>
        <w:t xml:space="preserve"> Gustafsson-Wright, Gardiner and Putcha, </w:t>
      </w:r>
      <w:r w:rsidRPr="0068057B">
        <w:rPr>
          <w:rFonts w:ascii="Arial" w:hAnsi="Arial" w:cs="Arial"/>
          <w:i/>
          <w:iCs/>
          <w:sz w:val="18"/>
          <w:szCs w:val="18"/>
        </w:rPr>
        <w:t xml:space="preserve">The Potential and Limitations of Impact Bonds, </w:t>
      </w:r>
      <w:r w:rsidRPr="0068057B">
        <w:rPr>
          <w:rFonts w:ascii="Arial" w:hAnsi="Arial" w:cs="Arial"/>
          <w:sz w:val="18"/>
          <w:szCs w:val="18"/>
        </w:rPr>
        <w:t xml:space="preserve">pp. 55-129. </w:t>
      </w:r>
    </w:p>
  </w:footnote>
  <w:footnote w:id="36">
    <w:p w14:paraId="5CEA78C1" w14:textId="77777777" w:rsidR="009679AC" w:rsidRPr="0068057B" w:rsidRDefault="009679AC" w:rsidP="009679AC">
      <w:pPr>
        <w:rPr>
          <w:rFonts w:ascii="Arial" w:eastAsia="Calibri Light" w:hAnsi="Arial" w:cs="Arial"/>
          <w:sz w:val="18"/>
          <w:szCs w:val="18"/>
        </w:rPr>
      </w:pPr>
      <w:r w:rsidRPr="0068057B">
        <w:rPr>
          <w:rStyle w:val="FootnoteReference"/>
          <w:rFonts w:ascii="Arial" w:hAnsi="Arial" w:cs="Arial"/>
          <w:sz w:val="18"/>
          <w:szCs w:val="18"/>
        </w:rPr>
        <w:footnoteRef/>
      </w:r>
      <w:r w:rsidRPr="0068057B">
        <w:rPr>
          <w:rFonts w:ascii="Arial" w:hAnsi="Arial" w:cs="Arial"/>
          <w:sz w:val="18"/>
          <w:szCs w:val="18"/>
        </w:rPr>
        <w:t xml:space="preserve"> </w:t>
      </w:r>
      <w:r w:rsidRPr="0068057B">
        <w:rPr>
          <w:rFonts w:ascii="Arial" w:eastAsia="Calibri Light" w:hAnsi="Arial" w:cs="Arial"/>
          <w:i/>
          <w:iCs/>
          <w:sz w:val="18"/>
          <w:szCs w:val="18"/>
        </w:rPr>
        <w:t>Lieb</w:t>
      </w:r>
      <w:r>
        <w:rPr>
          <w:rFonts w:ascii="Arial" w:eastAsia="Calibri Light" w:hAnsi="Arial" w:cs="Arial"/>
          <w:i/>
          <w:iCs/>
          <w:sz w:val="18"/>
          <w:szCs w:val="18"/>
        </w:rPr>
        <w:t>m</w:t>
      </w:r>
      <w:r w:rsidRPr="0068057B">
        <w:rPr>
          <w:rFonts w:ascii="Arial" w:eastAsia="Calibri Light" w:hAnsi="Arial" w:cs="Arial"/>
          <w:i/>
          <w:iCs/>
          <w:sz w:val="18"/>
          <w:szCs w:val="18"/>
        </w:rPr>
        <w:t>an, Social Impact Bonds</w:t>
      </w:r>
      <w:r w:rsidRPr="0068057B">
        <w:rPr>
          <w:rFonts w:ascii="Arial" w:eastAsia="Calibri Light" w:hAnsi="Arial" w:cs="Arial"/>
          <w:sz w:val="18"/>
          <w:szCs w:val="18"/>
        </w:rPr>
        <w:t>, pp. 1-4, 22, 43.</w:t>
      </w:r>
    </w:p>
  </w:footnote>
  <w:footnote w:id="37">
    <w:p w14:paraId="2A276FDD" w14:textId="77777777" w:rsidR="009679AC" w:rsidRPr="0068057B" w:rsidRDefault="009679AC" w:rsidP="009679AC">
      <w:pPr>
        <w:pStyle w:val="FootnoteText"/>
        <w:rPr>
          <w:rFonts w:ascii="Arial" w:hAnsi="Arial" w:cs="Arial"/>
          <w:sz w:val="18"/>
          <w:szCs w:val="18"/>
        </w:rPr>
      </w:pPr>
      <w:r w:rsidRPr="0068057B">
        <w:rPr>
          <w:rStyle w:val="FootnoteReference"/>
          <w:rFonts w:ascii="Arial" w:hAnsi="Arial" w:cs="Arial"/>
          <w:sz w:val="18"/>
          <w:szCs w:val="18"/>
        </w:rPr>
        <w:footnoteRef/>
      </w:r>
      <w:r w:rsidRPr="0068057B">
        <w:rPr>
          <w:rFonts w:ascii="Arial" w:hAnsi="Arial" w:cs="Arial"/>
          <w:sz w:val="18"/>
          <w:szCs w:val="18"/>
        </w:rPr>
        <w:t xml:space="preserve"> “About Us,” Office of Social Impact Investment, NSW Government, </w:t>
      </w:r>
      <w:hyperlink r:id="rId11" w:history="1">
        <w:r w:rsidRPr="0068057B">
          <w:rPr>
            <w:rStyle w:val="Hyperlink"/>
            <w:rFonts w:ascii="Arial" w:hAnsi="Arial" w:cs="Arial"/>
            <w:sz w:val="18"/>
            <w:szCs w:val="18"/>
          </w:rPr>
          <w:t>https://www.osii.nsw.gov.au/about-us/about-us-2/</w:t>
        </w:r>
      </w:hyperlink>
      <w:r w:rsidRPr="0068057B">
        <w:rPr>
          <w:rFonts w:ascii="Arial" w:hAnsi="Arial" w:cs="Arial"/>
          <w:sz w:val="18"/>
          <w:szCs w:val="18"/>
        </w:rPr>
        <w:t xml:space="preserve">.  </w:t>
      </w:r>
    </w:p>
  </w:footnote>
  <w:footnote w:id="38">
    <w:p w14:paraId="45FB2C67" w14:textId="77777777" w:rsidR="009679AC" w:rsidRPr="0068057B" w:rsidRDefault="009679AC" w:rsidP="009679AC">
      <w:pPr>
        <w:pStyle w:val="FootnoteText"/>
        <w:rPr>
          <w:rFonts w:ascii="Arial" w:hAnsi="Arial" w:cs="Arial"/>
          <w:sz w:val="18"/>
          <w:szCs w:val="18"/>
        </w:rPr>
      </w:pPr>
      <w:r w:rsidRPr="0068057B">
        <w:rPr>
          <w:rStyle w:val="FootnoteReference"/>
          <w:rFonts w:ascii="Arial" w:hAnsi="Arial" w:cs="Arial"/>
          <w:sz w:val="18"/>
          <w:szCs w:val="18"/>
        </w:rPr>
        <w:footnoteRef/>
      </w:r>
      <w:r w:rsidRPr="0068057B">
        <w:rPr>
          <w:rFonts w:ascii="Arial" w:hAnsi="Arial" w:cs="Arial"/>
          <w:sz w:val="18"/>
          <w:szCs w:val="18"/>
        </w:rPr>
        <w:t xml:space="preserve"> “Technical Guide for Outcomes Measurement,” Office of Social Impact Investment, NSW Government, </w:t>
      </w:r>
      <w:hyperlink r:id="rId12">
        <w:r w:rsidRPr="0068057B">
          <w:rPr>
            <w:rStyle w:val="Hyperlink"/>
            <w:rFonts w:ascii="Arial" w:hAnsi="Arial" w:cs="Arial"/>
            <w:sz w:val="18"/>
            <w:szCs w:val="18"/>
          </w:rPr>
          <w:t>https://www.osii.nsw.gov.au/tools-and-resources/technical-guide/</w:t>
        </w:r>
      </w:hyperlink>
      <w:r w:rsidRPr="0068057B">
        <w:rPr>
          <w:rFonts w:ascii="Arial" w:hAnsi="Arial" w:cs="Arial"/>
          <w:sz w:val="18"/>
          <w:szCs w:val="18"/>
        </w:rPr>
        <w:t xml:space="preserve">.  </w:t>
      </w:r>
    </w:p>
  </w:footnote>
  <w:footnote w:id="39">
    <w:p w14:paraId="4FE35152" w14:textId="77777777" w:rsidR="009679AC" w:rsidRPr="0068057B" w:rsidRDefault="009679AC" w:rsidP="009679AC">
      <w:pPr>
        <w:rPr>
          <w:rFonts w:ascii="Arial" w:eastAsia="Calibri Light" w:hAnsi="Arial" w:cs="Arial"/>
          <w:sz w:val="18"/>
          <w:szCs w:val="18"/>
        </w:rPr>
      </w:pPr>
      <w:r w:rsidRPr="0068057B">
        <w:rPr>
          <w:rStyle w:val="FootnoteReference"/>
          <w:rFonts w:ascii="Arial" w:hAnsi="Arial" w:cs="Arial"/>
          <w:sz w:val="18"/>
          <w:szCs w:val="18"/>
        </w:rPr>
        <w:footnoteRef/>
      </w:r>
      <w:r w:rsidRPr="0068057B">
        <w:rPr>
          <w:rFonts w:ascii="Arial" w:hAnsi="Arial" w:cs="Arial"/>
          <w:sz w:val="18"/>
          <w:szCs w:val="18"/>
        </w:rPr>
        <w:t xml:space="preserve"> </w:t>
      </w:r>
      <w:r w:rsidRPr="0068057B">
        <w:rPr>
          <w:rFonts w:ascii="Arial" w:eastAsia="Calibri Light" w:hAnsi="Arial" w:cs="Arial"/>
          <w:sz w:val="18"/>
          <w:szCs w:val="18"/>
        </w:rPr>
        <w:t xml:space="preserve">“NSW Social Impact Investment Policy: Statement of Progress 2015”; “OSII Releases 2016 Statement of Progress”; “NSW Social Impact Investment: Statement of Progress 2018”; Lonsdale, Schweppenstedde, van Stolk, Guerin, and Hafner, </w:t>
      </w:r>
      <w:r w:rsidRPr="0068057B">
        <w:rPr>
          <w:rFonts w:ascii="Arial" w:eastAsia="Calibri Light" w:hAnsi="Arial" w:cs="Arial"/>
          <w:i/>
          <w:iCs/>
          <w:sz w:val="18"/>
          <w:szCs w:val="18"/>
        </w:rPr>
        <w:t>One Place, One Budget</w:t>
      </w:r>
      <w:r w:rsidRPr="0068057B">
        <w:rPr>
          <w:rFonts w:ascii="Arial" w:eastAsia="Calibri Light" w:hAnsi="Arial" w:cs="Arial"/>
          <w:sz w:val="18"/>
          <w:szCs w:val="18"/>
        </w:rPr>
        <w:t xml:space="preserve">, pp. </w:t>
      </w:r>
      <w:r w:rsidRPr="0068057B">
        <w:rPr>
          <w:rFonts w:ascii="Arial" w:hAnsi="Arial" w:cs="Arial"/>
          <w:sz w:val="18"/>
          <w:szCs w:val="18"/>
        </w:rPr>
        <w:t xml:space="preserve">17-18. </w:t>
      </w:r>
    </w:p>
  </w:footnote>
  <w:footnote w:id="40">
    <w:p w14:paraId="5EB391D3" w14:textId="77777777" w:rsidR="009679AC" w:rsidRPr="0068057B" w:rsidRDefault="009679AC" w:rsidP="009679AC">
      <w:pPr>
        <w:pStyle w:val="FootnoteText"/>
        <w:rPr>
          <w:rFonts w:ascii="Arial" w:eastAsia="Calibri Light" w:hAnsi="Arial" w:cs="Arial"/>
          <w:sz w:val="18"/>
          <w:szCs w:val="18"/>
        </w:rPr>
      </w:pPr>
      <w:r w:rsidRPr="0068057B">
        <w:rPr>
          <w:rStyle w:val="FootnoteReference"/>
          <w:rFonts w:ascii="Arial" w:hAnsi="Arial" w:cs="Arial"/>
          <w:sz w:val="18"/>
          <w:szCs w:val="18"/>
        </w:rPr>
        <w:footnoteRef/>
      </w:r>
      <w:r w:rsidRPr="0068057B">
        <w:rPr>
          <w:rFonts w:ascii="Arial" w:hAnsi="Arial" w:cs="Arial"/>
          <w:sz w:val="18"/>
          <w:szCs w:val="18"/>
        </w:rPr>
        <w:t xml:space="preserve"> </w:t>
      </w:r>
      <w:r w:rsidRPr="0068057B">
        <w:rPr>
          <w:rFonts w:ascii="Arial" w:eastAsia="Calibri Light" w:hAnsi="Arial" w:cs="Arial"/>
          <w:sz w:val="18"/>
          <w:szCs w:val="18"/>
        </w:rPr>
        <w:t xml:space="preserve">Allen </w:t>
      </w:r>
      <w:r w:rsidRPr="0068057B">
        <w:rPr>
          <w:rFonts w:ascii="Arial" w:hAnsi="Arial" w:cs="Arial"/>
          <w:sz w:val="18"/>
          <w:szCs w:val="18"/>
          <w:shd w:val="clear" w:color="auto" w:fill="FFFFFF"/>
        </w:rPr>
        <w:t>Schick, "The Changing Role of the Central Budget Office," </w:t>
      </w:r>
      <w:r w:rsidRPr="0068057B">
        <w:rPr>
          <w:rFonts w:ascii="Arial" w:hAnsi="Arial" w:cs="Arial"/>
          <w:i/>
          <w:iCs/>
          <w:sz w:val="18"/>
          <w:szCs w:val="18"/>
          <w:shd w:val="clear" w:color="auto" w:fill="FFFFFF"/>
        </w:rPr>
        <w:t>OECD Journal on Budgeting</w:t>
      </w:r>
      <w:r w:rsidRPr="0068057B">
        <w:rPr>
          <w:rFonts w:ascii="Arial" w:hAnsi="Arial" w:cs="Arial"/>
          <w:sz w:val="18"/>
          <w:szCs w:val="18"/>
          <w:shd w:val="clear" w:color="auto" w:fill="FFFFFF"/>
        </w:rPr>
        <w:t xml:space="preserve"> 1, vol. 1 (2001): p. 9, </w:t>
      </w:r>
      <w:hyperlink r:id="rId13" w:history="1">
        <w:r w:rsidRPr="0068057B">
          <w:rPr>
            <w:rStyle w:val="Hyperlink"/>
            <w:rFonts w:ascii="Arial" w:hAnsi="Arial" w:cs="Arial"/>
            <w:sz w:val="18"/>
            <w:szCs w:val="18"/>
            <w:shd w:val="clear" w:color="auto" w:fill="FFFFFF"/>
          </w:rPr>
          <w:t>https://doi.org/10.1787/budget-v1-art3-en</w:t>
        </w:r>
      </w:hyperlink>
      <w:r w:rsidRPr="0068057B">
        <w:rPr>
          <w:rFonts w:ascii="Arial" w:hAnsi="Arial" w:cs="Arial"/>
          <w:sz w:val="18"/>
          <w:szCs w:val="18"/>
          <w:shd w:val="clear" w:color="auto" w:fill="FFFFFF"/>
        </w:rPr>
        <w:t xml:space="preserve">. </w:t>
      </w:r>
    </w:p>
  </w:footnote>
  <w:footnote w:id="41">
    <w:p w14:paraId="29EE4018" w14:textId="77777777" w:rsidR="009679AC" w:rsidRPr="0068057B" w:rsidRDefault="009679AC" w:rsidP="009679AC">
      <w:pPr>
        <w:pStyle w:val="FootnoteText"/>
        <w:rPr>
          <w:rFonts w:ascii="Arial" w:eastAsia="Calibri Light" w:hAnsi="Arial" w:cs="Arial"/>
          <w:b/>
          <w:bCs/>
          <w:sz w:val="18"/>
          <w:szCs w:val="18"/>
        </w:rPr>
      </w:pPr>
      <w:r w:rsidRPr="0068057B">
        <w:rPr>
          <w:rStyle w:val="FootnoteReference"/>
          <w:rFonts w:ascii="Arial" w:hAnsi="Arial" w:cs="Arial"/>
          <w:sz w:val="18"/>
          <w:szCs w:val="18"/>
        </w:rPr>
        <w:footnoteRef/>
      </w:r>
      <w:r w:rsidRPr="0068057B">
        <w:rPr>
          <w:rFonts w:ascii="Arial" w:hAnsi="Arial" w:cs="Arial"/>
          <w:sz w:val="18"/>
          <w:szCs w:val="18"/>
        </w:rPr>
        <w:t xml:space="preserve"> Peter </w:t>
      </w:r>
      <w:r w:rsidRPr="0068057B">
        <w:rPr>
          <w:rFonts w:ascii="Arial" w:eastAsia="Calibri Light" w:hAnsi="Arial" w:cs="Arial"/>
          <w:sz w:val="18"/>
          <w:szCs w:val="18"/>
        </w:rPr>
        <w:t xml:space="preserve">Wilkins, John Phillimore and David Gilchrist, </w:t>
      </w:r>
      <w:r>
        <w:rPr>
          <w:rFonts w:ascii="Arial" w:eastAsia="Calibri Light" w:hAnsi="Arial" w:cs="Arial"/>
          <w:i/>
          <w:iCs/>
          <w:sz w:val="18"/>
          <w:szCs w:val="18"/>
        </w:rPr>
        <w:t>Working T</w:t>
      </w:r>
      <w:r w:rsidRPr="0068057B">
        <w:rPr>
          <w:rFonts w:ascii="Arial" w:eastAsia="Calibri Light" w:hAnsi="Arial" w:cs="Arial"/>
          <w:i/>
          <w:iCs/>
          <w:sz w:val="18"/>
          <w:szCs w:val="18"/>
        </w:rPr>
        <w:t>ogether: Evidence on Collaboration from the Reports of Independent Watchdogs</w:t>
      </w:r>
      <w:r w:rsidRPr="0068057B">
        <w:rPr>
          <w:rFonts w:ascii="Arial" w:eastAsia="Calibri Light" w:hAnsi="Arial" w:cs="Arial"/>
          <w:sz w:val="18"/>
          <w:szCs w:val="18"/>
        </w:rPr>
        <w:t xml:space="preserve">, Australia and New Zealand School of Government, 2015; Robyn Keast, “Joined-up Governance in Australia: How the Past can Inform the Future,” </w:t>
      </w:r>
      <w:r w:rsidRPr="0068057B">
        <w:rPr>
          <w:rFonts w:ascii="Arial" w:eastAsia="Calibri Light" w:hAnsi="Arial" w:cs="Arial"/>
          <w:i/>
          <w:iCs/>
          <w:sz w:val="18"/>
          <w:szCs w:val="18"/>
        </w:rPr>
        <w:t>International Journal of Public Administration</w:t>
      </w:r>
      <w:r w:rsidRPr="0068057B">
        <w:rPr>
          <w:rFonts w:ascii="Arial" w:eastAsia="Calibri Light" w:hAnsi="Arial" w:cs="Arial"/>
          <w:sz w:val="18"/>
          <w:szCs w:val="18"/>
        </w:rPr>
        <w:t xml:space="preserve"> 34, vol. 4 (2011): pp.</w:t>
      </w:r>
      <w:r>
        <w:rPr>
          <w:rFonts w:ascii="Arial" w:eastAsia="Calibri Light" w:hAnsi="Arial" w:cs="Arial"/>
          <w:sz w:val="18"/>
          <w:szCs w:val="18"/>
        </w:rPr>
        <w:t xml:space="preserve"> 397-419, </w:t>
      </w:r>
      <w:hyperlink r:id="rId14" w:history="1">
        <w:r w:rsidRPr="00031949">
          <w:rPr>
            <w:rStyle w:val="Hyperlink"/>
            <w:rFonts w:ascii="Arial" w:eastAsia="Calibri Light" w:hAnsi="Arial" w:cs="Arial"/>
            <w:sz w:val="18"/>
            <w:szCs w:val="18"/>
          </w:rPr>
          <w:t>https://doi.org/10.1080/01900692.2010.549799</w:t>
        </w:r>
      </w:hyperlink>
      <w:r>
        <w:rPr>
          <w:rFonts w:ascii="Arial" w:eastAsia="Calibri Light" w:hAnsi="Arial" w:cs="Arial"/>
          <w:sz w:val="18"/>
          <w:szCs w:val="18"/>
        </w:rPr>
        <w:t xml:space="preserve">. </w:t>
      </w:r>
    </w:p>
  </w:footnote>
  <w:footnote w:id="42">
    <w:p w14:paraId="341D9689" w14:textId="77777777" w:rsidR="009679AC" w:rsidRPr="0068057B" w:rsidRDefault="009679AC" w:rsidP="009679AC">
      <w:pPr>
        <w:pStyle w:val="FootnoteText"/>
        <w:rPr>
          <w:rFonts w:ascii="Arial" w:hAnsi="Arial" w:cs="Arial"/>
          <w:sz w:val="18"/>
          <w:szCs w:val="18"/>
        </w:rPr>
      </w:pPr>
      <w:r w:rsidRPr="0068057B">
        <w:rPr>
          <w:rStyle w:val="FootnoteReference"/>
          <w:rFonts w:ascii="Arial" w:hAnsi="Arial" w:cs="Arial"/>
          <w:sz w:val="18"/>
          <w:szCs w:val="18"/>
        </w:rPr>
        <w:footnoteRef/>
      </w:r>
      <w:r w:rsidRPr="0068057B">
        <w:rPr>
          <w:rFonts w:ascii="Arial" w:hAnsi="Arial" w:cs="Arial"/>
          <w:sz w:val="18"/>
          <w:szCs w:val="18"/>
        </w:rPr>
        <w:t xml:space="preserve"> </w:t>
      </w:r>
      <w:r w:rsidRPr="0068057B">
        <w:rPr>
          <w:rFonts w:ascii="Arial" w:eastAsia="Calibri Light" w:hAnsi="Arial" w:cs="Arial"/>
          <w:sz w:val="18"/>
          <w:szCs w:val="18"/>
        </w:rPr>
        <w:t xml:space="preserve">Lonsdale, Schweppenstedde, van Stolk, Guerin, and Hafner, </w:t>
      </w:r>
      <w:r w:rsidRPr="0068057B">
        <w:rPr>
          <w:rFonts w:ascii="Arial" w:eastAsia="Calibri Light" w:hAnsi="Arial" w:cs="Arial"/>
          <w:i/>
          <w:iCs/>
          <w:sz w:val="18"/>
          <w:szCs w:val="18"/>
        </w:rPr>
        <w:t>One Place, One Budget</w:t>
      </w:r>
      <w:r w:rsidRPr="0068057B">
        <w:rPr>
          <w:rFonts w:ascii="Arial" w:eastAsia="Calibri Light" w:hAnsi="Arial" w:cs="Arial"/>
          <w:sz w:val="18"/>
          <w:szCs w:val="18"/>
        </w:rPr>
        <w:t xml:space="preserve">, pp. </w:t>
      </w:r>
      <w:r w:rsidRPr="0068057B">
        <w:rPr>
          <w:rFonts w:ascii="Arial" w:hAnsi="Arial" w:cs="Arial"/>
          <w:sz w:val="18"/>
          <w:szCs w:val="18"/>
        </w:rPr>
        <w:t>27-31</w:t>
      </w:r>
    </w:p>
  </w:footnote>
  <w:footnote w:id="43">
    <w:p w14:paraId="6E24D9FD" w14:textId="77777777" w:rsidR="009679AC" w:rsidRPr="0068057B" w:rsidRDefault="009679AC" w:rsidP="009679AC">
      <w:pPr>
        <w:pStyle w:val="FootnoteText"/>
        <w:rPr>
          <w:rFonts w:ascii="Arial" w:hAnsi="Arial" w:cs="Arial"/>
          <w:sz w:val="18"/>
          <w:szCs w:val="18"/>
        </w:rPr>
      </w:pPr>
      <w:r w:rsidRPr="0068057B">
        <w:rPr>
          <w:rStyle w:val="FootnoteReference"/>
          <w:rFonts w:ascii="Arial" w:hAnsi="Arial" w:cs="Arial"/>
          <w:sz w:val="18"/>
          <w:szCs w:val="18"/>
        </w:rPr>
        <w:footnoteRef/>
      </w:r>
      <w:r w:rsidRPr="0068057B">
        <w:rPr>
          <w:rFonts w:ascii="Arial" w:hAnsi="Arial" w:cs="Arial"/>
          <w:sz w:val="18"/>
          <w:szCs w:val="18"/>
        </w:rPr>
        <w:t xml:space="preserve"> Michael </w:t>
      </w:r>
      <w:r w:rsidRPr="0068057B">
        <w:rPr>
          <w:rStyle w:val="normaltextrun"/>
          <w:rFonts w:ascii="Arial" w:hAnsi="Arial" w:cs="Arial"/>
          <w:sz w:val="18"/>
          <w:szCs w:val="18"/>
          <w:shd w:val="clear" w:color="auto" w:fill="FFFFFF"/>
        </w:rPr>
        <w:t xml:space="preserve">Di Francesco and John Alford, “Balancing Budget Control and Flexibility: The Central Finance Agency as ‘Responsive Regulator’,” </w:t>
      </w:r>
      <w:r w:rsidRPr="0068057B">
        <w:rPr>
          <w:rStyle w:val="normaltextrun"/>
          <w:rFonts w:ascii="Arial" w:hAnsi="Arial" w:cs="Arial"/>
          <w:i/>
          <w:iCs/>
          <w:sz w:val="18"/>
          <w:szCs w:val="18"/>
          <w:shd w:val="clear" w:color="auto" w:fill="FFFFFF"/>
        </w:rPr>
        <w:t>Public Management Review</w:t>
      </w:r>
      <w:r w:rsidRPr="0068057B">
        <w:rPr>
          <w:rStyle w:val="normaltextrun"/>
          <w:rFonts w:ascii="Arial" w:hAnsi="Arial" w:cs="Arial"/>
          <w:sz w:val="18"/>
          <w:szCs w:val="18"/>
          <w:shd w:val="clear" w:color="auto" w:fill="FFFFFF"/>
        </w:rPr>
        <w:t xml:space="preserve"> </w:t>
      </w:r>
      <w:r>
        <w:rPr>
          <w:rStyle w:val="normaltextrun"/>
          <w:rFonts w:ascii="Arial" w:hAnsi="Arial" w:cs="Arial"/>
          <w:sz w:val="18"/>
          <w:szCs w:val="18"/>
          <w:shd w:val="clear" w:color="auto" w:fill="FFFFFF"/>
        </w:rPr>
        <w:t xml:space="preserve">19, vol. 7 </w:t>
      </w:r>
      <w:r w:rsidRPr="0068057B">
        <w:rPr>
          <w:rStyle w:val="normaltextrun"/>
          <w:rFonts w:ascii="Arial" w:hAnsi="Arial" w:cs="Arial"/>
          <w:sz w:val="18"/>
          <w:szCs w:val="18"/>
          <w:shd w:val="clear" w:color="auto" w:fill="FFFFFF"/>
        </w:rPr>
        <w:t xml:space="preserve">(2017): pp. 979, 983-4, </w:t>
      </w:r>
      <w:hyperlink r:id="rId15" w:history="1">
        <w:r w:rsidRPr="0068057B">
          <w:rPr>
            <w:rStyle w:val="Hyperlink"/>
            <w:rFonts w:ascii="Arial" w:hAnsi="Arial" w:cs="Arial"/>
            <w:sz w:val="18"/>
            <w:szCs w:val="18"/>
            <w:shd w:val="clear" w:color="auto" w:fill="FFFFFF"/>
          </w:rPr>
          <w:t>https://doi.org/10.1080/14719037.2016.1243812</w:t>
        </w:r>
      </w:hyperlink>
      <w:r w:rsidRPr="0068057B">
        <w:rPr>
          <w:rStyle w:val="normaltextrun"/>
          <w:rFonts w:ascii="Arial" w:hAnsi="Arial" w:cs="Arial"/>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9B43" w14:textId="4AAC2393" w:rsidR="002A1D47" w:rsidRDefault="002A1D47" w:rsidP="00430195">
    <w:pPr>
      <w:pStyle w:val="Header"/>
    </w:pPr>
    <w:r>
      <w:rPr>
        <w:noProof/>
        <w:lang w:eastAsia="en-AU"/>
      </w:rPr>
      <mc:AlternateContent>
        <mc:Choice Requires="wps">
          <w:drawing>
            <wp:anchor distT="0" distB="0" distL="114300" distR="114300" simplePos="0" relativeHeight="251657216" behindDoc="0" locked="1" layoutInCell="1" allowOverlap="1" wp14:anchorId="55C52431" wp14:editId="070A5740">
              <wp:simplePos x="0" y="0"/>
              <wp:positionH relativeFrom="page">
                <wp:posOffset>-36195</wp:posOffset>
              </wp:positionH>
              <wp:positionV relativeFrom="page">
                <wp:align>top</wp:align>
              </wp:positionV>
              <wp:extent cx="540000" cy="1083600"/>
              <wp:effectExtent l="0" t="0" r="0" b="2540"/>
              <wp:wrapNone/>
              <wp:docPr id="268" name="Rectangle 268"/>
              <wp:cNvGraphicFramePr/>
              <a:graphic xmlns:a="http://schemas.openxmlformats.org/drawingml/2006/main">
                <a:graphicData uri="http://schemas.microsoft.com/office/word/2010/wordprocessingShape">
                  <wps:wsp>
                    <wps:cNvSpPr/>
                    <wps:spPr>
                      <a:xfrm>
                        <a:off x="0" y="0"/>
                        <a:ext cx="540000" cy="1083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a="http://schemas.openxmlformats.org/drawingml/2006/main">
          <w:pict>
            <v:rect id="Rectangle 268" style="position:absolute;margin-left:-2.85pt;margin-top:0;width:42.5pt;height:85.3pt;z-index:25165772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spid="_x0000_s1026" fillcolor="white [3212]" stroked="f" strokeweight="1pt" w14:anchorId="6EA6A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">
              <w10:wrap anchorx="page" anchory="page"/>
              <w10:anchorlock/>
            </v:rect>
          </w:pict>
        </mc:Fallback>
      </mc:AlternateContent>
    </w:r>
    <w:r w:rsidRPr="00593BEE">
      <w:rPr>
        <w:noProof/>
        <w:lang w:eastAsia="en-AU"/>
      </w:rPr>
      <mc:AlternateContent>
        <mc:Choice Requires="wpg">
          <w:drawing>
            <wp:anchor distT="0" distB="0" distL="114300" distR="114300" simplePos="0" relativeHeight="251656192" behindDoc="1" locked="1" layoutInCell="1" allowOverlap="1" wp14:anchorId="32C1F7DC" wp14:editId="056F2A9B">
              <wp:simplePos x="0" y="0"/>
              <wp:positionH relativeFrom="margin">
                <wp:posOffset>-12613640</wp:posOffset>
              </wp:positionH>
              <wp:positionV relativeFrom="page">
                <wp:posOffset>281940</wp:posOffset>
              </wp:positionV>
              <wp:extent cx="18777585" cy="421005"/>
              <wp:effectExtent l="19050" t="0" r="24765" b="36195"/>
              <wp:wrapNone/>
              <wp:docPr id="30" name="Group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777585" cy="421005"/>
                        <a:chOff x="0" y="0"/>
                        <a:chExt cx="17694746" cy="396875"/>
                      </a:xfrm>
                    </wpg:grpSpPr>
                    <wps:wsp>
                      <wps:cNvPr id="31" name="Line 5"/>
                      <wps:cNvCnPr/>
                      <wps:spPr bwMode="auto">
                        <a:xfrm flipH="1">
                          <a:off x="0" y="396875"/>
                          <a:ext cx="17694745" cy="0"/>
                        </a:xfrm>
                        <a:prstGeom prst="line">
                          <a:avLst/>
                        </a:prstGeom>
                        <a:noFill/>
                        <a:ln w="508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1" name="Freeform 6"/>
                      <wps:cNvSpPr>
                        <a:spLocks/>
                      </wps:cNvSpPr>
                      <wps:spPr bwMode="auto">
                        <a:xfrm>
                          <a:off x="16783521" y="4763"/>
                          <a:ext cx="136525" cy="177800"/>
                        </a:xfrm>
                        <a:custGeom>
                          <a:avLst/>
                          <a:gdLst>
                            <a:gd name="T0" fmla="*/ 83 w 430"/>
                            <a:gd name="T1" fmla="*/ 527 h 564"/>
                            <a:gd name="T2" fmla="*/ 42 w 430"/>
                            <a:gd name="T3" fmla="*/ 564 h 564"/>
                            <a:gd name="T4" fmla="*/ 0 w 430"/>
                            <a:gd name="T5" fmla="*/ 527 h 564"/>
                            <a:gd name="T6" fmla="*/ 0 w 430"/>
                            <a:gd name="T7" fmla="*/ 51 h 564"/>
                            <a:gd name="T8" fmla="*/ 57 w 430"/>
                            <a:gd name="T9" fmla="*/ 0 h 564"/>
                            <a:gd name="T10" fmla="*/ 132 w 430"/>
                            <a:gd name="T11" fmla="*/ 46 h 564"/>
                            <a:gd name="T12" fmla="*/ 346 w 430"/>
                            <a:gd name="T13" fmla="*/ 429 h 564"/>
                            <a:gd name="T14" fmla="*/ 346 w 430"/>
                            <a:gd name="T15" fmla="*/ 38 h 564"/>
                            <a:gd name="T16" fmla="*/ 389 w 430"/>
                            <a:gd name="T17" fmla="*/ 0 h 564"/>
                            <a:gd name="T18" fmla="*/ 430 w 430"/>
                            <a:gd name="T19" fmla="*/ 38 h 564"/>
                            <a:gd name="T20" fmla="*/ 430 w 430"/>
                            <a:gd name="T21" fmla="*/ 514 h 564"/>
                            <a:gd name="T22" fmla="*/ 378 w 430"/>
                            <a:gd name="T23" fmla="*/ 564 h 564"/>
                            <a:gd name="T24" fmla="*/ 308 w 430"/>
                            <a:gd name="T25" fmla="*/ 517 h 564"/>
                            <a:gd name="T26" fmla="*/ 83 w 430"/>
                            <a:gd name="T27" fmla="*/ 126 h 564"/>
                            <a:gd name="T28" fmla="*/ 83 w 430"/>
                            <a:gd name="T29" fmla="*/ 527 h 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30" h="564">
                              <a:moveTo>
                                <a:pt x="83" y="527"/>
                              </a:moveTo>
                              <a:cubicBezTo>
                                <a:pt x="83" y="551"/>
                                <a:pt x="70" y="564"/>
                                <a:pt x="42" y="564"/>
                              </a:cubicBezTo>
                              <a:cubicBezTo>
                                <a:pt x="14" y="564"/>
                                <a:pt x="0" y="551"/>
                                <a:pt x="0" y="527"/>
                              </a:cubicBezTo>
                              <a:cubicBezTo>
                                <a:pt x="0" y="51"/>
                                <a:pt x="0" y="51"/>
                                <a:pt x="0" y="51"/>
                              </a:cubicBezTo>
                              <a:cubicBezTo>
                                <a:pt x="0" y="17"/>
                                <a:pt x="20" y="0"/>
                                <a:pt x="57" y="0"/>
                              </a:cubicBezTo>
                              <a:cubicBezTo>
                                <a:pt x="99" y="0"/>
                                <a:pt x="118" y="20"/>
                                <a:pt x="132" y="46"/>
                              </a:cubicBezTo>
                              <a:cubicBezTo>
                                <a:pt x="346" y="429"/>
                                <a:pt x="346" y="429"/>
                                <a:pt x="346" y="429"/>
                              </a:cubicBezTo>
                              <a:cubicBezTo>
                                <a:pt x="346" y="38"/>
                                <a:pt x="346" y="38"/>
                                <a:pt x="346" y="38"/>
                              </a:cubicBezTo>
                              <a:cubicBezTo>
                                <a:pt x="346" y="13"/>
                                <a:pt x="361" y="0"/>
                                <a:pt x="389" y="0"/>
                              </a:cubicBezTo>
                              <a:cubicBezTo>
                                <a:pt x="417" y="0"/>
                                <a:pt x="430" y="13"/>
                                <a:pt x="430" y="38"/>
                              </a:cubicBezTo>
                              <a:cubicBezTo>
                                <a:pt x="430" y="514"/>
                                <a:pt x="430" y="514"/>
                                <a:pt x="430" y="514"/>
                              </a:cubicBezTo>
                              <a:cubicBezTo>
                                <a:pt x="430" y="548"/>
                                <a:pt x="412" y="564"/>
                                <a:pt x="378" y="564"/>
                              </a:cubicBezTo>
                              <a:cubicBezTo>
                                <a:pt x="342" y="564"/>
                                <a:pt x="323" y="546"/>
                                <a:pt x="308" y="517"/>
                              </a:cubicBezTo>
                              <a:cubicBezTo>
                                <a:pt x="83" y="126"/>
                                <a:pt x="83" y="126"/>
                                <a:pt x="83" y="126"/>
                              </a:cubicBezTo>
                              <a:lnTo>
                                <a:pt x="83" y="5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2" name="Freeform 7"/>
                      <wps:cNvSpPr>
                        <a:spLocks/>
                      </wps:cNvSpPr>
                      <wps:spPr bwMode="auto">
                        <a:xfrm>
                          <a:off x="16983546" y="6350"/>
                          <a:ext cx="117475" cy="176213"/>
                        </a:xfrm>
                        <a:custGeom>
                          <a:avLst/>
                          <a:gdLst>
                            <a:gd name="T0" fmla="*/ 333 w 368"/>
                            <a:gd name="T1" fmla="*/ 472 h 555"/>
                            <a:gd name="T2" fmla="*/ 368 w 368"/>
                            <a:gd name="T3" fmla="*/ 513 h 555"/>
                            <a:gd name="T4" fmla="*/ 333 w 368"/>
                            <a:gd name="T5" fmla="*/ 555 h 555"/>
                            <a:gd name="T6" fmla="*/ 40 w 368"/>
                            <a:gd name="T7" fmla="*/ 555 h 555"/>
                            <a:gd name="T8" fmla="*/ 0 w 368"/>
                            <a:gd name="T9" fmla="*/ 517 h 555"/>
                            <a:gd name="T10" fmla="*/ 23 w 368"/>
                            <a:gd name="T11" fmla="*/ 455 h 555"/>
                            <a:gd name="T12" fmla="*/ 255 w 368"/>
                            <a:gd name="T13" fmla="*/ 83 h 555"/>
                            <a:gd name="T14" fmla="*/ 39 w 368"/>
                            <a:gd name="T15" fmla="*/ 83 h 555"/>
                            <a:gd name="T16" fmla="*/ 4 w 368"/>
                            <a:gd name="T17" fmla="*/ 41 h 555"/>
                            <a:gd name="T18" fmla="*/ 39 w 368"/>
                            <a:gd name="T19" fmla="*/ 0 h 555"/>
                            <a:gd name="T20" fmla="*/ 322 w 368"/>
                            <a:gd name="T21" fmla="*/ 0 h 555"/>
                            <a:gd name="T22" fmla="*/ 362 w 368"/>
                            <a:gd name="T23" fmla="*/ 38 h 555"/>
                            <a:gd name="T24" fmla="*/ 339 w 368"/>
                            <a:gd name="T25" fmla="*/ 100 h 555"/>
                            <a:gd name="T26" fmla="*/ 106 w 368"/>
                            <a:gd name="T27" fmla="*/ 472 h 555"/>
                            <a:gd name="T28" fmla="*/ 333 w 368"/>
                            <a:gd name="T29" fmla="*/ 472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555">
                              <a:moveTo>
                                <a:pt x="333" y="472"/>
                              </a:moveTo>
                              <a:cubicBezTo>
                                <a:pt x="356" y="472"/>
                                <a:pt x="368" y="486"/>
                                <a:pt x="368" y="513"/>
                              </a:cubicBezTo>
                              <a:cubicBezTo>
                                <a:pt x="368" y="542"/>
                                <a:pt x="356" y="555"/>
                                <a:pt x="333" y="555"/>
                              </a:cubicBezTo>
                              <a:cubicBezTo>
                                <a:pt x="40" y="555"/>
                                <a:pt x="40" y="555"/>
                                <a:pt x="40" y="555"/>
                              </a:cubicBezTo>
                              <a:cubicBezTo>
                                <a:pt x="13" y="555"/>
                                <a:pt x="0" y="542"/>
                                <a:pt x="0" y="517"/>
                              </a:cubicBezTo>
                              <a:cubicBezTo>
                                <a:pt x="0" y="494"/>
                                <a:pt x="10" y="477"/>
                                <a:pt x="23" y="455"/>
                              </a:cubicBezTo>
                              <a:cubicBezTo>
                                <a:pt x="255" y="83"/>
                                <a:pt x="255" y="83"/>
                                <a:pt x="255" y="83"/>
                              </a:cubicBezTo>
                              <a:cubicBezTo>
                                <a:pt x="39" y="83"/>
                                <a:pt x="39" y="83"/>
                                <a:pt x="39" y="83"/>
                              </a:cubicBezTo>
                              <a:cubicBezTo>
                                <a:pt x="16" y="83"/>
                                <a:pt x="4" y="69"/>
                                <a:pt x="4" y="41"/>
                              </a:cubicBezTo>
                              <a:cubicBezTo>
                                <a:pt x="4" y="13"/>
                                <a:pt x="16" y="0"/>
                                <a:pt x="39" y="0"/>
                              </a:cubicBezTo>
                              <a:cubicBezTo>
                                <a:pt x="322" y="0"/>
                                <a:pt x="322" y="0"/>
                                <a:pt x="322" y="0"/>
                              </a:cubicBezTo>
                              <a:cubicBezTo>
                                <a:pt x="349" y="0"/>
                                <a:pt x="362" y="13"/>
                                <a:pt x="362" y="38"/>
                              </a:cubicBezTo>
                              <a:cubicBezTo>
                                <a:pt x="362" y="61"/>
                                <a:pt x="352" y="78"/>
                                <a:pt x="339" y="100"/>
                              </a:cubicBezTo>
                              <a:cubicBezTo>
                                <a:pt x="106" y="472"/>
                                <a:pt x="106" y="472"/>
                                <a:pt x="106" y="472"/>
                              </a:cubicBezTo>
                              <a:lnTo>
                                <a:pt x="333" y="4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3" name="Freeform 8"/>
                      <wps:cNvSpPr>
                        <a:spLocks/>
                      </wps:cNvSpPr>
                      <wps:spPr bwMode="auto">
                        <a:xfrm>
                          <a:off x="17162934" y="1588"/>
                          <a:ext cx="109538" cy="180975"/>
                        </a:xfrm>
                        <a:custGeom>
                          <a:avLst/>
                          <a:gdLst>
                            <a:gd name="T0" fmla="*/ 8 w 345"/>
                            <a:gd name="T1" fmla="*/ 154 h 574"/>
                            <a:gd name="T2" fmla="*/ 181 w 345"/>
                            <a:gd name="T3" fmla="*/ 0 h 574"/>
                            <a:gd name="T4" fmla="*/ 306 w 345"/>
                            <a:gd name="T5" fmla="*/ 37 h 574"/>
                            <a:gd name="T6" fmla="*/ 334 w 345"/>
                            <a:gd name="T7" fmla="*/ 76 h 574"/>
                            <a:gd name="T8" fmla="*/ 298 w 345"/>
                            <a:gd name="T9" fmla="*/ 123 h 574"/>
                            <a:gd name="T10" fmla="*/ 266 w 345"/>
                            <a:gd name="T11" fmla="*/ 109 h 574"/>
                            <a:gd name="T12" fmla="*/ 181 w 345"/>
                            <a:gd name="T13" fmla="*/ 81 h 574"/>
                            <a:gd name="T14" fmla="*/ 95 w 345"/>
                            <a:gd name="T15" fmla="*/ 149 h 574"/>
                            <a:gd name="T16" fmla="*/ 345 w 345"/>
                            <a:gd name="T17" fmla="*/ 411 h 574"/>
                            <a:gd name="T18" fmla="*/ 165 w 345"/>
                            <a:gd name="T19" fmla="*/ 574 h 574"/>
                            <a:gd name="T20" fmla="*/ 29 w 345"/>
                            <a:gd name="T21" fmla="*/ 532 h 574"/>
                            <a:gd name="T22" fmla="*/ 0 w 345"/>
                            <a:gd name="T23" fmla="*/ 489 h 574"/>
                            <a:gd name="T24" fmla="*/ 39 w 345"/>
                            <a:gd name="T25" fmla="*/ 442 h 574"/>
                            <a:gd name="T26" fmla="*/ 72 w 345"/>
                            <a:gd name="T27" fmla="*/ 459 h 574"/>
                            <a:gd name="T28" fmla="*/ 165 w 345"/>
                            <a:gd name="T29" fmla="*/ 493 h 574"/>
                            <a:gd name="T30" fmla="*/ 259 w 345"/>
                            <a:gd name="T31" fmla="*/ 416 h 574"/>
                            <a:gd name="T32" fmla="*/ 8 w 345"/>
                            <a:gd name="T33" fmla="*/ 154 h 5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45" h="574">
                              <a:moveTo>
                                <a:pt x="8" y="154"/>
                              </a:moveTo>
                              <a:cubicBezTo>
                                <a:pt x="8" y="61"/>
                                <a:pt x="78" y="0"/>
                                <a:pt x="181" y="0"/>
                              </a:cubicBezTo>
                              <a:cubicBezTo>
                                <a:pt x="222" y="0"/>
                                <a:pt x="266" y="9"/>
                                <a:pt x="306" y="37"/>
                              </a:cubicBezTo>
                              <a:cubicBezTo>
                                <a:pt x="326" y="50"/>
                                <a:pt x="334" y="61"/>
                                <a:pt x="334" y="76"/>
                              </a:cubicBezTo>
                              <a:cubicBezTo>
                                <a:pt x="334" y="97"/>
                                <a:pt x="318" y="123"/>
                                <a:pt x="298" y="123"/>
                              </a:cubicBezTo>
                              <a:cubicBezTo>
                                <a:pt x="290" y="123"/>
                                <a:pt x="282" y="118"/>
                                <a:pt x="266" y="109"/>
                              </a:cubicBezTo>
                              <a:cubicBezTo>
                                <a:pt x="238" y="92"/>
                                <a:pt x="212" y="81"/>
                                <a:pt x="181" y="81"/>
                              </a:cubicBezTo>
                              <a:cubicBezTo>
                                <a:pt x="126" y="81"/>
                                <a:pt x="95" y="110"/>
                                <a:pt x="95" y="149"/>
                              </a:cubicBezTo>
                              <a:cubicBezTo>
                                <a:pt x="95" y="251"/>
                                <a:pt x="345" y="229"/>
                                <a:pt x="345" y="411"/>
                              </a:cubicBezTo>
                              <a:cubicBezTo>
                                <a:pt x="345" y="514"/>
                                <a:pt x="267" y="574"/>
                                <a:pt x="165" y="574"/>
                              </a:cubicBezTo>
                              <a:cubicBezTo>
                                <a:pt x="110" y="574"/>
                                <a:pt x="60" y="556"/>
                                <a:pt x="29" y="532"/>
                              </a:cubicBezTo>
                              <a:cubicBezTo>
                                <a:pt x="11" y="517"/>
                                <a:pt x="0" y="504"/>
                                <a:pt x="0" y="489"/>
                              </a:cubicBezTo>
                              <a:cubicBezTo>
                                <a:pt x="0" y="467"/>
                                <a:pt x="19" y="442"/>
                                <a:pt x="39" y="442"/>
                              </a:cubicBezTo>
                              <a:cubicBezTo>
                                <a:pt x="48" y="442"/>
                                <a:pt x="56" y="448"/>
                                <a:pt x="72" y="459"/>
                              </a:cubicBezTo>
                              <a:cubicBezTo>
                                <a:pt x="99" y="478"/>
                                <a:pt x="127" y="493"/>
                                <a:pt x="165" y="493"/>
                              </a:cubicBezTo>
                              <a:cubicBezTo>
                                <a:pt x="220" y="493"/>
                                <a:pt x="259" y="463"/>
                                <a:pt x="259" y="416"/>
                              </a:cubicBezTo>
                              <a:cubicBezTo>
                                <a:pt x="259" y="302"/>
                                <a:pt x="8" y="327"/>
                                <a:pt x="8" y="15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5" name="Freeform 9"/>
                      <wps:cNvSpPr>
                        <a:spLocks noEditPoints="1"/>
                      </wps:cNvSpPr>
                      <wps:spPr bwMode="auto">
                        <a:xfrm>
                          <a:off x="17335971" y="0"/>
                          <a:ext cx="158750" cy="182563"/>
                        </a:xfrm>
                        <a:custGeom>
                          <a:avLst/>
                          <a:gdLst>
                            <a:gd name="T0" fmla="*/ 252 w 504"/>
                            <a:gd name="T1" fmla="*/ 495 h 576"/>
                            <a:gd name="T2" fmla="*/ 414 w 504"/>
                            <a:gd name="T3" fmla="*/ 288 h 576"/>
                            <a:gd name="T4" fmla="*/ 252 w 504"/>
                            <a:gd name="T5" fmla="*/ 81 h 576"/>
                            <a:gd name="T6" fmla="*/ 90 w 504"/>
                            <a:gd name="T7" fmla="*/ 288 h 576"/>
                            <a:gd name="T8" fmla="*/ 252 w 504"/>
                            <a:gd name="T9" fmla="*/ 495 h 576"/>
                            <a:gd name="T10" fmla="*/ 252 w 504"/>
                            <a:gd name="T11" fmla="*/ 0 h 576"/>
                            <a:gd name="T12" fmla="*/ 504 w 504"/>
                            <a:gd name="T13" fmla="*/ 288 h 576"/>
                            <a:gd name="T14" fmla="*/ 252 w 504"/>
                            <a:gd name="T15" fmla="*/ 576 h 576"/>
                            <a:gd name="T16" fmla="*/ 0 w 504"/>
                            <a:gd name="T17" fmla="*/ 288 h 576"/>
                            <a:gd name="T18" fmla="*/ 252 w 504"/>
                            <a:gd name="T19" fmla="*/ 0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4" h="576">
                              <a:moveTo>
                                <a:pt x="252" y="495"/>
                              </a:moveTo>
                              <a:cubicBezTo>
                                <a:pt x="349" y="495"/>
                                <a:pt x="414" y="416"/>
                                <a:pt x="414" y="288"/>
                              </a:cubicBezTo>
                              <a:cubicBezTo>
                                <a:pt x="414" y="160"/>
                                <a:pt x="349" y="81"/>
                                <a:pt x="252" y="81"/>
                              </a:cubicBezTo>
                              <a:cubicBezTo>
                                <a:pt x="155" y="81"/>
                                <a:pt x="90" y="160"/>
                                <a:pt x="90" y="288"/>
                              </a:cubicBezTo>
                              <a:cubicBezTo>
                                <a:pt x="90" y="416"/>
                                <a:pt x="155" y="495"/>
                                <a:pt x="252" y="495"/>
                              </a:cubicBezTo>
                              <a:moveTo>
                                <a:pt x="252" y="0"/>
                              </a:moveTo>
                              <a:cubicBezTo>
                                <a:pt x="404" y="0"/>
                                <a:pt x="504" y="112"/>
                                <a:pt x="504" y="288"/>
                              </a:cubicBezTo>
                              <a:cubicBezTo>
                                <a:pt x="504" y="464"/>
                                <a:pt x="404" y="576"/>
                                <a:pt x="252" y="576"/>
                              </a:cubicBezTo>
                              <a:cubicBezTo>
                                <a:pt x="100" y="576"/>
                                <a:pt x="0" y="464"/>
                                <a:pt x="0" y="288"/>
                              </a:cubicBezTo>
                              <a:cubicBezTo>
                                <a:pt x="0" y="112"/>
                                <a:pt x="100" y="0"/>
                                <a:pt x="252"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6" name="Freeform 10"/>
                      <wps:cNvSpPr>
                        <a:spLocks/>
                      </wps:cNvSpPr>
                      <wps:spPr bwMode="auto">
                        <a:xfrm>
                          <a:off x="17558221" y="1588"/>
                          <a:ext cx="136525" cy="180975"/>
                        </a:xfrm>
                        <a:custGeom>
                          <a:avLst/>
                          <a:gdLst>
                            <a:gd name="T0" fmla="*/ 270 w 431"/>
                            <a:gd name="T1" fmla="*/ 359 h 571"/>
                            <a:gd name="T2" fmla="*/ 235 w 431"/>
                            <a:gd name="T3" fmla="*/ 317 h 571"/>
                            <a:gd name="T4" fmla="*/ 270 w 431"/>
                            <a:gd name="T5" fmla="*/ 276 h 571"/>
                            <a:gd name="T6" fmla="*/ 387 w 431"/>
                            <a:gd name="T7" fmla="*/ 276 h 571"/>
                            <a:gd name="T8" fmla="*/ 431 w 431"/>
                            <a:gd name="T9" fmla="*/ 323 h 571"/>
                            <a:gd name="T10" fmla="*/ 431 w 431"/>
                            <a:gd name="T11" fmla="*/ 487 h 571"/>
                            <a:gd name="T12" fmla="*/ 391 w 431"/>
                            <a:gd name="T13" fmla="*/ 546 h 571"/>
                            <a:gd name="T14" fmla="*/ 259 w 431"/>
                            <a:gd name="T15" fmla="*/ 571 h 571"/>
                            <a:gd name="T16" fmla="*/ 0 w 431"/>
                            <a:gd name="T17" fmla="*/ 286 h 571"/>
                            <a:gd name="T18" fmla="*/ 256 w 431"/>
                            <a:gd name="T19" fmla="*/ 0 h 571"/>
                            <a:gd name="T20" fmla="*/ 389 w 431"/>
                            <a:gd name="T21" fmla="*/ 36 h 571"/>
                            <a:gd name="T22" fmla="*/ 427 w 431"/>
                            <a:gd name="T23" fmla="*/ 83 h 571"/>
                            <a:gd name="T24" fmla="*/ 388 w 431"/>
                            <a:gd name="T25" fmla="*/ 128 h 571"/>
                            <a:gd name="T26" fmla="*/ 350 w 431"/>
                            <a:gd name="T27" fmla="*/ 108 h 571"/>
                            <a:gd name="T28" fmla="*/ 256 w 431"/>
                            <a:gd name="T29" fmla="*/ 82 h 571"/>
                            <a:gd name="T30" fmla="*/ 90 w 431"/>
                            <a:gd name="T31" fmla="*/ 283 h 571"/>
                            <a:gd name="T32" fmla="*/ 262 w 431"/>
                            <a:gd name="T33" fmla="*/ 490 h 571"/>
                            <a:gd name="T34" fmla="*/ 345 w 431"/>
                            <a:gd name="T35" fmla="*/ 475 h 571"/>
                            <a:gd name="T36" fmla="*/ 345 w 431"/>
                            <a:gd name="T37" fmla="*/ 359 h 571"/>
                            <a:gd name="T38" fmla="*/ 270 w 431"/>
                            <a:gd name="T39" fmla="*/ 359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31" h="571">
                              <a:moveTo>
                                <a:pt x="270" y="359"/>
                              </a:moveTo>
                              <a:cubicBezTo>
                                <a:pt x="247" y="359"/>
                                <a:pt x="235" y="346"/>
                                <a:pt x="235" y="317"/>
                              </a:cubicBezTo>
                              <a:cubicBezTo>
                                <a:pt x="235" y="289"/>
                                <a:pt x="247" y="276"/>
                                <a:pt x="270" y="276"/>
                              </a:cubicBezTo>
                              <a:cubicBezTo>
                                <a:pt x="387" y="276"/>
                                <a:pt x="387" y="276"/>
                                <a:pt x="387" y="276"/>
                              </a:cubicBezTo>
                              <a:cubicBezTo>
                                <a:pt x="418" y="276"/>
                                <a:pt x="431" y="290"/>
                                <a:pt x="431" y="323"/>
                              </a:cubicBezTo>
                              <a:cubicBezTo>
                                <a:pt x="431" y="487"/>
                                <a:pt x="431" y="487"/>
                                <a:pt x="431" y="487"/>
                              </a:cubicBezTo>
                              <a:cubicBezTo>
                                <a:pt x="431" y="516"/>
                                <a:pt x="423" y="531"/>
                                <a:pt x="391" y="546"/>
                              </a:cubicBezTo>
                              <a:cubicBezTo>
                                <a:pt x="360" y="560"/>
                                <a:pt x="309" y="571"/>
                                <a:pt x="259" y="571"/>
                              </a:cubicBezTo>
                              <a:cubicBezTo>
                                <a:pt x="109" y="571"/>
                                <a:pt x="0" y="470"/>
                                <a:pt x="0" y="286"/>
                              </a:cubicBezTo>
                              <a:cubicBezTo>
                                <a:pt x="0" y="103"/>
                                <a:pt x="108" y="0"/>
                                <a:pt x="256" y="0"/>
                              </a:cubicBezTo>
                              <a:cubicBezTo>
                                <a:pt x="306" y="0"/>
                                <a:pt x="352" y="12"/>
                                <a:pt x="389" y="36"/>
                              </a:cubicBezTo>
                              <a:cubicBezTo>
                                <a:pt x="415" y="53"/>
                                <a:pt x="427" y="67"/>
                                <a:pt x="427" y="83"/>
                              </a:cubicBezTo>
                              <a:cubicBezTo>
                                <a:pt x="427" y="103"/>
                                <a:pt x="408" y="128"/>
                                <a:pt x="388" y="128"/>
                              </a:cubicBezTo>
                              <a:cubicBezTo>
                                <a:pt x="377" y="128"/>
                                <a:pt x="368" y="119"/>
                                <a:pt x="350" y="108"/>
                              </a:cubicBezTo>
                              <a:cubicBezTo>
                                <a:pt x="324" y="92"/>
                                <a:pt x="292" y="82"/>
                                <a:pt x="256" y="82"/>
                              </a:cubicBezTo>
                              <a:cubicBezTo>
                                <a:pt x="156" y="82"/>
                                <a:pt x="90" y="154"/>
                                <a:pt x="90" y="283"/>
                              </a:cubicBezTo>
                              <a:cubicBezTo>
                                <a:pt x="90" y="416"/>
                                <a:pt x="160" y="490"/>
                                <a:pt x="262" y="490"/>
                              </a:cubicBezTo>
                              <a:cubicBezTo>
                                <a:pt x="293" y="490"/>
                                <a:pt x="324" y="483"/>
                                <a:pt x="345" y="475"/>
                              </a:cubicBezTo>
                              <a:cubicBezTo>
                                <a:pt x="345" y="359"/>
                                <a:pt x="345" y="359"/>
                                <a:pt x="345" y="359"/>
                              </a:cubicBezTo>
                              <a:lnTo>
                                <a:pt x="270" y="3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7" name="Freeform 11"/>
                      <wps:cNvSpPr>
                        <a:spLocks/>
                      </wps:cNvSpPr>
                      <wps:spPr bwMode="auto">
                        <a:xfrm>
                          <a:off x="16564446" y="4763"/>
                          <a:ext cx="146050" cy="177800"/>
                        </a:xfrm>
                        <a:custGeom>
                          <a:avLst/>
                          <a:gdLst>
                            <a:gd name="T0" fmla="*/ 453 w 460"/>
                            <a:gd name="T1" fmla="*/ 506 h 564"/>
                            <a:gd name="T2" fmla="*/ 292 w 460"/>
                            <a:gd name="T3" fmla="*/ 49 h 564"/>
                            <a:gd name="T4" fmla="*/ 231 w 460"/>
                            <a:gd name="T5" fmla="*/ 0 h 564"/>
                            <a:gd name="T6" fmla="*/ 170 w 460"/>
                            <a:gd name="T7" fmla="*/ 49 h 564"/>
                            <a:gd name="T8" fmla="*/ 7 w 460"/>
                            <a:gd name="T9" fmla="*/ 506 h 564"/>
                            <a:gd name="T10" fmla="*/ 0 w 460"/>
                            <a:gd name="T11" fmla="*/ 538 h 564"/>
                            <a:gd name="T12" fmla="*/ 40 w 460"/>
                            <a:gd name="T13" fmla="*/ 564 h 564"/>
                            <a:gd name="T14" fmla="*/ 88 w 460"/>
                            <a:gd name="T15" fmla="*/ 531 h 564"/>
                            <a:gd name="T16" fmla="*/ 229 w 460"/>
                            <a:gd name="T17" fmla="*/ 116 h 564"/>
                            <a:gd name="T18" fmla="*/ 368 w 460"/>
                            <a:gd name="T19" fmla="*/ 531 h 564"/>
                            <a:gd name="T20" fmla="*/ 418 w 460"/>
                            <a:gd name="T21" fmla="*/ 564 h 564"/>
                            <a:gd name="T22" fmla="*/ 460 w 460"/>
                            <a:gd name="T23" fmla="*/ 538 h 564"/>
                            <a:gd name="T24" fmla="*/ 453 w 460"/>
                            <a:gd name="T25" fmla="*/ 506 h 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0" h="564">
                              <a:moveTo>
                                <a:pt x="453" y="506"/>
                              </a:moveTo>
                              <a:cubicBezTo>
                                <a:pt x="292" y="49"/>
                                <a:pt x="292" y="49"/>
                                <a:pt x="292" y="49"/>
                              </a:cubicBezTo>
                              <a:cubicBezTo>
                                <a:pt x="280" y="12"/>
                                <a:pt x="267" y="0"/>
                                <a:pt x="231" y="0"/>
                              </a:cubicBezTo>
                              <a:cubicBezTo>
                                <a:pt x="195" y="0"/>
                                <a:pt x="183" y="12"/>
                                <a:pt x="170" y="49"/>
                              </a:cubicBezTo>
                              <a:cubicBezTo>
                                <a:pt x="7" y="506"/>
                                <a:pt x="7" y="506"/>
                                <a:pt x="7" y="506"/>
                              </a:cubicBezTo>
                              <a:cubicBezTo>
                                <a:pt x="4" y="515"/>
                                <a:pt x="0" y="528"/>
                                <a:pt x="0" y="538"/>
                              </a:cubicBezTo>
                              <a:cubicBezTo>
                                <a:pt x="0" y="553"/>
                                <a:pt x="10" y="564"/>
                                <a:pt x="40" y="564"/>
                              </a:cubicBezTo>
                              <a:cubicBezTo>
                                <a:pt x="70" y="564"/>
                                <a:pt x="81" y="553"/>
                                <a:pt x="88" y="531"/>
                              </a:cubicBezTo>
                              <a:cubicBezTo>
                                <a:pt x="229" y="116"/>
                                <a:pt x="229" y="116"/>
                                <a:pt x="229" y="116"/>
                              </a:cubicBezTo>
                              <a:cubicBezTo>
                                <a:pt x="368" y="531"/>
                                <a:pt x="368" y="531"/>
                                <a:pt x="368" y="531"/>
                              </a:cubicBezTo>
                              <a:cubicBezTo>
                                <a:pt x="375" y="552"/>
                                <a:pt x="385" y="564"/>
                                <a:pt x="418" y="564"/>
                              </a:cubicBezTo>
                              <a:cubicBezTo>
                                <a:pt x="450" y="564"/>
                                <a:pt x="460" y="553"/>
                                <a:pt x="460" y="538"/>
                              </a:cubicBezTo>
                              <a:cubicBezTo>
                                <a:pt x="460" y="528"/>
                                <a:pt x="456" y="515"/>
                                <a:pt x="453" y="50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a="http://schemas.openxmlformats.org/drawingml/2006/main">
          <w:pict>
            <v:group id="Group 13" style="position:absolute;margin-left:-993.2pt;margin-top:22.2pt;width:1478.55pt;height:33.15pt;z-index:-251659776;mso-position-horizontal-relative:margin;mso-position-vertical-relative:page;mso-width-relative:margin;mso-height-relative:margin" coordsize="176947,3968" o:spid="_x0000_s1026" w14:anchorId="3C686D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">
              <o:lock v:ext="edit" aspectratio="t"/>
              <v:line id="Line 5" style="position:absolute;flip:x;visibility:visible;mso-wrap-style:square" o:spid="_x0000_s1027" strokeweight="4pt" o:connectortype="straight" from="0,3968" to="176947,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">
                <v:stroke joinstyle="miter"/>
              </v:line>
              <v:shape id="Freeform 6" style="position:absolute;left:167835;top:47;width:1365;height:1778;visibility:visible;mso-wrap-style:square;v-text-anchor:top" coordsize="430,564" o:spid="_x0000_s1028" fillcolor="black" stroked="f" path="m83,527v,24,-13,37,-41,37c14,564,,551,,527,,51,,51,,51,,17,20,,57,v42,,61,20,75,46c346,429,346,429,346,429v,-391,,-391,,-391c346,13,361,,389,v28,,41,13,41,38c430,514,430,514,430,514v,34,-18,50,-52,50c342,564,323,546,308,517,83,126,83,126,83,126r,4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">
                <v:path arrowok="t" o:connecttype="custom" o:connectlocs="26353,166136;13335,177800;0,166136;0,16078;18098,0;41910,14501;109855,135241;109855,11979;123508,0;136525,11979;136525,162038;120015,177800;97790,162983;26353,39721;26353,166136" o:connectangles="0,0,0,0,0,0,0,0,0,0,0,0,0,0,0"/>
              </v:shape>
              <v:shape id="Freeform 7" style="position:absolute;left:169835;top:63;width:1175;height:1762;visibility:visible;mso-wrap-style:square;v-text-anchor:top" coordsize="368,555" o:spid="_x0000_s1029" fillcolor="black" stroked="f" path="m333,472v23,,35,14,35,41c368,542,356,555,333,555v-293,,-293,,-293,c13,555,,542,,517,,494,10,477,23,455,255,83,255,83,255,83,39,83,39,83,39,83,16,83,4,69,4,41,4,13,16,,39,,322,,322,,322,v27,,40,13,40,38c362,61,352,78,339,100,106,472,106,472,106,472r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">
                <v:path arrowok="t" o:connecttype="custom" o:connectlocs="106302,149860;117475,162878;106302,176213;12769,176213;0,164148;7342,144463;81403,26353;12450,26353;1277,13018;12450,0;102791,0;115560,12065;108217,31750;33838,149860;106302,149860" o:connectangles="0,0,0,0,0,0,0,0,0,0,0,0,0,0,0"/>
              </v:shape>
              <v:shape id="Freeform 8" style="position:absolute;left:171629;top:15;width:1095;height:1810;visibility:visible;mso-wrap-style:square;v-text-anchor:top" coordsize="345,574" o:spid="_x0000_s1030" fillcolor="black" stroked="f" path="m8,154c8,61,78,,181,v41,,85,9,125,37c326,50,334,61,334,76v,21,-16,47,-36,47c290,123,282,118,266,109,238,92,212,81,181,81v-55,,-86,29,-86,68c95,251,345,229,345,411v,103,-78,163,-180,163c110,574,60,556,29,532,11,517,,504,,489,,467,19,442,39,442v9,,17,6,33,17c99,478,127,493,165,493v55,,94,-30,94,-77c259,302,8,327,8,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">
                <v:path arrowok="t" o:connecttype="custom" o:connectlocs="2540,48554;57468,0;97155,11666;106045,23962;94615,38780;84455,34366;57468,25538;30163,46978;109538,129583;52388,180975;9208,167733;0,154176;12383,139357;22860,144717;52388,155437;82233,131160;2540,48554" o:connectangles="0,0,0,0,0,0,0,0,0,0,0,0,0,0,0,0,0"/>
              </v:shape>
              <v:shape id="Freeform 9" style="position:absolute;left:173359;width:1588;height:1825;visibility:visible;mso-wrap-style:square;v-text-anchor:top" coordsize="504,576" o:spid="_x0000_s1031" fillcolor="black" stroked="f" path="m252,495v97,,162,-79,162,-207c414,160,349,81,252,81,155,81,90,160,90,288v,128,65,207,162,207m252,c404,,504,112,504,288v,176,-100,288,-252,288c100,576,,464,,288,,112,100,,2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">
                <v:path arrowok="t" o:connecttype="custom" o:connectlocs="79375,156890;130402,91282;79375,25673;28348,91282;79375,156890;79375,0;158750,91282;79375,182563;0,91282;79375,0" o:connectangles="0,0,0,0,0,0,0,0,0,0"/>
                <o:lock v:ext="edit" verticies="t"/>
              </v:shape>
              <v:shape id="Freeform 10" style="position:absolute;left:175582;top:15;width:1365;height:1810;visibility:visible;mso-wrap-style:square;v-text-anchor:top" coordsize="431,571" o:spid="_x0000_s1032" fillcolor="black" stroked="f" path="m270,359v-23,,-35,-13,-35,-42c235,289,247,276,270,276v117,,117,,117,c418,276,431,290,431,323v,164,,164,,164c431,516,423,531,391,546v-31,14,-82,25,-132,25c109,571,,470,,286,,103,108,,256,v50,,96,12,133,36c415,53,427,67,427,83v,20,-19,45,-39,45c377,128,368,119,350,108,324,92,292,82,256,82,156,82,90,154,90,283v,133,70,207,172,207c293,490,324,483,345,475v,-116,,-116,,-116l270,3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">
                <v:path arrowok="t" o:connecttype="custom" o:connectlocs="85526,113783;74439,100471;85526,87477;122587,87477;136525,102373;136525,154352;123854,173051;82042,180975;0,90646;81091,0;123221,11410;135258,26306;122904,40569;110867,34230;81091,25989;28509,89695;82992,155303;109283,150548;109283,113783;85526,113783" o:connectangles="0,0,0,0,0,0,0,0,0,0,0,0,0,0,0,0,0,0,0,0"/>
              </v:shape>
              <v:shape id="Freeform 11" style="position:absolute;left:165644;top:47;width:1460;height:1778;visibility:visible;mso-wrap-style:square;v-text-anchor:top" coordsize="460,564" o:spid="_x0000_s1033" fillcolor="black" stroked="f" path="m453,506c292,49,292,49,292,49,280,12,267,,231,,195,,183,12,170,49,7,506,7,506,7,506,4,515,,528,,538v,15,10,26,40,26c70,564,81,553,88,531,229,116,229,116,229,116,368,531,368,531,368,531v7,21,17,33,50,33c450,564,460,553,460,538v,-10,-4,-23,-7,-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">
                <v:path arrowok="t" o:connecttype="custom" o:connectlocs="143828,159516;92710,15447;73343,0;53975,15447;2223,159516;0,169604;12700,177800;27940,167397;72708,36569;116840,167397;132715,177800;146050,169604;143828,159516" o:connectangles="0,0,0,0,0,0,0,0,0,0,0,0,0"/>
              </v:shape>
              <w10:wrap anchorx="margin" anchory="page"/>
              <w10:anchorlock/>
            </v:group>
          </w:pict>
        </mc:Fallback>
      </mc:AlternateContent>
    </w:r>
    <w:r>
      <w:fldChar w:fldCharType="begin"/>
    </w:r>
    <w:r>
      <w:instrText xml:space="preserve"> PAGE   \* MERGEFORMAT </w:instrText>
    </w:r>
    <w:r>
      <w:fldChar w:fldCharType="separate"/>
    </w:r>
    <w:r w:rsidR="00732354">
      <w:rPr>
        <w:noProof/>
      </w:rPr>
      <w:t>19</w:t>
    </w:r>
    <w:r>
      <w:rPr>
        <w:noProof/>
      </w:rPr>
      <w:fldChar w:fldCharType="end"/>
    </w:r>
  </w:p>
  <w:p w14:paraId="6035A68F" w14:textId="77777777" w:rsidR="002A1D47" w:rsidRDefault="002A1D47">
    <w:pPr>
      <w:pStyle w:val="Header"/>
    </w:pPr>
  </w:p>
</w:hdr>
</file>

<file path=word/intelligence2.xml><?xml version="1.0" encoding="utf-8"?>
<int2:intelligence xmlns:int2="http://schemas.microsoft.com/office/intelligence/2020/intelligence" xmlns:oel="http://schemas.microsoft.com/office/2019/extlst">
  <int2:observations>
    <int2:textHash int2:hashCode="XSUiEPxXFZ9tOg" int2:id="8XYZrsZK">
      <int2:state int2:value="Rejected" int2:type="LegacyProofing"/>
    </int2:textHash>
    <int2:textHash int2:hashCode="7ykyThbgXbaeP8" int2:id="AK2PtE6I">
      <int2:state int2:value="Rejected" int2:type="LegacyProofing"/>
    </int2:textHash>
    <int2:textHash int2:hashCode="SlYFDncvjWIs3o" int2:id="GWYfsGJo">
      <int2:state int2:value="Rejected" int2:type="LegacyProofing"/>
    </int2:textHash>
    <int2:textHash int2:hashCode="eNiPZdBgAh3p3E" int2:id="JwdUUuhs">
      <int2:state int2:value="Rejected" int2:type="LegacyProofing"/>
    </int2:textHash>
    <int2:textHash int2:hashCode="v3jXqOAVqWKVSe" int2:id="MMC7HqpT">
      <int2:state int2:value="Rejected" int2:type="LegacyProofing"/>
    </int2:textHash>
    <int2:textHash int2:hashCode="kByidkXaRxGvMx" int2:id="NZbYCxsI">
      <int2:state int2:value="Rejected" int2:type="LegacyProofing"/>
    </int2:textHash>
    <int2:textHash int2:hashCode="ed/UIL6MDDYTbb" int2:id="UKlIVOJ2">
      <int2:state int2:value="Rejected" int2:type="AugLoop_Text_Critique"/>
    </int2:textHash>
    <int2:textHash int2:hashCode="hq1Jwh9RgTVmlB" int2:id="VTJkzvhX">
      <int2:state int2:value="Rejected" int2:type="LegacyProofing"/>
    </int2:textHash>
    <int2:textHash int2:hashCode="vYt7Ap1XMvkJdk" int2:id="WhSLbqW8">
      <int2:state int2:value="Rejected" int2:type="AugLoop_Text_Critique"/>
    </int2:textHash>
    <int2:textHash int2:hashCode="u9JpAf9xffxZd0" int2:id="a0v1Zlhc">
      <int2:state int2:value="Rejected" int2:type="LegacyProofing"/>
    </int2:textHash>
    <int2:textHash int2:hashCode="PP/dHd1l4oXXD/" int2:id="bH6vgbga">
      <int2:state int2:value="Rejected" int2:type="AugLoop_Text_Critique"/>
    </int2:textHash>
    <int2:textHash int2:hashCode="HEXtz+T4PyFSoL" int2:id="boIjXaN5">
      <int2:state int2:value="Rejected" int2:type="LegacyProofing"/>
    </int2:textHash>
    <int2:textHash int2:hashCode="naXxkq3lfNt95p" int2:id="caRprdzI">
      <int2:state int2:value="Rejected" int2:type="LegacyProofing"/>
    </int2:textHash>
    <int2:textHash int2:hashCode="pPeO06Ak/mXRCQ" int2:id="fY7gs2YE">
      <int2:state int2:value="Rejected" int2:type="LegacyProofing"/>
    </int2:textHash>
    <int2:textHash int2:hashCode="bLNw5K/RtBTj6A" int2:id="m5kDGy2y">
      <int2:state int2:value="Rejected" int2:type="LegacyProofing"/>
    </int2:textHash>
    <int2:textHash int2:hashCode="1eEGalVgGI5Nkc" int2:id="oRPtvh5X">
      <int2:state int2:value="Rejected" int2:type="LegacyProofing"/>
    </int2:textHash>
    <int2:textHash int2:hashCode="yx9OWDpWJVN84z" int2:id="oZZut5gG">
      <int2:state int2:value="Rejected" int2:type="LegacyProofing"/>
    </int2:textHash>
    <int2:textHash int2:hashCode="jo+Vsgts5H6utn" int2:id="odGQtGRT">
      <int2:state int2:value="Rejected" int2:type="LegacyProofing"/>
    </int2:textHash>
    <int2:textHash int2:hashCode="kv4UVae7TQCfC0" int2:id="uRCRAKuj">
      <int2:state int2:value="Rejected" int2:type="LegacyProofing"/>
    </int2:textHash>
    <int2:textHash int2:hashCode="PNTo8whEAGpnEc" int2:id="uY0wREer">
      <int2:state int2:value="Rejected" int2:type="LegacyProofing"/>
    </int2:textHash>
    <int2:textHash int2:hashCode="mCAtJU9VGU5OEE" int2:id="xI4k5utE">
      <int2:state int2:value="Rejected" int2:type="LegacyProofing"/>
    </int2:textHash>
    <int2:textHash int2:hashCode="PLZtS9B8ew8ND3" int2:id="z7r7bxOo">
      <int2:state int2:value="Rejected" int2:type="LegacyProofing"/>
    </int2:textHash>
    <int2:bookmark int2:bookmarkName="_Int_TnmyczHk" int2:invalidationBookmarkName="" int2:hashCode="io7E0F0mpBbhgS" int2:id="2h0OSSch">
      <int2:state int2:value="Rejected" int2:type="LegacyProofing"/>
    </int2:bookmark>
    <int2:bookmark int2:bookmarkName="_Int_0Cn7YhSN" int2:invalidationBookmarkName="" int2:hashCode="5QOPJmMfk4/xYi" int2:id="ROFXSV0S">
      <int2:state int2:value="Rejected" int2:type="LegacyProofing"/>
    </int2:bookmark>
    <int2:bookmark int2:bookmarkName="_Int_BBxwDUFP" int2:invalidationBookmarkName="" int2:hashCode="ScQh4dvqohO0gl" int2:id="Utk0fkGt">
      <int2:state int2:value="Rejected" int2:type="LegacyProofing"/>
    </int2:bookmark>
    <int2:bookmark int2:bookmarkName="_Int_InYrOQgm" int2:invalidationBookmarkName="" int2:hashCode="HFsps5v9NqiM0a" int2:id="Vx8bQilr">
      <int2:state int2:value="Rejected" int2:type="LegacyProofing"/>
    </int2:bookmark>
    <int2:bookmark int2:bookmarkName="_Int_ccXUlCeU" int2:invalidationBookmarkName="" int2:hashCode="iDKgL3owXu/JBy" int2:id="XL1Y54cI">
      <int2:state int2:value="Rejected" int2:type="LegacyProofing"/>
    </int2:bookmark>
    <int2:bookmark int2:bookmarkName="_Int_eR9z9Dik" int2:invalidationBookmarkName="" int2:hashCode="f1OmjTJDRvyEV6" int2:id="Y9rbvB8w">
      <int2:state int2:value="Rejected" int2:type="LegacyProofing"/>
    </int2:bookmark>
    <int2:bookmark int2:bookmarkName="_Int_9RuqKKuH" int2:invalidationBookmarkName="" int2:hashCode="FkpcJPXfWRjyhS" int2:id="enUWtFdL">
      <int2:state int2:value="Rejected" int2:type="LegacyProofing"/>
    </int2:bookmark>
    <int2:bookmark int2:bookmarkName="_Int_MdkRW91M" int2:invalidationBookmarkName="" int2:hashCode="5QOPJmMfk4/xYi" int2:id="mk08waF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0E55"/>
    <w:multiLevelType w:val="hybridMultilevel"/>
    <w:tmpl w:val="EDFC8056"/>
    <w:lvl w:ilvl="0" w:tplc="09708652">
      <w:start w:val="1"/>
      <w:numFmt w:val="bullet"/>
      <w:lvlText w:val=""/>
      <w:lvlJc w:val="left"/>
      <w:pPr>
        <w:ind w:left="720" w:hanging="360"/>
      </w:pPr>
      <w:rPr>
        <w:rFonts w:ascii="Symbol" w:hAnsi="Symbol" w:hint="default"/>
      </w:rPr>
    </w:lvl>
    <w:lvl w:ilvl="1" w:tplc="6A2447DC">
      <w:start w:val="1"/>
      <w:numFmt w:val="bullet"/>
      <w:lvlText w:val="o"/>
      <w:lvlJc w:val="left"/>
      <w:pPr>
        <w:ind w:left="1440" w:hanging="360"/>
      </w:pPr>
      <w:rPr>
        <w:rFonts w:ascii="Courier New" w:hAnsi="Courier New" w:hint="default"/>
      </w:rPr>
    </w:lvl>
    <w:lvl w:ilvl="2" w:tplc="349E03B6">
      <w:start w:val="1"/>
      <w:numFmt w:val="bullet"/>
      <w:lvlText w:val=""/>
      <w:lvlJc w:val="left"/>
      <w:pPr>
        <w:ind w:left="2160" w:hanging="360"/>
      </w:pPr>
      <w:rPr>
        <w:rFonts w:ascii="Wingdings" w:hAnsi="Wingdings" w:hint="default"/>
      </w:rPr>
    </w:lvl>
    <w:lvl w:ilvl="3" w:tplc="9C1ED744">
      <w:start w:val="1"/>
      <w:numFmt w:val="bullet"/>
      <w:lvlText w:val=""/>
      <w:lvlJc w:val="left"/>
      <w:pPr>
        <w:ind w:left="2880" w:hanging="360"/>
      </w:pPr>
      <w:rPr>
        <w:rFonts w:ascii="Symbol" w:hAnsi="Symbol" w:hint="default"/>
      </w:rPr>
    </w:lvl>
    <w:lvl w:ilvl="4" w:tplc="F83A4F76">
      <w:start w:val="1"/>
      <w:numFmt w:val="bullet"/>
      <w:lvlText w:val="o"/>
      <w:lvlJc w:val="left"/>
      <w:pPr>
        <w:ind w:left="3600" w:hanging="360"/>
      </w:pPr>
      <w:rPr>
        <w:rFonts w:ascii="Courier New" w:hAnsi="Courier New" w:hint="default"/>
      </w:rPr>
    </w:lvl>
    <w:lvl w:ilvl="5" w:tplc="E81AEA4C">
      <w:start w:val="1"/>
      <w:numFmt w:val="bullet"/>
      <w:lvlText w:val=""/>
      <w:lvlJc w:val="left"/>
      <w:pPr>
        <w:ind w:left="4320" w:hanging="360"/>
      </w:pPr>
      <w:rPr>
        <w:rFonts w:ascii="Wingdings" w:hAnsi="Wingdings" w:hint="default"/>
      </w:rPr>
    </w:lvl>
    <w:lvl w:ilvl="6" w:tplc="1270907C">
      <w:start w:val="1"/>
      <w:numFmt w:val="bullet"/>
      <w:lvlText w:val=""/>
      <w:lvlJc w:val="left"/>
      <w:pPr>
        <w:ind w:left="5040" w:hanging="360"/>
      </w:pPr>
      <w:rPr>
        <w:rFonts w:ascii="Symbol" w:hAnsi="Symbol" w:hint="default"/>
      </w:rPr>
    </w:lvl>
    <w:lvl w:ilvl="7" w:tplc="8D628CFE">
      <w:start w:val="1"/>
      <w:numFmt w:val="bullet"/>
      <w:lvlText w:val="o"/>
      <w:lvlJc w:val="left"/>
      <w:pPr>
        <w:ind w:left="5760" w:hanging="360"/>
      </w:pPr>
      <w:rPr>
        <w:rFonts w:ascii="Courier New" w:hAnsi="Courier New" w:hint="default"/>
      </w:rPr>
    </w:lvl>
    <w:lvl w:ilvl="8" w:tplc="5C2A220E">
      <w:start w:val="1"/>
      <w:numFmt w:val="bullet"/>
      <w:lvlText w:val=""/>
      <w:lvlJc w:val="left"/>
      <w:pPr>
        <w:ind w:left="6480" w:hanging="360"/>
      </w:pPr>
      <w:rPr>
        <w:rFonts w:ascii="Wingdings" w:hAnsi="Wingdings" w:hint="default"/>
      </w:rPr>
    </w:lvl>
  </w:abstractNum>
  <w:abstractNum w:abstractNumId="1" w15:restartNumberingAfterBreak="0">
    <w:nsid w:val="08BC42FC"/>
    <w:multiLevelType w:val="multilevel"/>
    <w:tmpl w:val="E4B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E36CD6"/>
    <w:multiLevelType w:val="multilevel"/>
    <w:tmpl w:val="36F85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873C3"/>
    <w:multiLevelType w:val="hybridMultilevel"/>
    <w:tmpl w:val="5D48FA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DF0665"/>
    <w:multiLevelType w:val="hybridMultilevel"/>
    <w:tmpl w:val="0FBC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E21BD"/>
    <w:multiLevelType w:val="hybridMultilevel"/>
    <w:tmpl w:val="2C78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35F35"/>
    <w:multiLevelType w:val="hybridMultilevel"/>
    <w:tmpl w:val="6060E1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2FC"/>
    <w:multiLevelType w:val="hybridMultilevel"/>
    <w:tmpl w:val="1CA65934"/>
    <w:lvl w:ilvl="0" w:tplc="A380FE8C">
      <w:start w:val="1"/>
      <w:numFmt w:val="bullet"/>
      <w:lvlText w:val="·"/>
      <w:lvlJc w:val="left"/>
      <w:pPr>
        <w:ind w:left="720" w:hanging="360"/>
      </w:pPr>
      <w:rPr>
        <w:rFonts w:ascii="Symbol" w:hAnsi="Symbol" w:hint="default"/>
      </w:rPr>
    </w:lvl>
    <w:lvl w:ilvl="1" w:tplc="0016A280">
      <w:start w:val="1"/>
      <w:numFmt w:val="bullet"/>
      <w:lvlText w:val="o"/>
      <w:lvlJc w:val="left"/>
      <w:pPr>
        <w:ind w:left="1440" w:hanging="360"/>
      </w:pPr>
      <w:rPr>
        <w:rFonts w:ascii="Courier New" w:hAnsi="Courier New" w:hint="default"/>
      </w:rPr>
    </w:lvl>
    <w:lvl w:ilvl="2" w:tplc="889406F2">
      <w:start w:val="1"/>
      <w:numFmt w:val="bullet"/>
      <w:lvlText w:val=""/>
      <w:lvlJc w:val="left"/>
      <w:pPr>
        <w:ind w:left="2160" w:hanging="360"/>
      </w:pPr>
      <w:rPr>
        <w:rFonts w:ascii="Wingdings" w:hAnsi="Wingdings" w:hint="default"/>
      </w:rPr>
    </w:lvl>
    <w:lvl w:ilvl="3" w:tplc="E280F716">
      <w:start w:val="1"/>
      <w:numFmt w:val="bullet"/>
      <w:lvlText w:val=""/>
      <w:lvlJc w:val="left"/>
      <w:pPr>
        <w:ind w:left="2880" w:hanging="360"/>
      </w:pPr>
      <w:rPr>
        <w:rFonts w:ascii="Symbol" w:hAnsi="Symbol" w:hint="default"/>
      </w:rPr>
    </w:lvl>
    <w:lvl w:ilvl="4" w:tplc="88021B04">
      <w:start w:val="1"/>
      <w:numFmt w:val="bullet"/>
      <w:lvlText w:val="o"/>
      <w:lvlJc w:val="left"/>
      <w:pPr>
        <w:ind w:left="3600" w:hanging="360"/>
      </w:pPr>
      <w:rPr>
        <w:rFonts w:ascii="Courier New" w:hAnsi="Courier New" w:hint="default"/>
      </w:rPr>
    </w:lvl>
    <w:lvl w:ilvl="5" w:tplc="C1D8F510">
      <w:start w:val="1"/>
      <w:numFmt w:val="bullet"/>
      <w:lvlText w:val=""/>
      <w:lvlJc w:val="left"/>
      <w:pPr>
        <w:ind w:left="4320" w:hanging="360"/>
      </w:pPr>
      <w:rPr>
        <w:rFonts w:ascii="Wingdings" w:hAnsi="Wingdings" w:hint="default"/>
      </w:rPr>
    </w:lvl>
    <w:lvl w:ilvl="6" w:tplc="0838883A">
      <w:start w:val="1"/>
      <w:numFmt w:val="bullet"/>
      <w:lvlText w:val=""/>
      <w:lvlJc w:val="left"/>
      <w:pPr>
        <w:ind w:left="5040" w:hanging="360"/>
      </w:pPr>
      <w:rPr>
        <w:rFonts w:ascii="Symbol" w:hAnsi="Symbol" w:hint="default"/>
      </w:rPr>
    </w:lvl>
    <w:lvl w:ilvl="7" w:tplc="B3D23110">
      <w:start w:val="1"/>
      <w:numFmt w:val="bullet"/>
      <w:lvlText w:val="o"/>
      <w:lvlJc w:val="left"/>
      <w:pPr>
        <w:ind w:left="5760" w:hanging="360"/>
      </w:pPr>
      <w:rPr>
        <w:rFonts w:ascii="Courier New" w:hAnsi="Courier New" w:hint="default"/>
      </w:rPr>
    </w:lvl>
    <w:lvl w:ilvl="8" w:tplc="B26AF894">
      <w:start w:val="1"/>
      <w:numFmt w:val="bullet"/>
      <w:lvlText w:val=""/>
      <w:lvlJc w:val="left"/>
      <w:pPr>
        <w:ind w:left="6480" w:hanging="360"/>
      </w:pPr>
      <w:rPr>
        <w:rFonts w:ascii="Wingdings" w:hAnsi="Wingdings" w:hint="default"/>
      </w:rPr>
    </w:lvl>
  </w:abstractNum>
  <w:abstractNum w:abstractNumId="8" w15:restartNumberingAfterBreak="0">
    <w:nsid w:val="1F1E0300"/>
    <w:multiLevelType w:val="hybridMultilevel"/>
    <w:tmpl w:val="5876F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F71F3"/>
    <w:multiLevelType w:val="multilevel"/>
    <w:tmpl w:val="9354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6526DE"/>
    <w:multiLevelType w:val="hybridMultilevel"/>
    <w:tmpl w:val="8F843EA8"/>
    <w:lvl w:ilvl="0" w:tplc="0FACADAC">
      <w:start w:val="1"/>
      <w:numFmt w:val="bullet"/>
      <w:lvlText w:val=""/>
      <w:lvlJc w:val="left"/>
      <w:pPr>
        <w:ind w:left="720" w:hanging="360"/>
      </w:pPr>
      <w:rPr>
        <w:rFonts w:ascii="Symbol" w:hAnsi="Symbol" w:hint="default"/>
      </w:rPr>
    </w:lvl>
    <w:lvl w:ilvl="1" w:tplc="3F8C56A8">
      <w:start w:val="1"/>
      <w:numFmt w:val="bullet"/>
      <w:lvlText w:val=""/>
      <w:lvlJc w:val="left"/>
      <w:pPr>
        <w:ind w:left="1440" w:hanging="360"/>
      </w:pPr>
      <w:rPr>
        <w:rFonts w:ascii="Symbol" w:hAnsi="Symbol" w:hint="default"/>
      </w:rPr>
    </w:lvl>
    <w:lvl w:ilvl="2" w:tplc="D5E8CCD0">
      <w:start w:val="1"/>
      <w:numFmt w:val="bullet"/>
      <w:lvlText w:val=""/>
      <w:lvlJc w:val="left"/>
      <w:pPr>
        <w:ind w:left="2160" w:hanging="360"/>
      </w:pPr>
      <w:rPr>
        <w:rFonts w:ascii="Wingdings" w:hAnsi="Wingdings" w:hint="default"/>
      </w:rPr>
    </w:lvl>
    <w:lvl w:ilvl="3" w:tplc="C786D70E">
      <w:start w:val="1"/>
      <w:numFmt w:val="bullet"/>
      <w:lvlText w:val=""/>
      <w:lvlJc w:val="left"/>
      <w:pPr>
        <w:ind w:left="2880" w:hanging="360"/>
      </w:pPr>
      <w:rPr>
        <w:rFonts w:ascii="Symbol" w:hAnsi="Symbol" w:hint="default"/>
      </w:rPr>
    </w:lvl>
    <w:lvl w:ilvl="4" w:tplc="BD66824C">
      <w:start w:val="1"/>
      <w:numFmt w:val="bullet"/>
      <w:lvlText w:val="o"/>
      <w:lvlJc w:val="left"/>
      <w:pPr>
        <w:ind w:left="3600" w:hanging="360"/>
      </w:pPr>
      <w:rPr>
        <w:rFonts w:ascii="Courier New" w:hAnsi="Courier New" w:hint="default"/>
      </w:rPr>
    </w:lvl>
    <w:lvl w:ilvl="5" w:tplc="34504978">
      <w:start w:val="1"/>
      <w:numFmt w:val="bullet"/>
      <w:lvlText w:val=""/>
      <w:lvlJc w:val="left"/>
      <w:pPr>
        <w:ind w:left="4320" w:hanging="360"/>
      </w:pPr>
      <w:rPr>
        <w:rFonts w:ascii="Wingdings" w:hAnsi="Wingdings" w:hint="default"/>
      </w:rPr>
    </w:lvl>
    <w:lvl w:ilvl="6" w:tplc="FD94D996">
      <w:start w:val="1"/>
      <w:numFmt w:val="bullet"/>
      <w:lvlText w:val=""/>
      <w:lvlJc w:val="left"/>
      <w:pPr>
        <w:ind w:left="5040" w:hanging="360"/>
      </w:pPr>
      <w:rPr>
        <w:rFonts w:ascii="Symbol" w:hAnsi="Symbol" w:hint="default"/>
      </w:rPr>
    </w:lvl>
    <w:lvl w:ilvl="7" w:tplc="01A0AF64">
      <w:start w:val="1"/>
      <w:numFmt w:val="bullet"/>
      <w:lvlText w:val="o"/>
      <w:lvlJc w:val="left"/>
      <w:pPr>
        <w:ind w:left="5760" w:hanging="360"/>
      </w:pPr>
      <w:rPr>
        <w:rFonts w:ascii="Courier New" w:hAnsi="Courier New" w:hint="default"/>
      </w:rPr>
    </w:lvl>
    <w:lvl w:ilvl="8" w:tplc="FA94C6D4">
      <w:start w:val="1"/>
      <w:numFmt w:val="bullet"/>
      <w:lvlText w:val=""/>
      <w:lvlJc w:val="left"/>
      <w:pPr>
        <w:ind w:left="6480" w:hanging="360"/>
      </w:pPr>
      <w:rPr>
        <w:rFonts w:ascii="Wingdings" w:hAnsi="Wingdings" w:hint="default"/>
      </w:rPr>
    </w:lvl>
  </w:abstractNum>
  <w:abstractNum w:abstractNumId="11" w15:restartNumberingAfterBreak="0">
    <w:nsid w:val="247132EE"/>
    <w:multiLevelType w:val="hybridMultilevel"/>
    <w:tmpl w:val="0786F7E4"/>
    <w:lvl w:ilvl="0" w:tplc="9B5492A0">
      <w:start w:val="1"/>
      <w:numFmt w:val="bullet"/>
      <w:lvlText w:val="·"/>
      <w:lvlJc w:val="left"/>
      <w:pPr>
        <w:ind w:left="720" w:hanging="360"/>
      </w:pPr>
      <w:rPr>
        <w:rFonts w:ascii="Symbol" w:hAnsi="Symbol" w:hint="default"/>
      </w:rPr>
    </w:lvl>
    <w:lvl w:ilvl="1" w:tplc="9A8C8B3E">
      <w:start w:val="1"/>
      <w:numFmt w:val="bullet"/>
      <w:lvlText w:val="o"/>
      <w:lvlJc w:val="left"/>
      <w:pPr>
        <w:ind w:left="1440" w:hanging="360"/>
      </w:pPr>
      <w:rPr>
        <w:rFonts w:ascii="Courier New" w:hAnsi="Courier New" w:hint="default"/>
      </w:rPr>
    </w:lvl>
    <w:lvl w:ilvl="2" w:tplc="53AEB450">
      <w:start w:val="1"/>
      <w:numFmt w:val="bullet"/>
      <w:lvlText w:val=""/>
      <w:lvlJc w:val="left"/>
      <w:pPr>
        <w:ind w:left="2160" w:hanging="360"/>
      </w:pPr>
      <w:rPr>
        <w:rFonts w:ascii="Wingdings" w:hAnsi="Wingdings" w:hint="default"/>
      </w:rPr>
    </w:lvl>
    <w:lvl w:ilvl="3" w:tplc="08480F00">
      <w:start w:val="1"/>
      <w:numFmt w:val="bullet"/>
      <w:lvlText w:val=""/>
      <w:lvlJc w:val="left"/>
      <w:pPr>
        <w:ind w:left="2880" w:hanging="360"/>
      </w:pPr>
      <w:rPr>
        <w:rFonts w:ascii="Symbol" w:hAnsi="Symbol" w:hint="default"/>
      </w:rPr>
    </w:lvl>
    <w:lvl w:ilvl="4" w:tplc="B6EACC00">
      <w:start w:val="1"/>
      <w:numFmt w:val="bullet"/>
      <w:lvlText w:val="o"/>
      <w:lvlJc w:val="left"/>
      <w:pPr>
        <w:ind w:left="3600" w:hanging="360"/>
      </w:pPr>
      <w:rPr>
        <w:rFonts w:ascii="Courier New" w:hAnsi="Courier New" w:hint="default"/>
      </w:rPr>
    </w:lvl>
    <w:lvl w:ilvl="5" w:tplc="CDE0B142">
      <w:start w:val="1"/>
      <w:numFmt w:val="bullet"/>
      <w:lvlText w:val=""/>
      <w:lvlJc w:val="left"/>
      <w:pPr>
        <w:ind w:left="4320" w:hanging="360"/>
      </w:pPr>
      <w:rPr>
        <w:rFonts w:ascii="Wingdings" w:hAnsi="Wingdings" w:hint="default"/>
      </w:rPr>
    </w:lvl>
    <w:lvl w:ilvl="6" w:tplc="A1249206">
      <w:start w:val="1"/>
      <w:numFmt w:val="bullet"/>
      <w:lvlText w:val=""/>
      <w:lvlJc w:val="left"/>
      <w:pPr>
        <w:ind w:left="5040" w:hanging="360"/>
      </w:pPr>
      <w:rPr>
        <w:rFonts w:ascii="Symbol" w:hAnsi="Symbol" w:hint="default"/>
      </w:rPr>
    </w:lvl>
    <w:lvl w:ilvl="7" w:tplc="58201602">
      <w:start w:val="1"/>
      <w:numFmt w:val="bullet"/>
      <w:lvlText w:val="o"/>
      <w:lvlJc w:val="left"/>
      <w:pPr>
        <w:ind w:left="5760" w:hanging="360"/>
      </w:pPr>
      <w:rPr>
        <w:rFonts w:ascii="Courier New" w:hAnsi="Courier New" w:hint="default"/>
      </w:rPr>
    </w:lvl>
    <w:lvl w:ilvl="8" w:tplc="941EDEB4">
      <w:start w:val="1"/>
      <w:numFmt w:val="bullet"/>
      <w:lvlText w:val=""/>
      <w:lvlJc w:val="left"/>
      <w:pPr>
        <w:ind w:left="6480" w:hanging="360"/>
      </w:pPr>
      <w:rPr>
        <w:rFonts w:ascii="Wingdings" w:hAnsi="Wingdings" w:hint="default"/>
      </w:rPr>
    </w:lvl>
  </w:abstractNum>
  <w:abstractNum w:abstractNumId="12" w15:restartNumberingAfterBreak="0">
    <w:nsid w:val="24946C97"/>
    <w:multiLevelType w:val="hybridMultilevel"/>
    <w:tmpl w:val="400ED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029CB"/>
    <w:multiLevelType w:val="hybridMultilevel"/>
    <w:tmpl w:val="352C4B54"/>
    <w:lvl w:ilvl="0" w:tplc="2B20EDC0">
      <w:start w:val="1"/>
      <w:numFmt w:val="bullet"/>
      <w:lvlText w:val=""/>
      <w:lvlJc w:val="left"/>
      <w:pPr>
        <w:ind w:left="720" w:hanging="360"/>
      </w:pPr>
      <w:rPr>
        <w:rFonts w:ascii="Symbol" w:hAnsi="Symbol" w:hint="default"/>
      </w:rPr>
    </w:lvl>
    <w:lvl w:ilvl="1" w:tplc="A02AE5B6">
      <w:start w:val="1"/>
      <w:numFmt w:val="bullet"/>
      <w:lvlText w:val="o"/>
      <w:lvlJc w:val="left"/>
      <w:pPr>
        <w:ind w:left="1440" w:hanging="360"/>
      </w:pPr>
      <w:rPr>
        <w:rFonts w:ascii="Courier New" w:hAnsi="Courier New" w:hint="default"/>
      </w:rPr>
    </w:lvl>
    <w:lvl w:ilvl="2" w:tplc="33A6B8B2">
      <w:start w:val="1"/>
      <w:numFmt w:val="bullet"/>
      <w:lvlText w:val=""/>
      <w:lvlJc w:val="left"/>
      <w:pPr>
        <w:ind w:left="2160" w:hanging="360"/>
      </w:pPr>
      <w:rPr>
        <w:rFonts w:ascii="Wingdings" w:hAnsi="Wingdings" w:hint="default"/>
      </w:rPr>
    </w:lvl>
    <w:lvl w:ilvl="3" w:tplc="019616A6">
      <w:start w:val="1"/>
      <w:numFmt w:val="bullet"/>
      <w:lvlText w:val=""/>
      <w:lvlJc w:val="left"/>
      <w:pPr>
        <w:ind w:left="2880" w:hanging="360"/>
      </w:pPr>
      <w:rPr>
        <w:rFonts w:ascii="Symbol" w:hAnsi="Symbol" w:hint="default"/>
      </w:rPr>
    </w:lvl>
    <w:lvl w:ilvl="4" w:tplc="586C7C58">
      <w:start w:val="1"/>
      <w:numFmt w:val="bullet"/>
      <w:lvlText w:val="o"/>
      <w:lvlJc w:val="left"/>
      <w:pPr>
        <w:ind w:left="3600" w:hanging="360"/>
      </w:pPr>
      <w:rPr>
        <w:rFonts w:ascii="Courier New" w:hAnsi="Courier New" w:hint="default"/>
      </w:rPr>
    </w:lvl>
    <w:lvl w:ilvl="5" w:tplc="B0F8C5F2">
      <w:start w:val="1"/>
      <w:numFmt w:val="bullet"/>
      <w:lvlText w:val=""/>
      <w:lvlJc w:val="left"/>
      <w:pPr>
        <w:ind w:left="4320" w:hanging="360"/>
      </w:pPr>
      <w:rPr>
        <w:rFonts w:ascii="Wingdings" w:hAnsi="Wingdings" w:hint="default"/>
      </w:rPr>
    </w:lvl>
    <w:lvl w:ilvl="6" w:tplc="643CD6DC">
      <w:start w:val="1"/>
      <w:numFmt w:val="bullet"/>
      <w:lvlText w:val=""/>
      <w:lvlJc w:val="left"/>
      <w:pPr>
        <w:ind w:left="5040" w:hanging="360"/>
      </w:pPr>
      <w:rPr>
        <w:rFonts w:ascii="Symbol" w:hAnsi="Symbol" w:hint="default"/>
      </w:rPr>
    </w:lvl>
    <w:lvl w:ilvl="7" w:tplc="6FF81D72">
      <w:start w:val="1"/>
      <w:numFmt w:val="bullet"/>
      <w:lvlText w:val="o"/>
      <w:lvlJc w:val="left"/>
      <w:pPr>
        <w:ind w:left="5760" w:hanging="360"/>
      </w:pPr>
      <w:rPr>
        <w:rFonts w:ascii="Courier New" w:hAnsi="Courier New" w:hint="default"/>
      </w:rPr>
    </w:lvl>
    <w:lvl w:ilvl="8" w:tplc="F2485630">
      <w:start w:val="1"/>
      <w:numFmt w:val="bullet"/>
      <w:lvlText w:val=""/>
      <w:lvlJc w:val="left"/>
      <w:pPr>
        <w:ind w:left="6480" w:hanging="360"/>
      </w:pPr>
      <w:rPr>
        <w:rFonts w:ascii="Wingdings" w:hAnsi="Wingdings" w:hint="default"/>
      </w:rPr>
    </w:lvl>
  </w:abstractNum>
  <w:abstractNum w:abstractNumId="14" w15:restartNumberingAfterBreak="0">
    <w:nsid w:val="2CB316D9"/>
    <w:multiLevelType w:val="hybridMultilevel"/>
    <w:tmpl w:val="2530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921A0"/>
    <w:multiLevelType w:val="hybridMultilevel"/>
    <w:tmpl w:val="5F385B9A"/>
    <w:lvl w:ilvl="0" w:tplc="8FE26F92">
      <w:start w:val="1"/>
      <w:numFmt w:val="bullet"/>
      <w:lvlText w:val=""/>
      <w:lvlJc w:val="left"/>
      <w:pPr>
        <w:ind w:left="720" w:hanging="360"/>
      </w:pPr>
      <w:rPr>
        <w:rFonts w:ascii="Symbol" w:hAnsi="Symbol" w:hint="default"/>
      </w:rPr>
    </w:lvl>
    <w:lvl w:ilvl="1" w:tplc="C0BEAFD0">
      <w:start w:val="1"/>
      <w:numFmt w:val="bullet"/>
      <w:lvlText w:val=""/>
      <w:lvlJc w:val="left"/>
      <w:pPr>
        <w:ind w:left="1440" w:hanging="360"/>
      </w:pPr>
      <w:rPr>
        <w:rFonts w:ascii="Symbol" w:hAnsi="Symbol" w:hint="default"/>
      </w:rPr>
    </w:lvl>
    <w:lvl w:ilvl="2" w:tplc="37C25F5E">
      <w:start w:val="1"/>
      <w:numFmt w:val="bullet"/>
      <w:lvlText w:val=""/>
      <w:lvlJc w:val="left"/>
      <w:pPr>
        <w:ind w:left="2160" w:hanging="360"/>
      </w:pPr>
      <w:rPr>
        <w:rFonts w:ascii="Wingdings" w:hAnsi="Wingdings" w:hint="default"/>
      </w:rPr>
    </w:lvl>
    <w:lvl w:ilvl="3" w:tplc="304AD51C">
      <w:start w:val="1"/>
      <w:numFmt w:val="bullet"/>
      <w:lvlText w:val=""/>
      <w:lvlJc w:val="left"/>
      <w:pPr>
        <w:ind w:left="2880" w:hanging="360"/>
      </w:pPr>
      <w:rPr>
        <w:rFonts w:ascii="Symbol" w:hAnsi="Symbol" w:hint="default"/>
      </w:rPr>
    </w:lvl>
    <w:lvl w:ilvl="4" w:tplc="31666A9C">
      <w:start w:val="1"/>
      <w:numFmt w:val="bullet"/>
      <w:lvlText w:val="o"/>
      <w:lvlJc w:val="left"/>
      <w:pPr>
        <w:ind w:left="3600" w:hanging="360"/>
      </w:pPr>
      <w:rPr>
        <w:rFonts w:ascii="Courier New" w:hAnsi="Courier New" w:hint="default"/>
      </w:rPr>
    </w:lvl>
    <w:lvl w:ilvl="5" w:tplc="3E269B58">
      <w:start w:val="1"/>
      <w:numFmt w:val="bullet"/>
      <w:lvlText w:val=""/>
      <w:lvlJc w:val="left"/>
      <w:pPr>
        <w:ind w:left="4320" w:hanging="360"/>
      </w:pPr>
      <w:rPr>
        <w:rFonts w:ascii="Wingdings" w:hAnsi="Wingdings" w:hint="default"/>
      </w:rPr>
    </w:lvl>
    <w:lvl w:ilvl="6" w:tplc="F2C04C62">
      <w:start w:val="1"/>
      <w:numFmt w:val="bullet"/>
      <w:lvlText w:val=""/>
      <w:lvlJc w:val="left"/>
      <w:pPr>
        <w:ind w:left="5040" w:hanging="360"/>
      </w:pPr>
      <w:rPr>
        <w:rFonts w:ascii="Symbol" w:hAnsi="Symbol" w:hint="default"/>
      </w:rPr>
    </w:lvl>
    <w:lvl w:ilvl="7" w:tplc="B74463E2">
      <w:start w:val="1"/>
      <w:numFmt w:val="bullet"/>
      <w:lvlText w:val="o"/>
      <w:lvlJc w:val="left"/>
      <w:pPr>
        <w:ind w:left="5760" w:hanging="360"/>
      </w:pPr>
      <w:rPr>
        <w:rFonts w:ascii="Courier New" w:hAnsi="Courier New" w:hint="default"/>
      </w:rPr>
    </w:lvl>
    <w:lvl w:ilvl="8" w:tplc="58E6C5B8">
      <w:start w:val="1"/>
      <w:numFmt w:val="bullet"/>
      <w:lvlText w:val=""/>
      <w:lvlJc w:val="left"/>
      <w:pPr>
        <w:ind w:left="6480" w:hanging="360"/>
      </w:pPr>
      <w:rPr>
        <w:rFonts w:ascii="Wingdings" w:hAnsi="Wingdings" w:hint="default"/>
      </w:rPr>
    </w:lvl>
  </w:abstractNum>
  <w:abstractNum w:abstractNumId="16" w15:restartNumberingAfterBreak="0">
    <w:nsid w:val="4297579B"/>
    <w:multiLevelType w:val="hybridMultilevel"/>
    <w:tmpl w:val="566CCDCA"/>
    <w:lvl w:ilvl="0" w:tplc="4F921742">
      <w:start w:val="1"/>
      <w:numFmt w:val="bullet"/>
      <w:lvlText w:val=""/>
      <w:lvlJc w:val="left"/>
      <w:pPr>
        <w:ind w:left="720" w:hanging="360"/>
      </w:pPr>
      <w:rPr>
        <w:rFonts w:ascii="Symbol" w:hAnsi="Symbol" w:hint="default"/>
      </w:rPr>
    </w:lvl>
    <w:lvl w:ilvl="1" w:tplc="A4EA4D2E">
      <w:start w:val="1"/>
      <w:numFmt w:val="bullet"/>
      <w:lvlText w:val="o"/>
      <w:lvlJc w:val="left"/>
      <w:pPr>
        <w:ind w:left="1440" w:hanging="360"/>
      </w:pPr>
      <w:rPr>
        <w:rFonts w:ascii="Courier New" w:hAnsi="Courier New" w:hint="default"/>
      </w:rPr>
    </w:lvl>
    <w:lvl w:ilvl="2" w:tplc="45DC9D54">
      <w:start w:val="1"/>
      <w:numFmt w:val="bullet"/>
      <w:lvlText w:val=""/>
      <w:lvlJc w:val="left"/>
      <w:pPr>
        <w:ind w:left="2160" w:hanging="360"/>
      </w:pPr>
      <w:rPr>
        <w:rFonts w:ascii="Wingdings" w:hAnsi="Wingdings" w:hint="default"/>
      </w:rPr>
    </w:lvl>
    <w:lvl w:ilvl="3" w:tplc="4048649C">
      <w:start w:val="1"/>
      <w:numFmt w:val="bullet"/>
      <w:lvlText w:val=""/>
      <w:lvlJc w:val="left"/>
      <w:pPr>
        <w:ind w:left="2880" w:hanging="360"/>
      </w:pPr>
      <w:rPr>
        <w:rFonts w:ascii="Symbol" w:hAnsi="Symbol" w:hint="default"/>
      </w:rPr>
    </w:lvl>
    <w:lvl w:ilvl="4" w:tplc="437440B0">
      <w:start w:val="1"/>
      <w:numFmt w:val="bullet"/>
      <w:lvlText w:val="o"/>
      <w:lvlJc w:val="left"/>
      <w:pPr>
        <w:ind w:left="3600" w:hanging="360"/>
      </w:pPr>
      <w:rPr>
        <w:rFonts w:ascii="Courier New" w:hAnsi="Courier New" w:hint="default"/>
      </w:rPr>
    </w:lvl>
    <w:lvl w:ilvl="5" w:tplc="2CF29536">
      <w:start w:val="1"/>
      <w:numFmt w:val="bullet"/>
      <w:lvlText w:val=""/>
      <w:lvlJc w:val="left"/>
      <w:pPr>
        <w:ind w:left="4320" w:hanging="360"/>
      </w:pPr>
      <w:rPr>
        <w:rFonts w:ascii="Wingdings" w:hAnsi="Wingdings" w:hint="default"/>
      </w:rPr>
    </w:lvl>
    <w:lvl w:ilvl="6" w:tplc="AD2C0B7A">
      <w:start w:val="1"/>
      <w:numFmt w:val="bullet"/>
      <w:lvlText w:val=""/>
      <w:lvlJc w:val="left"/>
      <w:pPr>
        <w:ind w:left="5040" w:hanging="360"/>
      </w:pPr>
      <w:rPr>
        <w:rFonts w:ascii="Symbol" w:hAnsi="Symbol" w:hint="default"/>
      </w:rPr>
    </w:lvl>
    <w:lvl w:ilvl="7" w:tplc="9A088F20">
      <w:start w:val="1"/>
      <w:numFmt w:val="bullet"/>
      <w:lvlText w:val="o"/>
      <w:lvlJc w:val="left"/>
      <w:pPr>
        <w:ind w:left="5760" w:hanging="360"/>
      </w:pPr>
      <w:rPr>
        <w:rFonts w:ascii="Courier New" w:hAnsi="Courier New" w:hint="default"/>
      </w:rPr>
    </w:lvl>
    <w:lvl w:ilvl="8" w:tplc="525C0DF0">
      <w:start w:val="1"/>
      <w:numFmt w:val="bullet"/>
      <w:lvlText w:val=""/>
      <w:lvlJc w:val="left"/>
      <w:pPr>
        <w:ind w:left="6480" w:hanging="360"/>
      </w:pPr>
      <w:rPr>
        <w:rFonts w:ascii="Wingdings" w:hAnsi="Wingdings" w:hint="default"/>
      </w:rPr>
    </w:lvl>
  </w:abstractNum>
  <w:abstractNum w:abstractNumId="17" w15:restartNumberingAfterBreak="0">
    <w:nsid w:val="429B00FA"/>
    <w:multiLevelType w:val="hybridMultilevel"/>
    <w:tmpl w:val="5D50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42DA1"/>
    <w:multiLevelType w:val="hybridMultilevel"/>
    <w:tmpl w:val="89167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0C735D"/>
    <w:multiLevelType w:val="hybridMultilevel"/>
    <w:tmpl w:val="2AECEE82"/>
    <w:lvl w:ilvl="0" w:tplc="F29607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73360B"/>
    <w:multiLevelType w:val="hybridMultilevel"/>
    <w:tmpl w:val="2202EFCA"/>
    <w:lvl w:ilvl="0" w:tplc="BC5A3A4E">
      <w:start w:val="1"/>
      <w:numFmt w:val="bullet"/>
      <w:lvlText w:val=""/>
      <w:lvlJc w:val="left"/>
      <w:pPr>
        <w:ind w:left="720" w:hanging="360"/>
      </w:pPr>
      <w:rPr>
        <w:rFonts w:ascii="Symbol" w:hAnsi="Symbol" w:hint="default"/>
      </w:rPr>
    </w:lvl>
    <w:lvl w:ilvl="1" w:tplc="1378336C">
      <w:start w:val="1"/>
      <w:numFmt w:val="bullet"/>
      <w:lvlText w:val=""/>
      <w:lvlJc w:val="left"/>
      <w:pPr>
        <w:ind w:left="1440" w:hanging="360"/>
      </w:pPr>
      <w:rPr>
        <w:rFonts w:ascii="Symbol" w:hAnsi="Symbol" w:hint="default"/>
      </w:rPr>
    </w:lvl>
    <w:lvl w:ilvl="2" w:tplc="34AAAF26">
      <w:start w:val="1"/>
      <w:numFmt w:val="bullet"/>
      <w:lvlText w:val=""/>
      <w:lvlJc w:val="left"/>
      <w:pPr>
        <w:ind w:left="2160" w:hanging="360"/>
      </w:pPr>
      <w:rPr>
        <w:rFonts w:ascii="Wingdings" w:hAnsi="Wingdings" w:hint="default"/>
      </w:rPr>
    </w:lvl>
    <w:lvl w:ilvl="3" w:tplc="E32EE762">
      <w:start w:val="1"/>
      <w:numFmt w:val="bullet"/>
      <w:lvlText w:val=""/>
      <w:lvlJc w:val="left"/>
      <w:pPr>
        <w:ind w:left="2880" w:hanging="360"/>
      </w:pPr>
      <w:rPr>
        <w:rFonts w:ascii="Symbol" w:hAnsi="Symbol" w:hint="default"/>
      </w:rPr>
    </w:lvl>
    <w:lvl w:ilvl="4" w:tplc="2D06855C">
      <w:start w:val="1"/>
      <w:numFmt w:val="bullet"/>
      <w:lvlText w:val="o"/>
      <w:lvlJc w:val="left"/>
      <w:pPr>
        <w:ind w:left="3600" w:hanging="360"/>
      </w:pPr>
      <w:rPr>
        <w:rFonts w:ascii="Courier New" w:hAnsi="Courier New" w:hint="default"/>
      </w:rPr>
    </w:lvl>
    <w:lvl w:ilvl="5" w:tplc="A9E07988">
      <w:start w:val="1"/>
      <w:numFmt w:val="bullet"/>
      <w:lvlText w:val=""/>
      <w:lvlJc w:val="left"/>
      <w:pPr>
        <w:ind w:left="4320" w:hanging="360"/>
      </w:pPr>
      <w:rPr>
        <w:rFonts w:ascii="Wingdings" w:hAnsi="Wingdings" w:hint="default"/>
      </w:rPr>
    </w:lvl>
    <w:lvl w:ilvl="6" w:tplc="C99268A6">
      <w:start w:val="1"/>
      <w:numFmt w:val="bullet"/>
      <w:lvlText w:val=""/>
      <w:lvlJc w:val="left"/>
      <w:pPr>
        <w:ind w:left="5040" w:hanging="360"/>
      </w:pPr>
      <w:rPr>
        <w:rFonts w:ascii="Symbol" w:hAnsi="Symbol" w:hint="default"/>
      </w:rPr>
    </w:lvl>
    <w:lvl w:ilvl="7" w:tplc="48D699C4">
      <w:start w:val="1"/>
      <w:numFmt w:val="bullet"/>
      <w:lvlText w:val="o"/>
      <w:lvlJc w:val="left"/>
      <w:pPr>
        <w:ind w:left="5760" w:hanging="360"/>
      </w:pPr>
      <w:rPr>
        <w:rFonts w:ascii="Courier New" w:hAnsi="Courier New" w:hint="default"/>
      </w:rPr>
    </w:lvl>
    <w:lvl w:ilvl="8" w:tplc="7BAA9F6E">
      <w:start w:val="1"/>
      <w:numFmt w:val="bullet"/>
      <w:lvlText w:val=""/>
      <w:lvlJc w:val="left"/>
      <w:pPr>
        <w:ind w:left="6480" w:hanging="360"/>
      </w:pPr>
      <w:rPr>
        <w:rFonts w:ascii="Wingdings" w:hAnsi="Wingdings" w:hint="default"/>
      </w:rPr>
    </w:lvl>
  </w:abstractNum>
  <w:abstractNum w:abstractNumId="21" w15:restartNumberingAfterBreak="0">
    <w:nsid w:val="61A82B7D"/>
    <w:multiLevelType w:val="hybridMultilevel"/>
    <w:tmpl w:val="0CBE1408"/>
    <w:lvl w:ilvl="0" w:tplc="CFD0F058">
      <w:start w:val="1"/>
      <w:numFmt w:val="bullet"/>
      <w:lvlText w:val=""/>
      <w:lvlJc w:val="left"/>
      <w:pPr>
        <w:ind w:left="720" w:hanging="360"/>
      </w:pPr>
      <w:rPr>
        <w:rFonts w:ascii="Symbol" w:hAnsi="Symbol" w:hint="default"/>
      </w:rPr>
    </w:lvl>
    <w:lvl w:ilvl="1" w:tplc="253E1EAA">
      <w:start w:val="1"/>
      <w:numFmt w:val="bullet"/>
      <w:lvlText w:val=""/>
      <w:lvlJc w:val="left"/>
      <w:pPr>
        <w:ind w:left="1440" w:hanging="360"/>
      </w:pPr>
      <w:rPr>
        <w:rFonts w:ascii="Symbol" w:hAnsi="Symbol" w:hint="default"/>
      </w:rPr>
    </w:lvl>
    <w:lvl w:ilvl="2" w:tplc="B35A0D24">
      <w:start w:val="1"/>
      <w:numFmt w:val="bullet"/>
      <w:lvlText w:val=""/>
      <w:lvlJc w:val="left"/>
      <w:pPr>
        <w:ind w:left="2160" w:hanging="360"/>
      </w:pPr>
      <w:rPr>
        <w:rFonts w:ascii="Symbol" w:hAnsi="Symbol" w:hint="default"/>
      </w:rPr>
    </w:lvl>
    <w:lvl w:ilvl="3" w:tplc="65E0A26A">
      <w:start w:val="1"/>
      <w:numFmt w:val="bullet"/>
      <w:lvlText w:val=""/>
      <w:lvlJc w:val="left"/>
      <w:pPr>
        <w:ind w:left="2880" w:hanging="360"/>
      </w:pPr>
      <w:rPr>
        <w:rFonts w:ascii="Symbol" w:hAnsi="Symbol" w:hint="default"/>
      </w:rPr>
    </w:lvl>
    <w:lvl w:ilvl="4" w:tplc="4BFC5BE4">
      <w:start w:val="1"/>
      <w:numFmt w:val="bullet"/>
      <w:lvlText w:val="o"/>
      <w:lvlJc w:val="left"/>
      <w:pPr>
        <w:ind w:left="3600" w:hanging="360"/>
      </w:pPr>
      <w:rPr>
        <w:rFonts w:ascii="Courier New" w:hAnsi="Courier New" w:hint="default"/>
      </w:rPr>
    </w:lvl>
    <w:lvl w:ilvl="5" w:tplc="C122E3FC">
      <w:start w:val="1"/>
      <w:numFmt w:val="bullet"/>
      <w:lvlText w:val=""/>
      <w:lvlJc w:val="left"/>
      <w:pPr>
        <w:ind w:left="4320" w:hanging="360"/>
      </w:pPr>
      <w:rPr>
        <w:rFonts w:ascii="Wingdings" w:hAnsi="Wingdings" w:hint="default"/>
      </w:rPr>
    </w:lvl>
    <w:lvl w:ilvl="6" w:tplc="D2EC3D74">
      <w:start w:val="1"/>
      <w:numFmt w:val="bullet"/>
      <w:lvlText w:val=""/>
      <w:lvlJc w:val="left"/>
      <w:pPr>
        <w:ind w:left="5040" w:hanging="360"/>
      </w:pPr>
      <w:rPr>
        <w:rFonts w:ascii="Symbol" w:hAnsi="Symbol" w:hint="default"/>
      </w:rPr>
    </w:lvl>
    <w:lvl w:ilvl="7" w:tplc="D7AA4992">
      <w:start w:val="1"/>
      <w:numFmt w:val="bullet"/>
      <w:lvlText w:val="o"/>
      <w:lvlJc w:val="left"/>
      <w:pPr>
        <w:ind w:left="5760" w:hanging="360"/>
      </w:pPr>
      <w:rPr>
        <w:rFonts w:ascii="Courier New" w:hAnsi="Courier New" w:hint="default"/>
      </w:rPr>
    </w:lvl>
    <w:lvl w:ilvl="8" w:tplc="D80A81F0">
      <w:start w:val="1"/>
      <w:numFmt w:val="bullet"/>
      <w:lvlText w:val=""/>
      <w:lvlJc w:val="left"/>
      <w:pPr>
        <w:ind w:left="6480" w:hanging="360"/>
      </w:pPr>
      <w:rPr>
        <w:rFonts w:ascii="Wingdings" w:hAnsi="Wingdings" w:hint="default"/>
      </w:rPr>
    </w:lvl>
  </w:abstractNum>
  <w:abstractNum w:abstractNumId="22" w15:restartNumberingAfterBreak="0">
    <w:nsid w:val="641E1F5B"/>
    <w:multiLevelType w:val="hybridMultilevel"/>
    <w:tmpl w:val="3066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804BEE"/>
    <w:multiLevelType w:val="hybridMultilevel"/>
    <w:tmpl w:val="77903574"/>
    <w:lvl w:ilvl="0" w:tplc="03648474">
      <w:start w:val="1"/>
      <w:numFmt w:val="bullet"/>
      <w:lvlText w:val=""/>
      <w:lvlJc w:val="left"/>
      <w:pPr>
        <w:ind w:left="720" w:hanging="360"/>
      </w:pPr>
      <w:rPr>
        <w:rFonts w:ascii="Symbol" w:hAnsi="Symbol" w:hint="default"/>
      </w:rPr>
    </w:lvl>
    <w:lvl w:ilvl="1" w:tplc="F8D0DB8A">
      <w:start w:val="1"/>
      <w:numFmt w:val="bullet"/>
      <w:lvlText w:val="o"/>
      <w:lvlJc w:val="left"/>
      <w:pPr>
        <w:ind w:left="1440" w:hanging="360"/>
      </w:pPr>
      <w:rPr>
        <w:rFonts w:ascii="Courier New" w:hAnsi="Courier New" w:hint="default"/>
      </w:rPr>
    </w:lvl>
    <w:lvl w:ilvl="2" w:tplc="BD921068">
      <w:start w:val="1"/>
      <w:numFmt w:val="bullet"/>
      <w:lvlText w:val=""/>
      <w:lvlJc w:val="left"/>
      <w:pPr>
        <w:ind w:left="2160" w:hanging="360"/>
      </w:pPr>
      <w:rPr>
        <w:rFonts w:ascii="Wingdings" w:hAnsi="Wingdings" w:hint="default"/>
      </w:rPr>
    </w:lvl>
    <w:lvl w:ilvl="3" w:tplc="BF5477B2">
      <w:start w:val="1"/>
      <w:numFmt w:val="bullet"/>
      <w:lvlText w:val=""/>
      <w:lvlJc w:val="left"/>
      <w:pPr>
        <w:ind w:left="2880" w:hanging="360"/>
      </w:pPr>
      <w:rPr>
        <w:rFonts w:ascii="Symbol" w:hAnsi="Symbol" w:hint="default"/>
      </w:rPr>
    </w:lvl>
    <w:lvl w:ilvl="4" w:tplc="594407E0">
      <w:start w:val="1"/>
      <w:numFmt w:val="bullet"/>
      <w:lvlText w:val="o"/>
      <w:lvlJc w:val="left"/>
      <w:pPr>
        <w:ind w:left="3600" w:hanging="360"/>
      </w:pPr>
      <w:rPr>
        <w:rFonts w:ascii="Courier New" w:hAnsi="Courier New" w:hint="default"/>
      </w:rPr>
    </w:lvl>
    <w:lvl w:ilvl="5" w:tplc="59DCCA64">
      <w:start w:val="1"/>
      <w:numFmt w:val="bullet"/>
      <w:lvlText w:val=""/>
      <w:lvlJc w:val="left"/>
      <w:pPr>
        <w:ind w:left="4320" w:hanging="360"/>
      </w:pPr>
      <w:rPr>
        <w:rFonts w:ascii="Wingdings" w:hAnsi="Wingdings" w:hint="default"/>
      </w:rPr>
    </w:lvl>
    <w:lvl w:ilvl="6" w:tplc="E64445B6">
      <w:start w:val="1"/>
      <w:numFmt w:val="bullet"/>
      <w:lvlText w:val=""/>
      <w:lvlJc w:val="left"/>
      <w:pPr>
        <w:ind w:left="5040" w:hanging="360"/>
      </w:pPr>
      <w:rPr>
        <w:rFonts w:ascii="Symbol" w:hAnsi="Symbol" w:hint="default"/>
      </w:rPr>
    </w:lvl>
    <w:lvl w:ilvl="7" w:tplc="CFB63264">
      <w:start w:val="1"/>
      <w:numFmt w:val="bullet"/>
      <w:lvlText w:val="o"/>
      <w:lvlJc w:val="left"/>
      <w:pPr>
        <w:ind w:left="5760" w:hanging="360"/>
      </w:pPr>
      <w:rPr>
        <w:rFonts w:ascii="Courier New" w:hAnsi="Courier New" w:hint="default"/>
      </w:rPr>
    </w:lvl>
    <w:lvl w:ilvl="8" w:tplc="6CFEC7B6">
      <w:start w:val="1"/>
      <w:numFmt w:val="bullet"/>
      <w:lvlText w:val=""/>
      <w:lvlJc w:val="left"/>
      <w:pPr>
        <w:ind w:left="6480" w:hanging="360"/>
      </w:pPr>
      <w:rPr>
        <w:rFonts w:ascii="Wingdings" w:hAnsi="Wingdings" w:hint="default"/>
      </w:rPr>
    </w:lvl>
  </w:abstractNum>
  <w:abstractNum w:abstractNumId="24" w15:restartNumberingAfterBreak="0">
    <w:nsid w:val="6EF9126C"/>
    <w:multiLevelType w:val="hybridMultilevel"/>
    <w:tmpl w:val="BA54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21"/>
  </w:num>
  <w:num w:numId="4">
    <w:abstractNumId w:val="10"/>
  </w:num>
  <w:num w:numId="5">
    <w:abstractNumId w:val="0"/>
  </w:num>
  <w:num w:numId="6">
    <w:abstractNumId w:val="11"/>
  </w:num>
  <w:num w:numId="7">
    <w:abstractNumId w:val="13"/>
  </w:num>
  <w:num w:numId="8">
    <w:abstractNumId w:val="8"/>
  </w:num>
  <w:num w:numId="9">
    <w:abstractNumId w:val="24"/>
  </w:num>
  <w:num w:numId="10">
    <w:abstractNumId w:val="5"/>
  </w:num>
  <w:num w:numId="11">
    <w:abstractNumId w:val="3"/>
  </w:num>
  <w:num w:numId="12">
    <w:abstractNumId w:val="17"/>
  </w:num>
  <w:num w:numId="13">
    <w:abstractNumId w:val="6"/>
  </w:num>
  <w:num w:numId="14">
    <w:abstractNumId w:val="1"/>
  </w:num>
  <w:num w:numId="15">
    <w:abstractNumId w:val="9"/>
  </w:num>
  <w:num w:numId="16">
    <w:abstractNumId w:val="2"/>
  </w:num>
  <w:num w:numId="17">
    <w:abstractNumId w:val="7"/>
  </w:num>
  <w:num w:numId="18">
    <w:abstractNumId w:val="23"/>
  </w:num>
  <w:num w:numId="19">
    <w:abstractNumId w:val="19"/>
  </w:num>
  <w:num w:numId="20">
    <w:abstractNumId w:val="18"/>
  </w:num>
  <w:num w:numId="21">
    <w:abstractNumId w:val="12"/>
  </w:num>
  <w:num w:numId="22">
    <w:abstractNumId w:val="4"/>
  </w:num>
  <w:num w:numId="23">
    <w:abstractNumId w:val="14"/>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6D"/>
    <w:rsid w:val="000001F8"/>
    <w:rsid w:val="0000029C"/>
    <w:rsid w:val="0000071D"/>
    <w:rsid w:val="000020B8"/>
    <w:rsid w:val="00003ABA"/>
    <w:rsid w:val="00006633"/>
    <w:rsid w:val="00006703"/>
    <w:rsid w:val="00010168"/>
    <w:rsid w:val="00011EA3"/>
    <w:rsid w:val="00013006"/>
    <w:rsid w:val="00013F4B"/>
    <w:rsid w:val="00014DBD"/>
    <w:rsid w:val="000177AB"/>
    <w:rsid w:val="00017938"/>
    <w:rsid w:val="00020206"/>
    <w:rsid w:val="000211D9"/>
    <w:rsid w:val="00021D31"/>
    <w:rsid w:val="00023466"/>
    <w:rsid w:val="000239E0"/>
    <w:rsid w:val="00023F94"/>
    <w:rsid w:val="00025467"/>
    <w:rsid w:val="00026FFE"/>
    <w:rsid w:val="000359E6"/>
    <w:rsid w:val="00040D96"/>
    <w:rsid w:val="000415A1"/>
    <w:rsid w:val="000418F4"/>
    <w:rsid w:val="00042336"/>
    <w:rsid w:val="00042A16"/>
    <w:rsid w:val="00046237"/>
    <w:rsid w:val="00047AE5"/>
    <w:rsid w:val="00056C28"/>
    <w:rsid w:val="00061082"/>
    <w:rsid w:val="000623B4"/>
    <w:rsid w:val="00065040"/>
    <w:rsid w:val="0006611F"/>
    <w:rsid w:val="00071399"/>
    <w:rsid w:val="0007557B"/>
    <w:rsid w:val="00080FF9"/>
    <w:rsid w:val="00082EBC"/>
    <w:rsid w:val="000835EF"/>
    <w:rsid w:val="0008530B"/>
    <w:rsid w:val="000871BB"/>
    <w:rsid w:val="000872F5"/>
    <w:rsid w:val="00087FB2"/>
    <w:rsid w:val="00090CEC"/>
    <w:rsid w:val="000929DC"/>
    <w:rsid w:val="0009707D"/>
    <w:rsid w:val="000B4126"/>
    <w:rsid w:val="000B5CDB"/>
    <w:rsid w:val="000B78CE"/>
    <w:rsid w:val="000C22D7"/>
    <w:rsid w:val="000C3048"/>
    <w:rsid w:val="000C350E"/>
    <w:rsid w:val="000C480C"/>
    <w:rsid w:val="000C557F"/>
    <w:rsid w:val="000C69C0"/>
    <w:rsid w:val="000D01A8"/>
    <w:rsid w:val="000D1971"/>
    <w:rsid w:val="000D2C0E"/>
    <w:rsid w:val="000D66EA"/>
    <w:rsid w:val="000E4B75"/>
    <w:rsid w:val="000E615D"/>
    <w:rsid w:val="000E6244"/>
    <w:rsid w:val="000E754A"/>
    <w:rsid w:val="000F3EB2"/>
    <w:rsid w:val="000F789C"/>
    <w:rsid w:val="00105074"/>
    <w:rsid w:val="001052E5"/>
    <w:rsid w:val="0010540B"/>
    <w:rsid w:val="001103A1"/>
    <w:rsid w:val="00111592"/>
    <w:rsid w:val="00112C18"/>
    <w:rsid w:val="0011379B"/>
    <w:rsid w:val="00115FBF"/>
    <w:rsid w:val="0011790A"/>
    <w:rsid w:val="00123379"/>
    <w:rsid w:val="00123587"/>
    <w:rsid w:val="00125D77"/>
    <w:rsid w:val="001308FA"/>
    <w:rsid w:val="00131A46"/>
    <w:rsid w:val="00131BEF"/>
    <w:rsid w:val="00131D77"/>
    <w:rsid w:val="001333CC"/>
    <w:rsid w:val="00135EDF"/>
    <w:rsid w:val="00137321"/>
    <w:rsid w:val="0014313C"/>
    <w:rsid w:val="00143505"/>
    <w:rsid w:val="0014404C"/>
    <w:rsid w:val="001535EA"/>
    <w:rsid w:val="001538E6"/>
    <w:rsid w:val="00154625"/>
    <w:rsid w:val="00155016"/>
    <w:rsid w:val="0015672E"/>
    <w:rsid w:val="001601D3"/>
    <w:rsid w:val="00164E00"/>
    <w:rsid w:val="00165C43"/>
    <w:rsid w:val="001661F7"/>
    <w:rsid w:val="00170D1B"/>
    <w:rsid w:val="00175795"/>
    <w:rsid w:val="00181362"/>
    <w:rsid w:val="00182E67"/>
    <w:rsid w:val="00184922"/>
    <w:rsid w:val="00184FDB"/>
    <w:rsid w:val="001853B3"/>
    <w:rsid w:val="00186568"/>
    <w:rsid w:val="001877BA"/>
    <w:rsid w:val="00194088"/>
    <w:rsid w:val="0019541D"/>
    <w:rsid w:val="00196380"/>
    <w:rsid w:val="001964DF"/>
    <w:rsid w:val="001A087F"/>
    <w:rsid w:val="001A105D"/>
    <w:rsid w:val="001A1387"/>
    <w:rsid w:val="001A5378"/>
    <w:rsid w:val="001A6109"/>
    <w:rsid w:val="001A685A"/>
    <w:rsid w:val="001B1638"/>
    <w:rsid w:val="001B2F1F"/>
    <w:rsid w:val="001B416E"/>
    <w:rsid w:val="001B796B"/>
    <w:rsid w:val="001C14E6"/>
    <w:rsid w:val="001C27E3"/>
    <w:rsid w:val="001C2C3E"/>
    <w:rsid w:val="001C3555"/>
    <w:rsid w:val="001C6A88"/>
    <w:rsid w:val="001D3438"/>
    <w:rsid w:val="001D3442"/>
    <w:rsid w:val="001D4DCF"/>
    <w:rsid w:val="001D50A2"/>
    <w:rsid w:val="001D59DD"/>
    <w:rsid w:val="001D639E"/>
    <w:rsid w:val="001D6A83"/>
    <w:rsid w:val="001E1E4A"/>
    <w:rsid w:val="001E213E"/>
    <w:rsid w:val="001E3107"/>
    <w:rsid w:val="001E4D09"/>
    <w:rsid w:val="001E7476"/>
    <w:rsid w:val="001F02BF"/>
    <w:rsid w:val="001F307B"/>
    <w:rsid w:val="001F3A86"/>
    <w:rsid w:val="001F4834"/>
    <w:rsid w:val="001F7CCF"/>
    <w:rsid w:val="001F7DF9"/>
    <w:rsid w:val="0020014B"/>
    <w:rsid w:val="00200A5A"/>
    <w:rsid w:val="00201676"/>
    <w:rsid w:val="002029AC"/>
    <w:rsid w:val="00206D54"/>
    <w:rsid w:val="00211C0E"/>
    <w:rsid w:val="0021240A"/>
    <w:rsid w:val="0021335C"/>
    <w:rsid w:val="002134FA"/>
    <w:rsid w:val="00213AFC"/>
    <w:rsid w:val="00213B7A"/>
    <w:rsid w:val="00214DA6"/>
    <w:rsid w:val="002163A8"/>
    <w:rsid w:val="002201FA"/>
    <w:rsid w:val="002225B0"/>
    <w:rsid w:val="00222C98"/>
    <w:rsid w:val="00222F77"/>
    <w:rsid w:val="0022380F"/>
    <w:rsid w:val="00226611"/>
    <w:rsid w:val="002331E6"/>
    <w:rsid w:val="00234B50"/>
    <w:rsid w:val="00235570"/>
    <w:rsid w:val="00241441"/>
    <w:rsid w:val="00247192"/>
    <w:rsid w:val="0025233A"/>
    <w:rsid w:val="002543E4"/>
    <w:rsid w:val="00256615"/>
    <w:rsid w:val="00263797"/>
    <w:rsid w:val="0026423B"/>
    <w:rsid w:val="002704AE"/>
    <w:rsid w:val="002707CB"/>
    <w:rsid w:val="002721C2"/>
    <w:rsid w:val="00272B7B"/>
    <w:rsid w:val="00272C22"/>
    <w:rsid w:val="002738C1"/>
    <w:rsid w:val="002743D2"/>
    <w:rsid w:val="0028120A"/>
    <w:rsid w:val="00281BCB"/>
    <w:rsid w:val="002830CA"/>
    <w:rsid w:val="00285AF0"/>
    <w:rsid w:val="00286F39"/>
    <w:rsid w:val="00287346"/>
    <w:rsid w:val="0029469F"/>
    <w:rsid w:val="002A1D47"/>
    <w:rsid w:val="002A25C0"/>
    <w:rsid w:val="002A3795"/>
    <w:rsid w:val="002A3B9F"/>
    <w:rsid w:val="002A51C6"/>
    <w:rsid w:val="002A6D4D"/>
    <w:rsid w:val="002A7CE0"/>
    <w:rsid w:val="002B17AE"/>
    <w:rsid w:val="002B2C09"/>
    <w:rsid w:val="002B4E30"/>
    <w:rsid w:val="002B722D"/>
    <w:rsid w:val="002C1486"/>
    <w:rsid w:val="002C50FD"/>
    <w:rsid w:val="002C5873"/>
    <w:rsid w:val="002D3087"/>
    <w:rsid w:val="002D49EC"/>
    <w:rsid w:val="002E5CAD"/>
    <w:rsid w:val="002E5D04"/>
    <w:rsid w:val="002E7880"/>
    <w:rsid w:val="002F1DFD"/>
    <w:rsid w:val="002F42D4"/>
    <w:rsid w:val="002F7275"/>
    <w:rsid w:val="002F7C58"/>
    <w:rsid w:val="003017D6"/>
    <w:rsid w:val="00301EBE"/>
    <w:rsid w:val="00303338"/>
    <w:rsid w:val="0031056F"/>
    <w:rsid w:val="0031064E"/>
    <w:rsid w:val="00311B4A"/>
    <w:rsid w:val="00312898"/>
    <w:rsid w:val="00313A6F"/>
    <w:rsid w:val="00317A55"/>
    <w:rsid w:val="00320F59"/>
    <w:rsid w:val="00321F85"/>
    <w:rsid w:val="003235BF"/>
    <w:rsid w:val="00326834"/>
    <w:rsid w:val="00327B9B"/>
    <w:rsid w:val="003311EA"/>
    <w:rsid w:val="00334FFD"/>
    <w:rsid w:val="00335EA3"/>
    <w:rsid w:val="00335EFD"/>
    <w:rsid w:val="0033697C"/>
    <w:rsid w:val="00337A57"/>
    <w:rsid w:val="00344661"/>
    <w:rsid w:val="003456F5"/>
    <w:rsid w:val="00345F5F"/>
    <w:rsid w:val="003513E7"/>
    <w:rsid w:val="00354D7B"/>
    <w:rsid w:val="003560A7"/>
    <w:rsid w:val="0035650B"/>
    <w:rsid w:val="00356A0F"/>
    <w:rsid w:val="0035708D"/>
    <w:rsid w:val="00364815"/>
    <w:rsid w:val="00370DC7"/>
    <w:rsid w:val="00371C5B"/>
    <w:rsid w:val="00372B23"/>
    <w:rsid w:val="00376655"/>
    <w:rsid w:val="00376BB2"/>
    <w:rsid w:val="00377E5E"/>
    <w:rsid w:val="00377F99"/>
    <w:rsid w:val="00383C39"/>
    <w:rsid w:val="00384DA0"/>
    <w:rsid w:val="00386E75"/>
    <w:rsid w:val="0038747B"/>
    <w:rsid w:val="00390823"/>
    <w:rsid w:val="003948C9"/>
    <w:rsid w:val="00395BF9"/>
    <w:rsid w:val="003A1B55"/>
    <w:rsid w:val="003A1EB0"/>
    <w:rsid w:val="003A730A"/>
    <w:rsid w:val="003A7CFE"/>
    <w:rsid w:val="003B0F45"/>
    <w:rsid w:val="003B1153"/>
    <w:rsid w:val="003B346E"/>
    <w:rsid w:val="003B4738"/>
    <w:rsid w:val="003B62A1"/>
    <w:rsid w:val="003B6D04"/>
    <w:rsid w:val="003B74DB"/>
    <w:rsid w:val="003BEEE0"/>
    <w:rsid w:val="003C335B"/>
    <w:rsid w:val="003C7097"/>
    <w:rsid w:val="003D1145"/>
    <w:rsid w:val="003D1ADD"/>
    <w:rsid w:val="003D2FA9"/>
    <w:rsid w:val="003D3EA8"/>
    <w:rsid w:val="003D43CA"/>
    <w:rsid w:val="003E3BC7"/>
    <w:rsid w:val="003E3E44"/>
    <w:rsid w:val="003E42FC"/>
    <w:rsid w:val="003E4852"/>
    <w:rsid w:val="003E5F2A"/>
    <w:rsid w:val="003E908E"/>
    <w:rsid w:val="003F2CE5"/>
    <w:rsid w:val="003F33D1"/>
    <w:rsid w:val="003F4811"/>
    <w:rsid w:val="003F7332"/>
    <w:rsid w:val="0040432B"/>
    <w:rsid w:val="00406324"/>
    <w:rsid w:val="0041046F"/>
    <w:rsid w:val="00411061"/>
    <w:rsid w:val="00411F4E"/>
    <w:rsid w:val="00420E32"/>
    <w:rsid w:val="00422AFD"/>
    <w:rsid w:val="004239E5"/>
    <w:rsid w:val="0042513E"/>
    <w:rsid w:val="00426EEF"/>
    <w:rsid w:val="004282B6"/>
    <w:rsid w:val="00430195"/>
    <w:rsid w:val="00430D06"/>
    <w:rsid w:val="00441EDD"/>
    <w:rsid w:val="0044300B"/>
    <w:rsid w:val="00443465"/>
    <w:rsid w:val="0044386D"/>
    <w:rsid w:val="00443F67"/>
    <w:rsid w:val="0044616E"/>
    <w:rsid w:val="00446D1A"/>
    <w:rsid w:val="00446DCB"/>
    <w:rsid w:val="00447E4E"/>
    <w:rsid w:val="00450BDE"/>
    <w:rsid w:val="004521D5"/>
    <w:rsid w:val="004555A0"/>
    <w:rsid w:val="004575E2"/>
    <w:rsid w:val="00457AC9"/>
    <w:rsid w:val="0046003E"/>
    <w:rsid w:val="0046345A"/>
    <w:rsid w:val="00463E69"/>
    <w:rsid w:val="00463FD9"/>
    <w:rsid w:val="004725B7"/>
    <w:rsid w:val="00472C31"/>
    <w:rsid w:val="00474027"/>
    <w:rsid w:val="00474252"/>
    <w:rsid w:val="0047457B"/>
    <w:rsid w:val="004769FD"/>
    <w:rsid w:val="00480598"/>
    <w:rsid w:val="0048373A"/>
    <w:rsid w:val="00485027"/>
    <w:rsid w:val="0048520C"/>
    <w:rsid w:val="0049025A"/>
    <w:rsid w:val="00490AC7"/>
    <w:rsid w:val="00490C3E"/>
    <w:rsid w:val="004917DE"/>
    <w:rsid w:val="00492D64"/>
    <w:rsid w:val="00494880"/>
    <w:rsid w:val="00494E3A"/>
    <w:rsid w:val="00495042"/>
    <w:rsid w:val="004A01C3"/>
    <w:rsid w:val="004A11A2"/>
    <w:rsid w:val="004A36F8"/>
    <w:rsid w:val="004A6398"/>
    <w:rsid w:val="004B02AD"/>
    <w:rsid w:val="004B1D6A"/>
    <w:rsid w:val="004B2A67"/>
    <w:rsid w:val="004B4463"/>
    <w:rsid w:val="004C017F"/>
    <w:rsid w:val="004C3E5D"/>
    <w:rsid w:val="004C4137"/>
    <w:rsid w:val="004C4AEA"/>
    <w:rsid w:val="004C5735"/>
    <w:rsid w:val="004C5EDF"/>
    <w:rsid w:val="004D51DA"/>
    <w:rsid w:val="004D5AA3"/>
    <w:rsid w:val="004D6B47"/>
    <w:rsid w:val="004E2BE9"/>
    <w:rsid w:val="004F2EF1"/>
    <w:rsid w:val="004F305A"/>
    <w:rsid w:val="004F42A1"/>
    <w:rsid w:val="004F4A59"/>
    <w:rsid w:val="004F4F7A"/>
    <w:rsid w:val="004F5BAF"/>
    <w:rsid w:val="004F6338"/>
    <w:rsid w:val="004F6632"/>
    <w:rsid w:val="004F6985"/>
    <w:rsid w:val="004F7BA0"/>
    <w:rsid w:val="0050167F"/>
    <w:rsid w:val="0050324B"/>
    <w:rsid w:val="00504886"/>
    <w:rsid w:val="0050666D"/>
    <w:rsid w:val="00507B08"/>
    <w:rsid w:val="00515E6E"/>
    <w:rsid w:val="00515F24"/>
    <w:rsid w:val="00516726"/>
    <w:rsid w:val="00517AAB"/>
    <w:rsid w:val="00522A82"/>
    <w:rsid w:val="00522D6C"/>
    <w:rsid w:val="00524539"/>
    <w:rsid w:val="00535533"/>
    <w:rsid w:val="00537BF2"/>
    <w:rsid w:val="00542147"/>
    <w:rsid w:val="00544AD8"/>
    <w:rsid w:val="00546140"/>
    <w:rsid w:val="0054650B"/>
    <w:rsid w:val="00547389"/>
    <w:rsid w:val="005479C6"/>
    <w:rsid w:val="0055163C"/>
    <w:rsid w:val="00551715"/>
    <w:rsid w:val="00551CC8"/>
    <w:rsid w:val="00552664"/>
    <w:rsid w:val="005535B7"/>
    <w:rsid w:val="00553E1D"/>
    <w:rsid w:val="00554CEC"/>
    <w:rsid w:val="00555B8A"/>
    <w:rsid w:val="00562164"/>
    <w:rsid w:val="00565716"/>
    <w:rsid w:val="0056606E"/>
    <w:rsid w:val="0056610E"/>
    <w:rsid w:val="00571A95"/>
    <w:rsid w:val="00582232"/>
    <w:rsid w:val="00583643"/>
    <w:rsid w:val="00584E7A"/>
    <w:rsid w:val="005860D8"/>
    <w:rsid w:val="00587C5A"/>
    <w:rsid w:val="00587FBF"/>
    <w:rsid w:val="00590966"/>
    <w:rsid w:val="005922A4"/>
    <w:rsid w:val="00593773"/>
    <w:rsid w:val="005953A2"/>
    <w:rsid w:val="005957BC"/>
    <w:rsid w:val="00595DDF"/>
    <w:rsid w:val="00596902"/>
    <w:rsid w:val="00596D6B"/>
    <w:rsid w:val="005A04DC"/>
    <w:rsid w:val="005A0E91"/>
    <w:rsid w:val="005A1F08"/>
    <w:rsid w:val="005A23A8"/>
    <w:rsid w:val="005A2483"/>
    <w:rsid w:val="005A2D82"/>
    <w:rsid w:val="005A75F8"/>
    <w:rsid w:val="005B139A"/>
    <w:rsid w:val="005B4029"/>
    <w:rsid w:val="005B5DB3"/>
    <w:rsid w:val="005B635C"/>
    <w:rsid w:val="005B67FA"/>
    <w:rsid w:val="005C05EA"/>
    <w:rsid w:val="005C2012"/>
    <w:rsid w:val="005C2549"/>
    <w:rsid w:val="005C3C49"/>
    <w:rsid w:val="005C46DE"/>
    <w:rsid w:val="005C5C85"/>
    <w:rsid w:val="005C7F06"/>
    <w:rsid w:val="005D1116"/>
    <w:rsid w:val="005D17C2"/>
    <w:rsid w:val="005D1E22"/>
    <w:rsid w:val="005D35B1"/>
    <w:rsid w:val="005D3CE5"/>
    <w:rsid w:val="005D46F3"/>
    <w:rsid w:val="005D52CA"/>
    <w:rsid w:val="005D5F10"/>
    <w:rsid w:val="005D7134"/>
    <w:rsid w:val="005D7511"/>
    <w:rsid w:val="005E070C"/>
    <w:rsid w:val="005E0C00"/>
    <w:rsid w:val="005E1E61"/>
    <w:rsid w:val="005E4AA2"/>
    <w:rsid w:val="005E7BB3"/>
    <w:rsid w:val="005F0764"/>
    <w:rsid w:val="005F1046"/>
    <w:rsid w:val="005F1480"/>
    <w:rsid w:val="005F1EA2"/>
    <w:rsid w:val="005F27F5"/>
    <w:rsid w:val="005F689E"/>
    <w:rsid w:val="005F68C3"/>
    <w:rsid w:val="005F7065"/>
    <w:rsid w:val="0060617E"/>
    <w:rsid w:val="00606EE9"/>
    <w:rsid w:val="006107DC"/>
    <w:rsid w:val="00617825"/>
    <w:rsid w:val="006201E8"/>
    <w:rsid w:val="006243BA"/>
    <w:rsid w:val="00626614"/>
    <w:rsid w:val="006353D2"/>
    <w:rsid w:val="006354B1"/>
    <w:rsid w:val="00635ACD"/>
    <w:rsid w:val="00636CF2"/>
    <w:rsid w:val="00637B09"/>
    <w:rsid w:val="00637CA6"/>
    <w:rsid w:val="00640C0F"/>
    <w:rsid w:val="006421DE"/>
    <w:rsid w:val="00642238"/>
    <w:rsid w:val="00646DF7"/>
    <w:rsid w:val="00647771"/>
    <w:rsid w:val="0065059E"/>
    <w:rsid w:val="006538D7"/>
    <w:rsid w:val="00661281"/>
    <w:rsid w:val="0066380A"/>
    <w:rsid w:val="00670F2B"/>
    <w:rsid w:val="00671841"/>
    <w:rsid w:val="00675A4A"/>
    <w:rsid w:val="00676B3A"/>
    <w:rsid w:val="00676E16"/>
    <w:rsid w:val="006818ED"/>
    <w:rsid w:val="006818F2"/>
    <w:rsid w:val="006845E5"/>
    <w:rsid w:val="00685F04"/>
    <w:rsid w:val="0068622C"/>
    <w:rsid w:val="00686662"/>
    <w:rsid w:val="00693CE0"/>
    <w:rsid w:val="00694773"/>
    <w:rsid w:val="00695E76"/>
    <w:rsid w:val="00697D45"/>
    <w:rsid w:val="006A1E16"/>
    <w:rsid w:val="006A4D8E"/>
    <w:rsid w:val="006A4F6C"/>
    <w:rsid w:val="006A7BC2"/>
    <w:rsid w:val="006B018A"/>
    <w:rsid w:val="006B02B2"/>
    <w:rsid w:val="006B1832"/>
    <w:rsid w:val="006B265B"/>
    <w:rsid w:val="006B2700"/>
    <w:rsid w:val="006B2B21"/>
    <w:rsid w:val="006B43C4"/>
    <w:rsid w:val="006B4A6A"/>
    <w:rsid w:val="006C022B"/>
    <w:rsid w:val="006C06C8"/>
    <w:rsid w:val="006C2396"/>
    <w:rsid w:val="006C2899"/>
    <w:rsid w:val="006C5CC2"/>
    <w:rsid w:val="006C6876"/>
    <w:rsid w:val="006C6D4D"/>
    <w:rsid w:val="006D257A"/>
    <w:rsid w:val="006D3B2C"/>
    <w:rsid w:val="006D4C78"/>
    <w:rsid w:val="006D5881"/>
    <w:rsid w:val="006E0231"/>
    <w:rsid w:val="006E1EE1"/>
    <w:rsid w:val="006E227C"/>
    <w:rsid w:val="006E30D9"/>
    <w:rsid w:val="006E4CD2"/>
    <w:rsid w:val="006F12FB"/>
    <w:rsid w:val="006F1A22"/>
    <w:rsid w:val="006F2406"/>
    <w:rsid w:val="006F3C5C"/>
    <w:rsid w:val="006F456A"/>
    <w:rsid w:val="007009FB"/>
    <w:rsid w:val="0070208E"/>
    <w:rsid w:val="00702DD1"/>
    <w:rsid w:val="00702DDA"/>
    <w:rsid w:val="0071091E"/>
    <w:rsid w:val="00711808"/>
    <w:rsid w:val="00711CB5"/>
    <w:rsid w:val="0071249F"/>
    <w:rsid w:val="007177B6"/>
    <w:rsid w:val="00717B28"/>
    <w:rsid w:val="007223DF"/>
    <w:rsid w:val="00723012"/>
    <w:rsid w:val="00725CD7"/>
    <w:rsid w:val="00725F13"/>
    <w:rsid w:val="00726ECB"/>
    <w:rsid w:val="00727F65"/>
    <w:rsid w:val="00732354"/>
    <w:rsid w:val="007329F9"/>
    <w:rsid w:val="007330B7"/>
    <w:rsid w:val="007337FF"/>
    <w:rsid w:val="00737438"/>
    <w:rsid w:val="00740AC2"/>
    <w:rsid w:val="00743CE7"/>
    <w:rsid w:val="00751DAC"/>
    <w:rsid w:val="007521B6"/>
    <w:rsid w:val="00753D03"/>
    <w:rsid w:val="007578E9"/>
    <w:rsid w:val="00757AA4"/>
    <w:rsid w:val="007613F8"/>
    <w:rsid w:val="00761B9A"/>
    <w:rsid w:val="00762769"/>
    <w:rsid w:val="00764EE5"/>
    <w:rsid w:val="00770289"/>
    <w:rsid w:val="007723B6"/>
    <w:rsid w:val="00772E92"/>
    <w:rsid w:val="007737C6"/>
    <w:rsid w:val="00774DBF"/>
    <w:rsid w:val="0077535F"/>
    <w:rsid w:val="007762BC"/>
    <w:rsid w:val="00776548"/>
    <w:rsid w:val="007774BD"/>
    <w:rsid w:val="00777627"/>
    <w:rsid w:val="00782AD0"/>
    <w:rsid w:val="00785D23"/>
    <w:rsid w:val="00785D2F"/>
    <w:rsid w:val="00793BE5"/>
    <w:rsid w:val="00794A10"/>
    <w:rsid w:val="0079658A"/>
    <w:rsid w:val="007973FA"/>
    <w:rsid w:val="007A07B3"/>
    <w:rsid w:val="007A0A87"/>
    <w:rsid w:val="007A18D4"/>
    <w:rsid w:val="007A51C4"/>
    <w:rsid w:val="007A7ADE"/>
    <w:rsid w:val="007A7FF2"/>
    <w:rsid w:val="007B1722"/>
    <w:rsid w:val="007B3836"/>
    <w:rsid w:val="007B507E"/>
    <w:rsid w:val="007B5734"/>
    <w:rsid w:val="007B5EFA"/>
    <w:rsid w:val="007B70BB"/>
    <w:rsid w:val="007C52F1"/>
    <w:rsid w:val="007D10C0"/>
    <w:rsid w:val="007D1F6F"/>
    <w:rsid w:val="007D3EA9"/>
    <w:rsid w:val="007D6548"/>
    <w:rsid w:val="007E1FAA"/>
    <w:rsid w:val="007E2F74"/>
    <w:rsid w:val="007E585D"/>
    <w:rsid w:val="007E6B1F"/>
    <w:rsid w:val="007F1845"/>
    <w:rsid w:val="007F4F7E"/>
    <w:rsid w:val="007F87D7"/>
    <w:rsid w:val="008034A6"/>
    <w:rsid w:val="00803C9C"/>
    <w:rsid w:val="008044D1"/>
    <w:rsid w:val="00804F00"/>
    <w:rsid w:val="00805960"/>
    <w:rsid w:val="00806CAB"/>
    <w:rsid w:val="008074C8"/>
    <w:rsid w:val="0080B2FE"/>
    <w:rsid w:val="00814D24"/>
    <w:rsid w:val="008168E2"/>
    <w:rsid w:val="008168EA"/>
    <w:rsid w:val="00817A07"/>
    <w:rsid w:val="00824443"/>
    <w:rsid w:val="0082705D"/>
    <w:rsid w:val="00831180"/>
    <w:rsid w:val="00834CE3"/>
    <w:rsid w:val="00841AF0"/>
    <w:rsid w:val="008502E7"/>
    <w:rsid w:val="00851CF2"/>
    <w:rsid w:val="00853A8A"/>
    <w:rsid w:val="00854F7D"/>
    <w:rsid w:val="00861AEC"/>
    <w:rsid w:val="008646FB"/>
    <w:rsid w:val="00864DA2"/>
    <w:rsid w:val="0086638B"/>
    <w:rsid w:val="00867398"/>
    <w:rsid w:val="008766B1"/>
    <w:rsid w:val="00880D4C"/>
    <w:rsid w:val="008821FC"/>
    <w:rsid w:val="00882AA1"/>
    <w:rsid w:val="00882ADF"/>
    <w:rsid w:val="0088310A"/>
    <w:rsid w:val="008855D0"/>
    <w:rsid w:val="008865EB"/>
    <w:rsid w:val="0088664A"/>
    <w:rsid w:val="00886672"/>
    <w:rsid w:val="00886CD8"/>
    <w:rsid w:val="0088731E"/>
    <w:rsid w:val="00890EFD"/>
    <w:rsid w:val="008915C0"/>
    <w:rsid w:val="008948F4"/>
    <w:rsid w:val="008960B9"/>
    <w:rsid w:val="00896D2E"/>
    <w:rsid w:val="008A36D0"/>
    <w:rsid w:val="008A3CF7"/>
    <w:rsid w:val="008A76C4"/>
    <w:rsid w:val="008A7DF2"/>
    <w:rsid w:val="008B036D"/>
    <w:rsid w:val="008B21D1"/>
    <w:rsid w:val="008B5BAE"/>
    <w:rsid w:val="008B7DFE"/>
    <w:rsid w:val="008C22EE"/>
    <w:rsid w:val="008C268A"/>
    <w:rsid w:val="008C384E"/>
    <w:rsid w:val="008C450C"/>
    <w:rsid w:val="008C59EB"/>
    <w:rsid w:val="008C7AB8"/>
    <w:rsid w:val="008D141F"/>
    <w:rsid w:val="008D1535"/>
    <w:rsid w:val="008D3225"/>
    <w:rsid w:val="008D3314"/>
    <w:rsid w:val="008D4937"/>
    <w:rsid w:val="008D7C7F"/>
    <w:rsid w:val="008D7FB2"/>
    <w:rsid w:val="008E0C23"/>
    <w:rsid w:val="008E26F5"/>
    <w:rsid w:val="008E35A9"/>
    <w:rsid w:val="008E3A56"/>
    <w:rsid w:val="008E44DA"/>
    <w:rsid w:val="008E481C"/>
    <w:rsid w:val="008E5422"/>
    <w:rsid w:val="008E5CC3"/>
    <w:rsid w:val="008E726D"/>
    <w:rsid w:val="008F0246"/>
    <w:rsid w:val="008F2B84"/>
    <w:rsid w:val="008F495F"/>
    <w:rsid w:val="008F5386"/>
    <w:rsid w:val="009009DC"/>
    <w:rsid w:val="0090131E"/>
    <w:rsid w:val="00901531"/>
    <w:rsid w:val="00901A01"/>
    <w:rsid w:val="0090265B"/>
    <w:rsid w:val="00904F5B"/>
    <w:rsid w:val="009131BA"/>
    <w:rsid w:val="0091466B"/>
    <w:rsid w:val="009160FB"/>
    <w:rsid w:val="00920187"/>
    <w:rsid w:val="00920540"/>
    <w:rsid w:val="00922515"/>
    <w:rsid w:val="009257BF"/>
    <w:rsid w:val="00927423"/>
    <w:rsid w:val="00930706"/>
    <w:rsid w:val="0093243E"/>
    <w:rsid w:val="009328B7"/>
    <w:rsid w:val="00933074"/>
    <w:rsid w:val="00934F4B"/>
    <w:rsid w:val="00935864"/>
    <w:rsid w:val="00936B64"/>
    <w:rsid w:val="0093781E"/>
    <w:rsid w:val="00944DBE"/>
    <w:rsid w:val="00945516"/>
    <w:rsid w:val="009507BF"/>
    <w:rsid w:val="009563BE"/>
    <w:rsid w:val="00956D88"/>
    <w:rsid w:val="009604B3"/>
    <w:rsid w:val="00965AA1"/>
    <w:rsid w:val="009679AC"/>
    <w:rsid w:val="0096A7EA"/>
    <w:rsid w:val="00972E10"/>
    <w:rsid w:val="00973168"/>
    <w:rsid w:val="009747BB"/>
    <w:rsid w:val="0098082F"/>
    <w:rsid w:val="00981C16"/>
    <w:rsid w:val="00982304"/>
    <w:rsid w:val="00982E1F"/>
    <w:rsid w:val="0098623D"/>
    <w:rsid w:val="00986320"/>
    <w:rsid w:val="00987C57"/>
    <w:rsid w:val="00991042"/>
    <w:rsid w:val="00991723"/>
    <w:rsid w:val="0099203B"/>
    <w:rsid w:val="00992618"/>
    <w:rsid w:val="009967BA"/>
    <w:rsid w:val="009A068D"/>
    <w:rsid w:val="009A3D63"/>
    <w:rsid w:val="009A7BE7"/>
    <w:rsid w:val="009B0B54"/>
    <w:rsid w:val="009B1E99"/>
    <w:rsid w:val="009B3CBA"/>
    <w:rsid w:val="009B4E8E"/>
    <w:rsid w:val="009B4FE3"/>
    <w:rsid w:val="009B5240"/>
    <w:rsid w:val="009B67C0"/>
    <w:rsid w:val="009C1530"/>
    <w:rsid w:val="009C411E"/>
    <w:rsid w:val="009C4639"/>
    <w:rsid w:val="009C56A8"/>
    <w:rsid w:val="009C73E3"/>
    <w:rsid w:val="009C7585"/>
    <w:rsid w:val="009D3DF9"/>
    <w:rsid w:val="009D65B6"/>
    <w:rsid w:val="009D7DE3"/>
    <w:rsid w:val="009E0530"/>
    <w:rsid w:val="009E54D3"/>
    <w:rsid w:val="009E7665"/>
    <w:rsid w:val="009F30C8"/>
    <w:rsid w:val="009F3487"/>
    <w:rsid w:val="009F63E8"/>
    <w:rsid w:val="009F7063"/>
    <w:rsid w:val="00A01242"/>
    <w:rsid w:val="00A023A4"/>
    <w:rsid w:val="00A0267A"/>
    <w:rsid w:val="00A02F3D"/>
    <w:rsid w:val="00A0397B"/>
    <w:rsid w:val="00A05F4D"/>
    <w:rsid w:val="00A07C04"/>
    <w:rsid w:val="00A07D91"/>
    <w:rsid w:val="00A16CD9"/>
    <w:rsid w:val="00A176BD"/>
    <w:rsid w:val="00A237B5"/>
    <w:rsid w:val="00A26A06"/>
    <w:rsid w:val="00A26F51"/>
    <w:rsid w:val="00A30163"/>
    <w:rsid w:val="00A37CA9"/>
    <w:rsid w:val="00A4004E"/>
    <w:rsid w:val="00A40129"/>
    <w:rsid w:val="00A4064A"/>
    <w:rsid w:val="00A41208"/>
    <w:rsid w:val="00A4400A"/>
    <w:rsid w:val="00A45EC4"/>
    <w:rsid w:val="00A462E8"/>
    <w:rsid w:val="00A47331"/>
    <w:rsid w:val="00A513AA"/>
    <w:rsid w:val="00A52059"/>
    <w:rsid w:val="00A528C3"/>
    <w:rsid w:val="00A53D36"/>
    <w:rsid w:val="00A56428"/>
    <w:rsid w:val="00A5696D"/>
    <w:rsid w:val="00A56C23"/>
    <w:rsid w:val="00A61462"/>
    <w:rsid w:val="00A61548"/>
    <w:rsid w:val="00A6225E"/>
    <w:rsid w:val="00A63B11"/>
    <w:rsid w:val="00A63E13"/>
    <w:rsid w:val="00A65A51"/>
    <w:rsid w:val="00A6725C"/>
    <w:rsid w:val="00A717AF"/>
    <w:rsid w:val="00A76F0F"/>
    <w:rsid w:val="00A813DF"/>
    <w:rsid w:val="00A821A0"/>
    <w:rsid w:val="00A8501C"/>
    <w:rsid w:val="00A86B93"/>
    <w:rsid w:val="00A90350"/>
    <w:rsid w:val="00A95260"/>
    <w:rsid w:val="00A96890"/>
    <w:rsid w:val="00AA0C61"/>
    <w:rsid w:val="00AA2883"/>
    <w:rsid w:val="00AA4039"/>
    <w:rsid w:val="00AA5EF0"/>
    <w:rsid w:val="00AA66CC"/>
    <w:rsid w:val="00AA67C2"/>
    <w:rsid w:val="00AAD0E6"/>
    <w:rsid w:val="00AB0207"/>
    <w:rsid w:val="00AB0AF0"/>
    <w:rsid w:val="00AB1251"/>
    <w:rsid w:val="00AB1CA4"/>
    <w:rsid w:val="00AB251F"/>
    <w:rsid w:val="00AB26DD"/>
    <w:rsid w:val="00AB2E62"/>
    <w:rsid w:val="00AB2EA2"/>
    <w:rsid w:val="00AB34FB"/>
    <w:rsid w:val="00AB4BA7"/>
    <w:rsid w:val="00AC21A1"/>
    <w:rsid w:val="00AD0BC0"/>
    <w:rsid w:val="00AD2E96"/>
    <w:rsid w:val="00AD5E40"/>
    <w:rsid w:val="00AD6255"/>
    <w:rsid w:val="00AD6575"/>
    <w:rsid w:val="00AD69EF"/>
    <w:rsid w:val="00AD6DCA"/>
    <w:rsid w:val="00AE0B0C"/>
    <w:rsid w:val="00AE1E19"/>
    <w:rsid w:val="00AE30A5"/>
    <w:rsid w:val="00AE41DB"/>
    <w:rsid w:val="00AE42B2"/>
    <w:rsid w:val="00AE5CC2"/>
    <w:rsid w:val="00AE6307"/>
    <w:rsid w:val="00AE6E24"/>
    <w:rsid w:val="00AF0D25"/>
    <w:rsid w:val="00AF4EAB"/>
    <w:rsid w:val="00AF71B6"/>
    <w:rsid w:val="00B005A5"/>
    <w:rsid w:val="00B00AE3"/>
    <w:rsid w:val="00B04876"/>
    <w:rsid w:val="00B04C79"/>
    <w:rsid w:val="00B05B37"/>
    <w:rsid w:val="00B15F6A"/>
    <w:rsid w:val="00B161DD"/>
    <w:rsid w:val="00B222B2"/>
    <w:rsid w:val="00B23CC8"/>
    <w:rsid w:val="00B2486B"/>
    <w:rsid w:val="00B2689A"/>
    <w:rsid w:val="00B26DF7"/>
    <w:rsid w:val="00B272A6"/>
    <w:rsid w:val="00B30B5B"/>
    <w:rsid w:val="00B3230C"/>
    <w:rsid w:val="00B34E78"/>
    <w:rsid w:val="00B35407"/>
    <w:rsid w:val="00B409B7"/>
    <w:rsid w:val="00B41EEF"/>
    <w:rsid w:val="00B42EE5"/>
    <w:rsid w:val="00B45A14"/>
    <w:rsid w:val="00B46A02"/>
    <w:rsid w:val="00B46C00"/>
    <w:rsid w:val="00B51595"/>
    <w:rsid w:val="00B5351F"/>
    <w:rsid w:val="00B607F9"/>
    <w:rsid w:val="00B63136"/>
    <w:rsid w:val="00B64DCF"/>
    <w:rsid w:val="00B70EB5"/>
    <w:rsid w:val="00B73DFD"/>
    <w:rsid w:val="00B75214"/>
    <w:rsid w:val="00B8001A"/>
    <w:rsid w:val="00B800A2"/>
    <w:rsid w:val="00B80387"/>
    <w:rsid w:val="00B849FF"/>
    <w:rsid w:val="00B84F08"/>
    <w:rsid w:val="00B850CC"/>
    <w:rsid w:val="00B85CFC"/>
    <w:rsid w:val="00B85DA8"/>
    <w:rsid w:val="00B8606D"/>
    <w:rsid w:val="00B92BB5"/>
    <w:rsid w:val="00B93653"/>
    <w:rsid w:val="00B943A4"/>
    <w:rsid w:val="00B97442"/>
    <w:rsid w:val="00B97526"/>
    <w:rsid w:val="00BA00B8"/>
    <w:rsid w:val="00BA749F"/>
    <w:rsid w:val="00BA7FC8"/>
    <w:rsid w:val="00BB0AE1"/>
    <w:rsid w:val="00BB4813"/>
    <w:rsid w:val="00BB56FF"/>
    <w:rsid w:val="00BB6FF7"/>
    <w:rsid w:val="00BC2779"/>
    <w:rsid w:val="00BC5366"/>
    <w:rsid w:val="00BC5375"/>
    <w:rsid w:val="00BC6C2D"/>
    <w:rsid w:val="00BC7D4A"/>
    <w:rsid w:val="00BD0ED8"/>
    <w:rsid w:val="00BD53A3"/>
    <w:rsid w:val="00BE07C4"/>
    <w:rsid w:val="00BE68D4"/>
    <w:rsid w:val="00BE6CBE"/>
    <w:rsid w:val="00BE71D5"/>
    <w:rsid w:val="00BE7D8B"/>
    <w:rsid w:val="00BF4233"/>
    <w:rsid w:val="00BF4A12"/>
    <w:rsid w:val="00BF5047"/>
    <w:rsid w:val="00BF6404"/>
    <w:rsid w:val="00BF7177"/>
    <w:rsid w:val="00C009AA"/>
    <w:rsid w:val="00C00A66"/>
    <w:rsid w:val="00C02510"/>
    <w:rsid w:val="00C02762"/>
    <w:rsid w:val="00C02873"/>
    <w:rsid w:val="00C0341B"/>
    <w:rsid w:val="00C04773"/>
    <w:rsid w:val="00C05FB3"/>
    <w:rsid w:val="00C07770"/>
    <w:rsid w:val="00C12BA4"/>
    <w:rsid w:val="00C13F6B"/>
    <w:rsid w:val="00C219FE"/>
    <w:rsid w:val="00C2437B"/>
    <w:rsid w:val="00C24456"/>
    <w:rsid w:val="00C2498F"/>
    <w:rsid w:val="00C24E4A"/>
    <w:rsid w:val="00C276F3"/>
    <w:rsid w:val="00C303FC"/>
    <w:rsid w:val="00C31093"/>
    <w:rsid w:val="00C31EFE"/>
    <w:rsid w:val="00C32C95"/>
    <w:rsid w:val="00C34207"/>
    <w:rsid w:val="00C344FB"/>
    <w:rsid w:val="00C37B2C"/>
    <w:rsid w:val="00C41930"/>
    <w:rsid w:val="00C43439"/>
    <w:rsid w:val="00C45FD6"/>
    <w:rsid w:val="00C47DA6"/>
    <w:rsid w:val="00C51E0F"/>
    <w:rsid w:val="00C54CE3"/>
    <w:rsid w:val="00C54FE9"/>
    <w:rsid w:val="00C55DCB"/>
    <w:rsid w:val="00C5701F"/>
    <w:rsid w:val="00C67403"/>
    <w:rsid w:val="00C718DC"/>
    <w:rsid w:val="00C74766"/>
    <w:rsid w:val="00C74ECA"/>
    <w:rsid w:val="00C75209"/>
    <w:rsid w:val="00C80A65"/>
    <w:rsid w:val="00C861EE"/>
    <w:rsid w:val="00C87D98"/>
    <w:rsid w:val="00C900DE"/>
    <w:rsid w:val="00C91D68"/>
    <w:rsid w:val="00C92464"/>
    <w:rsid w:val="00C938B1"/>
    <w:rsid w:val="00C948B4"/>
    <w:rsid w:val="00CA0658"/>
    <w:rsid w:val="00CA091C"/>
    <w:rsid w:val="00CA2AB4"/>
    <w:rsid w:val="00CA366F"/>
    <w:rsid w:val="00CA40E1"/>
    <w:rsid w:val="00CA5C23"/>
    <w:rsid w:val="00CB0B3D"/>
    <w:rsid w:val="00CB0B82"/>
    <w:rsid w:val="00CB1886"/>
    <w:rsid w:val="00CB1E52"/>
    <w:rsid w:val="00CB2C83"/>
    <w:rsid w:val="00CB347B"/>
    <w:rsid w:val="00CB374E"/>
    <w:rsid w:val="00CB6BD0"/>
    <w:rsid w:val="00CC2E29"/>
    <w:rsid w:val="00CC32FA"/>
    <w:rsid w:val="00CC4BEE"/>
    <w:rsid w:val="00CC5E2B"/>
    <w:rsid w:val="00CD08B0"/>
    <w:rsid w:val="00CD4C72"/>
    <w:rsid w:val="00CD5B01"/>
    <w:rsid w:val="00CD6ED7"/>
    <w:rsid w:val="00CE025A"/>
    <w:rsid w:val="00CE1717"/>
    <w:rsid w:val="00CE2A12"/>
    <w:rsid w:val="00CE30BD"/>
    <w:rsid w:val="00CE355A"/>
    <w:rsid w:val="00CE67F2"/>
    <w:rsid w:val="00CE7D4C"/>
    <w:rsid w:val="00CF2818"/>
    <w:rsid w:val="00CF31CD"/>
    <w:rsid w:val="00CF5974"/>
    <w:rsid w:val="00CF6B62"/>
    <w:rsid w:val="00CF6F23"/>
    <w:rsid w:val="00D02A8E"/>
    <w:rsid w:val="00D06549"/>
    <w:rsid w:val="00D06D27"/>
    <w:rsid w:val="00D0700A"/>
    <w:rsid w:val="00D13496"/>
    <w:rsid w:val="00D142BE"/>
    <w:rsid w:val="00D1583F"/>
    <w:rsid w:val="00D201D0"/>
    <w:rsid w:val="00D2052B"/>
    <w:rsid w:val="00D2104F"/>
    <w:rsid w:val="00D26B72"/>
    <w:rsid w:val="00D27FB4"/>
    <w:rsid w:val="00D303A4"/>
    <w:rsid w:val="00D30566"/>
    <w:rsid w:val="00D308F3"/>
    <w:rsid w:val="00D30D7C"/>
    <w:rsid w:val="00D31249"/>
    <w:rsid w:val="00D31D55"/>
    <w:rsid w:val="00D3287F"/>
    <w:rsid w:val="00D36C4F"/>
    <w:rsid w:val="00D37FD6"/>
    <w:rsid w:val="00D42ACC"/>
    <w:rsid w:val="00D42AEE"/>
    <w:rsid w:val="00D43ED1"/>
    <w:rsid w:val="00D52081"/>
    <w:rsid w:val="00D5917A"/>
    <w:rsid w:val="00D61ADB"/>
    <w:rsid w:val="00D625A6"/>
    <w:rsid w:val="00D6443A"/>
    <w:rsid w:val="00D64A09"/>
    <w:rsid w:val="00D678DA"/>
    <w:rsid w:val="00D700B2"/>
    <w:rsid w:val="00D7055B"/>
    <w:rsid w:val="00D72467"/>
    <w:rsid w:val="00D729F2"/>
    <w:rsid w:val="00D7453B"/>
    <w:rsid w:val="00D747E3"/>
    <w:rsid w:val="00D748A7"/>
    <w:rsid w:val="00D816AD"/>
    <w:rsid w:val="00D81C91"/>
    <w:rsid w:val="00D82020"/>
    <w:rsid w:val="00D82DAA"/>
    <w:rsid w:val="00D8315F"/>
    <w:rsid w:val="00D8359C"/>
    <w:rsid w:val="00D85095"/>
    <w:rsid w:val="00D87C98"/>
    <w:rsid w:val="00D918AD"/>
    <w:rsid w:val="00D93B10"/>
    <w:rsid w:val="00D9691C"/>
    <w:rsid w:val="00DA02E4"/>
    <w:rsid w:val="00DA51E2"/>
    <w:rsid w:val="00DA67C0"/>
    <w:rsid w:val="00DA68DF"/>
    <w:rsid w:val="00DA6E23"/>
    <w:rsid w:val="00DB2F6B"/>
    <w:rsid w:val="00DB31D3"/>
    <w:rsid w:val="00DB4C86"/>
    <w:rsid w:val="00DB55B9"/>
    <w:rsid w:val="00DB6ADF"/>
    <w:rsid w:val="00DC059E"/>
    <w:rsid w:val="00DC2332"/>
    <w:rsid w:val="00DC24BE"/>
    <w:rsid w:val="00DC39D3"/>
    <w:rsid w:val="00DC3C30"/>
    <w:rsid w:val="00DC3C46"/>
    <w:rsid w:val="00DC5A48"/>
    <w:rsid w:val="00DC7B73"/>
    <w:rsid w:val="00DC7F26"/>
    <w:rsid w:val="00DC7FEA"/>
    <w:rsid w:val="00DD13B0"/>
    <w:rsid w:val="00DD2601"/>
    <w:rsid w:val="00DD3871"/>
    <w:rsid w:val="00DD6162"/>
    <w:rsid w:val="00DD7AF5"/>
    <w:rsid w:val="00DE22B3"/>
    <w:rsid w:val="00DE2354"/>
    <w:rsid w:val="00DE2FA4"/>
    <w:rsid w:val="00DE55A4"/>
    <w:rsid w:val="00DE56C4"/>
    <w:rsid w:val="00DF0028"/>
    <w:rsid w:val="00DF407A"/>
    <w:rsid w:val="00DF416C"/>
    <w:rsid w:val="00DF4801"/>
    <w:rsid w:val="00DF54D9"/>
    <w:rsid w:val="00DF6B3F"/>
    <w:rsid w:val="00E01B62"/>
    <w:rsid w:val="00E03572"/>
    <w:rsid w:val="00E04B43"/>
    <w:rsid w:val="00E05BA5"/>
    <w:rsid w:val="00E11047"/>
    <w:rsid w:val="00E1609D"/>
    <w:rsid w:val="00E23109"/>
    <w:rsid w:val="00E23BE9"/>
    <w:rsid w:val="00E24CF5"/>
    <w:rsid w:val="00E26A92"/>
    <w:rsid w:val="00E33450"/>
    <w:rsid w:val="00E450CC"/>
    <w:rsid w:val="00E4517D"/>
    <w:rsid w:val="00E46596"/>
    <w:rsid w:val="00E46C78"/>
    <w:rsid w:val="00E5198A"/>
    <w:rsid w:val="00E51C44"/>
    <w:rsid w:val="00E529F8"/>
    <w:rsid w:val="00E56F94"/>
    <w:rsid w:val="00E610F6"/>
    <w:rsid w:val="00E61165"/>
    <w:rsid w:val="00E67D7F"/>
    <w:rsid w:val="00E70DF3"/>
    <w:rsid w:val="00E737C6"/>
    <w:rsid w:val="00E7684B"/>
    <w:rsid w:val="00E7701E"/>
    <w:rsid w:val="00E868EB"/>
    <w:rsid w:val="00E87D84"/>
    <w:rsid w:val="00E92559"/>
    <w:rsid w:val="00E92679"/>
    <w:rsid w:val="00E92967"/>
    <w:rsid w:val="00E933CB"/>
    <w:rsid w:val="00E93E53"/>
    <w:rsid w:val="00E942A3"/>
    <w:rsid w:val="00EA1D91"/>
    <w:rsid w:val="00EA1F6D"/>
    <w:rsid w:val="00EA30EA"/>
    <w:rsid w:val="00EB106C"/>
    <w:rsid w:val="00EB2D74"/>
    <w:rsid w:val="00EB2F2D"/>
    <w:rsid w:val="00EB51A2"/>
    <w:rsid w:val="00EC1CC3"/>
    <w:rsid w:val="00EC7608"/>
    <w:rsid w:val="00ED043E"/>
    <w:rsid w:val="00ED0C36"/>
    <w:rsid w:val="00ED20EA"/>
    <w:rsid w:val="00ED2227"/>
    <w:rsid w:val="00ED29CF"/>
    <w:rsid w:val="00ED444C"/>
    <w:rsid w:val="00ED6BE1"/>
    <w:rsid w:val="00EE1964"/>
    <w:rsid w:val="00EE39AE"/>
    <w:rsid w:val="00EF1550"/>
    <w:rsid w:val="00EF2ACD"/>
    <w:rsid w:val="00EF4EDC"/>
    <w:rsid w:val="00EF6FA3"/>
    <w:rsid w:val="00F00361"/>
    <w:rsid w:val="00F12B54"/>
    <w:rsid w:val="00F12D4E"/>
    <w:rsid w:val="00F147D4"/>
    <w:rsid w:val="00F15368"/>
    <w:rsid w:val="00F20E4D"/>
    <w:rsid w:val="00F2108F"/>
    <w:rsid w:val="00F256AE"/>
    <w:rsid w:val="00F27C43"/>
    <w:rsid w:val="00F30285"/>
    <w:rsid w:val="00F309EA"/>
    <w:rsid w:val="00F34947"/>
    <w:rsid w:val="00F35816"/>
    <w:rsid w:val="00F37724"/>
    <w:rsid w:val="00F3ECCD"/>
    <w:rsid w:val="00F408DF"/>
    <w:rsid w:val="00F45697"/>
    <w:rsid w:val="00F519D9"/>
    <w:rsid w:val="00F52B29"/>
    <w:rsid w:val="00F55888"/>
    <w:rsid w:val="00F60371"/>
    <w:rsid w:val="00F60DFD"/>
    <w:rsid w:val="00F60F2B"/>
    <w:rsid w:val="00F63204"/>
    <w:rsid w:val="00F63292"/>
    <w:rsid w:val="00F6372A"/>
    <w:rsid w:val="00F63EC8"/>
    <w:rsid w:val="00F6675B"/>
    <w:rsid w:val="00F67CCC"/>
    <w:rsid w:val="00F70619"/>
    <w:rsid w:val="00F70869"/>
    <w:rsid w:val="00F70AF7"/>
    <w:rsid w:val="00F71052"/>
    <w:rsid w:val="00F71F1F"/>
    <w:rsid w:val="00F73A49"/>
    <w:rsid w:val="00F76319"/>
    <w:rsid w:val="00F77B2C"/>
    <w:rsid w:val="00F920F5"/>
    <w:rsid w:val="00F95A63"/>
    <w:rsid w:val="00F96E6C"/>
    <w:rsid w:val="00F973BF"/>
    <w:rsid w:val="00FA4931"/>
    <w:rsid w:val="00FA5049"/>
    <w:rsid w:val="00FB129F"/>
    <w:rsid w:val="00FB299C"/>
    <w:rsid w:val="00FB2F38"/>
    <w:rsid w:val="00FB3396"/>
    <w:rsid w:val="00FB5A7C"/>
    <w:rsid w:val="00FB5CA0"/>
    <w:rsid w:val="00FB5F63"/>
    <w:rsid w:val="00FC2DC2"/>
    <w:rsid w:val="00FC6191"/>
    <w:rsid w:val="00FC6287"/>
    <w:rsid w:val="00FC7193"/>
    <w:rsid w:val="00FC7EE8"/>
    <w:rsid w:val="00FD038D"/>
    <w:rsid w:val="00FD5202"/>
    <w:rsid w:val="00FD683C"/>
    <w:rsid w:val="00FD7E33"/>
    <w:rsid w:val="00FE24C6"/>
    <w:rsid w:val="00FE2C37"/>
    <w:rsid w:val="00FE3047"/>
    <w:rsid w:val="00FE39BC"/>
    <w:rsid w:val="00FE4DEA"/>
    <w:rsid w:val="00FE5942"/>
    <w:rsid w:val="00FF1AF6"/>
    <w:rsid w:val="00FF29A8"/>
    <w:rsid w:val="00FF3A05"/>
    <w:rsid w:val="00FF4914"/>
    <w:rsid w:val="00FF4DBC"/>
    <w:rsid w:val="00FF5C2E"/>
    <w:rsid w:val="00FF5CA2"/>
    <w:rsid w:val="00FF7566"/>
    <w:rsid w:val="0108F618"/>
    <w:rsid w:val="01092840"/>
    <w:rsid w:val="01093DE2"/>
    <w:rsid w:val="010E4DB7"/>
    <w:rsid w:val="01123907"/>
    <w:rsid w:val="011F6CCD"/>
    <w:rsid w:val="0122761C"/>
    <w:rsid w:val="012E1AFF"/>
    <w:rsid w:val="01358E79"/>
    <w:rsid w:val="013E2D07"/>
    <w:rsid w:val="01415065"/>
    <w:rsid w:val="01480722"/>
    <w:rsid w:val="014BD185"/>
    <w:rsid w:val="015879A1"/>
    <w:rsid w:val="0168F711"/>
    <w:rsid w:val="0185C69A"/>
    <w:rsid w:val="019950C6"/>
    <w:rsid w:val="019BD2FD"/>
    <w:rsid w:val="01A38D9C"/>
    <w:rsid w:val="01A92053"/>
    <w:rsid w:val="01B58A3A"/>
    <w:rsid w:val="01B7612C"/>
    <w:rsid w:val="01B7904D"/>
    <w:rsid w:val="01BEF4E6"/>
    <w:rsid w:val="01C0EADC"/>
    <w:rsid w:val="01D29025"/>
    <w:rsid w:val="01EC652A"/>
    <w:rsid w:val="01F1BF2D"/>
    <w:rsid w:val="01F26990"/>
    <w:rsid w:val="020DE2D6"/>
    <w:rsid w:val="020F14AA"/>
    <w:rsid w:val="020FDB49"/>
    <w:rsid w:val="021622CB"/>
    <w:rsid w:val="021A6D13"/>
    <w:rsid w:val="021B5838"/>
    <w:rsid w:val="021F10D0"/>
    <w:rsid w:val="022247CE"/>
    <w:rsid w:val="022739B8"/>
    <w:rsid w:val="023221D0"/>
    <w:rsid w:val="024748F5"/>
    <w:rsid w:val="024C1CDA"/>
    <w:rsid w:val="024E6340"/>
    <w:rsid w:val="025D4B6E"/>
    <w:rsid w:val="0263D0D1"/>
    <w:rsid w:val="026E4303"/>
    <w:rsid w:val="027774D3"/>
    <w:rsid w:val="027A403B"/>
    <w:rsid w:val="0284DAAF"/>
    <w:rsid w:val="028914AD"/>
    <w:rsid w:val="028A5F61"/>
    <w:rsid w:val="028A6354"/>
    <w:rsid w:val="02A23649"/>
    <w:rsid w:val="02AA1E18"/>
    <w:rsid w:val="02AB0A82"/>
    <w:rsid w:val="02BB9E3B"/>
    <w:rsid w:val="02BEE0C0"/>
    <w:rsid w:val="02D7AB05"/>
    <w:rsid w:val="02E3D783"/>
    <w:rsid w:val="02EA8B68"/>
    <w:rsid w:val="03034804"/>
    <w:rsid w:val="030497E1"/>
    <w:rsid w:val="031367B8"/>
    <w:rsid w:val="03155F70"/>
    <w:rsid w:val="03230AD8"/>
    <w:rsid w:val="033542F6"/>
    <w:rsid w:val="033EC926"/>
    <w:rsid w:val="034DE05F"/>
    <w:rsid w:val="035218F7"/>
    <w:rsid w:val="035BC1E8"/>
    <w:rsid w:val="035E4CBC"/>
    <w:rsid w:val="0365A9F8"/>
    <w:rsid w:val="0380CA93"/>
    <w:rsid w:val="038675FA"/>
    <w:rsid w:val="039C8EFA"/>
    <w:rsid w:val="03A9B337"/>
    <w:rsid w:val="03B72899"/>
    <w:rsid w:val="03C7EF00"/>
    <w:rsid w:val="03D90B48"/>
    <w:rsid w:val="03DE3C66"/>
    <w:rsid w:val="03E55009"/>
    <w:rsid w:val="03E7ED3B"/>
    <w:rsid w:val="04106402"/>
    <w:rsid w:val="04166D44"/>
    <w:rsid w:val="04182E91"/>
    <w:rsid w:val="041FE973"/>
    <w:rsid w:val="04262FC2"/>
    <w:rsid w:val="04265D91"/>
    <w:rsid w:val="0428A2A5"/>
    <w:rsid w:val="0432C253"/>
    <w:rsid w:val="043E06AA"/>
    <w:rsid w:val="0442EC01"/>
    <w:rsid w:val="04529731"/>
    <w:rsid w:val="045744ED"/>
    <w:rsid w:val="045AD9DB"/>
    <w:rsid w:val="04616BF1"/>
    <w:rsid w:val="0467E553"/>
    <w:rsid w:val="04855890"/>
    <w:rsid w:val="049E282D"/>
    <w:rsid w:val="04A17804"/>
    <w:rsid w:val="04A29476"/>
    <w:rsid w:val="04B4BD27"/>
    <w:rsid w:val="04BEDB39"/>
    <w:rsid w:val="04CBF9A7"/>
    <w:rsid w:val="04DFA608"/>
    <w:rsid w:val="04E2AD93"/>
    <w:rsid w:val="04F0CCFC"/>
    <w:rsid w:val="04F5E96D"/>
    <w:rsid w:val="04FC19BB"/>
    <w:rsid w:val="050F6003"/>
    <w:rsid w:val="05436AF3"/>
    <w:rsid w:val="05458398"/>
    <w:rsid w:val="05477C0B"/>
    <w:rsid w:val="0554CCAC"/>
    <w:rsid w:val="0559894C"/>
    <w:rsid w:val="0564C53B"/>
    <w:rsid w:val="0564D8EF"/>
    <w:rsid w:val="05658DAC"/>
    <w:rsid w:val="056F4992"/>
    <w:rsid w:val="058D3248"/>
    <w:rsid w:val="05904A50"/>
    <w:rsid w:val="0597422D"/>
    <w:rsid w:val="05A12C6A"/>
    <w:rsid w:val="05B05393"/>
    <w:rsid w:val="05C0B56F"/>
    <w:rsid w:val="05C3A41A"/>
    <w:rsid w:val="05D40BD4"/>
    <w:rsid w:val="05DB6762"/>
    <w:rsid w:val="05DD3DCE"/>
    <w:rsid w:val="05DFC8FE"/>
    <w:rsid w:val="05E05108"/>
    <w:rsid w:val="05E8ADCD"/>
    <w:rsid w:val="05EA0C08"/>
    <w:rsid w:val="05F2487A"/>
    <w:rsid w:val="05F8A51E"/>
    <w:rsid w:val="05FAF430"/>
    <w:rsid w:val="05FB9372"/>
    <w:rsid w:val="060BD105"/>
    <w:rsid w:val="0614FEA4"/>
    <w:rsid w:val="061C944A"/>
    <w:rsid w:val="063D4865"/>
    <w:rsid w:val="06459401"/>
    <w:rsid w:val="0649C2EF"/>
    <w:rsid w:val="0656FCEA"/>
    <w:rsid w:val="065C2F57"/>
    <w:rsid w:val="065C52EB"/>
    <w:rsid w:val="06610179"/>
    <w:rsid w:val="0665B48E"/>
    <w:rsid w:val="066C7665"/>
    <w:rsid w:val="067E8FBF"/>
    <w:rsid w:val="06908856"/>
    <w:rsid w:val="06B29B49"/>
    <w:rsid w:val="06C345C2"/>
    <w:rsid w:val="06DC6187"/>
    <w:rsid w:val="06DEDD98"/>
    <w:rsid w:val="06FB8350"/>
    <w:rsid w:val="06FDA9A6"/>
    <w:rsid w:val="0705B38C"/>
    <w:rsid w:val="07277B83"/>
    <w:rsid w:val="0732507A"/>
    <w:rsid w:val="074499CE"/>
    <w:rsid w:val="074E2379"/>
    <w:rsid w:val="074FCF53"/>
    <w:rsid w:val="076F9AC3"/>
    <w:rsid w:val="077114F4"/>
    <w:rsid w:val="07787F66"/>
    <w:rsid w:val="077A986A"/>
    <w:rsid w:val="078900F6"/>
    <w:rsid w:val="078DD603"/>
    <w:rsid w:val="0793BFB8"/>
    <w:rsid w:val="07A0275A"/>
    <w:rsid w:val="07C34CF0"/>
    <w:rsid w:val="07E1A761"/>
    <w:rsid w:val="07E78D3C"/>
    <w:rsid w:val="07F1EC24"/>
    <w:rsid w:val="07F2CD4B"/>
    <w:rsid w:val="0806DA6D"/>
    <w:rsid w:val="080D45C8"/>
    <w:rsid w:val="0815E671"/>
    <w:rsid w:val="081954F0"/>
    <w:rsid w:val="08290923"/>
    <w:rsid w:val="083CAA01"/>
    <w:rsid w:val="086E50C2"/>
    <w:rsid w:val="087D4536"/>
    <w:rsid w:val="08838117"/>
    <w:rsid w:val="08845E75"/>
    <w:rsid w:val="088F514A"/>
    <w:rsid w:val="08AF0F72"/>
    <w:rsid w:val="08B30966"/>
    <w:rsid w:val="08B6AF40"/>
    <w:rsid w:val="08B6E84C"/>
    <w:rsid w:val="08B8C9C5"/>
    <w:rsid w:val="08C97AB9"/>
    <w:rsid w:val="08D902C8"/>
    <w:rsid w:val="08EF8FC6"/>
    <w:rsid w:val="08F5BBE3"/>
    <w:rsid w:val="08F85631"/>
    <w:rsid w:val="08F9A4D8"/>
    <w:rsid w:val="08FC38AB"/>
    <w:rsid w:val="08FE3C77"/>
    <w:rsid w:val="090871C5"/>
    <w:rsid w:val="090BAC96"/>
    <w:rsid w:val="091668CB"/>
    <w:rsid w:val="091EB13D"/>
    <w:rsid w:val="09217513"/>
    <w:rsid w:val="0921ACCA"/>
    <w:rsid w:val="09288A8E"/>
    <w:rsid w:val="09320AB0"/>
    <w:rsid w:val="094BE123"/>
    <w:rsid w:val="094C903F"/>
    <w:rsid w:val="094CB102"/>
    <w:rsid w:val="0968D32B"/>
    <w:rsid w:val="0974E927"/>
    <w:rsid w:val="0978E62C"/>
    <w:rsid w:val="097A126F"/>
    <w:rsid w:val="097D34C3"/>
    <w:rsid w:val="098859A5"/>
    <w:rsid w:val="09A7B927"/>
    <w:rsid w:val="09AF236F"/>
    <w:rsid w:val="09B621B3"/>
    <w:rsid w:val="09BA1D7F"/>
    <w:rsid w:val="09BE504A"/>
    <w:rsid w:val="09BF9E81"/>
    <w:rsid w:val="09C4D984"/>
    <w:rsid w:val="09C60487"/>
    <w:rsid w:val="09CBF864"/>
    <w:rsid w:val="09DDE4F7"/>
    <w:rsid w:val="09E131E9"/>
    <w:rsid w:val="09E927D8"/>
    <w:rsid w:val="09ED786E"/>
    <w:rsid w:val="0A0A2123"/>
    <w:rsid w:val="0A0AB78F"/>
    <w:rsid w:val="0A191597"/>
    <w:rsid w:val="0A232F70"/>
    <w:rsid w:val="0A254C98"/>
    <w:rsid w:val="0A3D15D6"/>
    <w:rsid w:val="0A49A09C"/>
    <w:rsid w:val="0A642B97"/>
    <w:rsid w:val="0A6A67FB"/>
    <w:rsid w:val="0A6AB350"/>
    <w:rsid w:val="0A724A5E"/>
    <w:rsid w:val="0A85C43B"/>
    <w:rsid w:val="0A8895A9"/>
    <w:rsid w:val="0A9C3DF7"/>
    <w:rsid w:val="0AAC3938"/>
    <w:rsid w:val="0AC45AEF"/>
    <w:rsid w:val="0AD3EBC1"/>
    <w:rsid w:val="0ADBE43B"/>
    <w:rsid w:val="0AED9A3E"/>
    <w:rsid w:val="0AF18E26"/>
    <w:rsid w:val="0AFB5259"/>
    <w:rsid w:val="0AFD709F"/>
    <w:rsid w:val="0B06D17F"/>
    <w:rsid w:val="0B1C3D7B"/>
    <w:rsid w:val="0B23901C"/>
    <w:rsid w:val="0B2D98A5"/>
    <w:rsid w:val="0B3F39A2"/>
    <w:rsid w:val="0B51F214"/>
    <w:rsid w:val="0B7C1836"/>
    <w:rsid w:val="0B7E1870"/>
    <w:rsid w:val="0B85359F"/>
    <w:rsid w:val="0B86D8CD"/>
    <w:rsid w:val="0B8DA8A3"/>
    <w:rsid w:val="0BA52B2E"/>
    <w:rsid w:val="0BBBA6D3"/>
    <w:rsid w:val="0BC94185"/>
    <w:rsid w:val="0BCE78AE"/>
    <w:rsid w:val="0BD8B475"/>
    <w:rsid w:val="0BDFB735"/>
    <w:rsid w:val="0BEBB234"/>
    <w:rsid w:val="0BFAECA6"/>
    <w:rsid w:val="0C195995"/>
    <w:rsid w:val="0C19F45E"/>
    <w:rsid w:val="0C232284"/>
    <w:rsid w:val="0C273501"/>
    <w:rsid w:val="0C2C67DE"/>
    <w:rsid w:val="0C3191DA"/>
    <w:rsid w:val="0C32D432"/>
    <w:rsid w:val="0C343286"/>
    <w:rsid w:val="0C3CED56"/>
    <w:rsid w:val="0C3EC6F4"/>
    <w:rsid w:val="0C594D8C"/>
    <w:rsid w:val="0C5CA3C5"/>
    <w:rsid w:val="0C86072D"/>
    <w:rsid w:val="0CAA096E"/>
    <w:rsid w:val="0CBC41B6"/>
    <w:rsid w:val="0CC00D6B"/>
    <w:rsid w:val="0CC39212"/>
    <w:rsid w:val="0CCE6D8E"/>
    <w:rsid w:val="0CDBB7E9"/>
    <w:rsid w:val="0CE14680"/>
    <w:rsid w:val="0CF1BE41"/>
    <w:rsid w:val="0CF363E1"/>
    <w:rsid w:val="0CF86D6A"/>
    <w:rsid w:val="0CFE9565"/>
    <w:rsid w:val="0D00197B"/>
    <w:rsid w:val="0D02E3F9"/>
    <w:rsid w:val="0D052F02"/>
    <w:rsid w:val="0D0D0B2A"/>
    <w:rsid w:val="0D0F13F2"/>
    <w:rsid w:val="0D12A8EE"/>
    <w:rsid w:val="0D2170B5"/>
    <w:rsid w:val="0D2181E1"/>
    <w:rsid w:val="0D320F2B"/>
    <w:rsid w:val="0D3C8B6C"/>
    <w:rsid w:val="0D3E00E9"/>
    <w:rsid w:val="0D406569"/>
    <w:rsid w:val="0D49A947"/>
    <w:rsid w:val="0D6377B6"/>
    <w:rsid w:val="0D83C37F"/>
    <w:rsid w:val="0D8C6319"/>
    <w:rsid w:val="0D8EF153"/>
    <w:rsid w:val="0D9EB212"/>
    <w:rsid w:val="0DA85247"/>
    <w:rsid w:val="0DA9BF69"/>
    <w:rsid w:val="0DBAB65C"/>
    <w:rsid w:val="0DBD64FD"/>
    <w:rsid w:val="0DBE4789"/>
    <w:rsid w:val="0DC1CF00"/>
    <w:rsid w:val="0DCD7596"/>
    <w:rsid w:val="0DDA9755"/>
    <w:rsid w:val="0DEDBDE6"/>
    <w:rsid w:val="0DFBFBB1"/>
    <w:rsid w:val="0E0FC1C8"/>
    <w:rsid w:val="0E19FDDF"/>
    <w:rsid w:val="0E2EA056"/>
    <w:rsid w:val="0E31FFAE"/>
    <w:rsid w:val="0E3B6340"/>
    <w:rsid w:val="0E4E9387"/>
    <w:rsid w:val="0E50EA90"/>
    <w:rsid w:val="0E53E1D4"/>
    <w:rsid w:val="0E581217"/>
    <w:rsid w:val="0E5B9F6D"/>
    <w:rsid w:val="0E61A354"/>
    <w:rsid w:val="0E6C4F55"/>
    <w:rsid w:val="0E7A022E"/>
    <w:rsid w:val="0E8527F5"/>
    <w:rsid w:val="0E9798BD"/>
    <w:rsid w:val="0E9903F1"/>
    <w:rsid w:val="0EAE794F"/>
    <w:rsid w:val="0EB564BC"/>
    <w:rsid w:val="0EBD15A2"/>
    <w:rsid w:val="0EC0E13E"/>
    <w:rsid w:val="0ED1D282"/>
    <w:rsid w:val="0ED741B6"/>
    <w:rsid w:val="0EDB5000"/>
    <w:rsid w:val="0EF50567"/>
    <w:rsid w:val="0EF64851"/>
    <w:rsid w:val="0F005EB2"/>
    <w:rsid w:val="0F014D66"/>
    <w:rsid w:val="0F01CD53"/>
    <w:rsid w:val="0F21E3E8"/>
    <w:rsid w:val="0F2C2E04"/>
    <w:rsid w:val="0F324088"/>
    <w:rsid w:val="0F449930"/>
    <w:rsid w:val="0F454BE6"/>
    <w:rsid w:val="0F50B790"/>
    <w:rsid w:val="0F50E1A1"/>
    <w:rsid w:val="0F5E08E7"/>
    <w:rsid w:val="0F603BB2"/>
    <w:rsid w:val="0F7481BA"/>
    <w:rsid w:val="0F852C29"/>
    <w:rsid w:val="0F869ACA"/>
    <w:rsid w:val="0FA2B88D"/>
    <w:rsid w:val="0FC7C3FA"/>
    <w:rsid w:val="0FD34DEA"/>
    <w:rsid w:val="0FF3E278"/>
    <w:rsid w:val="0FF47C67"/>
    <w:rsid w:val="10055EEB"/>
    <w:rsid w:val="1009D9A6"/>
    <w:rsid w:val="100DA187"/>
    <w:rsid w:val="102766AF"/>
    <w:rsid w:val="102B8A23"/>
    <w:rsid w:val="102D91CE"/>
    <w:rsid w:val="10363627"/>
    <w:rsid w:val="10481A6B"/>
    <w:rsid w:val="104EA42B"/>
    <w:rsid w:val="105048F1"/>
    <w:rsid w:val="1050B5E8"/>
    <w:rsid w:val="105922A3"/>
    <w:rsid w:val="1060C215"/>
    <w:rsid w:val="10723F6A"/>
    <w:rsid w:val="1073603F"/>
    <w:rsid w:val="107B970B"/>
    <w:rsid w:val="107EB92E"/>
    <w:rsid w:val="107FAFF7"/>
    <w:rsid w:val="1080DCB6"/>
    <w:rsid w:val="10813F85"/>
    <w:rsid w:val="109218B2"/>
    <w:rsid w:val="109B21A2"/>
    <w:rsid w:val="109B7088"/>
    <w:rsid w:val="10B0BD3C"/>
    <w:rsid w:val="10BE17F9"/>
    <w:rsid w:val="10C47D31"/>
    <w:rsid w:val="10C593DE"/>
    <w:rsid w:val="10C8EC33"/>
    <w:rsid w:val="10CE5DC9"/>
    <w:rsid w:val="10E5F937"/>
    <w:rsid w:val="10E66069"/>
    <w:rsid w:val="10EDF8AD"/>
    <w:rsid w:val="11071A8F"/>
    <w:rsid w:val="112682A2"/>
    <w:rsid w:val="112DE143"/>
    <w:rsid w:val="112F0138"/>
    <w:rsid w:val="1130BE12"/>
    <w:rsid w:val="113DCAAB"/>
    <w:rsid w:val="115194C5"/>
    <w:rsid w:val="1160C1BC"/>
    <w:rsid w:val="116A1C4B"/>
    <w:rsid w:val="1186A5FF"/>
    <w:rsid w:val="1188F4B8"/>
    <w:rsid w:val="118B7EFF"/>
    <w:rsid w:val="11A6F318"/>
    <w:rsid w:val="11C6BAB5"/>
    <w:rsid w:val="11ED6165"/>
    <w:rsid w:val="120497A3"/>
    <w:rsid w:val="1205E7C0"/>
    <w:rsid w:val="120E0FCB"/>
    <w:rsid w:val="121A898F"/>
    <w:rsid w:val="12264CD9"/>
    <w:rsid w:val="122D7F2A"/>
    <w:rsid w:val="1239E187"/>
    <w:rsid w:val="123A5E9E"/>
    <w:rsid w:val="125BE17B"/>
    <w:rsid w:val="1262F9D8"/>
    <w:rsid w:val="12682F85"/>
    <w:rsid w:val="12775578"/>
    <w:rsid w:val="128230CA"/>
    <w:rsid w:val="128375CC"/>
    <w:rsid w:val="128C8CF3"/>
    <w:rsid w:val="1297DC74"/>
    <w:rsid w:val="12B93540"/>
    <w:rsid w:val="12BEEB47"/>
    <w:rsid w:val="12C147E9"/>
    <w:rsid w:val="12C3C2DC"/>
    <w:rsid w:val="12DB252D"/>
    <w:rsid w:val="12E0C871"/>
    <w:rsid w:val="12EF8610"/>
    <w:rsid w:val="12F138C6"/>
    <w:rsid w:val="12F3F630"/>
    <w:rsid w:val="12FE2699"/>
    <w:rsid w:val="12FF9994"/>
    <w:rsid w:val="13068D83"/>
    <w:rsid w:val="13074B2D"/>
    <w:rsid w:val="130D998C"/>
    <w:rsid w:val="1311922E"/>
    <w:rsid w:val="13167E16"/>
    <w:rsid w:val="1331FB61"/>
    <w:rsid w:val="1337CDA1"/>
    <w:rsid w:val="13385E22"/>
    <w:rsid w:val="133A3E08"/>
    <w:rsid w:val="133CDB3A"/>
    <w:rsid w:val="134A07E6"/>
    <w:rsid w:val="1353BE70"/>
    <w:rsid w:val="1359F631"/>
    <w:rsid w:val="135F0163"/>
    <w:rsid w:val="136762E1"/>
    <w:rsid w:val="1374E332"/>
    <w:rsid w:val="13759591"/>
    <w:rsid w:val="137A14A9"/>
    <w:rsid w:val="137E7A5E"/>
    <w:rsid w:val="138931C6"/>
    <w:rsid w:val="1392D4F5"/>
    <w:rsid w:val="139E119A"/>
    <w:rsid w:val="13AA4CE3"/>
    <w:rsid w:val="13B87D78"/>
    <w:rsid w:val="13D95DB7"/>
    <w:rsid w:val="13EB11FA"/>
    <w:rsid w:val="13F1D93A"/>
    <w:rsid w:val="13FAF289"/>
    <w:rsid w:val="13FC1DF3"/>
    <w:rsid w:val="13FC7038"/>
    <w:rsid w:val="140ED636"/>
    <w:rsid w:val="14162B38"/>
    <w:rsid w:val="14366F9F"/>
    <w:rsid w:val="144B9F41"/>
    <w:rsid w:val="144DB79C"/>
    <w:rsid w:val="145EDA52"/>
    <w:rsid w:val="145F933D"/>
    <w:rsid w:val="14619A1F"/>
    <w:rsid w:val="148576E4"/>
    <w:rsid w:val="14893587"/>
    <w:rsid w:val="148A6E03"/>
    <w:rsid w:val="148ECFE1"/>
    <w:rsid w:val="149F2295"/>
    <w:rsid w:val="14A19D2A"/>
    <w:rsid w:val="14A91E91"/>
    <w:rsid w:val="14B2CD66"/>
    <w:rsid w:val="14C4DE2D"/>
    <w:rsid w:val="14D058BE"/>
    <w:rsid w:val="14D356EA"/>
    <w:rsid w:val="14D60E69"/>
    <w:rsid w:val="14E1AF75"/>
    <w:rsid w:val="14E55D75"/>
    <w:rsid w:val="14F41312"/>
    <w:rsid w:val="15033CA4"/>
    <w:rsid w:val="150726C1"/>
    <w:rsid w:val="1508ECF1"/>
    <w:rsid w:val="151C497B"/>
    <w:rsid w:val="152C360A"/>
    <w:rsid w:val="1538961F"/>
    <w:rsid w:val="15493C62"/>
    <w:rsid w:val="15535CAB"/>
    <w:rsid w:val="155C2277"/>
    <w:rsid w:val="1562DB45"/>
    <w:rsid w:val="156394E8"/>
    <w:rsid w:val="156ACF03"/>
    <w:rsid w:val="156B91D6"/>
    <w:rsid w:val="156E3213"/>
    <w:rsid w:val="15718249"/>
    <w:rsid w:val="15718CE1"/>
    <w:rsid w:val="15781393"/>
    <w:rsid w:val="157E20D9"/>
    <w:rsid w:val="158ED564"/>
    <w:rsid w:val="15B3CAC1"/>
    <w:rsid w:val="15C5D2AF"/>
    <w:rsid w:val="15C81E97"/>
    <w:rsid w:val="15C876E2"/>
    <w:rsid w:val="15CD23E8"/>
    <w:rsid w:val="15CF950C"/>
    <w:rsid w:val="15DB6093"/>
    <w:rsid w:val="15E5A93A"/>
    <w:rsid w:val="15F978B2"/>
    <w:rsid w:val="160524AF"/>
    <w:rsid w:val="16224361"/>
    <w:rsid w:val="1623FFA1"/>
    <w:rsid w:val="162CF36E"/>
    <w:rsid w:val="163D88BA"/>
    <w:rsid w:val="1641D274"/>
    <w:rsid w:val="164E9DC7"/>
    <w:rsid w:val="165268D0"/>
    <w:rsid w:val="165617A9"/>
    <w:rsid w:val="16589431"/>
    <w:rsid w:val="1658A7BB"/>
    <w:rsid w:val="166575AF"/>
    <w:rsid w:val="166BEBB6"/>
    <w:rsid w:val="1671DECA"/>
    <w:rsid w:val="16750E08"/>
    <w:rsid w:val="1678DD17"/>
    <w:rsid w:val="1681A8A8"/>
    <w:rsid w:val="168BB147"/>
    <w:rsid w:val="1693B794"/>
    <w:rsid w:val="16A377E3"/>
    <w:rsid w:val="16A889D3"/>
    <w:rsid w:val="16B72D54"/>
    <w:rsid w:val="16CCE183"/>
    <w:rsid w:val="16CD57C3"/>
    <w:rsid w:val="16F2410C"/>
    <w:rsid w:val="16F5550A"/>
    <w:rsid w:val="173682B8"/>
    <w:rsid w:val="1766DBB8"/>
    <w:rsid w:val="176A55F1"/>
    <w:rsid w:val="177A7819"/>
    <w:rsid w:val="17851794"/>
    <w:rsid w:val="1798A9BA"/>
    <w:rsid w:val="17995BBD"/>
    <w:rsid w:val="17B49793"/>
    <w:rsid w:val="17CE0BB2"/>
    <w:rsid w:val="17D3442D"/>
    <w:rsid w:val="17D7ECBA"/>
    <w:rsid w:val="17DC18F9"/>
    <w:rsid w:val="17E0E71C"/>
    <w:rsid w:val="18016A6A"/>
    <w:rsid w:val="18017436"/>
    <w:rsid w:val="1807BC17"/>
    <w:rsid w:val="180AF4B4"/>
    <w:rsid w:val="180B7878"/>
    <w:rsid w:val="180E0FB8"/>
    <w:rsid w:val="1825E458"/>
    <w:rsid w:val="182A595F"/>
    <w:rsid w:val="1844E321"/>
    <w:rsid w:val="184EFAA5"/>
    <w:rsid w:val="1867FADF"/>
    <w:rsid w:val="1868B1E4"/>
    <w:rsid w:val="186C6E6F"/>
    <w:rsid w:val="187D514F"/>
    <w:rsid w:val="1887C36B"/>
    <w:rsid w:val="18895477"/>
    <w:rsid w:val="1891256B"/>
    <w:rsid w:val="18ADF8D5"/>
    <w:rsid w:val="18B04711"/>
    <w:rsid w:val="18C30767"/>
    <w:rsid w:val="18C7E348"/>
    <w:rsid w:val="18F67001"/>
    <w:rsid w:val="190FEC06"/>
    <w:rsid w:val="191B2B8C"/>
    <w:rsid w:val="191D49FC"/>
    <w:rsid w:val="1929E429"/>
    <w:rsid w:val="192FCAFA"/>
    <w:rsid w:val="19347A1B"/>
    <w:rsid w:val="1937F008"/>
    <w:rsid w:val="1938F701"/>
    <w:rsid w:val="193D58F6"/>
    <w:rsid w:val="193E15D7"/>
    <w:rsid w:val="194AC8BA"/>
    <w:rsid w:val="19549E88"/>
    <w:rsid w:val="195808D1"/>
    <w:rsid w:val="195D6454"/>
    <w:rsid w:val="1960BE7D"/>
    <w:rsid w:val="1960FCC8"/>
    <w:rsid w:val="19660D0D"/>
    <w:rsid w:val="19813A78"/>
    <w:rsid w:val="199CB74A"/>
    <w:rsid w:val="19A97F8C"/>
    <w:rsid w:val="19BD1DD5"/>
    <w:rsid w:val="19EA6338"/>
    <w:rsid w:val="19F0A878"/>
    <w:rsid w:val="19F9E50F"/>
    <w:rsid w:val="1A18F7D4"/>
    <w:rsid w:val="1A34D5E9"/>
    <w:rsid w:val="1A3A8180"/>
    <w:rsid w:val="1A3E4026"/>
    <w:rsid w:val="1A440132"/>
    <w:rsid w:val="1A61C798"/>
    <w:rsid w:val="1A6257B0"/>
    <w:rsid w:val="1A75400F"/>
    <w:rsid w:val="1A84B20D"/>
    <w:rsid w:val="1A856CBC"/>
    <w:rsid w:val="1A896D2B"/>
    <w:rsid w:val="1A93ECD9"/>
    <w:rsid w:val="1A990F85"/>
    <w:rsid w:val="1AA58165"/>
    <w:rsid w:val="1AAD3C47"/>
    <w:rsid w:val="1AB402FE"/>
    <w:rsid w:val="1AC394C7"/>
    <w:rsid w:val="1ACA52A9"/>
    <w:rsid w:val="1ACD999E"/>
    <w:rsid w:val="1ACE3B2E"/>
    <w:rsid w:val="1AD0AB8C"/>
    <w:rsid w:val="1AE772C9"/>
    <w:rsid w:val="1AEBDA56"/>
    <w:rsid w:val="1AF4B868"/>
    <w:rsid w:val="1AF7304D"/>
    <w:rsid w:val="1AF934B5"/>
    <w:rsid w:val="1AFD31E9"/>
    <w:rsid w:val="1B12EF05"/>
    <w:rsid w:val="1B1353AC"/>
    <w:rsid w:val="1B3778A4"/>
    <w:rsid w:val="1B390B2C"/>
    <w:rsid w:val="1B402534"/>
    <w:rsid w:val="1B4D4C12"/>
    <w:rsid w:val="1B55209F"/>
    <w:rsid w:val="1B7831FB"/>
    <w:rsid w:val="1B7B854D"/>
    <w:rsid w:val="1B80B5BB"/>
    <w:rsid w:val="1B93CF0E"/>
    <w:rsid w:val="1BA0EA8E"/>
    <w:rsid w:val="1BC8C62D"/>
    <w:rsid w:val="1BCBCDA1"/>
    <w:rsid w:val="1BD5CDAD"/>
    <w:rsid w:val="1BD7E9D8"/>
    <w:rsid w:val="1BDA3DD3"/>
    <w:rsid w:val="1BE8AE2C"/>
    <w:rsid w:val="1BEE59C0"/>
    <w:rsid w:val="1BF51707"/>
    <w:rsid w:val="1C0A7D7B"/>
    <w:rsid w:val="1C221486"/>
    <w:rsid w:val="1C231E10"/>
    <w:rsid w:val="1C249501"/>
    <w:rsid w:val="1C365869"/>
    <w:rsid w:val="1C40C0F9"/>
    <w:rsid w:val="1C436383"/>
    <w:rsid w:val="1C640768"/>
    <w:rsid w:val="1C68255C"/>
    <w:rsid w:val="1C6CABC1"/>
    <w:rsid w:val="1C764F96"/>
    <w:rsid w:val="1C83A8CC"/>
    <w:rsid w:val="1C8A947C"/>
    <w:rsid w:val="1C9300AE"/>
    <w:rsid w:val="1C94476C"/>
    <w:rsid w:val="1C957FE8"/>
    <w:rsid w:val="1C9B5375"/>
    <w:rsid w:val="1CB9048C"/>
    <w:rsid w:val="1CB97847"/>
    <w:rsid w:val="1CD90165"/>
    <w:rsid w:val="1CDB2D3A"/>
    <w:rsid w:val="1D05E3A9"/>
    <w:rsid w:val="1D0BD0C8"/>
    <w:rsid w:val="1D0C1493"/>
    <w:rsid w:val="1D17CB57"/>
    <w:rsid w:val="1D201D55"/>
    <w:rsid w:val="1D28493A"/>
    <w:rsid w:val="1D287924"/>
    <w:rsid w:val="1D59E779"/>
    <w:rsid w:val="1D5BE4B6"/>
    <w:rsid w:val="1D66AC6A"/>
    <w:rsid w:val="1D6EE202"/>
    <w:rsid w:val="1D79DE03"/>
    <w:rsid w:val="1D7DD824"/>
    <w:rsid w:val="1D8A2A21"/>
    <w:rsid w:val="1DC06562"/>
    <w:rsid w:val="1DCB8D9B"/>
    <w:rsid w:val="1DD6FEA3"/>
    <w:rsid w:val="1DEF74E4"/>
    <w:rsid w:val="1DF45BE3"/>
    <w:rsid w:val="1DF8A8A5"/>
    <w:rsid w:val="1DF917E4"/>
    <w:rsid w:val="1DFCED97"/>
    <w:rsid w:val="1E066103"/>
    <w:rsid w:val="1E0CB6D0"/>
    <w:rsid w:val="1E1186FA"/>
    <w:rsid w:val="1E2E8152"/>
    <w:rsid w:val="1E342FA0"/>
    <w:rsid w:val="1E3A5311"/>
    <w:rsid w:val="1E41AB6C"/>
    <w:rsid w:val="1E4553F8"/>
    <w:rsid w:val="1E4DCEB2"/>
    <w:rsid w:val="1E5E0EE6"/>
    <w:rsid w:val="1E606D36"/>
    <w:rsid w:val="1E65B370"/>
    <w:rsid w:val="1E6F59B3"/>
    <w:rsid w:val="1E762367"/>
    <w:rsid w:val="1E76FD9B"/>
    <w:rsid w:val="1E954AA9"/>
    <w:rsid w:val="1EA405EA"/>
    <w:rsid w:val="1EAE5D72"/>
    <w:rsid w:val="1EBF62F3"/>
    <w:rsid w:val="1EC5FF4A"/>
    <w:rsid w:val="1ED6695A"/>
    <w:rsid w:val="1EE48B08"/>
    <w:rsid w:val="1EE851A2"/>
    <w:rsid w:val="1EEE9598"/>
    <w:rsid w:val="1EF7BD83"/>
    <w:rsid w:val="1EFD52F1"/>
    <w:rsid w:val="1F0B932F"/>
    <w:rsid w:val="1F24A685"/>
    <w:rsid w:val="1F3F2917"/>
    <w:rsid w:val="1F59A6A7"/>
    <w:rsid w:val="1F70B3A2"/>
    <w:rsid w:val="1F7748F3"/>
    <w:rsid w:val="1F7BDF61"/>
    <w:rsid w:val="1FA677DF"/>
    <w:rsid w:val="1FA9078B"/>
    <w:rsid w:val="1FB94E0D"/>
    <w:rsid w:val="1FBD4B98"/>
    <w:rsid w:val="1FD17143"/>
    <w:rsid w:val="1FE26634"/>
    <w:rsid w:val="1FF4B6E9"/>
    <w:rsid w:val="1FF95362"/>
    <w:rsid w:val="200058ED"/>
    <w:rsid w:val="2012A248"/>
    <w:rsid w:val="201D6259"/>
    <w:rsid w:val="20229F7A"/>
    <w:rsid w:val="2028CBEB"/>
    <w:rsid w:val="203F6BD6"/>
    <w:rsid w:val="2043C43C"/>
    <w:rsid w:val="204915F3"/>
    <w:rsid w:val="204AD64A"/>
    <w:rsid w:val="20504FF2"/>
    <w:rsid w:val="20609D83"/>
    <w:rsid w:val="2062BD3C"/>
    <w:rsid w:val="206BAC7A"/>
    <w:rsid w:val="206D468C"/>
    <w:rsid w:val="207239BB"/>
    <w:rsid w:val="2076A629"/>
    <w:rsid w:val="2077F1AE"/>
    <w:rsid w:val="208DD4FB"/>
    <w:rsid w:val="20985668"/>
    <w:rsid w:val="20A37558"/>
    <w:rsid w:val="20AD81AA"/>
    <w:rsid w:val="20B7F52B"/>
    <w:rsid w:val="20C8D30F"/>
    <w:rsid w:val="20C91C91"/>
    <w:rsid w:val="20D606D2"/>
    <w:rsid w:val="20DAB845"/>
    <w:rsid w:val="20E06CFE"/>
    <w:rsid w:val="20E694CC"/>
    <w:rsid w:val="20F12361"/>
    <w:rsid w:val="20F3CFFD"/>
    <w:rsid w:val="20F57708"/>
    <w:rsid w:val="20F6B12F"/>
    <w:rsid w:val="2109A3CA"/>
    <w:rsid w:val="211262AE"/>
    <w:rsid w:val="21131954"/>
    <w:rsid w:val="21215A5F"/>
    <w:rsid w:val="213BB52D"/>
    <w:rsid w:val="213C53E9"/>
    <w:rsid w:val="21463D01"/>
    <w:rsid w:val="21598A26"/>
    <w:rsid w:val="2164ACFB"/>
    <w:rsid w:val="216BD062"/>
    <w:rsid w:val="216C4717"/>
    <w:rsid w:val="216D41A4"/>
    <w:rsid w:val="21929811"/>
    <w:rsid w:val="21BB7E7F"/>
    <w:rsid w:val="21CDF811"/>
    <w:rsid w:val="21ED1359"/>
    <w:rsid w:val="21EE1D7C"/>
    <w:rsid w:val="21EF5D7F"/>
    <w:rsid w:val="21F703B5"/>
    <w:rsid w:val="2202A514"/>
    <w:rsid w:val="22104221"/>
    <w:rsid w:val="221AA3C6"/>
    <w:rsid w:val="22211F0F"/>
    <w:rsid w:val="2237C800"/>
    <w:rsid w:val="22385725"/>
    <w:rsid w:val="223B2136"/>
    <w:rsid w:val="2241F215"/>
    <w:rsid w:val="22436463"/>
    <w:rsid w:val="224C3D06"/>
    <w:rsid w:val="22553B1B"/>
    <w:rsid w:val="225A6498"/>
    <w:rsid w:val="225E6D9D"/>
    <w:rsid w:val="227AD212"/>
    <w:rsid w:val="228877FB"/>
    <w:rsid w:val="22898CCA"/>
    <w:rsid w:val="228B1745"/>
    <w:rsid w:val="228D9889"/>
    <w:rsid w:val="228FC3F2"/>
    <w:rsid w:val="2298F5F1"/>
    <w:rsid w:val="22A221A5"/>
    <w:rsid w:val="22AEE9B5"/>
    <w:rsid w:val="22C55BFB"/>
    <w:rsid w:val="22D077DD"/>
    <w:rsid w:val="22DB890E"/>
    <w:rsid w:val="2316BD73"/>
    <w:rsid w:val="23409DEF"/>
    <w:rsid w:val="23482ACA"/>
    <w:rsid w:val="234C10CC"/>
    <w:rsid w:val="23576730"/>
    <w:rsid w:val="2368D28E"/>
    <w:rsid w:val="236AE47D"/>
    <w:rsid w:val="2385D138"/>
    <w:rsid w:val="2387306C"/>
    <w:rsid w:val="238B2DE0"/>
    <w:rsid w:val="238C216C"/>
    <w:rsid w:val="239B3C52"/>
    <w:rsid w:val="239FA964"/>
    <w:rsid w:val="23B1ED69"/>
    <w:rsid w:val="23B4EF31"/>
    <w:rsid w:val="23B94D70"/>
    <w:rsid w:val="23C02B4D"/>
    <w:rsid w:val="23D264BD"/>
    <w:rsid w:val="23E5226C"/>
    <w:rsid w:val="23ED0EBB"/>
    <w:rsid w:val="23FF92C3"/>
    <w:rsid w:val="2412C30A"/>
    <w:rsid w:val="24145942"/>
    <w:rsid w:val="2416E893"/>
    <w:rsid w:val="2453F577"/>
    <w:rsid w:val="2454E242"/>
    <w:rsid w:val="2458FB21"/>
    <w:rsid w:val="245EB668"/>
    <w:rsid w:val="2487E785"/>
    <w:rsid w:val="248A624B"/>
    <w:rsid w:val="249F7F83"/>
    <w:rsid w:val="24A3E7D9"/>
    <w:rsid w:val="24B7CFF1"/>
    <w:rsid w:val="24BC0CA1"/>
    <w:rsid w:val="24EBDA9B"/>
    <w:rsid w:val="250ACFBF"/>
    <w:rsid w:val="250C5594"/>
    <w:rsid w:val="2514932B"/>
    <w:rsid w:val="251AB640"/>
    <w:rsid w:val="2524B41B"/>
    <w:rsid w:val="2526FE41"/>
    <w:rsid w:val="252D15DF"/>
    <w:rsid w:val="254E6B6D"/>
    <w:rsid w:val="2555BBC4"/>
    <w:rsid w:val="25651054"/>
    <w:rsid w:val="25675916"/>
    <w:rsid w:val="2567720C"/>
    <w:rsid w:val="2570B93E"/>
    <w:rsid w:val="2579F3E7"/>
    <w:rsid w:val="258F2EC0"/>
    <w:rsid w:val="25956BC3"/>
    <w:rsid w:val="25A49D33"/>
    <w:rsid w:val="25AC5114"/>
    <w:rsid w:val="25C35ED3"/>
    <w:rsid w:val="25C85651"/>
    <w:rsid w:val="25CA2252"/>
    <w:rsid w:val="25D6DA48"/>
    <w:rsid w:val="25DF7FC3"/>
    <w:rsid w:val="25EE31A2"/>
    <w:rsid w:val="2602B1CC"/>
    <w:rsid w:val="26030E52"/>
    <w:rsid w:val="2615B916"/>
    <w:rsid w:val="261CD645"/>
    <w:rsid w:val="2637AAEC"/>
    <w:rsid w:val="26472F0B"/>
    <w:rsid w:val="26552EEA"/>
    <w:rsid w:val="2657D2DA"/>
    <w:rsid w:val="265ACA8D"/>
    <w:rsid w:val="265E3496"/>
    <w:rsid w:val="26605E96"/>
    <w:rsid w:val="266F3AC4"/>
    <w:rsid w:val="2678B8A1"/>
    <w:rsid w:val="26798962"/>
    <w:rsid w:val="267D8E07"/>
    <w:rsid w:val="2680578F"/>
    <w:rsid w:val="2686DF37"/>
    <w:rsid w:val="268C3FFF"/>
    <w:rsid w:val="2695CEC5"/>
    <w:rsid w:val="26A977AD"/>
    <w:rsid w:val="26B0638C"/>
    <w:rsid w:val="26C1B1ED"/>
    <w:rsid w:val="26CA9544"/>
    <w:rsid w:val="26CC586D"/>
    <w:rsid w:val="26D24AB7"/>
    <w:rsid w:val="26D45398"/>
    <w:rsid w:val="26D53EA4"/>
    <w:rsid w:val="26D90B8F"/>
    <w:rsid w:val="26DB9471"/>
    <w:rsid w:val="26DE1EFB"/>
    <w:rsid w:val="26E3A10C"/>
    <w:rsid w:val="26EA3BCE"/>
    <w:rsid w:val="26F55D03"/>
    <w:rsid w:val="26F922AD"/>
    <w:rsid w:val="26FDF8D9"/>
    <w:rsid w:val="2713366D"/>
    <w:rsid w:val="2715C448"/>
    <w:rsid w:val="271DC7F9"/>
    <w:rsid w:val="271DE863"/>
    <w:rsid w:val="2722ADEF"/>
    <w:rsid w:val="2740DFB7"/>
    <w:rsid w:val="27454701"/>
    <w:rsid w:val="274632C0"/>
    <w:rsid w:val="2748C83E"/>
    <w:rsid w:val="274C762B"/>
    <w:rsid w:val="2754921A"/>
    <w:rsid w:val="27549408"/>
    <w:rsid w:val="275A9171"/>
    <w:rsid w:val="275BCFE2"/>
    <w:rsid w:val="277A23FC"/>
    <w:rsid w:val="279F8AEB"/>
    <w:rsid w:val="279FFA2A"/>
    <w:rsid w:val="27BE10E6"/>
    <w:rsid w:val="27C3DF2E"/>
    <w:rsid w:val="27C7DEA7"/>
    <w:rsid w:val="27C98F7E"/>
    <w:rsid w:val="27D1D99B"/>
    <w:rsid w:val="27EC1D02"/>
    <w:rsid w:val="27FCF6F6"/>
    <w:rsid w:val="27FF3BC7"/>
    <w:rsid w:val="281559C3"/>
    <w:rsid w:val="2817F566"/>
    <w:rsid w:val="28247D15"/>
    <w:rsid w:val="282E99B1"/>
    <w:rsid w:val="28376187"/>
    <w:rsid w:val="2839FCF7"/>
    <w:rsid w:val="283E8A5A"/>
    <w:rsid w:val="28427081"/>
    <w:rsid w:val="2854AD58"/>
    <w:rsid w:val="28581F2B"/>
    <w:rsid w:val="285E9F03"/>
    <w:rsid w:val="2871B9C1"/>
    <w:rsid w:val="2874DBF0"/>
    <w:rsid w:val="2879D91D"/>
    <w:rsid w:val="287F716D"/>
    <w:rsid w:val="2893BD1D"/>
    <w:rsid w:val="289D8261"/>
    <w:rsid w:val="289FB6B9"/>
    <w:rsid w:val="28A4F7F4"/>
    <w:rsid w:val="28B194A9"/>
    <w:rsid w:val="28B9985A"/>
    <w:rsid w:val="28BF8EAC"/>
    <w:rsid w:val="28CA15B7"/>
    <w:rsid w:val="28E413E8"/>
    <w:rsid w:val="28E6342D"/>
    <w:rsid w:val="28E81EAC"/>
    <w:rsid w:val="28EBB2AA"/>
    <w:rsid w:val="28F7A043"/>
    <w:rsid w:val="2900B6D5"/>
    <w:rsid w:val="2903EFFB"/>
    <w:rsid w:val="291020AC"/>
    <w:rsid w:val="291E28F4"/>
    <w:rsid w:val="292B9BC6"/>
    <w:rsid w:val="2933BA9C"/>
    <w:rsid w:val="293AAF14"/>
    <w:rsid w:val="293B5B4C"/>
    <w:rsid w:val="293BA8B9"/>
    <w:rsid w:val="2945EF90"/>
    <w:rsid w:val="294B861E"/>
    <w:rsid w:val="2951361A"/>
    <w:rsid w:val="2953281D"/>
    <w:rsid w:val="295BB25B"/>
    <w:rsid w:val="2962FE1C"/>
    <w:rsid w:val="2966332E"/>
    <w:rsid w:val="29691784"/>
    <w:rsid w:val="297ECFCD"/>
    <w:rsid w:val="2989B32C"/>
    <w:rsid w:val="298BFAE1"/>
    <w:rsid w:val="2997FF58"/>
    <w:rsid w:val="2998862A"/>
    <w:rsid w:val="29A6DBA1"/>
    <w:rsid w:val="29B8D60E"/>
    <w:rsid w:val="29C4B27B"/>
    <w:rsid w:val="29C84B03"/>
    <w:rsid w:val="29CAE540"/>
    <w:rsid w:val="29DCEC8C"/>
    <w:rsid w:val="29E1186F"/>
    <w:rsid w:val="29E521A3"/>
    <w:rsid w:val="29FF319A"/>
    <w:rsid w:val="2A1BFB71"/>
    <w:rsid w:val="2A1E2234"/>
    <w:rsid w:val="2A33DF13"/>
    <w:rsid w:val="2A4B071C"/>
    <w:rsid w:val="2A555290"/>
    <w:rsid w:val="2A67AB58"/>
    <w:rsid w:val="2A689C9C"/>
    <w:rsid w:val="2A68F75B"/>
    <w:rsid w:val="2A75E817"/>
    <w:rsid w:val="2A767DFA"/>
    <w:rsid w:val="2A7FE449"/>
    <w:rsid w:val="2A82048E"/>
    <w:rsid w:val="2A8246B3"/>
    <w:rsid w:val="2A8416ED"/>
    <w:rsid w:val="2A8F3BCF"/>
    <w:rsid w:val="2A96CFF6"/>
    <w:rsid w:val="2A9C0871"/>
    <w:rsid w:val="2AA6715D"/>
    <w:rsid w:val="2AAF1448"/>
    <w:rsid w:val="2ABF9350"/>
    <w:rsid w:val="2AC14C23"/>
    <w:rsid w:val="2AC449F5"/>
    <w:rsid w:val="2ACDB772"/>
    <w:rsid w:val="2AD571E4"/>
    <w:rsid w:val="2AD79AEC"/>
    <w:rsid w:val="2ADE7A18"/>
    <w:rsid w:val="2AF54E21"/>
    <w:rsid w:val="2AFB7FF0"/>
    <w:rsid w:val="2B04E7E5"/>
    <w:rsid w:val="2B103CF7"/>
    <w:rsid w:val="2B171DCC"/>
    <w:rsid w:val="2B1AA02E"/>
    <w:rsid w:val="2B21DCA7"/>
    <w:rsid w:val="2B2573DD"/>
    <w:rsid w:val="2B275014"/>
    <w:rsid w:val="2B2C9561"/>
    <w:rsid w:val="2B33CFB9"/>
    <w:rsid w:val="2B39F60E"/>
    <w:rsid w:val="2B4C0365"/>
    <w:rsid w:val="2B4DA9EA"/>
    <w:rsid w:val="2B547209"/>
    <w:rsid w:val="2B54A66F"/>
    <w:rsid w:val="2B6082DC"/>
    <w:rsid w:val="2B70D96B"/>
    <w:rsid w:val="2B7137F0"/>
    <w:rsid w:val="2B762B1C"/>
    <w:rsid w:val="2B7D99DD"/>
    <w:rsid w:val="2B8DC9F4"/>
    <w:rsid w:val="2B9192EC"/>
    <w:rsid w:val="2B935DB4"/>
    <w:rsid w:val="2BAA066B"/>
    <w:rsid w:val="2BB0FA54"/>
    <w:rsid w:val="2BB6ECF3"/>
    <w:rsid w:val="2BBD23B9"/>
    <w:rsid w:val="2BD66E01"/>
    <w:rsid w:val="2BED25D9"/>
    <w:rsid w:val="2BF122F1"/>
    <w:rsid w:val="2BFF685F"/>
    <w:rsid w:val="2C0483C2"/>
    <w:rsid w:val="2C141C20"/>
    <w:rsid w:val="2C1AFC6F"/>
    <w:rsid w:val="2C1C3961"/>
    <w:rsid w:val="2C211248"/>
    <w:rsid w:val="2C5316DF"/>
    <w:rsid w:val="2C6B9206"/>
    <w:rsid w:val="2C72FC0E"/>
    <w:rsid w:val="2C81F740"/>
    <w:rsid w:val="2C86BDEC"/>
    <w:rsid w:val="2C98A772"/>
    <w:rsid w:val="2CAF9635"/>
    <w:rsid w:val="2CB6708F"/>
    <w:rsid w:val="2CB712D2"/>
    <w:rsid w:val="2CCCEDF3"/>
    <w:rsid w:val="2CDBF09B"/>
    <w:rsid w:val="2CFFD2A2"/>
    <w:rsid w:val="2D0AD2AA"/>
    <w:rsid w:val="2D0D0851"/>
    <w:rsid w:val="2D1C5D1F"/>
    <w:rsid w:val="2D1EF7F6"/>
    <w:rsid w:val="2D25D293"/>
    <w:rsid w:val="2D299A55"/>
    <w:rsid w:val="2D2D634D"/>
    <w:rsid w:val="2D3935AB"/>
    <w:rsid w:val="2D3EC6A3"/>
    <w:rsid w:val="2D4F872B"/>
    <w:rsid w:val="2D52BD54"/>
    <w:rsid w:val="2D601AF6"/>
    <w:rsid w:val="2D642F19"/>
    <w:rsid w:val="2D6F4079"/>
    <w:rsid w:val="2D7283F1"/>
    <w:rsid w:val="2D7DA409"/>
    <w:rsid w:val="2D7DBC9A"/>
    <w:rsid w:val="2D82682D"/>
    <w:rsid w:val="2D88F63A"/>
    <w:rsid w:val="2DB9F8E4"/>
    <w:rsid w:val="2DE1A88C"/>
    <w:rsid w:val="2DE1F8D0"/>
    <w:rsid w:val="2DE513F7"/>
    <w:rsid w:val="2DEDD348"/>
    <w:rsid w:val="2DF7B939"/>
    <w:rsid w:val="2DFC8EA2"/>
    <w:rsid w:val="2E035C70"/>
    <w:rsid w:val="2E070C91"/>
    <w:rsid w:val="2E1275B3"/>
    <w:rsid w:val="2E311C2E"/>
    <w:rsid w:val="2E4180D2"/>
    <w:rsid w:val="2E4CCC5E"/>
    <w:rsid w:val="2E553526"/>
    <w:rsid w:val="2E5A9499"/>
    <w:rsid w:val="2E609701"/>
    <w:rsid w:val="2E67A522"/>
    <w:rsid w:val="2E6FE80F"/>
    <w:rsid w:val="2E76C135"/>
    <w:rsid w:val="2E997976"/>
    <w:rsid w:val="2EA15587"/>
    <w:rsid w:val="2EA423F8"/>
    <w:rsid w:val="2EA6A30B"/>
    <w:rsid w:val="2EB726B3"/>
    <w:rsid w:val="2EEC9A1A"/>
    <w:rsid w:val="2EFC1F8B"/>
    <w:rsid w:val="2EFD8916"/>
    <w:rsid w:val="2F071E9A"/>
    <w:rsid w:val="2F0A8E1F"/>
    <w:rsid w:val="2F0D0C13"/>
    <w:rsid w:val="2F1C9CFB"/>
    <w:rsid w:val="2F1EAE48"/>
    <w:rsid w:val="2F29408A"/>
    <w:rsid w:val="2F3C0DBF"/>
    <w:rsid w:val="2F46C878"/>
    <w:rsid w:val="2F49593A"/>
    <w:rsid w:val="2F54C909"/>
    <w:rsid w:val="2F5575B1"/>
    <w:rsid w:val="2F5AC3FE"/>
    <w:rsid w:val="2F66E1C7"/>
    <w:rsid w:val="2F6F29F3"/>
    <w:rsid w:val="2F72E1C2"/>
    <w:rsid w:val="2F7CFE1B"/>
    <w:rsid w:val="2F94BD46"/>
    <w:rsid w:val="2F9B94B9"/>
    <w:rsid w:val="2FA88B13"/>
    <w:rsid w:val="2FBADB38"/>
    <w:rsid w:val="2FBBC7B1"/>
    <w:rsid w:val="2FD62B6E"/>
    <w:rsid w:val="2FDD2D2A"/>
    <w:rsid w:val="2FE33F05"/>
    <w:rsid w:val="2FFCC092"/>
    <w:rsid w:val="3009D617"/>
    <w:rsid w:val="300A7EA2"/>
    <w:rsid w:val="300F0AE8"/>
    <w:rsid w:val="3015C17F"/>
    <w:rsid w:val="304442D4"/>
    <w:rsid w:val="3046A8D8"/>
    <w:rsid w:val="3047F603"/>
    <w:rsid w:val="304B2BE3"/>
    <w:rsid w:val="305D7355"/>
    <w:rsid w:val="30613B17"/>
    <w:rsid w:val="3065040F"/>
    <w:rsid w:val="306FEBEA"/>
    <w:rsid w:val="30725C13"/>
    <w:rsid w:val="307ECD46"/>
    <w:rsid w:val="30904B0B"/>
    <w:rsid w:val="3091A041"/>
    <w:rsid w:val="309260FB"/>
    <w:rsid w:val="30B3A51B"/>
    <w:rsid w:val="30B984D2"/>
    <w:rsid w:val="30C3B297"/>
    <w:rsid w:val="30C4AA3F"/>
    <w:rsid w:val="30CEB2B2"/>
    <w:rsid w:val="30D7F4E5"/>
    <w:rsid w:val="30DFA502"/>
    <w:rsid w:val="30E298D9"/>
    <w:rsid w:val="30FBA827"/>
    <w:rsid w:val="3100FB86"/>
    <w:rsid w:val="3105E48D"/>
    <w:rsid w:val="3112A169"/>
    <w:rsid w:val="311E55CC"/>
    <w:rsid w:val="3124EB36"/>
    <w:rsid w:val="31396217"/>
    <w:rsid w:val="314034E7"/>
    <w:rsid w:val="31422680"/>
    <w:rsid w:val="3142EAB8"/>
    <w:rsid w:val="314E6E15"/>
    <w:rsid w:val="314EA930"/>
    <w:rsid w:val="31651A11"/>
    <w:rsid w:val="317F5631"/>
    <w:rsid w:val="31896E0E"/>
    <w:rsid w:val="319837C3"/>
    <w:rsid w:val="31A171D0"/>
    <w:rsid w:val="31B0A961"/>
    <w:rsid w:val="31B10366"/>
    <w:rsid w:val="31BC3C09"/>
    <w:rsid w:val="31BC9D1C"/>
    <w:rsid w:val="31C1C77C"/>
    <w:rsid w:val="31CA33F1"/>
    <w:rsid w:val="31DD4CBE"/>
    <w:rsid w:val="31DE43CD"/>
    <w:rsid w:val="31E26741"/>
    <w:rsid w:val="31E3C664"/>
    <w:rsid w:val="31E837E7"/>
    <w:rsid w:val="31FA84F4"/>
    <w:rsid w:val="31FB8F9E"/>
    <w:rsid w:val="31FC5A3B"/>
    <w:rsid w:val="3207445B"/>
    <w:rsid w:val="320D47EB"/>
    <w:rsid w:val="321637EF"/>
    <w:rsid w:val="321AE0A9"/>
    <w:rsid w:val="321E1744"/>
    <w:rsid w:val="322C1B6C"/>
    <w:rsid w:val="322E1BBA"/>
    <w:rsid w:val="324177B8"/>
    <w:rsid w:val="3245F514"/>
    <w:rsid w:val="3247D84F"/>
    <w:rsid w:val="324A2775"/>
    <w:rsid w:val="3261303A"/>
    <w:rsid w:val="326A8313"/>
    <w:rsid w:val="3297D04F"/>
    <w:rsid w:val="32A9CF61"/>
    <w:rsid w:val="32B52083"/>
    <w:rsid w:val="32B9985A"/>
    <w:rsid w:val="32C1127C"/>
    <w:rsid w:val="32C425B3"/>
    <w:rsid w:val="32CA132C"/>
    <w:rsid w:val="32D3C5A5"/>
    <w:rsid w:val="32DEBB19"/>
    <w:rsid w:val="32E263C4"/>
    <w:rsid w:val="32EDFFFA"/>
    <w:rsid w:val="332031EE"/>
    <w:rsid w:val="3325A7EB"/>
    <w:rsid w:val="332628C8"/>
    <w:rsid w:val="332DCECE"/>
    <w:rsid w:val="333E78EE"/>
    <w:rsid w:val="333EFBE6"/>
    <w:rsid w:val="3340C3B1"/>
    <w:rsid w:val="334C2D32"/>
    <w:rsid w:val="334C79C2"/>
    <w:rsid w:val="335338C8"/>
    <w:rsid w:val="33580C6A"/>
    <w:rsid w:val="335CA79E"/>
    <w:rsid w:val="335E2AA0"/>
    <w:rsid w:val="33646FAC"/>
    <w:rsid w:val="336ADA0E"/>
    <w:rsid w:val="337DCAEE"/>
    <w:rsid w:val="337F5EF5"/>
    <w:rsid w:val="3398DBD9"/>
    <w:rsid w:val="33A20C46"/>
    <w:rsid w:val="33A6C1C6"/>
    <w:rsid w:val="33AF56CE"/>
    <w:rsid w:val="33B38AA5"/>
    <w:rsid w:val="33BFC9CB"/>
    <w:rsid w:val="33C878BE"/>
    <w:rsid w:val="33CAF52D"/>
    <w:rsid w:val="33CCE4D8"/>
    <w:rsid w:val="33DB68FE"/>
    <w:rsid w:val="33DBCD91"/>
    <w:rsid w:val="33E5EAC4"/>
    <w:rsid w:val="33EA9460"/>
    <w:rsid w:val="34046E3A"/>
    <w:rsid w:val="3404EBAD"/>
    <w:rsid w:val="3410A454"/>
    <w:rsid w:val="341A85BE"/>
    <w:rsid w:val="341D9D66"/>
    <w:rsid w:val="3429815D"/>
    <w:rsid w:val="34342B46"/>
    <w:rsid w:val="34385A3E"/>
    <w:rsid w:val="34385B32"/>
    <w:rsid w:val="343A0C8F"/>
    <w:rsid w:val="34423D03"/>
    <w:rsid w:val="344C6BBE"/>
    <w:rsid w:val="3467CAF8"/>
    <w:rsid w:val="34687967"/>
    <w:rsid w:val="34691F27"/>
    <w:rsid w:val="34700F93"/>
    <w:rsid w:val="34746972"/>
    <w:rsid w:val="347D702A"/>
    <w:rsid w:val="34829CE8"/>
    <w:rsid w:val="348D91E5"/>
    <w:rsid w:val="34A1B681"/>
    <w:rsid w:val="34BD6AA1"/>
    <w:rsid w:val="34C7AFF7"/>
    <w:rsid w:val="34CC7BA2"/>
    <w:rsid w:val="34D7D08D"/>
    <w:rsid w:val="34F2D614"/>
    <w:rsid w:val="3505C69A"/>
    <w:rsid w:val="3515C3DD"/>
    <w:rsid w:val="352A4D1C"/>
    <w:rsid w:val="352E717E"/>
    <w:rsid w:val="35388918"/>
    <w:rsid w:val="3538C790"/>
    <w:rsid w:val="353F4FED"/>
    <w:rsid w:val="3542C56B"/>
    <w:rsid w:val="354B233C"/>
    <w:rsid w:val="354B272F"/>
    <w:rsid w:val="354E9C93"/>
    <w:rsid w:val="354F74C8"/>
    <w:rsid w:val="3562BF14"/>
    <w:rsid w:val="356A9F8B"/>
    <w:rsid w:val="357B20AB"/>
    <w:rsid w:val="3582655E"/>
    <w:rsid w:val="3587FB03"/>
    <w:rsid w:val="35A1EF18"/>
    <w:rsid w:val="35A5A61E"/>
    <w:rsid w:val="35AEB202"/>
    <w:rsid w:val="35B34D56"/>
    <w:rsid w:val="35BB0336"/>
    <w:rsid w:val="35CBB56B"/>
    <w:rsid w:val="35CF194A"/>
    <w:rsid w:val="35D6234B"/>
    <w:rsid w:val="35D6BDD4"/>
    <w:rsid w:val="35E884EA"/>
    <w:rsid w:val="35ECBA71"/>
    <w:rsid w:val="35F8B33E"/>
    <w:rsid w:val="36039B59"/>
    <w:rsid w:val="360FD2A1"/>
    <w:rsid w:val="36150736"/>
    <w:rsid w:val="36223B19"/>
    <w:rsid w:val="36296FAC"/>
    <w:rsid w:val="362CDC0D"/>
    <w:rsid w:val="362ECDD3"/>
    <w:rsid w:val="366303F1"/>
    <w:rsid w:val="36847CB7"/>
    <w:rsid w:val="3686CCBF"/>
    <w:rsid w:val="36932ED9"/>
    <w:rsid w:val="369F18B1"/>
    <w:rsid w:val="36A212CF"/>
    <w:rsid w:val="36B0BDE1"/>
    <w:rsid w:val="36B15ACE"/>
    <w:rsid w:val="36B1943E"/>
    <w:rsid w:val="36B1B4F0"/>
    <w:rsid w:val="36B61EBF"/>
    <w:rsid w:val="36C9358D"/>
    <w:rsid w:val="36CDF90F"/>
    <w:rsid w:val="36D49051"/>
    <w:rsid w:val="36D748D7"/>
    <w:rsid w:val="36DBDF45"/>
    <w:rsid w:val="36E3F254"/>
    <w:rsid w:val="36E6F39D"/>
    <w:rsid w:val="36EE20BF"/>
    <w:rsid w:val="3700E1C5"/>
    <w:rsid w:val="37136E53"/>
    <w:rsid w:val="371550D9"/>
    <w:rsid w:val="37170B54"/>
    <w:rsid w:val="372B9348"/>
    <w:rsid w:val="3731F58A"/>
    <w:rsid w:val="3742426E"/>
    <w:rsid w:val="374FF7C1"/>
    <w:rsid w:val="3750A532"/>
    <w:rsid w:val="3756D397"/>
    <w:rsid w:val="375990AF"/>
    <w:rsid w:val="37681E08"/>
    <w:rsid w:val="377DE0E9"/>
    <w:rsid w:val="378EE4EB"/>
    <w:rsid w:val="3798BA8F"/>
    <w:rsid w:val="379D844F"/>
    <w:rsid w:val="379F6BBA"/>
    <w:rsid w:val="37A3716E"/>
    <w:rsid w:val="37BE0B7A"/>
    <w:rsid w:val="37C019CA"/>
    <w:rsid w:val="37D90E8D"/>
    <w:rsid w:val="37D95743"/>
    <w:rsid w:val="37EEAA1A"/>
    <w:rsid w:val="37F8564C"/>
    <w:rsid w:val="380698D3"/>
    <w:rsid w:val="3818394F"/>
    <w:rsid w:val="381D0C6B"/>
    <w:rsid w:val="382B591A"/>
    <w:rsid w:val="383F496F"/>
    <w:rsid w:val="38428E65"/>
    <w:rsid w:val="38430EA6"/>
    <w:rsid w:val="38455268"/>
    <w:rsid w:val="384CE4E4"/>
    <w:rsid w:val="384E35A3"/>
    <w:rsid w:val="38509E1B"/>
    <w:rsid w:val="3854AE24"/>
    <w:rsid w:val="385CCD80"/>
    <w:rsid w:val="3864EAC1"/>
    <w:rsid w:val="3865B69F"/>
    <w:rsid w:val="387685DF"/>
    <w:rsid w:val="3876D48A"/>
    <w:rsid w:val="387A662D"/>
    <w:rsid w:val="3882C7F1"/>
    <w:rsid w:val="3886F731"/>
    <w:rsid w:val="388B1129"/>
    <w:rsid w:val="388B9260"/>
    <w:rsid w:val="388CA4C0"/>
    <w:rsid w:val="3890494B"/>
    <w:rsid w:val="389BE9E1"/>
    <w:rsid w:val="389BFA3D"/>
    <w:rsid w:val="389F8BE4"/>
    <w:rsid w:val="38CC46FB"/>
    <w:rsid w:val="38D4498A"/>
    <w:rsid w:val="38D75EED"/>
    <w:rsid w:val="38D976CB"/>
    <w:rsid w:val="38F2A3F8"/>
    <w:rsid w:val="38FFA262"/>
    <w:rsid w:val="3903EE69"/>
    <w:rsid w:val="3904CD72"/>
    <w:rsid w:val="393368F0"/>
    <w:rsid w:val="39348AF0"/>
    <w:rsid w:val="393954B0"/>
    <w:rsid w:val="393CF24D"/>
    <w:rsid w:val="393F12AE"/>
    <w:rsid w:val="394DFC9D"/>
    <w:rsid w:val="3959DBDB"/>
    <w:rsid w:val="3960BAD8"/>
    <w:rsid w:val="39782F05"/>
    <w:rsid w:val="399A1D71"/>
    <w:rsid w:val="399B211A"/>
    <w:rsid w:val="399D0611"/>
    <w:rsid w:val="39A061CF"/>
    <w:rsid w:val="39AAE5C9"/>
    <w:rsid w:val="39BBBB46"/>
    <w:rsid w:val="39BC1D79"/>
    <w:rsid w:val="39BE6D81"/>
    <w:rsid w:val="39C64737"/>
    <w:rsid w:val="39C659F8"/>
    <w:rsid w:val="39CE200E"/>
    <w:rsid w:val="39DE5EC6"/>
    <w:rsid w:val="39E7E173"/>
    <w:rsid w:val="39E8B545"/>
    <w:rsid w:val="39ED986D"/>
    <w:rsid w:val="39EF09AF"/>
    <w:rsid w:val="39F07E85"/>
    <w:rsid w:val="39F9D95A"/>
    <w:rsid w:val="39FAC1A9"/>
    <w:rsid w:val="39FE9056"/>
    <w:rsid w:val="39FF3173"/>
    <w:rsid w:val="3A024785"/>
    <w:rsid w:val="3A0E088E"/>
    <w:rsid w:val="3A0F6253"/>
    <w:rsid w:val="3A1477C3"/>
    <w:rsid w:val="3A1AD0B7"/>
    <w:rsid w:val="3A1D42EA"/>
    <w:rsid w:val="3A23F941"/>
    <w:rsid w:val="3A299AF5"/>
    <w:rsid w:val="3A33D10D"/>
    <w:rsid w:val="3A396556"/>
    <w:rsid w:val="3A4E91CE"/>
    <w:rsid w:val="3A5652BB"/>
    <w:rsid w:val="3A594044"/>
    <w:rsid w:val="3A7B0DED"/>
    <w:rsid w:val="3A7E54A5"/>
    <w:rsid w:val="3A8845F4"/>
    <w:rsid w:val="3A8B1CBB"/>
    <w:rsid w:val="3A8E7459"/>
    <w:rsid w:val="3A8ED6FE"/>
    <w:rsid w:val="3AA828DE"/>
    <w:rsid w:val="3AD2BEB1"/>
    <w:rsid w:val="3AD7C513"/>
    <w:rsid w:val="3AE343C4"/>
    <w:rsid w:val="3AF03939"/>
    <w:rsid w:val="3AF5AC3C"/>
    <w:rsid w:val="3AF7BA8C"/>
    <w:rsid w:val="3B091857"/>
    <w:rsid w:val="3B125752"/>
    <w:rsid w:val="3B485DD1"/>
    <w:rsid w:val="3B578BA7"/>
    <w:rsid w:val="3B5DDB7F"/>
    <w:rsid w:val="3B657C9F"/>
    <w:rsid w:val="3B69F06F"/>
    <w:rsid w:val="3B79E347"/>
    <w:rsid w:val="3B7CF32A"/>
    <w:rsid w:val="3B842F04"/>
    <w:rsid w:val="3B883EDD"/>
    <w:rsid w:val="3B9179E5"/>
    <w:rsid w:val="3B943C6C"/>
    <w:rsid w:val="3B96CE3D"/>
    <w:rsid w:val="3B9E3195"/>
    <w:rsid w:val="3BA78596"/>
    <w:rsid w:val="3BB01BCE"/>
    <w:rsid w:val="3BC2E3C1"/>
    <w:rsid w:val="3BD540D8"/>
    <w:rsid w:val="3BD9D918"/>
    <w:rsid w:val="3BE45A1A"/>
    <w:rsid w:val="3BF2231C"/>
    <w:rsid w:val="3BF58A81"/>
    <w:rsid w:val="3BFF5935"/>
    <w:rsid w:val="3C073CC0"/>
    <w:rsid w:val="3C3ED004"/>
    <w:rsid w:val="3C3F5F17"/>
    <w:rsid w:val="3C41FA43"/>
    <w:rsid w:val="3C43F03C"/>
    <w:rsid w:val="3C504345"/>
    <w:rsid w:val="3C5493F4"/>
    <w:rsid w:val="3C56BD82"/>
    <w:rsid w:val="3C635CF7"/>
    <w:rsid w:val="3C636EA9"/>
    <w:rsid w:val="3C74930F"/>
    <w:rsid w:val="3C8011D9"/>
    <w:rsid w:val="3C859D5F"/>
    <w:rsid w:val="3C884AF7"/>
    <w:rsid w:val="3C981866"/>
    <w:rsid w:val="3C9D7639"/>
    <w:rsid w:val="3CA05E93"/>
    <w:rsid w:val="3CB2446C"/>
    <w:rsid w:val="3CBE19D8"/>
    <w:rsid w:val="3CC21B3D"/>
    <w:rsid w:val="3CCE3152"/>
    <w:rsid w:val="3CE09A4D"/>
    <w:rsid w:val="3CF2EE59"/>
    <w:rsid w:val="3CF35C08"/>
    <w:rsid w:val="3CF5367B"/>
    <w:rsid w:val="3CF5A146"/>
    <w:rsid w:val="3D076E29"/>
    <w:rsid w:val="3D08E2D2"/>
    <w:rsid w:val="3D15B3A8"/>
    <w:rsid w:val="3D18C38B"/>
    <w:rsid w:val="3D249468"/>
    <w:rsid w:val="3D2A2236"/>
    <w:rsid w:val="3D317A1C"/>
    <w:rsid w:val="3D39C24B"/>
    <w:rsid w:val="3D3BC210"/>
    <w:rsid w:val="3D480D0C"/>
    <w:rsid w:val="3D551CE2"/>
    <w:rsid w:val="3D5EB422"/>
    <w:rsid w:val="3D67F46B"/>
    <w:rsid w:val="3D6C8254"/>
    <w:rsid w:val="3D88F9E7"/>
    <w:rsid w:val="3D8E5041"/>
    <w:rsid w:val="3DAC4122"/>
    <w:rsid w:val="3DB003E5"/>
    <w:rsid w:val="3DB24413"/>
    <w:rsid w:val="3E0176C9"/>
    <w:rsid w:val="3E02B9DD"/>
    <w:rsid w:val="3E1EAD81"/>
    <w:rsid w:val="3E2D4CFE"/>
    <w:rsid w:val="3E317FB8"/>
    <w:rsid w:val="3E57CBF3"/>
    <w:rsid w:val="3E678A11"/>
    <w:rsid w:val="3E8B63DE"/>
    <w:rsid w:val="3E8C1C19"/>
    <w:rsid w:val="3E8F2C69"/>
    <w:rsid w:val="3E90E9C9"/>
    <w:rsid w:val="3E91DEA4"/>
    <w:rsid w:val="3E934C04"/>
    <w:rsid w:val="3E96DA0F"/>
    <w:rsid w:val="3EA8B6F9"/>
    <w:rsid w:val="3EAFAE66"/>
    <w:rsid w:val="3EAFB1FD"/>
    <w:rsid w:val="3EDE64BB"/>
    <w:rsid w:val="3EE3DD6D"/>
    <w:rsid w:val="3F08DA94"/>
    <w:rsid w:val="3F09F250"/>
    <w:rsid w:val="3F0AF695"/>
    <w:rsid w:val="3F181BB4"/>
    <w:rsid w:val="3F23DF12"/>
    <w:rsid w:val="3F2BCC7F"/>
    <w:rsid w:val="3F2DE33B"/>
    <w:rsid w:val="3F324AC8"/>
    <w:rsid w:val="3F360C63"/>
    <w:rsid w:val="3F52BCA5"/>
    <w:rsid w:val="3F77B662"/>
    <w:rsid w:val="3F78D54E"/>
    <w:rsid w:val="3F885101"/>
    <w:rsid w:val="3F9E3CCE"/>
    <w:rsid w:val="3FA540C7"/>
    <w:rsid w:val="3FACCA80"/>
    <w:rsid w:val="3FBE5822"/>
    <w:rsid w:val="3FCB5564"/>
    <w:rsid w:val="3FE36916"/>
    <w:rsid w:val="3FEF8B22"/>
    <w:rsid w:val="3FF037EA"/>
    <w:rsid w:val="3FFFB69D"/>
    <w:rsid w:val="400859E4"/>
    <w:rsid w:val="401DDC4E"/>
    <w:rsid w:val="4029CA57"/>
    <w:rsid w:val="402B5EFD"/>
    <w:rsid w:val="4038EDC2"/>
    <w:rsid w:val="403CF54E"/>
    <w:rsid w:val="403E9B04"/>
    <w:rsid w:val="4044875A"/>
    <w:rsid w:val="404DA04A"/>
    <w:rsid w:val="405EDCD8"/>
    <w:rsid w:val="40668E63"/>
    <w:rsid w:val="406A3F60"/>
    <w:rsid w:val="407BE406"/>
    <w:rsid w:val="409AAEF8"/>
    <w:rsid w:val="40A091D3"/>
    <w:rsid w:val="40AE390B"/>
    <w:rsid w:val="40B91282"/>
    <w:rsid w:val="40C7DCD4"/>
    <w:rsid w:val="40C9B39C"/>
    <w:rsid w:val="40D46DCC"/>
    <w:rsid w:val="40D758E0"/>
    <w:rsid w:val="40DAB7DE"/>
    <w:rsid w:val="40DB7EA4"/>
    <w:rsid w:val="40DBD6C5"/>
    <w:rsid w:val="40DECFB1"/>
    <w:rsid w:val="410DCB1C"/>
    <w:rsid w:val="4124D649"/>
    <w:rsid w:val="4136DFCC"/>
    <w:rsid w:val="414E2C08"/>
    <w:rsid w:val="41527310"/>
    <w:rsid w:val="415563EF"/>
    <w:rsid w:val="4155AA18"/>
    <w:rsid w:val="41590E82"/>
    <w:rsid w:val="4164CBEE"/>
    <w:rsid w:val="416AC03B"/>
    <w:rsid w:val="41781FC6"/>
    <w:rsid w:val="41A0D6F3"/>
    <w:rsid w:val="41AAD713"/>
    <w:rsid w:val="41ADE2C0"/>
    <w:rsid w:val="41B13B11"/>
    <w:rsid w:val="41BEF375"/>
    <w:rsid w:val="41C6E2F9"/>
    <w:rsid w:val="41C97F66"/>
    <w:rsid w:val="41CC0428"/>
    <w:rsid w:val="41EE829B"/>
    <w:rsid w:val="4213D0E0"/>
    <w:rsid w:val="42283C73"/>
    <w:rsid w:val="422F28D8"/>
    <w:rsid w:val="42321B1D"/>
    <w:rsid w:val="423E16A7"/>
    <w:rsid w:val="424BE815"/>
    <w:rsid w:val="42542B9E"/>
    <w:rsid w:val="4257F76C"/>
    <w:rsid w:val="425DB7D9"/>
    <w:rsid w:val="426ED249"/>
    <w:rsid w:val="4280C383"/>
    <w:rsid w:val="42889BBB"/>
    <w:rsid w:val="4299863E"/>
    <w:rsid w:val="42A30028"/>
    <w:rsid w:val="42A6CACE"/>
    <w:rsid w:val="42AAC306"/>
    <w:rsid w:val="42C0A6AA"/>
    <w:rsid w:val="42C893D4"/>
    <w:rsid w:val="42D19D9D"/>
    <w:rsid w:val="42DC56AD"/>
    <w:rsid w:val="42E54F3B"/>
    <w:rsid w:val="42E6295A"/>
    <w:rsid w:val="42E8A5EB"/>
    <w:rsid w:val="42ED6939"/>
    <w:rsid w:val="42F772B9"/>
    <w:rsid w:val="42F7E46F"/>
    <w:rsid w:val="4303BB2A"/>
    <w:rsid w:val="43052860"/>
    <w:rsid w:val="431DACD5"/>
    <w:rsid w:val="43244A79"/>
    <w:rsid w:val="432CC090"/>
    <w:rsid w:val="4336B374"/>
    <w:rsid w:val="433902F6"/>
    <w:rsid w:val="43390B89"/>
    <w:rsid w:val="433F90D6"/>
    <w:rsid w:val="4341A091"/>
    <w:rsid w:val="43531D8D"/>
    <w:rsid w:val="43540120"/>
    <w:rsid w:val="43540E32"/>
    <w:rsid w:val="435AC3D6"/>
    <w:rsid w:val="43616B19"/>
    <w:rsid w:val="436D191D"/>
    <w:rsid w:val="437AFC53"/>
    <w:rsid w:val="438C5A21"/>
    <w:rsid w:val="4392A42E"/>
    <w:rsid w:val="4394A39F"/>
    <w:rsid w:val="4395870B"/>
    <w:rsid w:val="43972E6F"/>
    <w:rsid w:val="439C48F2"/>
    <w:rsid w:val="439D83C9"/>
    <w:rsid w:val="43A52C03"/>
    <w:rsid w:val="43B64C95"/>
    <w:rsid w:val="43B85887"/>
    <w:rsid w:val="43C6DA09"/>
    <w:rsid w:val="43CA4412"/>
    <w:rsid w:val="43CAEB1E"/>
    <w:rsid w:val="43DC53C7"/>
    <w:rsid w:val="43E43F75"/>
    <w:rsid w:val="43EC403D"/>
    <w:rsid w:val="43EC938E"/>
    <w:rsid w:val="44075188"/>
    <w:rsid w:val="440AA2AA"/>
    <w:rsid w:val="440C0E8E"/>
    <w:rsid w:val="4411E75A"/>
    <w:rsid w:val="441A95DB"/>
    <w:rsid w:val="44284B9E"/>
    <w:rsid w:val="443D1BF0"/>
    <w:rsid w:val="4448344D"/>
    <w:rsid w:val="4448CACA"/>
    <w:rsid w:val="44581DDF"/>
    <w:rsid w:val="44608106"/>
    <w:rsid w:val="44620AB8"/>
    <w:rsid w:val="446418B1"/>
    <w:rsid w:val="44669D98"/>
    <w:rsid w:val="446D6DFE"/>
    <w:rsid w:val="446E5669"/>
    <w:rsid w:val="4478B1EA"/>
    <w:rsid w:val="4490AF44"/>
    <w:rsid w:val="449A47AF"/>
    <w:rsid w:val="449AECCD"/>
    <w:rsid w:val="44A58E39"/>
    <w:rsid w:val="44A84CF7"/>
    <w:rsid w:val="44DAD8E6"/>
    <w:rsid w:val="44DD70F2"/>
    <w:rsid w:val="44E10993"/>
    <w:rsid w:val="44E592A9"/>
    <w:rsid w:val="44E8B264"/>
    <w:rsid w:val="44ED0961"/>
    <w:rsid w:val="44FAA562"/>
    <w:rsid w:val="44FAAFFA"/>
    <w:rsid w:val="4508A082"/>
    <w:rsid w:val="4512B7D9"/>
    <w:rsid w:val="4519659F"/>
    <w:rsid w:val="4526BAA6"/>
    <w:rsid w:val="452B114A"/>
    <w:rsid w:val="4532FED0"/>
    <w:rsid w:val="453ECBFA"/>
    <w:rsid w:val="45449D3F"/>
    <w:rsid w:val="455C36EB"/>
    <w:rsid w:val="45A6730B"/>
    <w:rsid w:val="45AC657D"/>
    <w:rsid w:val="45AE2901"/>
    <w:rsid w:val="45B6663C"/>
    <w:rsid w:val="45BFA534"/>
    <w:rsid w:val="45C05D6F"/>
    <w:rsid w:val="45C56F1C"/>
    <w:rsid w:val="45CAF58D"/>
    <w:rsid w:val="45CB705F"/>
    <w:rsid w:val="45D5D512"/>
    <w:rsid w:val="45D6AC0E"/>
    <w:rsid w:val="45D99468"/>
    <w:rsid w:val="45DDA0DA"/>
    <w:rsid w:val="45E0F15E"/>
    <w:rsid w:val="45ECF595"/>
    <w:rsid w:val="45FB01E3"/>
    <w:rsid w:val="46047F67"/>
    <w:rsid w:val="460A50EF"/>
    <w:rsid w:val="461D29F5"/>
    <w:rsid w:val="462A5FE6"/>
    <w:rsid w:val="46335589"/>
    <w:rsid w:val="4634E1DC"/>
    <w:rsid w:val="463A824F"/>
    <w:rsid w:val="46441D58"/>
    <w:rsid w:val="4648DED8"/>
    <w:rsid w:val="464B92C1"/>
    <w:rsid w:val="464FBC75"/>
    <w:rsid w:val="4654AB87"/>
    <w:rsid w:val="4658C20B"/>
    <w:rsid w:val="465BA053"/>
    <w:rsid w:val="465DEA93"/>
    <w:rsid w:val="46875A22"/>
    <w:rsid w:val="4687CEBF"/>
    <w:rsid w:val="468B7FA3"/>
    <w:rsid w:val="46924878"/>
    <w:rsid w:val="4697ACED"/>
    <w:rsid w:val="469B1C5F"/>
    <w:rsid w:val="469C0DA3"/>
    <w:rsid w:val="469F0679"/>
    <w:rsid w:val="46A31453"/>
    <w:rsid w:val="46A42801"/>
    <w:rsid w:val="46ADB7CA"/>
    <w:rsid w:val="46B23937"/>
    <w:rsid w:val="46B29D15"/>
    <w:rsid w:val="46C2E983"/>
    <w:rsid w:val="46D6EF13"/>
    <w:rsid w:val="46D9162F"/>
    <w:rsid w:val="46EAB785"/>
    <w:rsid w:val="46F181C2"/>
    <w:rsid w:val="46F256E3"/>
    <w:rsid w:val="47018E2F"/>
    <w:rsid w:val="4702E900"/>
    <w:rsid w:val="471187CA"/>
    <w:rsid w:val="47460D17"/>
    <w:rsid w:val="47467085"/>
    <w:rsid w:val="474835DE"/>
    <w:rsid w:val="4749F962"/>
    <w:rsid w:val="474EBF8B"/>
    <w:rsid w:val="47691D21"/>
    <w:rsid w:val="47749904"/>
    <w:rsid w:val="47756740"/>
    <w:rsid w:val="477A2B8E"/>
    <w:rsid w:val="477CD268"/>
    <w:rsid w:val="477F746C"/>
    <w:rsid w:val="4789DD58"/>
    <w:rsid w:val="47901249"/>
    <w:rsid w:val="479417CD"/>
    <w:rsid w:val="47A69C22"/>
    <w:rsid w:val="47AA43FB"/>
    <w:rsid w:val="47B95F2D"/>
    <w:rsid w:val="47C13AFB"/>
    <w:rsid w:val="47D41E18"/>
    <w:rsid w:val="47DD3993"/>
    <w:rsid w:val="47E2296E"/>
    <w:rsid w:val="47EB8CD6"/>
    <w:rsid w:val="480C335C"/>
    <w:rsid w:val="481CEF6E"/>
    <w:rsid w:val="481FA3DA"/>
    <w:rsid w:val="4835DA33"/>
    <w:rsid w:val="483EE4B4"/>
    <w:rsid w:val="483F627E"/>
    <w:rsid w:val="483FDC17"/>
    <w:rsid w:val="48599C40"/>
    <w:rsid w:val="48639DBE"/>
    <w:rsid w:val="4866161D"/>
    <w:rsid w:val="48903190"/>
    <w:rsid w:val="4892C8B7"/>
    <w:rsid w:val="48C0E23E"/>
    <w:rsid w:val="48C5DF7F"/>
    <w:rsid w:val="48D74B65"/>
    <w:rsid w:val="48F9841D"/>
    <w:rsid w:val="490A86E3"/>
    <w:rsid w:val="490E782B"/>
    <w:rsid w:val="4910A945"/>
    <w:rsid w:val="4910B548"/>
    <w:rsid w:val="492235B6"/>
    <w:rsid w:val="4932A2A5"/>
    <w:rsid w:val="4938852A"/>
    <w:rsid w:val="493BC49E"/>
    <w:rsid w:val="49426C83"/>
    <w:rsid w:val="494B4A36"/>
    <w:rsid w:val="494C71C4"/>
    <w:rsid w:val="495DB69E"/>
    <w:rsid w:val="49686E06"/>
    <w:rsid w:val="49741B3B"/>
    <w:rsid w:val="497644D3"/>
    <w:rsid w:val="4978E437"/>
    <w:rsid w:val="4986E342"/>
    <w:rsid w:val="49875D37"/>
    <w:rsid w:val="4991D343"/>
    <w:rsid w:val="49938BFD"/>
    <w:rsid w:val="49A21A08"/>
    <w:rsid w:val="49B237FD"/>
    <w:rsid w:val="49BF6F81"/>
    <w:rsid w:val="49C88874"/>
    <w:rsid w:val="49CBCBC2"/>
    <w:rsid w:val="49CC2159"/>
    <w:rsid w:val="49D1157A"/>
    <w:rsid w:val="49F5B80F"/>
    <w:rsid w:val="49F94D9F"/>
    <w:rsid w:val="4A051265"/>
    <w:rsid w:val="4A1D0FF2"/>
    <w:rsid w:val="4A22329E"/>
    <w:rsid w:val="4A306790"/>
    <w:rsid w:val="4A471D5E"/>
    <w:rsid w:val="4A5693D7"/>
    <w:rsid w:val="4A5E0656"/>
    <w:rsid w:val="4A63EDC6"/>
    <w:rsid w:val="4A7E8E90"/>
    <w:rsid w:val="4A8257CE"/>
    <w:rsid w:val="4A9871B0"/>
    <w:rsid w:val="4A9EFBCA"/>
    <w:rsid w:val="4AA7C452"/>
    <w:rsid w:val="4AB379A7"/>
    <w:rsid w:val="4AB45DE1"/>
    <w:rsid w:val="4AC23811"/>
    <w:rsid w:val="4AC51B5B"/>
    <w:rsid w:val="4ADDBA24"/>
    <w:rsid w:val="4AE23ECC"/>
    <w:rsid w:val="4AE2EBA9"/>
    <w:rsid w:val="4AF5214A"/>
    <w:rsid w:val="4B0B9366"/>
    <w:rsid w:val="4B10BC8D"/>
    <w:rsid w:val="4B120550"/>
    <w:rsid w:val="4B18887F"/>
    <w:rsid w:val="4B232D98"/>
    <w:rsid w:val="4B2799B2"/>
    <w:rsid w:val="4B2930F9"/>
    <w:rsid w:val="4B2A01A1"/>
    <w:rsid w:val="4B2ECF0E"/>
    <w:rsid w:val="4B4BD8F6"/>
    <w:rsid w:val="4B4C2A4F"/>
    <w:rsid w:val="4B57449C"/>
    <w:rsid w:val="4B5D60B0"/>
    <w:rsid w:val="4B6AA2E5"/>
    <w:rsid w:val="4B6CE5DB"/>
    <w:rsid w:val="4B953848"/>
    <w:rsid w:val="4B9AED57"/>
    <w:rsid w:val="4BA38676"/>
    <w:rsid w:val="4BAF5782"/>
    <w:rsid w:val="4BB2F67E"/>
    <w:rsid w:val="4BB689E6"/>
    <w:rsid w:val="4BBA9CD3"/>
    <w:rsid w:val="4BD8540C"/>
    <w:rsid w:val="4BDBEF67"/>
    <w:rsid w:val="4BF0B656"/>
    <w:rsid w:val="4C008385"/>
    <w:rsid w:val="4C16B00C"/>
    <w:rsid w:val="4C1A5EF1"/>
    <w:rsid w:val="4C23685E"/>
    <w:rsid w:val="4C2C7B86"/>
    <w:rsid w:val="4C2E3FB5"/>
    <w:rsid w:val="4C2EB8E9"/>
    <w:rsid w:val="4C360DFC"/>
    <w:rsid w:val="4C429B60"/>
    <w:rsid w:val="4C48D5EC"/>
    <w:rsid w:val="4C5A7F84"/>
    <w:rsid w:val="4C5BFA4F"/>
    <w:rsid w:val="4C6091AD"/>
    <w:rsid w:val="4C69CF99"/>
    <w:rsid w:val="4C75E473"/>
    <w:rsid w:val="4C782941"/>
    <w:rsid w:val="4C7A0D45"/>
    <w:rsid w:val="4C7E4945"/>
    <w:rsid w:val="4C966994"/>
    <w:rsid w:val="4CA9B965"/>
    <w:rsid w:val="4CB0EC12"/>
    <w:rsid w:val="4CC5BD56"/>
    <w:rsid w:val="4CC6BCDF"/>
    <w:rsid w:val="4CC7EB06"/>
    <w:rsid w:val="4CCC7306"/>
    <w:rsid w:val="4CCD36F2"/>
    <w:rsid w:val="4CCE694C"/>
    <w:rsid w:val="4CE0E9EE"/>
    <w:rsid w:val="4CE5ED5A"/>
    <w:rsid w:val="4CF89942"/>
    <w:rsid w:val="4CFF0816"/>
    <w:rsid w:val="4D036C84"/>
    <w:rsid w:val="4D067346"/>
    <w:rsid w:val="4D1609E0"/>
    <w:rsid w:val="4D303923"/>
    <w:rsid w:val="4D5F8CE5"/>
    <w:rsid w:val="4D7D7EFC"/>
    <w:rsid w:val="4D8E3499"/>
    <w:rsid w:val="4D94A63D"/>
    <w:rsid w:val="4DAB8893"/>
    <w:rsid w:val="4DB0D3FC"/>
    <w:rsid w:val="4DBB4B2A"/>
    <w:rsid w:val="4DBF38BF"/>
    <w:rsid w:val="4DC7BE9A"/>
    <w:rsid w:val="4DD523C3"/>
    <w:rsid w:val="4DD5AE2C"/>
    <w:rsid w:val="4DE5F9A3"/>
    <w:rsid w:val="4DEFAD10"/>
    <w:rsid w:val="4DFDDAF0"/>
    <w:rsid w:val="4E0378F2"/>
    <w:rsid w:val="4E06BDE8"/>
    <w:rsid w:val="4E0B7731"/>
    <w:rsid w:val="4E0E0FED"/>
    <w:rsid w:val="4E18DDA7"/>
    <w:rsid w:val="4E22387C"/>
    <w:rsid w:val="4E23C757"/>
    <w:rsid w:val="4E2D15FB"/>
    <w:rsid w:val="4E433428"/>
    <w:rsid w:val="4E4D6C9E"/>
    <w:rsid w:val="4E513F51"/>
    <w:rsid w:val="4E58B4A4"/>
    <w:rsid w:val="4E5ACE5A"/>
    <w:rsid w:val="4E5F3A74"/>
    <w:rsid w:val="4E6B5DD6"/>
    <w:rsid w:val="4E6D5723"/>
    <w:rsid w:val="4E770B38"/>
    <w:rsid w:val="4E876D11"/>
    <w:rsid w:val="4E9933BF"/>
    <w:rsid w:val="4EA5C38F"/>
    <w:rsid w:val="4EACB2DA"/>
    <w:rsid w:val="4EAFF7A5"/>
    <w:rsid w:val="4EB18F59"/>
    <w:rsid w:val="4EB1DA41"/>
    <w:rsid w:val="4EB7AEA1"/>
    <w:rsid w:val="4ECCD90A"/>
    <w:rsid w:val="4ED9DDA9"/>
    <w:rsid w:val="4EE8918A"/>
    <w:rsid w:val="4EEA2054"/>
    <w:rsid w:val="4EFE09A2"/>
    <w:rsid w:val="4F06B06A"/>
    <w:rsid w:val="4F14685E"/>
    <w:rsid w:val="4F345B79"/>
    <w:rsid w:val="4F382447"/>
    <w:rsid w:val="4F3D997B"/>
    <w:rsid w:val="4F3F4EC8"/>
    <w:rsid w:val="4F7C8457"/>
    <w:rsid w:val="4F8520E9"/>
    <w:rsid w:val="4F968909"/>
    <w:rsid w:val="4F9AF940"/>
    <w:rsid w:val="4F9B85C4"/>
    <w:rsid w:val="4F9BF115"/>
    <w:rsid w:val="4FA74792"/>
    <w:rsid w:val="4FADEE95"/>
    <w:rsid w:val="4FAE3587"/>
    <w:rsid w:val="4FB1AE07"/>
    <w:rsid w:val="4FB4AE08"/>
    <w:rsid w:val="4FB7ECF6"/>
    <w:rsid w:val="4FB90426"/>
    <w:rsid w:val="4FBFA722"/>
    <w:rsid w:val="4FC0FD3A"/>
    <w:rsid w:val="4FC6A784"/>
    <w:rsid w:val="4FC850D1"/>
    <w:rsid w:val="4FCA4521"/>
    <w:rsid w:val="4FCCF822"/>
    <w:rsid w:val="4FD97333"/>
    <w:rsid w:val="4FEC3093"/>
    <w:rsid w:val="4FECA4A4"/>
    <w:rsid w:val="4FF258A4"/>
    <w:rsid w:val="4FFB5CD4"/>
    <w:rsid w:val="4FFBE9C5"/>
    <w:rsid w:val="50098D24"/>
    <w:rsid w:val="500FF9FD"/>
    <w:rsid w:val="501588A8"/>
    <w:rsid w:val="501D2402"/>
    <w:rsid w:val="501E85A4"/>
    <w:rsid w:val="5020E16E"/>
    <w:rsid w:val="503E1408"/>
    <w:rsid w:val="504282D6"/>
    <w:rsid w:val="5055144A"/>
    <w:rsid w:val="505FA246"/>
    <w:rsid w:val="5068A96B"/>
    <w:rsid w:val="508BCDCB"/>
    <w:rsid w:val="509531B9"/>
    <w:rsid w:val="509F30CA"/>
    <w:rsid w:val="50A37DCF"/>
    <w:rsid w:val="50A8238B"/>
    <w:rsid w:val="50AD5816"/>
    <w:rsid w:val="50B017A0"/>
    <w:rsid w:val="50B3C3C8"/>
    <w:rsid w:val="50BDEF48"/>
    <w:rsid w:val="50C5D55B"/>
    <w:rsid w:val="50C916B5"/>
    <w:rsid w:val="50CB1696"/>
    <w:rsid w:val="50D2883B"/>
    <w:rsid w:val="50D3F4A8"/>
    <w:rsid w:val="50E40981"/>
    <w:rsid w:val="50EB8D5E"/>
    <w:rsid w:val="50F10A2D"/>
    <w:rsid w:val="50F56A30"/>
    <w:rsid w:val="50FFF380"/>
    <w:rsid w:val="51087475"/>
    <w:rsid w:val="510C461F"/>
    <w:rsid w:val="511286FC"/>
    <w:rsid w:val="511598C8"/>
    <w:rsid w:val="51345CDF"/>
    <w:rsid w:val="5134C579"/>
    <w:rsid w:val="51357BB2"/>
    <w:rsid w:val="513A05C1"/>
    <w:rsid w:val="513C62A6"/>
    <w:rsid w:val="514DBF65"/>
    <w:rsid w:val="515545B7"/>
    <w:rsid w:val="515F3157"/>
    <w:rsid w:val="516C3897"/>
    <w:rsid w:val="516CE7B3"/>
    <w:rsid w:val="51724702"/>
    <w:rsid w:val="51850D60"/>
    <w:rsid w:val="5185A4D8"/>
    <w:rsid w:val="51AC6B5F"/>
    <w:rsid w:val="51AFE79D"/>
    <w:rsid w:val="51B8F463"/>
    <w:rsid w:val="51C15BC0"/>
    <w:rsid w:val="51C19255"/>
    <w:rsid w:val="51D1A460"/>
    <w:rsid w:val="51E9301B"/>
    <w:rsid w:val="51EDE072"/>
    <w:rsid w:val="51FB494E"/>
    <w:rsid w:val="51FFECF2"/>
    <w:rsid w:val="5202CA9E"/>
    <w:rsid w:val="520777E4"/>
    <w:rsid w:val="52099452"/>
    <w:rsid w:val="521EE22C"/>
    <w:rsid w:val="522417C3"/>
    <w:rsid w:val="52268591"/>
    <w:rsid w:val="522AAEC2"/>
    <w:rsid w:val="52380CCE"/>
    <w:rsid w:val="523B012B"/>
    <w:rsid w:val="523C2E9F"/>
    <w:rsid w:val="52440810"/>
    <w:rsid w:val="524491DF"/>
    <w:rsid w:val="525E94B6"/>
    <w:rsid w:val="5265FACB"/>
    <w:rsid w:val="526CE7E9"/>
    <w:rsid w:val="526E1B36"/>
    <w:rsid w:val="52786019"/>
    <w:rsid w:val="5281BE85"/>
    <w:rsid w:val="52873A42"/>
    <w:rsid w:val="528F1481"/>
    <w:rsid w:val="5296FBE3"/>
    <w:rsid w:val="52A91F4F"/>
    <w:rsid w:val="52B417CD"/>
    <w:rsid w:val="52C57C83"/>
    <w:rsid w:val="52CA3AF8"/>
    <w:rsid w:val="52CB0BB9"/>
    <w:rsid w:val="52E1AEDF"/>
    <w:rsid w:val="52F71205"/>
    <w:rsid w:val="5303AF2A"/>
    <w:rsid w:val="530F2E7A"/>
    <w:rsid w:val="5343931D"/>
    <w:rsid w:val="5346DF5A"/>
    <w:rsid w:val="5346EF61"/>
    <w:rsid w:val="534A7C5B"/>
    <w:rsid w:val="534AC892"/>
    <w:rsid w:val="53580823"/>
    <w:rsid w:val="535B0BF0"/>
    <w:rsid w:val="535BAA92"/>
    <w:rsid w:val="5377F7C0"/>
    <w:rsid w:val="537A90AB"/>
    <w:rsid w:val="539136B5"/>
    <w:rsid w:val="539BE623"/>
    <w:rsid w:val="539CFFF7"/>
    <w:rsid w:val="53A89665"/>
    <w:rsid w:val="53B3A15E"/>
    <w:rsid w:val="53B5BB98"/>
    <w:rsid w:val="53C1BB69"/>
    <w:rsid w:val="53C36E8D"/>
    <w:rsid w:val="53E4F8D8"/>
    <w:rsid w:val="53F5900A"/>
    <w:rsid w:val="5405BB84"/>
    <w:rsid w:val="542145E6"/>
    <w:rsid w:val="5423141B"/>
    <w:rsid w:val="5428A29C"/>
    <w:rsid w:val="542A1E8C"/>
    <w:rsid w:val="54425CEC"/>
    <w:rsid w:val="5450F427"/>
    <w:rsid w:val="5458474F"/>
    <w:rsid w:val="5475FF6C"/>
    <w:rsid w:val="54801C08"/>
    <w:rsid w:val="54881F2B"/>
    <w:rsid w:val="5491AE8D"/>
    <w:rsid w:val="54AC1869"/>
    <w:rsid w:val="54AC96D2"/>
    <w:rsid w:val="54D848D7"/>
    <w:rsid w:val="54DC7556"/>
    <w:rsid w:val="54DF637E"/>
    <w:rsid w:val="54E63274"/>
    <w:rsid w:val="54E8034A"/>
    <w:rsid w:val="54F3D884"/>
    <w:rsid w:val="54F4AF80"/>
    <w:rsid w:val="54F6AE95"/>
    <w:rsid w:val="5519715C"/>
    <w:rsid w:val="552B9A0D"/>
    <w:rsid w:val="55363C13"/>
    <w:rsid w:val="553A1276"/>
    <w:rsid w:val="55473E10"/>
    <w:rsid w:val="55520B44"/>
    <w:rsid w:val="55552295"/>
    <w:rsid w:val="555A290B"/>
    <w:rsid w:val="5579FBEB"/>
    <w:rsid w:val="55863CE9"/>
    <w:rsid w:val="5591FE88"/>
    <w:rsid w:val="559299F6"/>
    <w:rsid w:val="559AE2D2"/>
    <w:rsid w:val="55A4AA74"/>
    <w:rsid w:val="55AC399F"/>
    <w:rsid w:val="55B32618"/>
    <w:rsid w:val="55BE58F1"/>
    <w:rsid w:val="56142204"/>
    <w:rsid w:val="5621368C"/>
    <w:rsid w:val="562E32B0"/>
    <w:rsid w:val="56329AC6"/>
    <w:rsid w:val="563FA9BA"/>
    <w:rsid w:val="56410BEB"/>
    <w:rsid w:val="564118C9"/>
    <w:rsid w:val="5657B9E9"/>
    <w:rsid w:val="5658CDE1"/>
    <w:rsid w:val="5669BAD6"/>
    <w:rsid w:val="566A1BE3"/>
    <w:rsid w:val="56753097"/>
    <w:rsid w:val="568245C6"/>
    <w:rsid w:val="568C6586"/>
    <w:rsid w:val="568DE31F"/>
    <w:rsid w:val="568FA8E5"/>
    <w:rsid w:val="5693591C"/>
    <w:rsid w:val="569E42B3"/>
    <w:rsid w:val="569FB326"/>
    <w:rsid w:val="56B1C5AC"/>
    <w:rsid w:val="56C96EEF"/>
    <w:rsid w:val="56CBC731"/>
    <w:rsid w:val="56D40EDA"/>
    <w:rsid w:val="56DBA641"/>
    <w:rsid w:val="56E8524D"/>
    <w:rsid w:val="56F3E137"/>
    <w:rsid w:val="570039EF"/>
    <w:rsid w:val="5700969F"/>
    <w:rsid w:val="57020A3F"/>
    <w:rsid w:val="5712948F"/>
    <w:rsid w:val="573635AF"/>
    <w:rsid w:val="573A1C9E"/>
    <w:rsid w:val="574FD2A9"/>
    <w:rsid w:val="57552FA8"/>
    <w:rsid w:val="5767E16D"/>
    <w:rsid w:val="5768A023"/>
    <w:rsid w:val="577B658E"/>
    <w:rsid w:val="578640C4"/>
    <w:rsid w:val="578D3D76"/>
    <w:rsid w:val="578E3B27"/>
    <w:rsid w:val="57912C7D"/>
    <w:rsid w:val="57A68DF3"/>
    <w:rsid w:val="57A84654"/>
    <w:rsid w:val="57AFF265"/>
    <w:rsid w:val="57B17436"/>
    <w:rsid w:val="57B7BCCA"/>
    <w:rsid w:val="57C4A814"/>
    <w:rsid w:val="57C7AD73"/>
    <w:rsid w:val="57CA0311"/>
    <w:rsid w:val="57DB7A1B"/>
    <w:rsid w:val="57DEF93A"/>
    <w:rsid w:val="57F2B691"/>
    <w:rsid w:val="57F7E551"/>
    <w:rsid w:val="57FA47AA"/>
    <w:rsid w:val="5800EC92"/>
    <w:rsid w:val="580A9C9E"/>
    <w:rsid w:val="580C3DE3"/>
    <w:rsid w:val="581D48CD"/>
    <w:rsid w:val="581E1627"/>
    <w:rsid w:val="5827DCB8"/>
    <w:rsid w:val="58357C32"/>
    <w:rsid w:val="58369E01"/>
    <w:rsid w:val="583CB502"/>
    <w:rsid w:val="584A27D1"/>
    <w:rsid w:val="5851121E"/>
    <w:rsid w:val="5868C90A"/>
    <w:rsid w:val="58698690"/>
    <w:rsid w:val="58767A6D"/>
    <w:rsid w:val="5877F8FE"/>
    <w:rsid w:val="587DB753"/>
    <w:rsid w:val="58833EA3"/>
    <w:rsid w:val="588CC357"/>
    <w:rsid w:val="588FB198"/>
    <w:rsid w:val="58912E38"/>
    <w:rsid w:val="589FE609"/>
    <w:rsid w:val="58A1710D"/>
    <w:rsid w:val="58B57936"/>
    <w:rsid w:val="58B90E66"/>
    <w:rsid w:val="58BF4A47"/>
    <w:rsid w:val="58D20610"/>
    <w:rsid w:val="58D22690"/>
    <w:rsid w:val="58D55C46"/>
    <w:rsid w:val="58E19CAD"/>
    <w:rsid w:val="58E7F02F"/>
    <w:rsid w:val="5904DEE6"/>
    <w:rsid w:val="590DA4B2"/>
    <w:rsid w:val="5921DE00"/>
    <w:rsid w:val="5935B09A"/>
    <w:rsid w:val="593EC7F8"/>
    <w:rsid w:val="5944CAE9"/>
    <w:rsid w:val="5951BE97"/>
    <w:rsid w:val="595EFAFF"/>
    <w:rsid w:val="596F3317"/>
    <w:rsid w:val="596FC6F5"/>
    <w:rsid w:val="59774A7C"/>
    <w:rsid w:val="5987B5F7"/>
    <w:rsid w:val="599889B0"/>
    <w:rsid w:val="599AC96E"/>
    <w:rsid w:val="59ABB9FA"/>
    <w:rsid w:val="59BD75F1"/>
    <w:rsid w:val="59D753E8"/>
    <w:rsid w:val="59DEC55E"/>
    <w:rsid w:val="59E2624E"/>
    <w:rsid w:val="59EBC60D"/>
    <w:rsid w:val="59F98622"/>
    <w:rsid w:val="59FC2F86"/>
    <w:rsid w:val="5A00DB24"/>
    <w:rsid w:val="5A0B27A7"/>
    <w:rsid w:val="5A0E39FC"/>
    <w:rsid w:val="5A167A34"/>
    <w:rsid w:val="5A1D2E46"/>
    <w:rsid w:val="5A1D6DF1"/>
    <w:rsid w:val="5A1F0F04"/>
    <w:rsid w:val="5A3FFB75"/>
    <w:rsid w:val="5A446B26"/>
    <w:rsid w:val="5A448587"/>
    <w:rsid w:val="5A5796E6"/>
    <w:rsid w:val="5A59AE0C"/>
    <w:rsid w:val="5A5D729F"/>
    <w:rsid w:val="5A60BE05"/>
    <w:rsid w:val="5A65A8FA"/>
    <w:rsid w:val="5A6DF6F1"/>
    <w:rsid w:val="5A713D49"/>
    <w:rsid w:val="5A7D691B"/>
    <w:rsid w:val="5A7E63BE"/>
    <w:rsid w:val="5A84BD22"/>
    <w:rsid w:val="5A86E6B2"/>
    <w:rsid w:val="5A8B26A8"/>
    <w:rsid w:val="5A8D5B40"/>
    <w:rsid w:val="5AA1C37D"/>
    <w:rsid w:val="5AACC705"/>
    <w:rsid w:val="5AB4219D"/>
    <w:rsid w:val="5AC27F62"/>
    <w:rsid w:val="5AC859DC"/>
    <w:rsid w:val="5AC96999"/>
    <w:rsid w:val="5ADD9522"/>
    <w:rsid w:val="5AF2C7A8"/>
    <w:rsid w:val="5AFA42C3"/>
    <w:rsid w:val="5AFC48D6"/>
    <w:rsid w:val="5AFD83AD"/>
    <w:rsid w:val="5B013FF8"/>
    <w:rsid w:val="5B04E5A8"/>
    <w:rsid w:val="5B0D013E"/>
    <w:rsid w:val="5B131ADD"/>
    <w:rsid w:val="5B1699FC"/>
    <w:rsid w:val="5B1F8A49"/>
    <w:rsid w:val="5B2A9F11"/>
    <w:rsid w:val="5B2D0C53"/>
    <w:rsid w:val="5B34A972"/>
    <w:rsid w:val="5B3B43DB"/>
    <w:rsid w:val="5B644253"/>
    <w:rsid w:val="5B8DA6DB"/>
    <w:rsid w:val="5B931A61"/>
    <w:rsid w:val="5B94136F"/>
    <w:rsid w:val="5BA00AAD"/>
    <w:rsid w:val="5BA7CC20"/>
    <w:rsid w:val="5BAEEE94"/>
    <w:rsid w:val="5BB08FD1"/>
    <w:rsid w:val="5BB24A95"/>
    <w:rsid w:val="5BB41A03"/>
    <w:rsid w:val="5BB8641E"/>
    <w:rsid w:val="5BBFAB2C"/>
    <w:rsid w:val="5BC94394"/>
    <w:rsid w:val="5BD097B4"/>
    <w:rsid w:val="5BE03B87"/>
    <w:rsid w:val="5BF6363B"/>
    <w:rsid w:val="5C0E2524"/>
    <w:rsid w:val="5C110EA6"/>
    <w:rsid w:val="5C21E56E"/>
    <w:rsid w:val="5C349DFB"/>
    <w:rsid w:val="5C35CF5A"/>
    <w:rsid w:val="5C3AD74C"/>
    <w:rsid w:val="5C455594"/>
    <w:rsid w:val="5C4D0945"/>
    <w:rsid w:val="5C66E73C"/>
    <w:rsid w:val="5C71C98C"/>
    <w:rsid w:val="5C71EDFF"/>
    <w:rsid w:val="5C836388"/>
    <w:rsid w:val="5C946D0F"/>
    <w:rsid w:val="5CA22906"/>
    <w:rsid w:val="5CA46F94"/>
    <w:rsid w:val="5CB38FD8"/>
    <w:rsid w:val="5CBD5B3B"/>
    <w:rsid w:val="5CC5CB5C"/>
    <w:rsid w:val="5CCC99B7"/>
    <w:rsid w:val="5CCD60D9"/>
    <w:rsid w:val="5CD0929F"/>
    <w:rsid w:val="5CEA7563"/>
    <w:rsid w:val="5CF5CC4D"/>
    <w:rsid w:val="5CFB4DDB"/>
    <w:rsid w:val="5D0E28E5"/>
    <w:rsid w:val="5D129436"/>
    <w:rsid w:val="5D186429"/>
    <w:rsid w:val="5D20CD8D"/>
    <w:rsid w:val="5D3E6B74"/>
    <w:rsid w:val="5D4E1AF6"/>
    <w:rsid w:val="5D4EC6D2"/>
    <w:rsid w:val="5D5294CF"/>
    <w:rsid w:val="5D5683C6"/>
    <w:rsid w:val="5D6194D3"/>
    <w:rsid w:val="5D794A19"/>
    <w:rsid w:val="5D7E1AF3"/>
    <w:rsid w:val="5D8D9434"/>
    <w:rsid w:val="5D8E3671"/>
    <w:rsid w:val="5D8EE103"/>
    <w:rsid w:val="5D9396C9"/>
    <w:rsid w:val="5DA597B3"/>
    <w:rsid w:val="5DACDF07"/>
    <w:rsid w:val="5DC4712C"/>
    <w:rsid w:val="5DD0A39C"/>
    <w:rsid w:val="5DE2E0F9"/>
    <w:rsid w:val="5DE7FE77"/>
    <w:rsid w:val="5DFC0D87"/>
    <w:rsid w:val="5DFCF06D"/>
    <w:rsid w:val="5E089DCF"/>
    <w:rsid w:val="5E15C90D"/>
    <w:rsid w:val="5E1EF388"/>
    <w:rsid w:val="5E2F3ABA"/>
    <w:rsid w:val="5E35246F"/>
    <w:rsid w:val="5E388C1A"/>
    <w:rsid w:val="5E391613"/>
    <w:rsid w:val="5E3E879D"/>
    <w:rsid w:val="5E49DC69"/>
    <w:rsid w:val="5E4ABB9F"/>
    <w:rsid w:val="5E4F6039"/>
    <w:rsid w:val="5E617576"/>
    <w:rsid w:val="5E618E13"/>
    <w:rsid w:val="5E6C6300"/>
    <w:rsid w:val="5E75BD33"/>
    <w:rsid w:val="5E7CC712"/>
    <w:rsid w:val="5E7E19C8"/>
    <w:rsid w:val="5E882DB8"/>
    <w:rsid w:val="5E96FF0B"/>
    <w:rsid w:val="5E99AEEA"/>
    <w:rsid w:val="5EA616EE"/>
    <w:rsid w:val="5EB24026"/>
    <w:rsid w:val="5EC053A2"/>
    <w:rsid w:val="5ED0E8BC"/>
    <w:rsid w:val="5EE43CD7"/>
    <w:rsid w:val="5EE694A9"/>
    <w:rsid w:val="5EE9DD3C"/>
    <w:rsid w:val="5EEC9430"/>
    <w:rsid w:val="5EF09F69"/>
    <w:rsid w:val="5EFC04DB"/>
    <w:rsid w:val="5F0BEC63"/>
    <w:rsid w:val="5F1294D3"/>
    <w:rsid w:val="5F1FBF05"/>
    <w:rsid w:val="5F295BFF"/>
    <w:rsid w:val="5F33E61B"/>
    <w:rsid w:val="5F37B5D4"/>
    <w:rsid w:val="5F37BE24"/>
    <w:rsid w:val="5F452D5F"/>
    <w:rsid w:val="5F48AF68"/>
    <w:rsid w:val="5F533253"/>
    <w:rsid w:val="5F56953C"/>
    <w:rsid w:val="5F593242"/>
    <w:rsid w:val="5F5BBEA9"/>
    <w:rsid w:val="5F6034EB"/>
    <w:rsid w:val="5F629B61"/>
    <w:rsid w:val="5F63327D"/>
    <w:rsid w:val="5F6363A0"/>
    <w:rsid w:val="5F6E6C3B"/>
    <w:rsid w:val="5F7386AD"/>
    <w:rsid w:val="5F77BF2D"/>
    <w:rsid w:val="5F78AA39"/>
    <w:rsid w:val="5F7BEDE7"/>
    <w:rsid w:val="5F7F3C09"/>
    <w:rsid w:val="5F877227"/>
    <w:rsid w:val="5F924608"/>
    <w:rsid w:val="5F950C69"/>
    <w:rsid w:val="5FBD7D22"/>
    <w:rsid w:val="5FD135D3"/>
    <w:rsid w:val="5FDC3DE5"/>
    <w:rsid w:val="5FF5B12A"/>
    <w:rsid w:val="5FFBB527"/>
    <w:rsid w:val="5FFE856D"/>
    <w:rsid w:val="600F7340"/>
    <w:rsid w:val="60221625"/>
    <w:rsid w:val="6032EE9D"/>
    <w:rsid w:val="60459BD8"/>
    <w:rsid w:val="60500204"/>
    <w:rsid w:val="605890BB"/>
    <w:rsid w:val="606A194A"/>
    <w:rsid w:val="606F9AFC"/>
    <w:rsid w:val="6071FC33"/>
    <w:rsid w:val="6072EBC9"/>
    <w:rsid w:val="607B03B4"/>
    <w:rsid w:val="6082DEA6"/>
    <w:rsid w:val="6084CB40"/>
    <w:rsid w:val="60866794"/>
    <w:rsid w:val="608A3591"/>
    <w:rsid w:val="6093CCEA"/>
    <w:rsid w:val="609541D9"/>
    <w:rsid w:val="6097E1F6"/>
    <w:rsid w:val="60AF4BB1"/>
    <w:rsid w:val="60AFCE0A"/>
    <w:rsid w:val="60C58111"/>
    <w:rsid w:val="60E0FDC0"/>
    <w:rsid w:val="60FB1EE8"/>
    <w:rsid w:val="610698C7"/>
    <w:rsid w:val="61129127"/>
    <w:rsid w:val="611765AE"/>
    <w:rsid w:val="611F6F65"/>
    <w:rsid w:val="61207A68"/>
    <w:rsid w:val="6120E4EB"/>
    <w:rsid w:val="61288858"/>
    <w:rsid w:val="6139829F"/>
    <w:rsid w:val="613F2E1F"/>
    <w:rsid w:val="61451BF1"/>
    <w:rsid w:val="6150D5D1"/>
    <w:rsid w:val="615D3D4F"/>
    <w:rsid w:val="615F9A7C"/>
    <w:rsid w:val="61666FD7"/>
    <w:rsid w:val="616D0634"/>
    <w:rsid w:val="61754C77"/>
    <w:rsid w:val="619DF6A9"/>
    <w:rsid w:val="619ECF61"/>
    <w:rsid w:val="619F5B08"/>
    <w:rsid w:val="61A9E0D8"/>
    <w:rsid w:val="61B47992"/>
    <w:rsid w:val="61D9E039"/>
    <w:rsid w:val="61E16C39"/>
    <w:rsid w:val="61E19A08"/>
    <w:rsid w:val="61E784F6"/>
    <w:rsid w:val="61E9E0E8"/>
    <w:rsid w:val="61EECF71"/>
    <w:rsid w:val="61FE0D4E"/>
    <w:rsid w:val="62025F7C"/>
    <w:rsid w:val="6204DE06"/>
    <w:rsid w:val="620A1D15"/>
    <w:rsid w:val="621DCFFE"/>
    <w:rsid w:val="6222E98B"/>
    <w:rsid w:val="62249999"/>
    <w:rsid w:val="6228402B"/>
    <w:rsid w:val="6231123A"/>
    <w:rsid w:val="62329770"/>
    <w:rsid w:val="6241895C"/>
    <w:rsid w:val="6242BB73"/>
    <w:rsid w:val="625CF6F7"/>
    <w:rsid w:val="626F5EE6"/>
    <w:rsid w:val="627886BD"/>
    <w:rsid w:val="6284F847"/>
    <w:rsid w:val="628ED275"/>
    <w:rsid w:val="628FE89C"/>
    <w:rsid w:val="62925BC2"/>
    <w:rsid w:val="629F5822"/>
    <w:rsid w:val="62AE6188"/>
    <w:rsid w:val="62C0876B"/>
    <w:rsid w:val="62C9E6CA"/>
    <w:rsid w:val="63123194"/>
    <w:rsid w:val="6326ABC6"/>
    <w:rsid w:val="63278953"/>
    <w:rsid w:val="6345501D"/>
    <w:rsid w:val="634A039E"/>
    <w:rsid w:val="63561258"/>
    <w:rsid w:val="635A89C6"/>
    <w:rsid w:val="635C8C16"/>
    <w:rsid w:val="6379EE2E"/>
    <w:rsid w:val="6393C61A"/>
    <w:rsid w:val="639B0B93"/>
    <w:rsid w:val="639E5F5F"/>
    <w:rsid w:val="63A19580"/>
    <w:rsid w:val="63A8D847"/>
    <w:rsid w:val="63C069FA"/>
    <w:rsid w:val="63C06D21"/>
    <w:rsid w:val="63DAFCD8"/>
    <w:rsid w:val="63DF500F"/>
    <w:rsid w:val="63E04C18"/>
    <w:rsid w:val="63EC6B5D"/>
    <w:rsid w:val="640C1DA7"/>
    <w:rsid w:val="6411B47A"/>
    <w:rsid w:val="641407A7"/>
    <w:rsid w:val="6420C8A8"/>
    <w:rsid w:val="642B12E1"/>
    <w:rsid w:val="642BB8FD"/>
    <w:rsid w:val="6439BB93"/>
    <w:rsid w:val="6449D8A3"/>
    <w:rsid w:val="6453350A"/>
    <w:rsid w:val="64636C68"/>
    <w:rsid w:val="6465B72B"/>
    <w:rsid w:val="646C8367"/>
    <w:rsid w:val="647CDB71"/>
    <w:rsid w:val="64810473"/>
    <w:rsid w:val="64AD1CC7"/>
    <w:rsid w:val="64BDCF53"/>
    <w:rsid w:val="64BE60C0"/>
    <w:rsid w:val="64C1054C"/>
    <w:rsid w:val="64C27C27"/>
    <w:rsid w:val="64C338F1"/>
    <w:rsid w:val="64CA60FB"/>
    <w:rsid w:val="64CAA3C2"/>
    <w:rsid w:val="64D4371B"/>
    <w:rsid w:val="64E1819A"/>
    <w:rsid w:val="64E55F6E"/>
    <w:rsid w:val="65052CB9"/>
    <w:rsid w:val="650B8877"/>
    <w:rsid w:val="65120866"/>
    <w:rsid w:val="6536D685"/>
    <w:rsid w:val="654E807E"/>
    <w:rsid w:val="658F0089"/>
    <w:rsid w:val="658F9BBC"/>
    <w:rsid w:val="6591D532"/>
    <w:rsid w:val="659EC88F"/>
    <w:rsid w:val="65A3340C"/>
    <w:rsid w:val="65A40583"/>
    <w:rsid w:val="65BACE3E"/>
    <w:rsid w:val="65C1A247"/>
    <w:rsid w:val="65C907EF"/>
    <w:rsid w:val="65DA7379"/>
    <w:rsid w:val="65DCA7BB"/>
    <w:rsid w:val="65E85F2F"/>
    <w:rsid w:val="65F9176A"/>
    <w:rsid w:val="65FED161"/>
    <w:rsid w:val="6606B3AB"/>
    <w:rsid w:val="660DB275"/>
    <w:rsid w:val="660E88A8"/>
    <w:rsid w:val="6619F4DA"/>
    <w:rsid w:val="6629DA66"/>
    <w:rsid w:val="662C5F84"/>
    <w:rsid w:val="66323354"/>
    <w:rsid w:val="66429960"/>
    <w:rsid w:val="6649E0B4"/>
    <w:rsid w:val="665E0986"/>
    <w:rsid w:val="66602419"/>
    <w:rsid w:val="6663A7B7"/>
    <w:rsid w:val="666B0ED8"/>
    <w:rsid w:val="667E0B42"/>
    <w:rsid w:val="6686EBC8"/>
    <w:rsid w:val="66969484"/>
    <w:rsid w:val="66A3D9E0"/>
    <w:rsid w:val="66C3060B"/>
    <w:rsid w:val="66CCA3F8"/>
    <w:rsid w:val="66D00780"/>
    <w:rsid w:val="66D0BE1C"/>
    <w:rsid w:val="66D5D09F"/>
    <w:rsid w:val="66D83917"/>
    <w:rsid w:val="66E33C9F"/>
    <w:rsid w:val="66E54DBA"/>
    <w:rsid w:val="66F3EE89"/>
    <w:rsid w:val="66FD920C"/>
    <w:rsid w:val="670FC9E7"/>
    <w:rsid w:val="671B6AAA"/>
    <w:rsid w:val="67226B09"/>
    <w:rsid w:val="672351FB"/>
    <w:rsid w:val="67311736"/>
    <w:rsid w:val="6734C61B"/>
    <w:rsid w:val="674CBE8D"/>
    <w:rsid w:val="674EE5AC"/>
    <w:rsid w:val="6758696A"/>
    <w:rsid w:val="67672A0B"/>
    <w:rsid w:val="6767F662"/>
    <w:rsid w:val="67A3EBEC"/>
    <w:rsid w:val="67AACB5E"/>
    <w:rsid w:val="67C5AAC7"/>
    <w:rsid w:val="67CB659E"/>
    <w:rsid w:val="67D02C85"/>
    <w:rsid w:val="67D1512B"/>
    <w:rsid w:val="67DB9611"/>
    <w:rsid w:val="67DE33C9"/>
    <w:rsid w:val="67E3A0D4"/>
    <w:rsid w:val="67FAFA76"/>
    <w:rsid w:val="67FBF47A"/>
    <w:rsid w:val="6803E25A"/>
    <w:rsid w:val="68110F9F"/>
    <w:rsid w:val="68131B21"/>
    <w:rsid w:val="681DEF2C"/>
    <w:rsid w:val="6822BC29"/>
    <w:rsid w:val="6822C439"/>
    <w:rsid w:val="682DFAE9"/>
    <w:rsid w:val="6834A262"/>
    <w:rsid w:val="6835276C"/>
    <w:rsid w:val="68474ECB"/>
    <w:rsid w:val="6848D057"/>
    <w:rsid w:val="68492F62"/>
    <w:rsid w:val="6849E79D"/>
    <w:rsid w:val="684D5F51"/>
    <w:rsid w:val="6850DB8C"/>
    <w:rsid w:val="685CB776"/>
    <w:rsid w:val="686618CD"/>
    <w:rsid w:val="6883E58B"/>
    <w:rsid w:val="6884EC9E"/>
    <w:rsid w:val="688DF08B"/>
    <w:rsid w:val="6896B2C0"/>
    <w:rsid w:val="68BB67FD"/>
    <w:rsid w:val="68BF225C"/>
    <w:rsid w:val="68C05266"/>
    <w:rsid w:val="68CC387B"/>
    <w:rsid w:val="68CCE797"/>
    <w:rsid w:val="68D78C84"/>
    <w:rsid w:val="68F0554A"/>
    <w:rsid w:val="68FF6178"/>
    <w:rsid w:val="69194CAB"/>
    <w:rsid w:val="6926B634"/>
    <w:rsid w:val="69304E59"/>
    <w:rsid w:val="693408E2"/>
    <w:rsid w:val="6935E875"/>
    <w:rsid w:val="693A4793"/>
    <w:rsid w:val="693E546D"/>
    <w:rsid w:val="69454092"/>
    <w:rsid w:val="6952BF55"/>
    <w:rsid w:val="69679997"/>
    <w:rsid w:val="6971D85E"/>
    <w:rsid w:val="69769C3F"/>
    <w:rsid w:val="69777785"/>
    <w:rsid w:val="6989DE3B"/>
    <w:rsid w:val="69B435DC"/>
    <w:rsid w:val="69BA5DAA"/>
    <w:rsid w:val="69BE8C8A"/>
    <w:rsid w:val="69BF6CE8"/>
    <w:rsid w:val="69C73B51"/>
    <w:rsid w:val="69CDCA24"/>
    <w:rsid w:val="69CED461"/>
    <w:rsid w:val="69D56F3A"/>
    <w:rsid w:val="69D85453"/>
    <w:rsid w:val="69FF285C"/>
    <w:rsid w:val="6A068786"/>
    <w:rsid w:val="6A095F3D"/>
    <w:rsid w:val="6A0F1482"/>
    <w:rsid w:val="6A10988F"/>
    <w:rsid w:val="6A17D62D"/>
    <w:rsid w:val="6A1C8450"/>
    <w:rsid w:val="6A28E1E3"/>
    <w:rsid w:val="6A302650"/>
    <w:rsid w:val="6A5AF2BD"/>
    <w:rsid w:val="6A5B729F"/>
    <w:rsid w:val="6A6740CF"/>
    <w:rsid w:val="6A6AA0FE"/>
    <w:rsid w:val="6A795C52"/>
    <w:rsid w:val="6A8118F0"/>
    <w:rsid w:val="6A879872"/>
    <w:rsid w:val="6AA6DF3E"/>
    <w:rsid w:val="6AAC652C"/>
    <w:rsid w:val="6ABAFD8C"/>
    <w:rsid w:val="6AC01494"/>
    <w:rsid w:val="6AC739D3"/>
    <w:rsid w:val="6ACA9DFA"/>
    <w:rsid w:val="6AD1EC95"/>
    <w:rsid w:val="6AD4E76A"/>
    <w:rsid w:val="6ADF57F6"/>
    <w:rsid w:val="6ADF7C4D"/>
    <w:rsid w:val="6AE0F0D2"/>
    <w:rsid w:val="6AE360FB"/>
    <w:rsid w:val="6AE7E37B"/>
    <w:rsid w:val="6AEE9FB8"/>
    <w:rsid w:val="6B004A11"/>
    <w:rsid w:val="6B13E87A"/>
    <w:rsid w:val="6B163AC7"/>
    <w:rsid w:val="6B1E24E0"/>
    <w:rsid w:val="6B1E7008"/>
    <w:rsid w:val="6B236E71"/>
    <w:rsid w:val="6B28F5C1"/>
    <w:rsid w:val="6B3E7157"/>
    <w:rsid w:val="6B43D549"/>
    <w:rsid w:val="6B48B061"/>
    <w:rsid w:val="6B4ACCF6"/>
    <w:rsid w:val="6B520B1D"/>
    <w:rsid w:val="6B558FEE"/>
    <w:rsid w:val="6B5A5CEB"/>
    <w:rsid w:val="6B6CB652"/>
    <w:rsid w:val="6B8A1FC2"/>
    <w:rsid w:val="6BABAA3A"/>
    <w:rsid w:val="6BB367D3"/>
    <w:rsid w:val="6BB9F620"/>
    <w:rsid w:val="6BD0F456"/>
    <w:rsid w:val="6BF2D7DC"/>
    <w:rsid w:val="6BF6C31E"/>
    <w:rsid w:val="6C071A43"/>
    <w:rsid w:val="6C1B15B3"/>
    <w:rsid w:val="6C314306"/>
    <w:rsid w:val="6C473CF1"/>
    <w:rsid w:val="6C49A11A"/>
    <w:rsid w:val="6C54EA88"/>
    <w:rsid w:val="6C6125AA"/>
    <w:rsid w:val="6C7251C9"/>
    <w:rsid w:val="6C7CE154"/>
    <w:rsid w:val="6C879522"/>
    <w:rsid w:val="6C9FACF4"/>
    <w:rsid w:val="6CA9227E"/>
    <w:rsid w:val="6CB9F541"/>
    <w:rsid w:val="6CC56415"/>
    <w:rsid w:val="6CD990C1"/>
    <w:rsid w:val="6CD9FBCF"/>
    <w:rsid w:val="6CDA41B8"/>
    <w:rsid w:val="6CDC3285"/>
    <w:rsid w:val="6CE5AC2C"/>
    <w:rsid w:val="6CEB68D3"/>
    <w:rsid w:val="6CEC937F"/>
    <w:rsid w:val="6CEEA9E1"/>
    <w:rsid w:val="6CF6355C"/>
    <w:rsid w:val="6CF94662"/>
    <w:rsid w:val="6CFA7443"/>
    <w:rsid w:val="6D016C0C"/>
    <w:rsid w:val="6D20EB56"/>
    <w:rsid w:val="6D29E7B9"/>
    <w:rsid w:val="6D347770"/>
    <w:rsid w:val="6D367579"/>
    <w:rsid w:val="6D3EA819"/>
    <w:rsid w:val="6D5C7CC4"/>
    <w:rsid w:val="6D7658A0"/>
    <w:rsid w:val="6D7C9C4E"/>
    <w:rsid w:val="6D80628F"/>
    <w:rsid w:val="6D882F6F"/>
    <w:rsid w:val="6D8D8CC3"/>
    <w:rsid w:val="6D8EA83D"/>
    <w:rsid w:val="6D90B095"/>
    <w:rsid w:val="6D9B1EAD"/>
    <w:rsid w:val="6DA4079F"/>
    <w:rsid w:val="6DABF19F"/>
    <w:rsid w:val="6DADC4E7"/>
    <w:rsid w:val="6DADEBE2"/>
    <w:rsid w:val="6DAF601E"/>
    <w:rsid w:val="6DB394DA"/>
    <w:rsid w:val="6DB6E614"/>
    <w:rsid w:val="6DE65B1F"/>
    <w:rsid w:val="6DECBDCE"/>
    <w:rsid w:val="6DF75FD4"/>
    <w:rsid w:val="6DFC6084"/>
    <w:rsid w:val="6E1059AC"/>
    <w:rsid w:val="6E1B8DFB"/>
    <w:rsid w:val="6E2BCA82"/>
    <w:rsid w:val="6E345FA0"/>
    <w:rsid w:val="6E39A4F5"/>
    <w:rsid w:val="6E3E01ED"/>
    <w:rsid w:val="6E428175"/>
    <w:rsid w:val="6E4A0D62"/>
    <w:rsid w:val="6E4B893C"/>
    <w:rsid w:val="6E5E5145"/>
    <w:rsid w:val="6E7E57EA"/>
    <w:rsid w:val="6E801EC2"/>
    <w:rsid w:val="6E811DFF"/>
    <w:rsid w:val="6E83A79C"/>
    <w:rsid w:val="6E90E9E7"/>
    <w:rsid w:val="6E9F3EBD"/>
    <w:rsid w:val="6EB212F3"/>
    <w:rsid w:val="6EBC9E4A"/>
    <w:rsid w:val="6EEF9D12"/>
    <w:rsid w:val="6EF84D25"/>
    <w:rsid w:val="6EFDABFF"/>
    <w:rsid w:val="6F0628AA"/>
    <w:rsid w:val="6F0C7680"/>
    <w:rsid w:val="6F1AE2D0"/>
    <w:rsid w:val="6F398C2F"/>
    <w:rsid w:val="6F6525AB"/>
    <w:rsid w:val="6F68620E"/>
    <w:rsid w:val="6F75A2AB"/>
    <w:rsid w:val="6F859407"/>
    <w:rsid w:val="6F8AAFB2"/>
    <w:rsid w:val="6F9859B8"/>
    <w:rsid w:val="6FA57575"/>
    <w:rsid w:val="6FAC2A0D"/>
    <w:rsid w:val="6FB48216"/>
    <w:rsid w:val="6FD6F88D"/>
    <w:rsid w:val="6FE3B430"/>
    <w:rsid w:val="6FF67B55"/>
    <w:rsid w:val="6FFA21A6"/>
    <w:rsid w:val="7007CB66"/>
    <w:rsid w:val="70223AF4"/>
    <w:rsid w:val="702DD61E"/>
    <w:rsid w:val="70317E9C"/>
    <w:rsid w:val="70390CCE"/>
    <w:rsid w:val="7050ABA6"/>
    <w:rsid w:val="7064F9DE"/>
    <w:rsid w:val="706C1832"/>
    <w:rsid w:val="7074A2B0"/>
    <w:rsid w:val="708CB976"/>
    <w:rsid w:val="708F9DF6"/>
    <w:rsid w:val="70995601"/>
    <w:rsid w:val="709A4D21"/>
    <w:rsid w:val="709F6B57"/>
    <w:rsid w:val="70B85E6C"/>
    <w:rsid w:val="70BFF2D9"/>
    <w:rsid w:val="70C5A2BC"/>
    <w:rsid w:val="70C648FF"/>
    <w:rsid w:val="70D9A0B6"/>
    <w:rsid w:val="70DC1D0F"/>
    <w:rsid w:val="70DEE588"/>
    <w:rsid w:val="70E9179C"/>
    <w:rsid w:val="70F47699"/>
    <w:rsid w:val="70F79C75"/>
    <w:rsid w:val="70F7C39A"/>
    <w:rsid w:val="710C212A"/>
    <w:rsid w:val="71152A12"/>
    <w:rsid w:val="71245E90"/>
    <w:rsid w:val="713BE254"/>
    <w:rsid w:val="71505277"/>
    <w:rsid w:val="7152A27F"/>
    <w:rsid w:val="7152F4AB"/>
    <w:rsid w:val="7174A61B"/>
    <w:rsid w:val="71765ABB"/>
    <w:rsid w:val="7183D540"/>
    <w:rsid w:val="7185F5A1"/>
    <w:rsid w:val="7194C737"/>
    <w:rsid w:val="719DB781"/>
    <w:rsid w:val="719DF28C"/>
    <w:rsid w:val="71B09BF2"/>
    <w:rsid w:val="71C004A2"/>
    <w:rsid w:val="71C09C17"/>
    <w:rsid w:val="71C24097"/>
    <w:rsid w:val="71C99E6F"/>
    <w:rsid w:val="71CE5435"/>
    <w:rsid w:val="71DD4EB7"/>
    <w:rsid w:val="71F61A8E"/>
    <w:rsid w:val="720C8C8E"/>
    <w:rsid w:val="720CE0C1"/>
    <w:rsid w:val="723E2E99"/>
    <w:rsid w:val="724B79EA"/>
    <w:rsid w:val="725360C1"/>
    <w:rsid w:val="7257A488"/>
    <w:rsid w:val="7266F4BE"/>
    <w:rsid w:val="72672DF1"/>
    <w:rsid w:val="727B0497"/>
    <w:rsid w:val="728424F8"/>
    <w:rsid w:val="729AE69F"/>
    <w:rsid w:val="72A7E74B"/>
    <w:rsid w:val="72ABD099"/>
    <w:rsid w:val="72AD6D92"/>
    <w:rsid w:val="72BF3D6A"/>
    <w:rsid w:val="72CED086"/>
    <w:rsid w:val="72E8B2C4"/>
    <w:rsid w:val="72EC9EB6"/>
    <w:rsid w:val="72F4116A"/>
    <w:rsid w:val="72FF3BA5"/>
    <w:rsid w:val="72FF54E1"/>
    <w:rsid w:val="730C4639"/>
    <w:rsid w:val="731606C1"/>
    <w:rsid w:val="7325C456"/>
    <w:rsid w:val="7328CEDE"/>
    <w:rsid w:val="7329DF50"/>
    <w:rsid w:val="732CCAAA"/>
    <w:rsid w:val="732E4346"/>
    <w:rsid w:val="7333AAF6"/>
    <w:rsid w:val="734C3953"/>
    <w:rsid w:val="734D87DE"/>
    <w:rsid w:val="73501E07"/>
    <w:rsid w:val="73645B0A"/>
    <w:rsid w:val="7373EBDC"/>
    <w:rsid w:val="738D9A59"/>
    <w:rsid w:val="738ED36E"/>
    <w:rsid w:val="739C112A"/>
    <w:rsid w:val="73A59271"/>
    <w:rsid w:val="73A5B6FD"/>
    <w:rsid w:val="73A6D005"/>
    <w:rsid w:val="73ADA47E"/>
    <w:rsid w:val="73AE8979"/>
    <w:rsid w:val="73AED695"/>
    <w:rsid w:val="73B31E0F"/>
    <w:rsid w:val="73BB086E"/>
    <w:rsid w:val="73CBE001"/>
    <w:rsid w:val="73CC71C7"/>
    <w:rsid w:val="73CF70AB"/>
    <w:rsid w:val="73D11D22"/>
    <w:rsid w:val="73D1C970"/>
    <w:rsid w:val="73E18BE0"/>
    <w:rsid w:val="74003242"/>
    <w:rsid w:val="7411D652"/>
    <w:rsid w:val="7428CA4F"/>
    <w:rsid w:val="742ADC68"/>
    <w:rsid w:val="7441A9F6"/>
    <w:rsid w:val="74528C3F"/>
    <w:rsid w:val="745BFF52"/>
    <w:rsid w:val="7484847A"/>
    <w:rsid w:val="748A4341"/>
    <w:rsid w:val="74941B14"/>
    <w:rsid w:val="74A2C84D"/>
    <w:rsid w:val="74AC49DA"/>
    <w:rsid w:val="74AC86BD"/>
    <w:rsid w:val="74C79F2F"/>
    <w:rsid w:val="74CAF95B"/>
    <w:rsid w:val="74D7D00F"/>
    <w:rsid w:val="74DCDA75"/>
    <w:rsid w:val="74DFCB14"/>
    <w:rsid w:val="74F1ACB4"/>
    <w:rsid w:val="75004C31"/>
    <w:rsid w:val="753F8955"/>
    <w:rsid w:val="75448183"/>
    <w:rsid w:val="754A83D3"/>
    <w:rsid w:val="7588DDF6"/>
    <w:rsid w:val="7594D42C"/>
    <w:rsid w:val="75A0CF30"/>
    <w:rsid w:val="75A64D0E"/>
    <w:rsid w:val="75AF5C89"/>
    <w:rsid w:val="75B8A84A"/>
    <w:rsid w:val="75C504B5"/>
    <w:rsid w:val="75CE5BEB"/>
    <w:rsid w:val="75D135D6"/>
    <w:rsid w:val="75D362BD"/>
    <w:rsid w:val="75D5A698"/>
    <w:rsid w:val="75E71DC9"/>
    <w:rsid w:val="75EE5CA0"/>
    <w:rsid w:val="75F6DE2C"/>
    <w:rsid w:val="75FFD34E"/>
    <w:rsid w:val="76067F34"/>
    <w:rsid w:val="760DE998"/>
    <w:rsid w:val="760F5377"/>
    <w:rsid w:val="76205386"/>
    <w:rsid w:val="7620D006"/>
    <w:rsid w:val="76210F9B"/>
    <w:rsid w:val="7634DA17"/>
    <w:rsid w:val="7636DC67"/>
    <w:rsid w:val="76418E1A"/>
    <w:rsid w:val="76470E29"/>
    <w:rsid w:val="7648FAC3"/>
    <w:rsid w:val="7659715C"/>
    <w:rsid w:val="7684730C"/>
    <w:rsid w:val="76861E60"/>
    <w:rsid w:val="7698DFDB"/>
    <w:rsid w:val="76A9E72B"/>
    <w:rsid w:val="76AB8C9E"/>
    <w:rsid w:val="76AD8BB3"/>
    <w:rsid w:val="76DB59B6"/>
    <w:rsid w:val="76DD57BF"/>
    <w:rsid w:val="7705E038"/>
    <w:rsid w:val="7706CD00"/>
    <w:rsid w:val="770D8F9D"/>
    <w:rsid w:val="7713BA68"/>
    <w:rsid w:val="771853AC"/>
    <w:rsid w:val="771A0249"/>
    <w:rsid w:val="771B79B5"/>
    <w:rsid w:val="77216CB7"/>
    <w:rsid w:val="773135B7"/>
    <w:rsid w:val="7732BF3C"/>
    <w:rsid w:val="7739BEE8"/>
    <w:rsid w:val="77463850"/>
    <w:rsid w:val="7746CFC8"/>
    <w:rsid w:val="7749279D"/>
    <w:rsid w:val="774C1B8A"/>
    <w:rsid w:val="774FE875"/>
    <w:rsid w:val="775496F7"/>
    <w:rsid w:val="7755B10E"/>
    <w:rsid w:val="775A9A87"/>
    <w:rsid w:val="775E8551"/>
    <w:rsid w:val="77A8C6F3"/>
    <w:rsid w:val="77A9B9F9"/>
    <w:rsid w:val="77AA5D85"/>
    <w:rsid w:val="77BC253C"/>
    <w:rsid w:val="77CB70EE"/>
    <w:rsid w:val="77D13769"/>
    <w:rsid w:val="77D932A2"/>
    <w:rsid w:val="77DB3D27"/>
    <w:rsid w:val="77E67211"/>
    <w:rsid w:val="77F93579"/>
    <w:rsid w:val="7806F253"/>
    <w:rsid w:val="78099861"/>
    <w:rsid w:val="7809DEFF"/>
    <w:rsid w:val="780C759C"/>
    <w:rsid w:val="781765C8"/>
    <w:rsid w:val="7820C1A9"/>
    <w:rsid w:val="782534DA"/>
    <w:rsid w:val="782C2235"/>
    <w:rsid w:val="7835C3E6"/>
    <w:rsid w:val="783733AC"/>
    <w:rsid w:val="7837ECF3"/>
    <w:rsid w:val="7838DFF3"/>
    <w:rsid w:val="78605046"/>
    <w:rsid w:val="786334C3"/>
    <w:rsid w:val="7867B292"/>
    <w:rsid w:val="786A9AC5"/>
    <w:rsid w:val="7874D7CA"/>
    <w:rsid w:val="7874EAB5"/>
    <w:rsid w:val="787890EB"/>
    <w:rsid w:val="7880DFEE"/>
    <w:rsid w:val="788952C8"/>
    <w:rsid w:val="78A53A93"/>
    <w:rsid w:val="78B92801"/>
    <w:rsid w:val="78BB5F10"/>
    <w:rsid w:val="78CA02A6"/>
    <w:rsid w:val="78D63642"/>
    <w:rsid w:val="78F6F88C"/>
    <w:rsid w:val="7901E9C0"/>
    <w:rsid w:val="79035C94"/>
    <w:rsid w:val="7915EFB4"/>
    <w:rsid w:val="79171325"/>
    <w:rsid w:val="792F761F"/>
    <w:rsid w:val="79331421"/>
    <w:rsid w:val="7940F915"/>
    <w:rsid w:val="794BD530"/>
    <w:rsid w:val="79625BC9"/>
    <w:rsid w:val="79801F0E"/>
    <w:rsid w:val="79842204"/>
    <w:rsid w:val="799505DA"/>
    <w:rsid w:val="7998CCD3"/>
    <w:rsid w:val="7999D77D"/>
    <w:rsid w:val="799D2536"/>
    <w:rsid w:val="79AB36B0"/>
    <w:rsid w:val="79B35EB6"/>
    <w:rsid w:val="79C1053B"/>
    <w:rsid w:val="79CB53ED"/>
    <w:rsid w:val="79CBCFCE"/>
    <w:rsid w:val="79D31E39"/>
    <w:rsid w:val="79D936CF"/>
    <w:rsid w:val="79DE7C7C"/>
    <w:rsid w:val="79DE8909"/>
    <w:rsid w:val="7A1AA5AF"/>
    <w:rsid w:val="7A26A61A"/>
    <w:rsid w:val="7A39D88B"/>
    <w:rsid w:val="7A3B8F61"/>
    <w:rsid w:val="7A3BAA32"/>
    <w:rsid w:val="7A41907A"/>
    <w:rsid w:val="7A4489D6"/>
    <w:rsid w:val="7A44B114"/>
    <w:rsid w:val="7A4E3E74"/>
    <w:rsid w:val="7A6FBAD1"/>
    <w:rsid w:val="7A71F753"/>
    <w:rsid w:val="7A861A2C"/>
    <w:rsid w:val="7A8C37B9"/>
    <w:rsid w:val="7A98B976"/>
    <w:rsid w:val="7A9BEF2F"/>
    <w:rsid w:val="7AA497BE"/>
    <w:rsid w:val="7AA5A9C2"/>
    <w:rsid w:val="7AA7CD31"/>
    <w:rsid w:val="7AB53217"/>
    <w:rsid w:val="7ABBD434"/>
    <w:rsid w:val="7ACFE16C"/>
    <w:rsid w:val="7ADA5EB9"/>
    <w:rsid w:val="7AE557D3"/>
    <w:rsid w:val="7AEC8DB8"/>
    <w:rsid w:val="7AEF5D5F"/>
    <w:rsid w:val="7AF745E6"/>
    <w:rsid w:val="7AF8ACBA"/>
    <w:rsid w:val="7AFE2C2A"/>
    <w:rsid w:val="7AFFEF81"/>
    <w:rsid w:val="7B0311B0"/>
    <w:rsid w:val="7B1A7F4C"/>
    <w:rsid w:val="7B1E5B61"/>
    <w:rsid w:val="7B239E08"/>
    <w:rsid w:val="7B35E0EB"/>
    <w:rsid w:val="7B3B26DB"/>
    <w:rsid w:val="7B3E9315"/>
    <w:rsid w:val="7B41E6AA"/>
    <w:rsid w:val="7B49B559"/>
    <w:rsid w:val="7B614804"/>
    <w:rsid w:val="7B64983C"/>
    <w:rsid w:val="7B6C1D8B"/>
    <w:rsid w:val="7B74A17A"/>
    <w:rsid w:val="7B7C206F"/>
    <w:rsid w:val="7B7FBB81"/>
    <w:rsid w:val="7B92BF8E"/>
    <w:rsid w:val="7B9F99AF"/>
    <w:rsid w:val="7B9FD325"/>
    <w:rsid w:val="7BB22261"/>
    <w:rsid w:val="7BC10714"/>
    <w:rsid w:val="7BC3EF44"/>
    <w:rsid w:val="7BC7B6AA"/>
    <w:rsid w:val="7BCAD44F"/>
    <w:rsid w:val="7BCE8EA6"/>
    <w:rsid w:val="7BD2559F"/>
    <w:rsid w:val="7BD62EFA"/>
    <w:rsid w:val="7BDA9EB0"/>
    <w:rsid w:val="7BDD91BB"/>
    <w:rsid w:val="7BE08175"/>
    <w:rsid w:val="7BE51D68"/>
    <w:rsid w:val="7BEA0ED5"/>
    <w:rsid w:val="7C04A6DA"/>
    <w:rsid w:val="7C096F4D"/>
    <w:rsid w:val="7C14E34D"/>
    <w:rsid w:val="7C15F96E"/>
    <w:rsid w:val="7C19F8D1"/>
    <w:rsid w:val="7C4022ED"/>
    <w:rsid w:val="7C417A23"/>
    <w:rsid w:val="7C43B2AE"/>
    <w:rsid w:val="7C4A4CFE"/>
    <w:rsid w:val="7C621D55"/>
    <w:rsid w:val="7C668469"/>
    <w:rsid w:val="7C847134"/>
    <w:rsid w:val="7C8F950A"/>
    <w:rsid w:val="7C93A851"/>
    <w:rsid w:val="7C94052D"/>
    <w:rsid w:val="7CA1BDBB"/>
    <w:rsid w:val="7CC4F35D"/>
    <w:rsid w:val="7CDA196E"/>
    <w:rsid w:val="7CE26EEC"/>
    <w:rsid w:val="7CE82145"/>
    <w:rsid w:val="7D06036D"/>
    <w:rsid w:val="7D0AA4CF"/>
    <w:rsid w:val="7D1B8DA4"/>
    <w:rsid w:val="7D266129"/>
    <w:rsid w:val="7D26805C"/>
    <w:rsid w:val="7D3830D4"/>
    <w:rsid w:val="7D3BA386"/>
    <w:rsid w:val="7D45EDBC"/>
    <w:rsid w:val="7D48C866"/>
    <w:rsid w:val="7D4DF2C2"/>
    <w:rsid w:val="7D5058DF"/>
    <w:rsid w:val="7D50E1B3"/>
    <w:rsid w:val="7D53EB6F"/>
    <w:rsid w:val="7D58AD7B"/>
    <w:rsid w:val="7D678EDA"/>
    <w:rsid w:val="7D69C9C3"/>
    <w:rsid w:val="7D6BD08C"/>
    <w:rsid w:val="7D81AF90"/>
    <w:rsid w:val="7D8743EF"/>
    <w:rsid w:val="7D9718A5"/>
    <w:rsid w:val="7D9EFB61"/>
    <w:rsid w:val="7DAA201C"/>
    <w:rsid w:val="7DAC2569"/>
    <w:rsid w:val="7DAF5AB5"/>
    <w:rsid w:val="7DAFFD32"/>
    <w:rsid w:val="7DB0B3AE"/>
    <w:rsid w:val="7DB0C5A0"/>
    <w:rsid w:val="7DC3D87B"/>
    <w:rsid w:val="7DCF51D6"/>
    <w:rsid w:val="7DD05A38"/>
    <w:rsid w:val="7DD3CEAC"/>
    <w:rsid w:val="7DEC6E46"/>
    <w:rsid w:val="7DEDA897"/>
    <w:rsid w:val="7DF22A6C"/>
    <w:rsid w:val="7DF94513"/>
    <w:rsid w:val="7E001409"/>
    <w:rsid w:val="7E046C6F"/>
    <w:rsid w:val="7E0B91F1"/>
    <w:rsid w:val="7E10902A"/>
    <w:rsid w:val="7E19F7C3"/>
    <w:rsid w:val="7E1DA8EB"/>
    <w:rsid w:val="7E29CC99"/>
    <w:rsid w:val="7E329495"/>
    <w:rsid w:val="7E3F62C9"/>
    <w:rsid w:val="7E5B4CB2"/>
    <w:rsid w:val="7E5E05C7"/>
    <w:rsid w:val="7E6BECD9"/>
    <w:rsid w:val="7E730794"/>
    <w:rsid w:val="7E7C351A"/>
    <w:rsid w:val="7E7D9881"/>
    <w:rsid w:val="7E885396"/>
    <w:rsid w:val="7E90FC4F"/>
    <w:rsid w:val="7E924382"/>
    <w:rsid w:val="7E9F40F1"/>
    <w:rsid w:val="7EA04F61"/>
    <w:rsid w:val="7EA054A0"/>
    <w:rsid w:val="7EA67530"/>
    <w:rsid w:val="7EB6A977"/>
    <w:rsid w:val="7EB91C9B"/>
    <w:rsid w:val="7EBEBB9A"/>
    <w:rsid w:val="7EC71823"/>
    <w:rsid w:val="7ECA6050"/>
    <w:rsid w:val="7ED09AC6"/>
    <w:rsid w:val="7EDC9F13"/>
    <w:rsid w:val="7EDD7C2E"/>
    <w:rsid w:val="7EE125A1"/>
    <w:rsid w:val="7EE3B775"/>
    <w:rsid w:val="7EF8944C"/>
    <w:rsid w:val="7EFA810D"/>
    <w:rsid w:val="7F0BC01D"/>
    <w:rsid w:val="7F1F8538"/>
    <w:rsid w:val="7F36879C"/>
    <w:rsid w:val="7F42273F"/>
    <w:rsid w:val="7F43A0B8"/>
    <w:rsid w:val="7F4A2053"/>
    <w:rsid w:val="7F86F518"/>
    <w:rsid w:val="7F8DFAA0"/>
    <w:rsid w:val="7F9BFEB2"/>
    <w:rsid w:val="7F9FA099"/>
    <w:rsid w:val="7F9FB6C4"/>
    <w:rsid w:val="7FA69F7F"/>
    <w:rsid w:val="7FAC608B"/>
    <w:rsid w:val="7FAF5E07"/>
    <w:rsid w:val="7FB46FD2"/>
    <w:rsid w:val="7FBCA93F"/>
    <w:rsid w:val="7FCAB709"/>
    <w:rsid w:val="7FD59890"/>
    <w:rsid w:val="7FF05646"/>
    <w:rsid w:val="7FF4F072"/>
    <w:rsid w:val="7FF97DC9"/>
    <w:rsid w:val="7FFC4C32"/>
    <w:rsid w:val="7FFD806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5CA2F4"/>
  <w15:chartTrackingRefBased/>
  <w15:docId w15:val="{3B32849A-6942-FA4A-AFA4-D5DAE1F2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7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57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036D"/>
    <w:rPr>
      <w:sz w:val="20"/>
      <w:szCs w:val="20"/>
    </w:rPr>
  </w:style>
  <w:style w:type="character" w:customStyle="1" w:styleId="FootnoteTextChar">
    <w:name w:val="Footnote Text Char"/>
    <w:basedOn w:val="DefaultParagraphFont"/>
    <w:link w:val="FootnoteText"/>
    <w:uiPriority w:val="99"/>
    <w:semiHidden/>
    <w:rsid w:val="008B036D"/>
    <w:rPr>
      <w:sz w:val="20"/>
      <w:szCs w:val="20"/>
    </w:rPr>
  </w:style>
  <w:style w:type="character" w:styleId="FootnoteReference">
    <w:name w:val="footnote reference"/>
    <w:basedOn w:val="DefaultParagraphFont"/>
    <w:uiPriority w:val="99"/>
    <w:semiHidden/>
    <w:unhideWhenUsed/>
    <w:rsid w:val="008B036D"/>
    <w:rPr>
      <w:vertAlign w:val="superscript"/>
    </w:rPr>
  </w:style>
  <w:style w:type="paragraph" w:styleId="NormalWeb">
    <w:name w:val="Normal (Web)"/>
    <w:basedOn w:val="Normal"/>
    <w:uiPriority w:val="99"/>
    <w:semiHidden/>
    <w:unhideWhenUsed/>
    <w:rsid w:val="00554CE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54CEC"/>
    <w:rPr>
      <w:color w:val="0000FF"/>
      <w:u w:val="single"/>
    </w:rPr>
  </w:style>
  <w:style w:type="paragraph" w:styleId="ListParagraph">
    <w:name w:val="List Paragraph"/>
    <w:aliases w:val="Bullet list,Body Text Numbered,List Paragraph1,List Paragraph11,Recommendation,L,Bullet point,List Paragraph111,F5 List Paragraph,Dot pt,CV text,Medium Grid 1 - Accent 21,Numbered Paragraph,List Paragraph2"/>
    <w:basedOn w:val="Normal"/>
    <w:link w:val="ListParagraphChar"/>
    <w:uiPriority w:val="34"/>
    <w:qFormat/>
    <w:rsid w:val="00565716"/>
    <w:pPr>
      <w:ind w:left="720"/>
      <w:contextualSpacing/>
    </w:pPr>
  </w:style>
  <w:style w:type="paragraph" w:styleId="Title">
    <w:name w:val="Title"/>
    <w:basedOn w:val="Normal"/>
    <w:next w:val="Normal"/>
    <w:link w:val="TitleChar"/>
    <w:uiPriority w:val="10"/>
    <w:qFormat/>
    <w:rsid w:val="0056571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71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657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5716"/>
    <w:rPr>
      <w:rFonts w:asciiTheme="majorHAnsi" w:eastAsiaTheme="majorEastAsia" w:hAnsiTheme="majorHAnsi" w:cstheme="majorBidi"/>
      <w:color w:val="2F5496" w:themeColor="accent1" w:themeShade="BF"/>
      <w:sz w:val="26"/>
      <w:szCs w:val="26"/>
    </w:rPr>
  </w:style>
  <w:style w:type="character" w:styleId="BookTitle">
    <w:name w:val="Book Title"/>
    <w:basedOn w:val="DefaultParagraphFont"/>
    <w:uiPriority w:val="33"/>
    <w:qFormat/>
    <w:rsid w:val="001964DF"/>
    <w:rPr>
      <w:b/>
      <w:bCs/>
      <w:i/>
      <w:iCs/>
      <w:spacing w:val="5"/>
    </w:rPr>
  </w:style>
  <w:style w:type="character" w:customStyle="1" w:styleId="ListParagraphChar">
    <w:name w:val="List Paragraph Char"/>
    <w:aliases w:val="Bullet list Char,Body Text Numbered Char,List Paragraph1 Char,List Paragraph11 Char,Recommendation Char,L Char,Bullet point Char,List Paragraph111 Char,F5 List Paragraph Char,Dot pt Char,CV text Char,Medium Grid 1 - Accent 21 Char"/>
    <w:link w:val="ListParagraph"/>
    <w:uiPriority w:val="34"/>
    <w:locked/>
    <w:rsid w:val="001A087F"/>
  </w:style>
  <w:style w:type="character" w:styleId="FollowedHyperlink">
    <w:name w:val="FollowedHyperlink"/>
    <w:basedOn w:val="DefaultParagraphFont"/>
    <w:uiPriority w:val="99"/>
    <w:semiHidden/>
    <w:unhideWhenUsed/>
    <w:rsid w:val="00155016"/>
    <w:rPr>
      <w:color w:val="954F72" w:themeColor="followedHyperlink"/>
      <w:u w:val="single"/>
    </w:rPr>
  </w:style>
  <w:style w:type="character" w:customStyle="1" w:styleId="UnresolvedMention1">
    <w:name w:val="Unresolved Mention1"/>
    <w:basedOn w:val="DefaultParagraphFont"/>
    <w:uiPriority w:val="99"/>
    <w:semiHidden/>
    <w:unhideWhenUsed/>
    <w:rsid w:val="00675A4A"/>
    <w:rPr>
      <w:color w:val="605E5C"/>
      <w:shd w:val="clear" w:color="auto" w:fill="E1DFDD"/>
    </w:rPr>
  </w:style>
  <w:style w:type="paragraph" w:customStyle="1" w:styleId="xmsonormal">
    <w:name w:val="x_msonormal"/>
    <w:basedOn w:val="Normal"/>
    <w:rsid w:val="00047AE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unhideWhenUsed/>
    <w:rsid w:val="00CC32FA"/>
    <w:pPr>
      <w:tabs>
        <w:tab w:val="center" w:pos="4513"/>
        <w:tab w:val="right" w:pos="9026"/>
      </w:tabs>
    </w:pPr>
  </w:style>
  <w:style w:type="character" w:customStyle="1" w:styleId="HeaderChar">
    <w:name w:val="Header Char"/>
    <w:basedOn w:val="DefaultParagraphFont"/>
    <w:link w:val="Header"/>
    <w:uiPriority w:val="99"/>
    <w:rsid w:val="00CC32FA"/>
  </w:style>
  <w:style w:type="paragraph" w:styleId="Footer">
    <w:name w:val="footer"/>
    <w:basedOn w:val="Normal"/>
    <w:link w:val="FooterChar"/>
    <w:uiPriority w:val="99"/>
    <w:unhideWhenUsed/>
    <w:rsid w:val="00CC32FA"/>
    <w:pPr>
      <w:tabs>
        <w:tab w:val="center" w:pos="4513"/>
        <w:tab w:val="right" w:pos="9026"/>
      </w:tabs>
    </w:pPr>
  </w:style>
  <w:style w:type="character" w:customStyle="1" w:styleId="FooterChar">
    <w:name w:val="Footer Char"/>
    <w:basedOn w:val="DefaultParagraphFont"/>
    <w:link w:val="Footer"/>
    <w:uiPriority w:val="99"/>
    <w:rsid w:val="00CC32FA"/>
  </w:style>
  <w:style w:type="character" w:customStyle="1" w:styleId="eop">
    <w:name w:val="eop"/>
    <w:basedOn w:val="DefaultParagraphFont"/>
    <w:rsid w:val="0C5CA3C5"/>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A61548"/>
  </w:style>
  <w:style w:type="character" w:customStyle="1" w:styleId="superscript">
    <w:name w:val="superscript"/>
    <w:basedOn w:val="DefaultParagraphFont"/>
    <w:rsid w:val="007A0A87"/>
  </w:style>
  <w:style w:type="character" w:customStyle="1" w:styleId="findhit">
    <w:name w:val="findhit"/>
    <w:basedOn w:val="DefaultParagraphFont"/>
    <w:rsid w:val="00105074"/>
  </w:style>
  <w:style w:type="table" w:styleId="TableGrid">
    <w:name w:val="Table Grid"/>
    <w:basedOn w:val="TableNormal"/>
    <w:uiPriority w:val="59"/>
    <w:rsid w:val="00CF6F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qFormat/>
    <w:rsid w:val="006C2899"/>
    <w:pPr>
      <w:spacing w:after="160" w:line="288" w:lineRule="auto"/>
    </w:pPr>
    <w:rPr>
      <w:sz w:val="20"/>
      <w:szCs w:val="22"/>
    </w:rPr>
  </w:style>
  <w:style w:type="character" w:customStyle="1" w:styleId="BodyTextChar">
    <w:name w:val="Body Text Char"/>
    <w:basedOn w:val="DefaultParagraphFont"/>
    <w:link w:val="BodyText"/>
    <w:rsid w:val="006C2899"/>
    <w:rPr>
      <w:sz w:val="20"/>
      <w:szCs w:val="22"/>
    </w:rPr>
  </w:style>
  <w:style w:type="paragraph" w:styleId="Subtitle">
    <w:name w:val="Subtitle"/>
    <w:basedOn w:val="Normal"/>
    <w:next w:val="Normal"/>
    <w:link w:val="SubtitleChar"/>
    <w:uiPriority w:val="15"/>
    <w:qFormat/>
    <w:rsid w:val="006C2899"/>
    <w:pPr>
      <w:framePr w:w="3232" w:h="3119" w:wrap="around" w:vAnchor="page" w:hAnchor="page" w:x="7826" w:y="7400" w:anchorLock="1"/>
      <w:spacing w:after="390"/>
      <w:contextualSpacing/>
    </w:pPr>
    <w:rPr>
      <w:rFonts w:eastAsiaTheme="minorEastAsia"/>
      <w:b/>
      <w:color w:val="000000" w:themeColor="text1"/>
      <w:sz w:val="28"/>
      <w:szCs w:val="22"/>
    </w:rPr>
  </w:style>
  <w:style w:type="character" w:customStyle="1" w:styleId="SubtitleChar">
    <w:name w:val="Subtitle Char"/>
    <w:basedOn w:val="DefaultParagraphFont"/>
    <w:link w:val="Subtitle"/>
    <w:uiPriority w:val="15"/>
    <w:rsid w:val="006C2899"/>
    <w:rPr>
      <w:rFonts w:eastAsiaTheme="minorEastAsia"/>
      <w:b/>
      <w:color w:val="000000" w:themeColor="text1"/>
      <w:sz w:val="28"/>
      <w:szCs w:val="22"/>
    </w:rPr>
  </w:style>
  <w:style w:type="character" w:customStyle="1" w:styleId="CoverDetailsChar">
    <w:name w:val="Cover Details Char"/>
    <w:basedOn w:val="SubtitleChar"/>
    <w:link w:val="CoverDetails"/>
    <w:locked/>
    <w:rsid w:val="006C2899"/>
    <w:rPr>
      <w:rFonts w:ascii="SimHei" w:eastAsiaTheme="minorEastAsia" w:hAnsi="SimHei"/>
      <w:b/>
      <w:color w:val="000000" w:themeColor="text1"/>
      <w:sz w:val="20"/>
      <w:szCs w:val="22"/>
    </w:rPr>
  </w:style>
  <w:style w:type="paragraph" w:customStyle="1" w:styleId="CoverDetails">
    <w:name w:val="Cover Details"/>
    <w:basedOn w:val="Subtitle"/>
    <w:link w:val="CoverDetailsChar"/>
    <w:rsid w:val="006C2899"/>
    <w:pPr>
      <w:framePr w:wrap="around"/>
    </w:pPr>
    <w:rPr>
      <w:rFonts w:ascii="SimHei" w:hAnsi="SimHei"/>
      <w:sz w:val="20"/>
    </w:rPr>
  </w:style>
  <w:style w:type="character" w:customStyle="1" w:styleId="CoverimageChar">
    <w:name w:val="Cover image Char"/>
    <w:basedOn w:val="BodyTextChar"/>
    <w:link w:val="Coverimage"/>
    <w:uiPriority w:val="1"/>
    <w:locked/>
    <w:rsid w:val="006C2899"/>
    <w:rPr>
      <w:sz w:val="20"/>
      <w:szCs w:val="22"/>
    </w:rPr>
  </w:style>
  <w:style w:type="paragraph" w:customStyle="1" w:styleId="Coverimage">
    <w:name w:val="Cover image"/>
    <w:basedOn w:val="BodyText"/>
    <w:link w:val="CoverimageChar"/>
    <w:uiPriority w:val="1"/>
    <w:rsid w:val="006C2899"/>
    <w:pPr>
      <w:framePr w:w="6691" w:h="10490" w:wrap="around" w:vAnchor="page" w:hAnchor="margin" w:y="4821" w:anchorLock="1"/>
    </w:pPr>
  </w:style>
  <w:style w:type="table" w:customStyle="1" w:styleId="Blank">
    <w:name w:val="Blank"/>
    <w:basedOn w:val="TableNormal"/>
    <w:uiPriority w:val="99"/>
    <w:rsid w:val="006C2899"/>
    <w:rPr>
      <w:sz w:val="22"/>
      <w:szCs w:val="22"/>
    </w:rPr>
    <w:tblPr>
      <w:tblInd w:w="0" w:type="nil"/>
      <w:tblCellMar>
        <w:left w:w="0" w:type="dxa"/>
        <w:right w:w="0" w:type="dxa"/>
      </w:tblCellMar>
    </w:tblPr>
  </w:style>
  <w:style w:type="character" w:customStyle="1" w:styleId="titlechar0">
    <w:name w:val="titlechar"/>
    <w:basedOn w:val="DefaultParagraphFont"/>
    <w:rsid w:val="006C2899"/>
  </w:style>
  <w:style w:type="character" w:styleId="CommentReference">
    <w:name w:val="annotation reference"/>
    <w:basedOn w:val="DefaultParagraphFont"/>
    <w:uiPriority w:val="99"/>
    <w:semiHidden/>
    <w:unhideWhenUsed/>
    <w:rsid w:val="00686662"/>
    <w:rPr>
      <w:sz w:val="16"/>
      <w:szCs w:val="16"/>
    </w:rPr>
  </w:style>
  <w:style w:type="paragraph" w:styleId="CommentText">
    <w:name w:val="annotation text"/>
    <w:basedOn w:val="Normal"/>
    <w:link w:val="CommentTextChar"/>
    <w:uiPriority w:val="99"/>
    <w:unhideWhenUsed/>
    <w:rsid w:val="00686662"/>
    <w:rPr>
      <w:sz w:val="20"/>
      <w:szCs w:val="20"/>
    </w:rPr>
  </w:style>
  <w:style w:type="character" w:customStyle="1" w:styleId="CommentTextChar">
    <w:name w:val="Comment Text Char"/>
    <w:basedOn w:val="DefaultParagraphFont"/>
    <w:link w:val="CommentText"/>
    <w:uiPriority w:val="99"/>
    <w:rsid w:val="00686662"/>
    <w:rPr>
      <w:sz w:val="20"/>
      <w:szCs w:val="20"/>
    </w:rPr>
  </w:style>
  <w:style w:type="paragraph" w:styleId="CommentSubject">
    <w:name w:val="annotation subject"/>
    <w:basedOn w:val="CommentText"/>
    <w:next w:val="CommentText"/>
    <w:link w:val="CommentSubjectChar"/>
    <w:uiPriority w:val="99"/>
    <w:semiHidden/>
    <w:unhideWhenUsed/>
    <w:rsid w:val="00686662"/>
    <w:rPr>
      <w:b/>
      <w:bCs/>
    </w:rPr>
  </w:style>
  <w:style w:type="character" w:customStyle="1" w:styleId="CommentSubjectChar">
    <w:name w:val="Comment Subject Char"/>
    <w:basedOn w:val="CommentTextChar"/>
    <w:link w:val="CommentSubject"/>
    <w:uiPriority w:val="99"/>
    <w:semiHidden/>
    <w:rsid w:val="00686662"/>
    <w:rPr>
      <w:b/>
      <w:bCs/>
      <w:sz w:val="20"/>
      <w:szCs w:val="20"/>
    </w:rPr>
  </w:style>
  <w:style w:type="paragraph" w:styleId="BalloonText">
    <w:name w:val="Balloon Text"/>
    <w:basedOn w:val="Normal"/>
    <w:link w:val="BalloonTextChar"/>
    <w:uiPriority w:val="99"/>
    <w:semiHidden/>
    <w:unhideWhenUsed/>
    <w:rsid w:val="00D969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91C"/>
    <w:rPr>
      <w:rFonts w:ascii="Segoe UI" w:hAnsi="Segoe UI" w:cs="Segoe UI"/>
      <w:sz w:val="18"/>
      <w:szCs w:val="18"/>
    </w:rPr>
  </w:style>
  <w:style w:type="paragraph" w:styleId="Revision">
    <w:name w:val="Revision"/>
    <w:hidden/>
    <w:uiPriority w:val="99"/>
    <w:semiHidden/>
    <w:rsid w:val="0033697C"/>
  </w:style>
  <w:style w:type="character" w:styleId="UnresolvedMention">
    <w:name w:val="Unresolved Mention"/>
    <w:basedOn w:val="DefaultParagraphFont"/>
    <w:uiPriority w:val="99"/>
    <w:semiHidden/>
    <w:unhideWhenUsed/>
    <w:rsid w:val="00DF4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622">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2">
          <w:marLeft w:val="0"/>
          <w:marRight w:val="0"/>
          <w:marTop w:val="0"/>
          <w:marBottom w:val="0"/>
          <w:divBdr>
            <w:top w:val="none" w:sz="0" w:space="0" w:color="auto"/>
            <w:left w:val="none" w:sz="0" w:space="0" w:color="auto"/>
            <w:bottom w:val="none" w:sz="0" w:space="0" w:color="auto"/>
            <w:right w:val="none" w:sz="0" w:space="0" w:color="auto"/>
          </w:divBdr>
          <w:divsChild>
            <w:div w:id="1189878477">
              <w:marLeft w:val="0"/>
              <w:marRight w:val="0"/>
              <w:marTop w:val="0"/>
              <w:marBottom w:val="0"/>
              <w:divBdr>
                <w:top w:val="none" w:sz="0" w:space="0" w:color="auto"/>
                <w:left w:val="none" w:sz="0" w:space="0" w:color="auto"/>
                <w:bottom w:val="none" w:sz="0" w:space="0" w:color="auto"/>
                <w:right w:val="none" w:sz="0" w:space="0" w:color="auto"/>
              </w:divBdr>
              <w:divsChild>
                <w:div w:id="6915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9682">
      <w:bodyDiv w:val="1"/>
      <w:marLeft w:val="0"/>
      <w:marRight w:val="0"/>
      <w:marTop w:val="0"/>
      <w:marBottom w:val="0"/>
      <w:divBdr>
        <w:top w:val="none" w:sz="0" w:space="0" w:color="auto"/>
        <w:left w:val="none" w:sz="0" w:space="0" w:color="auto"/>
        <w:bottom w:val="none" w:sz="0" w:space="0" w:color="auto"/>
        <w:right w:val="none" w:sz="0" w:space="0" w:color="auto"/>
      </w:divBdr>
    </w:div>
    <w:div w:id="283119595">
      <w:bodyDiv w:val="1"/>
      <w:marLeft w:val="0"/>
      <w:marRight w:val="0"/>
      <w:marTop w:val="0"/>
      <w:marBottom w:val="0"/>
      <w:divBdr>
        <w:top w:val="none" w:sz="0" w:space="0" w:color="auto"/>
        <w:left w:val="none" w:sz="0" w:space="0" w:color="auto"/>
        <w:bottom w:val="none" w:sz="0" w:space="0" w:color="auto"/>
        <w:right w:val="none" w:sz="0" w:space="0" w:color="auto"/>
      </w:divBdr>
    </w:div>
    <w:div w:id="289215170">
      <w:bodyDiv w:val="1"/>
      <w:marLeft w:val="0"/>
      <w:marRight w:val="0"/>
      <w:marTop w:val="0"/>
      <w:marBottom w:val="0"/>
      <w:divBdr>
        <w:top w:val="none" w:sz="0" w:space="0" w:color="auto"/>
        <w:left w:val="none" w:sz="0" w:space="0" w:color="auto"/>
        <w:bottom w:val="none" w:sz="0" w:space="0" w:color="auto"/>
        <w:right w:val="none" w:sz="0" w:space="0" w:color="auto"/>
      </w:divBdr>
    </w:div>
    <w:div w:id="403912751">
      <w:bodyDiv w:val="1"/>
      <w:marLeft w:val="0"/>
      <w:marRight w:val="0"/>
      <w:marTop w:val="0"/>
      <w:marBottom w:val="0"/>
      <w:divBdr>
        <w:top w:val="none" w:sz="0" w:space="0" w:color="auto"/>
        <w:left w:val="none" w:sz="0" w:space="0" w:color="auto"/>
        <w:bottom w:val="none" w:sz="0" w:space="0" w:color="auto"/>
        <w:right w:val="none" w:sz="0" w:space="0" w:color="auto"/>
      </w:divBdr>
    </w:div>
    <w:div w:id="835613136">
      <w:bodyDiv w:val="1"/>
      <w:marLeft w:val="0"/>
      <w:marRight w:val="0"/>
      <w:marTop w:val="0"/>
      <w:marBottom w:val="0"/>
      <w:divBdr>
        <w:top w:val="none" w:sz="0" w:space="0" w:color="auto"/>
        <w:left w:val="none" w:sz="0" w:space="0" w:color="auto"/>
        <w:bottom w:val="none" w:sz="0" w:space="0" w:color="auto"/>
        <w:right w:val="none" w:sz="0" w:space="0" w:color="auto"/>
      </w:divBdr>
      <w:divsChild>
        <w:div w:id="245188821">
          <w:marLeft w:val="0"/>
          <w:marRight w:val="0"/>
          <w:marTop w:val="0"/>
          <w:marBottom w:val="0"/>
          <w:divBdr>
            <w:top w:val="none" w:sz="0" w:space="0" w:color="auto"/>
            <w:left w:val="none" w:sz="0" w:space="0" w:color="auto"/>
            <w:bottom w:val="none" w:sz="0" w:space="0" w:color="auto"/>
            <w:right w:val="none" w:sz="0" w:space="0" w:color="auto"/>
          </w:divBdr>
          <w:divsChild>
            <w:div w:id="426081256">
              <w:marLeft w:val="0"/>
              <w:marRight w:val="0"/>
              <w:marTop w:val="0"/>
              <w:marBottom w:val="0"/>
              <w:divBdr>
                <w:top w:val="none" w:sz="0" w:space="0" w:color="auto"/>
                <w:left w:val="none" w:sz="0" w:space="0" w:color="auto"/>
                <w:bottom w:val="none" w:sz="0" w:space="0" w:color="auto"/>
                <w:right w:val="none" w:sz="0" w:space="0" w:color="auto"/>
              </w:divBdr>
              <w:divsChild>
                <w:div w:id="20426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3932">
      <w:bodyDiv w:val="1"/>
      <w:marLeft w:val="0"/>
      <w:marRight w:val="0"/>
      <w:marTop w:val="0"/>
      <w:marBottom w:val="0"/>
      <w:divBdr>
        <w:top w:val="none" w:sz="0" w:space="0" w:color="auto"/>
        <w:left w:val="none" w:sz="0" w:space="0" w:color="auto"/>
        <w:bottom w:val="none" w:sz="0" w:space="0" w:color="auto"/>
        <w:right w:val="none" w:sz="0" w:space="0" w:color="auto"/>
      </w:divBdr>
    </w:div>
    <w:div w:id="1030690574">
      <w:bodyDiv w:val="1"/>
      <w:marLeft w:val="0"/>
      <w:marRight w:val="0"/>
      <w:marTop w:val="0"/>
      <w:marBottom w:val="0"/>
      <w:divBdr>
        <w:top w:val="none" w:sz="0" w:space="0" w:color="auto"/>
        <w:left w:val="none" w:sz="0" w:space="0" w:color="auto"/>
        <w:bottom w:val="none" w:sz="0" w:space="0" w:color="auto"/>
        <w:right w:val="none" w:sz="0" w:space="0" w:color="auto"/>
      </w:divBdr>
    </w:div>
    <w:div w:id="1067072121">
      <w:bodyDiv w:val="1"/>
      <w:marLeft w:val="0"/>
      <w:marRight w:val="0"/>
      <w:marTop w:val="0"/>
      <w:marBottom w:val="0"/>
      <w:divBdr>
        <w:top w:val="none" w:sz="0" w:space="0" w:color="auto"/>
        <w:left w:val="none" w:sz="0" w:space="0" w:color="auto"/>
        <w:bottom w:val="none" w:sz="0" w:space="0" w:color="auto"/>
        <w:right w:val="none" w:sz="0" w:space="0" w:color="auto"/>
      </w:divBdr>
    </w:div>
    <w:div w:id="1197619220">
      <w:bodyDiv w:val="1"/>
      <w:marLeft w:val="0"/>
      <w:marRight w:val="0"/>
      <w:marTop w:val="0"/>
      <w:marBottom w:val="0"/>
      <w:divBdr>
        <w:top w:val="none" w:sz="0" w:space="0" w:color="auto"/>
        <w:left w:val="none" w:sz="0" w:space="0" w:color="auto"/>
        <w:bottom w:val="none" w:sz="0" w:space="0" w:color="auto"/>
        <w:right w:val="none" w:sz="0" w:space="0" w:color="auto"/>
      </w:divBdr>
    </w:div>
    <w:div w:id="1288388333">
      <w:bodyDiv w:val="1"/>
      <w:marLeft w:val="0"/>
      <w:marRight w:val="0"/>
      <w:marTop w:val="0"/>
      <w:marBottom w:val="0"/>
      <w:divBdr>
        <w:top w:val="none" w:sz="0" w:space="0" w:color="auto"/>
        <w:left w:val="none" w:sz="0" w:space="0" w:color="auto"/>
        <w:bottom w:val="none" w:sz="0" w:space="0" w:color="auto"/>
        <w:right w:val="none" w:sz="0" w:space="0" w:color="auto"/>
      </w:divBdr>
      <w:divsChild>
        <w:div w:id="1242527975">
          <w:marLeft w:val="0"/>
          <w:marRight w:val="0"/>
          <w:marTop w:val="0"/>
          <w:marBottom w:val="0"/>
          <w:divBdr>
            <w:top w:val="none" w:sz="0" w:space="0" w:color="auto"/>
            <w:left w:val="none" w:sz="0" w:space="0" w:color="auto"/>
            <w:bottom w:val="none" w:sz="0" w:space="0" w:color="auto"/>
            <w:right w:val="none" w:sz="0" w:space="0" w:color="auto"/>
          </w:divBdr>
        </w:div>
        <w:div w:id="1771198551">
          <w:marLeft w:val="0"/>
          <w:marRight w:val="0"/>
          <w:marTop w:val="0"/>
          <w:marBottom w:val="0"/>
          <w:divBdr>
            <w:top w:val="none" w:sz="0" w:space="0" w:color="auto"/>
            <w:left w:val="none" w:sz="0" w:space="0" w:color="auto"/>
            <w:bottom w:val="none" w:sz="0" w:space="0" w:color="auto"/>
            <w:right w:val="none" w:sz="0" w:space="0" w:color="auto"/>
          </w:divBdr>
        </w:div>
        <w:div w:id="760179899">
          <w:marLeft w:val="0"/>
          <w:marRight w:val="0"/>
          <w:marTop w:val="0"/>
          <w:marBottom w:val="0"/>
          <w:divBdr>
            <w:top w:val="none" w:sz="0" w:space="0" w:color="auto"/>
            <w:left w:val="none" w:sz="0" w:space="0" w:color="auto"/>
            <w:bottom w:val="none" w:sz="0" w:space="0" w:color="auto"/>
            <w:right w:val="none" w:sz="0" w:space="0" w:color="auto"/>
          </w:divBdr>
        </w:div>
        <w:div w:id="1747259922">
          <w:marLeft w:val="0"/>
          <w:marRight w:val="0"/>
          <w:marTop w:val="0"/>
          <w:marBottom w:val="0"/>
          <w:divBdr>
            <w:top w:val="none" w:sz="0" w:space="0" w:color="auto"/>
            <w:left w:val="none" w:sz="0" w:space="0" w:color="auto"/>
            <w:bottom w:val="none" w:sz="0" w:space="0" w:color="auto"/>
            <w:right w:val="none" w:sz="0" w:space="0" w:color="auto"/>
          </w:divBdr>
        </w:div>
      </w:divsChild>
    </w:div>
    <w:div w:id="1371803782">
      <w:bodyDiv w:val="1"/>
      <w:marLeft w:val="0"/>
      <w:marRight w:val="0"/>
      <w:marTop w:val="0"/>
      <w:marBottom w:val="0"/>
      <w:divBdr>
        <w:top w:val="none" w:sz="0" w:space="0" w:color="auto"/>
        <w:left w:val="none" w:sz="0" w:space="0" w:color="auto"/>
        <w:bottom w:val="none" w:sz="0" w:space="0" w:color="auto"/>
        <w:right w:val="none" w:sz="0" w:space="0" w:color="auto"/>
      </w:divBdr>
    </w:div>
    <w:div w:id="1440376507">
      <w:bodyDiv w:val="1"/>
      <w:marLeft w:val="0"/>
      <w:marRight w:val="0"/>
      <w:marTop w:val="0"/>
      <w:marBottom w:val="0"/>
      <w:divBdr>
        <w:top w:val="none" w:sz="0" w:space="0" w:color="auto"/>
        <w:left w:val="none" w:sz="0" w:space="0" w:color="auto"/>
        <w:bottom w:val="none" w:sz="0" w:space="0" w:color="auto"/>
        <w:right w:val="none" w:sz="0" w:space="0" w:color="auto"/>
      </w:divBdr>
    </w:div>
    <w:div w:id="1645161066">
      <w:bodyDiv w:val="1"/>
      <w:marLeft w:val="0"/>
      <w:marRight w:val="0"/>
      <w:marTop w:val="0"/>
      <w:marBottom w:val="0"/>
      <w:divBdr>
        <w:top w:val="none" w:sz="0" w:space="0" w:color="auto"/>
        <w:left w:val="none" w:sz="0" w:space="0" w:color="auto"/>
        <w:bottom w:val="none" w:sz="0" w:space="0" w:color="auto"/>
        <w:right w:val="none" w:sz="0" w:space="0" w:color="auto"/>
      </w:divBdr>
      <w:divsChild>
        <w:div w:id="805582838">
          <w:marLeft w:val="0"/>
          <w:marRight w:val="0"/>
          <w:marTop w:val="0"/>
          <w:marBottom w:val="0"/>
          <w:divBdr>
            <w:top w:val="none" w:sz="0" w:space="0" w:color="auto"/>
            <w:left w:val="none" w:sz="0" w:space="0" w:color="auto"/>
            <w:bottom w:val="none" w:sz="0" w:space="0" w:color="auto"/>
            <w:right w:val="none" w:sz="0" w:space="0" w:color="auto"/>
          </w:divBdr>
        </w:div>
        <w:div w:id="1657219833">
          <w:marLeft w:val="0"/>
          <w:marRight w:val="0"/>
          <w:marTop w:val="0"/>
          <w:marBottom w:val="0"/>
          <w:divBdr>
            <w:top w:val="none" w:sz="0" w:space="0" w:color="auto"/>
            <w:left w:val="none" w:sz="0" w:space="0" w:color="auto"/>
            <w:bottom w:val="none" w:sz="0" w:space="0" w:color="auto"/>
            <w:right w:val="none" w:sz="0" w:space="0" w:color="auto"/>
          </w:divBdr>
        </w:div>
        <w:div w:id="843862689">
          <w:marLeft w:val="0"/>
          <w:marRight w:val="0"/>
          <w:marTop w:val="0"/>
          <w:marBottom w:val="0"/>
          <w:divBdr>
            <w:top w:val="none" w:sz="0" w:space="0" w:color="auto"/>
            <w:left w:val="none" w:sz="0" w:space="0" w:color="auto"/>
            <w:bottom w:val="none" w:sz="0" w:space="0" w:color="auto"/>
            <w:right w:val="none" w:sz="0" w:space="0" w:color="auto"/>
          </w:divBdr>
        </w:div>
        <w:div w:id="2098399505">
          <w:marLeft w:val="0"/>
          <w:marRight w:val="0"/>
          <w:marTop w:val="0"/>
          <w:marBottom w:val="0"/>
          <w:divBdr>
            <w:top w:val="none" w:sz="0" w:space="0" w:color="auto"/>
            <w:left w:val="none" w:sz="0" w:space="0" w:color="auto"/>
            <w:bottom w:val="none" w:sz="0" w:space="0" w:color="auto"/>
            <w:right w:val="none" w:sz="0" w:space="0" w:color="auto"/>
          </w:divBdr>
        </w:div>
      </w:divsChild>
    </w:div>
    <w:div w:id="1653562794">
      <w:bodyDiv w:val="1"/>
      <w:marLeft w:val="0"/>
      <w:marRight w:val="0"/>
      <w:marTop w:val="0"/>
      <w:marBottom w:val="0"/>
      <w:divBdr>
        <w:top w:val="none" w:sz="0" w:space="0" w:color="auto"/>
        <w:left w:val="none" w:sz="0" w:space="0" w:color="auto"/>
        <w:bottom w:val="none" w:sz="0" w:space="0" w:color="auto"/>
        <w:right w:val="none" w:sz="0" w:space="0" w:color="auto"/>
      </w:divBdr>
    </w:div>
    <w:div w:id="1838381808">
      <w:bodyDiv w:val="1"/>
      <w:marLeft w:val="0"/>
      <w:marRight w:val="0"/>
      <w:marTop w:val="0"/>
      <w:marBottom w:val="0"/>
      <w:divBdr>
        <w:top w:val="none" w:sz="0" w:space="0" w:color="auto"/>
        <w:left w:val="none" w:sz="0" w:space="0" w:color="auto"/>
        <w:bottom w:val="none" w:sz="0" w:space="0" w:color="auto"/>
        <w:right w:val="none" w:sz="0" w:space="0" w:color="auto"/>
      </w:divBdr>
      <w:divsChild>
        <w:div w:id="864707414">
          <w:marLeft w:val="0"/>
          <w:marRight w:val="0"/>
          <w:marTop w:val="0"/>
          <w:marBottom w:val="0"/>
          <w:divBdr>
            <w:top w:val="none" w:sz="0" w:space="0" w:color="auto"/>
            <w:left w:val="none" w:sz="0" w:space="0" w:color="auto"/>
            <w:bottom w:val="none" w:sz="0" w:space="0" w:color="auto"/>
            <w:right w:val="none" w:sz="0" w:space="0" w:color="auto"/>
          </w:divBdr>
          <w:divsChild>
            <w:div w:id="578056758">
              <w:marLeft w:val="0"/>
              <w:marRight w:val="0"/>
              <w:marTop w:val="0"/>
              <w:marBottom w:val="0"/>
              <w:divBdr>
                <w:top w:val="none" w:sz="0" w:space="0" w:color="auto"/>
                <w:left w:val="none" w:sz="0" w:space="0" w:color="auto"/>
                <w:bottom w:val="none" w:sz="0" w:space="0" w:color="auto"/>
                <w:right w:val="none" w:sz="0" w:space="0" w:color="auto"/>
              </w:divBdr>
              <w:divsChild>
                <w:div w:id="1613777959">
                  <w:marLeft w:val="0"/>
                  <w:marRight w:val="0"/>
                  <w:marTop w:val="0"/>
                  <w:marBottom w:val="0"/>
                  <w:divBdr>
                    <w:top w:val="none" w:sz="0" w:space="0" w:color="auto"/>
                    <w:left w:val="none" w:sz="0" w:space="0" w:color="auto"/>
                    <w:bottom w:val="none" w:sz="0" w:space="0" w:color="auto"/>
                    <w:right w:val="none" w:sz="0" w:space="0" w:color="auto"/>
                  </w:divBdr>
                  <w:divsChild>
                    <w:div w:id="3864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osii.nsw.gov.au/assets/Statement-of-Progress-2018.pdf" TargetMode="External"/><Relationship Id="rId26" Type="http://schemas.openxmlformats.org/officeDocument/2006/relationships/hyperlink" Target="https://insidestory.org.au/paying-for-outcomes-beyond-the-social-impact-bond-buzz/" TargetMode="External"/><Relationship Id="rId3" Type="http://schemas.openxmlformats.org/officeDocument/2006/relationships/customXml" Target="../customXml/item3.xml"/><Relationship Id="rId21" Type="http://schemas.openxmlformats.org/officeDocument/2006/relationships/hyperlink" Target="https://www.osii.nsw.gov.au/initiatives/sii/the-benevolent-society-bond/"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inance.gov.au/sites/default/files/2020-11/comcover-information-sheet-understanding-and-managing-shared-risk.docx" TargetMode="External"/><Relationship Id="rId25" Type="http://schemas.openxmlformats.org/officeDocument/2006/relationships/hyperlink" Target="https://bostonreview.net/articles/bad-economics/"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rand.org/randeurope/research/projects/social-impact-bonds.html" TargetMode="External"/><Relationship Id="rId20" Type="http://schemas.openxmlformats.org/officeDocument/2006/relationships/hyperlink" Target="https://www.osii.nsw.gov.au/tools-and-resources/technical-guid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787/budget-v1-art3-en"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osii.nsw.gov.au/about-us/about-us-2/" TargetMode="External"/><Relationship Id="rId23" Type="http://schemas.openxmlformats.org/officeDocument/2006/relationships/hyperlink" Target="https://doi.org/10.1080/01900692.2010.549799"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osii.nsw.gov.au/news/2017/07/07/2016-statement-of-progres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sii.nsw.gov.au/assets/office-of-social-impact-investment/files/Statement-of-Progress-2015.pdf" TargetMode="External"/><Relationship Id="rId22" Type="http://schemas.openxmlformats.org/officeDocument/2006/relationships/hyperlink" Target="https://doi.org/10.1080/14719037.2016.1243812" TargetMode="External"/><Relationship Id="rId27" Type="http://schemas.openxmlformats.org/officeDocument/2006/relationships/hyperlink" Target="https://www.themandarin.com.au/97738-implementing-a-social-outcomes-fund-in-australia/"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osii.nsw.gov.au/assets/office-of-social-impact-investment/files/Statement-of-Progress-2015.pdf" TargetMode="External"/><Relationship Id="rId13" Type="http://schemas.openxmlformats.org/officeDocument/2006/relationships/hyperlink" Target="https://doi.org/10.1787/budget-v1-art3-en" TargetMode="External"/><Relationship Id="rId3" Type="http://schemas.openxmlformats.org/officeDocument/2006/relationships/hyperlink" Target="https://www.themandarin.com.au/97738-implementing-a-social-outcomes-fund-in-australia/" TargetMode="External"/><Relationship Id="rId7" Type="http://schemas.openxmlformats.org/officeDocument/2006/relationships/hyperlink" Target="https://www.osii.nsw.gov.au/initiatives/sii/the-benevolent-society-bond/" TargetMode="External"/><Relationship Id="rId12" Type="http://schemas.openxmlformats.org/officeDocument/2006/relationships/hyperlink" Target="https://www.osii.nsw.gov.au/tools-and-resources/technical-guide/" TargetMode="External"/><Relationship Id="rId2" Type="http://schemas.openxmlformats.org/officeDocument/2006/relationships/hyperlink" Target="https://doi.org/10.1111/puar.12432" TargetMode="External"/><Relationship Id="rId1" Type="http://schemas.openxmlformats.org/officeDocument/2006/relationships/hyperlink" Target="https://bostonreview.net/articles/bad-economics/." TargetMode="External"/><Relationship Id="rId6" Type="http://schemas.openxmlformats.org/officeDocument/2006/relationships/hyperlink" Target="https://www.rand.org/randeurope/research/projects/social-impact-bonds.html" TargetMode="External"/><Relationship Id="rId11" Type="http://schemas.openxmlformats.org/officeDocument/2006/relationships/hyperlink" Target="https://www.osii.nsw.gov.au/about-us/about-us-2/" TargetMode="External"/><Relationship Id="rId5" Type="http://schemas.openxmlformats.org/officeDocument/2006/relationships/hyperlink" Target="https://insidestory.org.au/paying-for-outcomes-beyond-the-social-impact-bond-buzz/" TargetMode="External"/><Relationship Id="rId15" Type="http://schemas.openxmlformats.org/officeDocument/2006/relationships/hyperlink" Target="https://doi.org/10.1080/14719037.2016.1243812" TargetMode="External"/><Relationship Id="rId10" Type="http://schemas.openxmlformats.org/officeDocument/2006/relationships/hyperlink" Target="https://www.osii.nsw.gov.au/assets/Statement-of-Progress-2018.pdf" TargetMode="External"/><Relationship Id="rId4" Type="http://schemas.openxmlformats.org/officeDocument/2006/relationships/hyperlink" Target="https://www.finance.gov.au/sites/default/files/2020-11/comcover-information-sheet-understanding-and-managing-shared-risk.docx" TargetMode="External"/><Relationship Id="rId9" Type="http://schemas.openxmlformats.org/officeDocument/2006/relationships/hyperlink" Target="https://www.osii.nsw.gov.au/news/2017/07/07/2016-statement-of-progress/" TargetMode="External"/><Relationship Id="rId14" Type="http://schemas.openxmlformats.org/officeDocument/2006/relationships/hyperlink" Target="https://doi.org/10.1080/01900692.2010.54979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7FABC0A5564D36A5ED23C77DA6DD44"/>
        <w:category>
          <w:name w:val="General"/>
          <w:gallery w:val="placeholder"/>
        </w:category>
        <w:types>
          <w:type w:val="bbPlcHdr"/>
        </w:types>
        <w:behaviors>
          <w:behavior w:val="content"/>
        </w:behaviors>
        <w:guid w:val="{2FF9AF0D-7621-43D5-9C10-8C6738AD7854}"/>
      </w:docPartPr>
      <w:docPartBody>
        <w:p w:rsidR="00BD3606" w:rsidRDefault="00A717AF" w:rsidP="00A717AF">
          <w:pPr>
            <w:pStyle w:val="A47FABC0A5564D36A5ED23C77DA6DD44"/>
          </w:pPr>
          <w:r w:rsidRPr="00587E68">
            <w:rPr>
              <w:rStyle w:val="TitleChar"/>
            </w:rPr>
            <w:t>[Title]</w:t>
          </w:r>
        </w:p>
      </w:docPartBody>
    </w:docPart>
    <w:docPart>
      <w:docPartPr>
        <w:name w:val="E2CAEB4BA1D147A7BAC822B38A14F6EE"/>
        <w:category>
          <w:name w:val="General"/>
          <w:gallery w:val="placeholder"/>
        </w:category>
        <w:types>
          <w:type w:val="bbPlcHdr"/>
        </w:types>
        <w:behaviors>
          <w:behavior w:val="content"/>
        </w:behaviors>
        <w:guid w:val="{A9538314-F17C-4A47-BE33-89AE9B136493}"/>
      </w:docPartPr>
      <w:docPartBody>
        <w:p w:rsidR="00BD3606" w:rsidRDefault="00A717AF" w:rsidP="00A717AF">
          <w:pPr>
            <w:pStyle w:val="E2CAEB4BA1D147A7BAC822B38A14F6EE"/>
          </w:pPr>
          <w:r w:rsidRPr="003A23C8">
            <w:rPr>
              <w:highlight w:val="lightGray"/>
            </w:rPr>
            <w:t>[Subject]</w:t>
          </w:r>
        </w:p>
      </w:docPartBody>
    </w:docPart>
    <w:docPart>
      <w:docPartPr>
        <w:name w:val="E6F135526A99419D87E548E087F470DC"/>
        <w:category>
          <w:name w:val="General"/>
          <w:gallery w:val="placeholder"/>
        </w:category>
        <w:types>
          <w:type w:val="bbPlcHdr"/>
        </w:types>
        <w:behaviors>
          <w:behavior w:val="content"/>
        </w:behaviors>
        <w:guid w:val="{CDE7CA19-12D5-4B08-B0E3-72F1969CCC90}"/>
      </w:docPartPr>
      <w:docPartBody>
        <w:p w:rsidR="00BD3606" w:rsidRDefault="00A717AF" w:rsidP="00A717AF">
          <w:pPr>
            <w:pStyle w:val="E6F135526A99419D87E548E087F470DC"/>
          </w:pPr>
          <w:r w:rsidRPr="003A23C8">
            <w:rPr>
              <w:highlight w:val="lightGray"/>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AF"/>
    <w:rsid w:val="004F3934"/>
    <w:rsid w:val="0053658D"/>
    <w:rsid w:val="00540F74"/>
    <w:rsid w:val="007B412B"/>
    <w:rsid w:val="00935719"/>
    <w:rsid w:val="009D701C"/>
    <w:rsid w:val="00A717AF"/>
    <w:rsid w:val="00AA35BC"/>
    <w:rsid w:val="00AF6E17"/>
    <w:rsid w:val="00B37B36"/>
    <w:rsid w:val="00BD3606"/>
    <w:rsid w:val="00C202ED"/>
    <w:rsid w:val="00E64D77"/>
    <w:rsid w:val="00F71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17AF"/>
    <w:pPr>
      <w:spacing w:after="0" w:line="180" w:lineRule="auto"/>
      <w:contextualSpacing/>
    </w:pPr>
    <w:rPr>
      <w:rFonts w:ascii="Nunito" w:eastAsiaTheme="majorEastAsia" w:hAnsi="Nunito" w:cstheme="majorBidi"/>
      <w:b/>
      <w:caps/>
      <w:kern w:val="28"/>
      <w:sz w:val="80"/>
      <w:szCs w:val="56"/>
      <w:lang w:val="en-AU" w:eastAsia="en-US"/>
    </w:rPr>
  </w:style>
  <w:style w:type="character" w:customStyle="1" w:styleId="TitleChar">
    <w:name w:val="Title Char"/>
    <w:basedOn w:val="DefaultParagraphFont"/>
    <w:link w:val="Title"/>
    <w:uiPriority w:val="10"/>
    <w:rsid w:val="00A717AF"/>
    <w:rPr>
      <w:rFonts w:ascii="Nunito" w:eastAsiaTheme="majorEastAsia" w:hAnsi="Nunito" w:cstheme="majorBidi"/>
      <w:b/>
      <w:caps/>
      <w:kern w:val="28"/>
      <w:sz w:val="80"/>
      <w:szCs w:val="56"/>
      <w:lang w:val="en-AU" w:eastAsia="en-US"/>
    </w:rPr>
  </w:style>
  <w:style w:type="paragraph" w:customStyle="1" w:styleId="A47FABC0A5564D36A5ED23C77DA6DD44">
    <w:name w:val="A47FABC0A5564D36A5ED23C77DA6DD44"/>
    <w:rsid w:val="00A717AF"/>
  </w:style>
  <w:style w:type="paragraph" w:customStyle="1" w:styleId="E2CAEB4BA1D147A7BAC822B38A14F6EE">
    <w:name w:val="E2CAEB4BA1D147A7BAC822B38A14F6EE"/>
    <w:rsid w:val="00A717AF"/>
  </w:style>
  <w:style w:type="paragraph" w:customStyle="1" w:styleId="E6F135526A99419D87E548E087F470DC">
    <w:name w:val="E6F135526A99419D87E548E087F470DC"/>
    <w:rsid w:val="00A71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BE19E2D2D060458DF76154E5156AC1" ma:contentTypeVersion="13" ma:contentTypeDescription="Create a new document." ma:contentTypeScope="" ma:versionID="e5c7b78c1eb5064482a71b7b912c3244">
  <xsd:schema xmlns:xsd="http://www.w3.org/2001/XMLSchema" xmlns:xs="http://www.w3.org/2001/XMLSchema" xmlns:p="http://schemas.microsoft.com/office/2006/metadata/properties" xmlns:ns2="ea3da3a8-7d9f-4b13-ba38-df5afc181b2a" xmlns:ns3="d74dfbb6-b8b8-4576-b07c-554943f10550" targetNamespace="http://schemas.microsoft.com/office/2006/metadata/properties" ma:root="true" ma:fieldsID="1b05b7fdf3472a7a672cfaf857eba299" ns2:_="" ns3:_="">
    <xsd:import namespace="ea3da3a8-7d9f-4b13-ba38-df5afc181b2a"/>
    <xsd:import namespace="d74dfbb6-b8b8-4576-b07c-554943f105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da3a8-7d9f-4b13-ba38-df5afc181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4dfbb6-b8b8-4576-b07c-554943f105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195B51A-AC7E-497C-8BDB-63748991E4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50629B-5535-4268-B5EA-39F5BFA8F766}">
  <ds:schemaRefs>
    <ds:schemaRef ds:uri="http://schemas.openxmlformats.org/officeDocument/2006/bibliography"/>
  </ds:schemaRefs>
</ds:datastoreItem>
</file>

<file path=customXml/itemProps3.xml><?xml version="1.0" encoding="utf-8"?>
<ds:datastoreItem xmlns:ds="http://schemas.openxmlformats.org/officeDocument/2006/customXml" ds:itemID="{62E77AB3-1985-4813-8223-0AB082DDC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da3a8-7d9f-4b13-ba38-df5afc181b2a"/>
    <ds:schemaRef ds:uri="d74dfbb6-b8b8-4576-b07c-554943f10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E22C6-A5A6-4064-A2A4-6B1C47DBB7D2}">
  <ds:schemaRefs>
    <ds:schemaRef ds:uri="http://schemas.microsoft.com/sharepoint/v3/contenttype/forms"/>
  </ds:schemaRefs>
</ds:datastoreItem>
</file>

<file path=customXml/itemProps5.xml><?xml version="1.0" encoding="utf-8"?>
<ds:datastoreItem xmlns:ds="http://schemas.openxmlformats.org/officeDocument/2006/customXml" ds:itemID="{19D169E7-4BE6-4F37-80E1-C35D47D6F0C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11730</Words>
  <Characters>66865</Characters>
  <Application>Microsoft Office Word</Application>
  <DocSecurity>4</DocSecurity>
  <Lines>557</Lines>
  <Paragraphs>156</Paragraphs>
  <ScaleCrop>false</ScaleCrop>
  <HeadingPairs>
    <vt:vector size="2" baseType="variant">
      <vt:variant>
        <vt:lpstr>Title</vt:lpstr>
      </vt:variant>
      <vt:variant>
        <vt:i4>1</vt:i4>
      </vt:variant>
    </vt:vector>
  </HeadingPairs>
  <TitlesOfParts>
    <vt:vector size="1" baseType="lpstr">
      <vt:lpstr>Implementing the Early Intervention Investment Framework</vt:lpstr>
    </vt:vector>
  </TitlesOfParts>
  <Company/>
  <LinksUpToDate>false</LinksUpToDate>
  <CharactersWithSpaces>78439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the Early Intervention Investment Framework</dc:title>
  <dc:subject>A report to the Victorian Department of Treasury and Finance</dc:subject>
  <dc:creator>Daniel Hanrahan</dc:creator>
  <cp:keywords/>
  <dc:description/>
  <cp:lastModifiedBy>Natalie Maroki (DTF)</cp:lastModifiedBy>
  <cp:revision>2</cp:revision>
  <cp:lastPrinted>2022-05-10T01:37:00Z</cp:lastPrinted>
  <dcterms:created xsi:type="dcterms:W3CDTF">2022-08-03T02:43:00Z</dcterms:created>
  <dcterms:modified xsi:type="dcterms:W3CDTF">2022-08-03T02:43:00Z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0x01010070BE19E2D2D060458DF76154E5156AC1</vt:lpwstr>
  </property>
  <property fmtid="{D5CDD505-2E9C-101B-9397-08002B2CF9AE}" pid="3" name="MSIP_Label_7158ebbd-6c5e-441f-bfc9-4eb8c11e3978_Enabled">
    <vt:lpwstr>true</vt:lpwstr>
  </property>
  <property fmtid="{D5CDD505-2E9C-101B-9397-08002B2CF9AE}" pid="4" name="MSIP_Label_7158ebbd-6c5e-441f-bfc9-4eb8c11e3978_SetDate">
    <vt:lpwstr>2022-08-03T02:42:07Z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85ccc7cc-99b4-4c97-8b44-5c457f439185</vt:lpwstr>
  </property>
  <property fmtid="{D5CDD505-2E9C-101B-9397-08002B2CF9AE}" pid="9" name="MSIP_Label_7158ebbd-6c5e-441f-bfc9-4eb8c11e3978_ContentBits">
    <vt:lpwstr>2</vt:lpwstr>
  </property>
</Properties>
</file>