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872A" w14:textId="6945DAF6" w:rsidR="009B1925" w:rsidRPr="003427DB" w:rsidRDefault="009B1925" w:rsidP="003427DB">
      <w:pPr>
        <w:pStyle w:val="Heading1"/>
        <w:rPr>
          <w:rFonts w:ascii="Arial" w:eastAsia="SimHei" w:hAnsi="Arial" w:cs="Arial"/>
          <w:b w:val="0"/>
          <w:bCs w:val="0"/>
          <w:color w:val="2F5496" w:themeColor="accent1" w:themeShade="BF"/>
          <w:sz w:val="52"/>
          <w:szCs w:val="52"/>
        </w:rPr>
      </w:pPr>
      <w:bookmarkStart w:id="0" w:name="_Toc515533555"/>
      <w:bookmarkStart w:id="1" w:name="_Toc5615939"/>
      <w:bookmarkStart w:id="2" w:name="_Toc9937285"/>
      <w:r w:rsidRPr="003427DB">
        <w:rPr>
          <w:rFonts w:ascii="Arial" w:eastAsia="SimHei" w:hAnsi="Arial" w:cs="Arial"/>
          <w:color w:val="2F5496" w:themeColor="accent1" w:themeShade="BF"/>
          <w:sz w:val="52"/>
          <w:szCs w:val="52"/>
        </w:rPr>
        <w:t>Guidance to Financial Reporting Direction 120</w:t>
      </w:r>
    </w:p>
    <w:p w14:paraId="0D5D943E" w14:textId="61ED1148" w:rsidR="001938D9" w:rsidRPr="001938D9" w:rsidRDefault="001938D9" w:rsidP="001938D9">
      <w:pPr>
        <w:keepNext/>
        <w:keepLines/>
        <w:pBdr>
          <w:bottom w:val="single" w:sz="12" w:space="1" w:color="auto"/>
        </w:pBdr>
        <w:spacing w:before="360" w:after="0" w:line="240" w:lineRule="auto"/>
        <w:outlineLvl w:val="0"/>
        <w:rPr>
          <w:rFonts w:ascii="Arial" w:eastAsia="SimHei" w:hAnsi="Arial" w:cs="Times New Roman"/>
          <w:b/>
          <w:bCs/>
          <w:caps/>
          <w:spacing w:val="-2"/>
          <w:sz w:val="28"/>
          <w:szCs w:val="28"/>
        </w:rPr>
      </w:pPr>
      <w:r w:rsidRPr="001938D9">
        <w:rPr>
          <w:rFonts w:ascii="Arial" w:eastAsia="SimHei" w:hAnsi="Arial" w:cs="Times New Roman"/>
          <w:b/>
          <w:bCs/>
          <w:caps/>
          <w:spacing w:val="-2"/>
          <w:sz w:val="28"/>
          <w:szCs w:val="28"/>
        </w:rPr>
        <w:t>AASB reporting requirements for for-profit and not-for-profit entities in the Victorian Public sector</w:t>
      </w:r>
      <w:bookmarkEnd w:id="0"/>
      <w:bookmarkEnd w:id="1"/>
      <w:bookmarkEnd w:id="2"/>
    </w:p>
    <w:tbl>
      <w:tblPr>
        <w:tblStyle w:val="CVtable21"/>
        <w:tblpPr w:leftFromText="180" w:rightFromText="180" w:vertAnchor="text" w:horzAnchor="margin" w:tblpXSpec="right" w:tblpY="474"/>
        <w:tblOverlap w:val="never"/>
        <w:tblW w:w="3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2560"/>
      </w:tblGrid>
      <w:tr w:rsidR="003427DB" w:rsidRPr="001938D9" w14:paraId="19AD3335" w14:textId="77777777" w:rsidTr="003427DB">
        <w:tc>
          <w:tcPr>
            <w:tcW w:w="518" w:type="dxa"/>
          </w:tcPr>
          <w:p w14:paraId="16A67BC0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Wingdings 2" w:hAnsi="Wingdings 2"/>
                <w:color w:val="000000"/>
                <w:spacing w:val="2"/>
              </w:rPr>
              <w:t></w:t>
            </w:r>
          </w:p>
        </w:tc>
        <w:tc>
          <w:tcPr>
            <w:tcW w:w="2560" w:type="dxa"/>
          </w:tcPr>
          <w:p w14:paraId="0BE635DE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applicable</w:t>
            </w:r>
          </w:p>
        </w:tc>
      </w:tr>
      <w:tr w:rsidR="003427DB" w:rsidRPr="001938D9" w14:paraId="3C039935" w14:textId="77777777" w:rsidTr="003427DB">
        <w:tc>
          <w:tcPr>
            <w:tcW w:w="518" w:type="dxa"/>
          </w:tcPr>
          <w:p w14:paraId="24923C84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color w:val="000000"/>
                <w:spacing w:val="2"/>
                <w:sz w:val="16"/>
              </w:rPr>
              <w:sym w:font="Wingdings 2" w:char="F04F"/>
            </w:r>
          </w:p>
        </w:tc>
        <w:tc>
          <w:tcPr>
            <w:tcW w:w="2560" w:type="dxa"/>
          </w:tcPr>
          <w:p w14:paraId="192859A4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not applicable</w:t>
            </w:r>
          </w:p>
        </w:tc>
      </w:tr>
      <w:tr w:rsidR="003427DB" w:rsidRPr="001938D9" w14:paraId="1E60503F" w14:textId="77777777" w:rsidTr="003427DB">
        <w:tc>
          <w:tcPr>
            <w:tcW w:w="518" w:type="dxa"/>
          </w:tcPr>
          <w:p w14:paraId="71195BAB" w14:textId="77777777" w:rsidR="003427DB" w:rsidRPr="001938D9" w:rsidRDefault="003427DB" w:rsidP="003427DB">
            <w:pPr>
              <w:spacing w:before="40" w:after="40"/>
              <w:jc w:val="right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NR</w:t>
            </w:r>
          </w:p>
        </w:tc>
        <w:tc>
          <w:tcPr>
            <w:tcW w:w="2560" w:type="dxa"/>
          </w:tcPr>
          <w:p w14:paraId="74DEB205" w14:textId="77777777" w:rsidR="003427DB" w:rsidRPr="001938D9" w:rsidRDefault="003427DB" w:rsidP="003427DB">
            <w:pPr>
              <w:spacing w:before="40" w:after="40"/>
              <w:rPr>
                <w:rFonts w:ascii="Arial" w:hAnsi="Arial" w:cs="Arial"/>
                <w:spacing w:val="2"/>
                <w:sz w:val="16"/>
              </w:rPr>
            </w:pPr>
            <w:r w:rsidRPr="001938D9">
              <w:rPr>
                <w:rFonts w:ascii="Arial" w:hAnsi="Arial" w:cs="Arial"/>
                <w:spacing w:val="2"/>
                <w:sz w:val="16"/>
              </w:rPr>
              <w:t>Standard is applicable but is not relevant to the entity</w:t>
            </w:r>
          </w:p>
        </w:tc>
      </w:tr>
    </w:tbl>
    <w:p w14:paraId="5A0CB569" w14:textId="77777777" w:rsidR="001938D9" w:rsidRPr="001938D9" w:rsidRDefault="001938D9" w:rsidP="001938D9">
      <w:pPr>
        <w:keepLines/>
        <w:spacing w:before="120" w:after="0" w:line="240" w:lineRule="auto"/>
        <w:rPr>
          <w:rFonts w:ascii="Arial" w:eastAsia="Arial" w:hAnsi="Arial" w:cs="Times New Roman"/>
          <w:spacing w:val="2"/>
          <w:sz w:val="18"/>
          <w:szCs w:val="18"/>
        </w:rPr>
      </w:pPr>
      <w:r w:rsidRPr="001938D9">
        <w:rPr>
          <w:rFonts w:ascii="Arial" w:eastAsia="Arial" w:hAnsi="Arial" w:cs="Times New Roman"/>
          <w:spacing w:val="2"/>
          <w:sz w:val="18"/>
          <w:szCs w:val="18"/>
        </w:rPr>
        <w:t xml:space="preserve">The following table provides guidance on reporting requirements under Australian Accounting Standards applicable for for-profit entities (FP) and not-for-profit entities (NFP). </w:t>
      </w:r>
    </w:p>
    <w:tbl>
      <w:tblPr>
        <w:tblStyle w:val="Modeltable1"/>
        <w:tblW w:w="4999" w:type="pct"/>
        <w:tblBorders>
          <w:insideH w:val="single" w:sz="4" w:space="0" w:color="53565A"/>
        </w:tblBorders>
        <w:tblLook w:val="0620" w:firstRow="1" w:lastRow="0" w:firstColumn="0" w:lastColumn="0" w:noHBand="1" w:noVBand="1"/>
      </w:tblPr>
      <w:tblGrid>
        <w:gridCol w:w="605"/>
        <w:gridCol w:w="3476"/>
        <w:gridCol w:w="2182"/>
        <w:gridCol w:w="2761"/>
      </w:tblGrid>
      <w:tr w:rsidR="001938D9" w:rsidRPr="001938D9" w14:paraId="48A0C065" w14:textId="77777777" w:rsidTr="0089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335" w:type="pct"/>
            <w:noWrap/>
            <w:hideMark/>
          </w:tcPr>
          <w:p w14:paraId="619EC401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 xml:space="preserve">AASB </w:t>
            </w:r>
          </w:p>
        </w:tc>
        <w:tc>
          <w:tcPr>
            <w:tcW w:w="1926" w:type="pct"/>
            <w:hideMark/>
          </w:tcPr>
          <w:p w14:paraId="22D25792" w14:textId="77777777" w:rsidR="001938D9" w:rsidRPr="001938D9" w:rsidRDefault="001938D9" w:rsidP="001938D9">
            <w:pPr>
              <w:spacing w:before="60" w:after="40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Description</w:t>
            </w:r>
          </w:p>
        </w:tc>
        <w:tc>
          <w:tcPr>
            <w:tcW w:w="1209" w:type="pct"/>
            <w:noWrap/>
            <w:hideMark/>
          </w:tcPr>
          <w:p w14:paraId="7A764384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For-profit</w:t>
            </w:r>
          </w:p>
        </w:tc>
        <w:tc>
          <w:tcPr>
            <w:tcW w:w="1530" w:type="pct"/>
            <w:noWrap/>
            <w:hideMark/>
          </w:tcPr>
          <w:p w14:paraId="26092A19" w14:textId="77777777" w:rsidR="001938D9" w:rsidRPr="001938D9" w:rsidRDefault="001938D9" w:rsidP="001938D9">
            <w:pPr>
              <w:spacing w:before="60" w:after="40"/>
              <w:jc w:val="center"/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</w:pPr>
            <w:r w:rsidRPr="001938D9">
              <w:rPr>
                <w:rFonts w:eastAsia="Tahoma" w:cs="Arial"/>
                <w:i/>
                <w:iCs/>
                <w:spacing w:val="2"/>
                <w:sz w:val="16"/>
                <w:szCs w:val="20"/>
                <w:lang w:eastAsia="en-AU"/>
              </w:rPr>
              <w:t>Not-for-profit</w:t>
            </w:r>
          </w:p>
        </w:tc>
      </w:tr>
      <w:tr w:rsidR="001938D9" w:rsidRPr="001938D9" w14:paraId="560B6C9C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5A01CF30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</w:t>
            </w:r>
          </w:p>
        </w:tc>
        <w:tc>
          <w:tcPr>
            <w:tcW w:w="1926" w:type="pct"/>
            <w:vAlign w:val="center"/>
            <w:hideMark/>
          </w:tcPr>
          <w:p w14:paraId="12763EE1" w14:textId="5C2C73CE" w:rsidR="001938D9" w:rsidRPr="001938D9" w:rsidRDefault="001938D9" w:rsidP="001A4A5A">
            <w:pPr>
              <w:spacing w:before="0"/>
              <w:rPr>
                <w:rFonts w:eastAsia="Tahoma" w:cs="Arial"/>
                <w:noProof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ahoma" w:cs="Arial"/>
                <w:noProof/>
                <w:spacing w:val="2"/>
                <w:lang w:eastAsia="en-AU"/>
              </w:rPr>
              <w:t>First-time Adoption of Australian Accounting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5D56FA6E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CD22CBE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18A0575" w14:textId="77777777" w:rsidTr="00897E66">
        <w:trPr>
          <w:trHeight w:val="364"/>
        </w:trPr>
        <w:tc>
          <w:tcPr>
            <w:tcW w:w="335" w:type="pct"/>
            <w:noWrap/>
            <w:vAlign w:val="center"/>
            <w:hideMark/>
          </w:tcPr>
          <w:p w14:paraId="0F52729E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2</w:t>
            </w:r>
          </w:p>
        </w:tc>
        <w:tc>
          <w:tcPr>
            <w:tcW w:w="1926" w:type="pct"/>
            <w:vAlign w:val="center"/>
            <w:hideMark/>
          </w:tcPr>
          <w:p w14:paraId="6903D7FC" w14:textId="36B0FD6C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Share-based Payment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5381CE6A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35D8999E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7BFB71EA" w14:textId="77777777" w:rsidTr="00897E66">
        <w:trPr>
          <w:trHeight w:val="335"/>
        </w:trPr>
        <w:tc>
          <w:tcPr>
            <w:tcW w:w="335" w:type="pct"/>
            <w:noWrap/>
            <w:vAlign w:val="center"/>
            <w:hideMark/>
          </w:tcPr>
          <w:p w14:paraId="37004926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3</w:t>
            </w:r>
          </w:p>
        </w:tc>
        <w:tc>
          <w:tcPr>
            <w:tcW w:w="1926" w:type="pct"/>
            <w:vAlign w:val="center"/>
            <w:hideMark/>
          </w:tcPr>
          <w:p w14:paraId="21030302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Business Combinations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B97332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42922753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AE7CF16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784E2B3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4</w:t>
            </w:r>
          </w:p>
        </w:tc>
        <w:tc>
          <w:tcPr>
            <w:tcW w:w="1926" w:type="pct"/>
            <w:vAlign w:val="center"/>
            <w:hideMark/>
          </w:tcPr>
          <w:p w14:paraId="69DDF8DC" w14:textId="0C548AC1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Insurance Contracts</w:t>
            </w:r>
            <w:r w:rsidR="00071EBE">
              <w:rPr>
                <w:rStyle w:val="EndnoteReference"/>
                <w:rFonts w:eastAsia="Times New Roman" w:cs="Arial"/>
                <w:color w:val="000000"/>
                <w:spacing w:val="2"/>
                <w:lang w:eastAsia="en-AU"/>
              </w:rPr>
              <w:endnoteReference w:id="1"/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3A0FC3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1F7CFB2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0BD6B27D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1A00364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5</w:t>
            </w:r>
          </w:p>
        </w:tc>
        <w:tc>
          <w:tcPr>
            <w:tcW w:w="1926" w:type="pct"/>
            <w:vAlign w:val="center"/>
            <w:hideMark/>
          </w:tcPr>
          <w:p w14:paraId="152F90A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Non-current Assets Held for Sale and Discontinued Operations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5CCDDD8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0B7F249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01FF5AA" w14:textId="77777777" w:rsidTr="00897E66">
        <w:trPr>
          <w:trHeight w:val="469"/>
        </w:trPr>
        <w:tc>
          <w:tcPr>
            <w:tcW w:w="335" w:type="pct"/>
            <w:noWrap/>
            <w:vAlign w:val="center"/>
            <w:hideMark/>
          </w:tcPr>
          <w:p w14:paraId="468A225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6</w:t>
            </w:r>
          </w:p>
        </w:tc>
        <w:tc>
          <w:tcPr>
            <w:tcW w:w="1926" w:type="pct"/>
            <w:vAlign w:val="center"/>
            <w:hideMark/>
          </w:tcPr>
          <w:p w14:paraId="3C53BDD8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Exploration for and Evaluation of Mineral Resources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3A6CC53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0F98995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1C4F6D3C" w14:textId="77777777" w:rsidTr="00897E66">
        <w:trPr>
          <w:trHeight w:val="332"/>
        </w:trPr>
        <w:tc>
          <w:tcPr>
            <w:tcW w:w="335" w:type="pct"/>
            <w:noWrap/>
            <w:vAlign w:val="center"/>
            <w:hideMark/>
          </w:tcPr>
          <w:p w14:paraId="4520611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7</w:t>
            </w:r>
          </w:p>
        </w:tc>
        <w:tc>
          <w:tcPr>
            <w:tcW w:w="1926" w:type="pct"/>
            <w:vAlign w:val="center"/>
            <w:hideMark/>
          </w:tcPr>
          <w:p w14:paraId="063A4DA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Instruments: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5C201B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EC9BC7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9198D84" w14:textId="77777777" w:rsidTr="00897E66">
        <w:trPr>
          <w:trHeight w:val="354"/>
        </w:trPr>
        <w:tc>
          <w:tcPr>
            <w:tcW w:w="335" w:type="pct"/>
            <w:noWrap/>
            <w:vAlign w:val="center"/>
            <w:hideMark/>
          </w:tcPr>
          <w:p w14:paraId="2E1E482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8</w:t>
            </w:r>
          </w:p>
        </w:tc>
        <w:tc>
          <w:tcPr>
            <w:tcW w:w="1926" w:type="pct"/>
            <w:vAlign w:val="center"/>
            <w:hideMark/>
          </w:tcPr>
          <w:p w14:paraId="5AC3B4B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Operating Segments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0F8F6E6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A24994B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3427DB" w:rsidRPr="001938D9" w14:paraId="3E79CB8B" w14:textId="77777777" w:rsidTr="001A4A5A">
        <w:trPr>
          <w:trHeight w:val="231"/>
        </w:trPr>
        <w:tc>
          <w:tcPr>
            <w:tcW w:w="335" w:type="pct"/>
            <w:noWrap/>
            <w:vAlign w:val="center"/>
          </w:tcPr>
          <w:p w14:paraId="2456CE6E" w14:textId="3063922D" w:rsidR="009D2B09" w:rsidRPr="001938D9" w:rsidRDefault="009D2B09" w:rsidP="009D2B0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9</w:t>
            </w:r>
          </w:p>
        </w:tc>
        <w:tc>
          <w:tcPr>
            <w:tcW w:w="1926" w:type="pct"/>
            <w:vAlign w:val="center"/>
          </w:tcPr>
          <w:p w14:paraId="313A24C2" w14:textId="446FCE83" w:rsidR="009D2B09" w:rsidRPr="001938D9" w:rsidRDefault="009D2B0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</w:t>
            </w:r>
          </w:p>
        </w:tc>
        <w:tc>
          <w:tcPr>
            <w:tcW w:w="1209" w:type="pct"/>
            <w:shd w:val="clear" w:color="auto" w:fill="A6A6A6" w:themeFill="background1" w:themeFillShade="A6"/>
            <w:noWrap/>
            <w:vAlign w:val="center"/>
          </w:tcPr>
          <w:p w14:paraId="1EA0F54E" w14:textId="10525255" w:rsidR="009D2B09" w:rsidRPr="001938D9" w:rsidRDefault="009D2B0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1FEF681C" w14:textId="412D3915" w:rsidR="009D2B09" w:rsidRPr="001938D9" w:rsidRDefault="009D2B0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3BDE75B" w14:textId="77777777" w:rsidTr="001A4A5A">
        <w:trPr>
          <w:trHeight w:val="237"/>
        </w:trPr>
        <w:tc>
          <w:tcPr>
            <w:tcW w:w="335" w:type="pct"/>
            <w:noWrap/>
            <w:vAlign w:val="center"/>
            <w:hideMark/>
          </w:tcPr>
          <w:p w14:paraId="61827760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</w:t>
            </w:r>
          </w:p>
        </w:tc>
        <w:tc>
          <w:tcPr>
            <w:tcW w:w="1926" w:type="pct"/>
            <w:vAlign w:val="center"/>
            <w:hideMark/>
          </w:tcPr>
          <w:p w14:paraId="652A7C95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Consolidated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9FA50B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2F8897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B0BB147" w14:textId="77777777" w:rsidTr="00897E66">
        <w:trPr>
          <w:trHeight w:val="373"/>
        </w:trPr>
        <w:tc>
          <w:tcPr>
            <w:tcW w:w="335" w:type="pct"/>
            <w:noWrap/>
            <w:vAlign w:val="center"/>
            <w:hideMark/>
          </w:tcPr>
          <w:p w14:paraId="77615B16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</w:t>
            </w:r>
          </w:p>
        </w:tc>
        <w:tc>
          <w:tcPr>
            <w:tcW w:w="1926" w:type="pct"/>
            <w:vAlign w:val="center"/>
            <w:hideMark/>
          </w:tcPr>
          <w:p w14:paraId="6CF04158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Joint Arrangements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5807AB9A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394F1CAB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C8AB89F" w14:textId="77777777" w:rsidTr="00897E66">
        <w:trPr>
          <w:trHeight w:val="266"/>
        </w:trPr>
        <w:tc>
          <w:tcPr>
            <w:tcW w:w="335" w:type="pct"/>
            <w:noWrap/>
            <w:vAlign w:val="center"/>
            <w:hideMark/>
          </w:tcPr>
          <w:p w14:paraId="7A9CAC8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</w:t>
            </w:r>
          </w:p>
        </w:tc>
        <w:tc>
          <w:tcPr>
            <w:tcW w:w="1926" w:type="pct"/>
            <w:vAlign w:val="center"/>
            <w:hideMark/>
          </w:tcPr>
          <w:p w14:paraId="6792EE8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Disclosure of Interests in Other Entities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AD4F80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73BCF41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64C5EAA" w14:textId="77777777" w:rsidTr="00897E66">
        <w:trPr>
          <w:trHeight w:val="283"/>
        </w:trPr>
        <w:tc>
          <w:tcPr>
            <w:tcW w:w="335" w:type="pct"/>
            <w:noWrap/>
            <w:vAlign w:val="center"/>
            <w:hideMark/>
          </w:tcPr>
          <w:p w14:paraId="30D9749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</w:t>
            </w:r>
          </w:p>
        </w:tc>
        <w:tc>
          <w:tcPr>
            <w:tcW w:w="1926" w:type="pct"/>
            <w:vAlign w:val="center"/>
            <w:hideMark/>
          </w:tcPr>
          <w:p w14:paraId="215AB3FA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Fair Value Measurement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FB73F9C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4100995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EDFB0F5" w14:textId="77777777" w:rsidTr="00897E66">
        <w:trPr>
          <w:trHeight w:val="274"/>
        </w:trPr>
        <w:tc>
          <w:tcPr>
            <w:tcW w:w="335" w:type="pct"/>
            <w:noWrap/>
            <w:vAlign w:val="center"/>
            <w:hideMark/>
          </w:tcPr>
          <w:p w14:paraId="0AD868D1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</w:t>
            </w:r>
          </w:p>
        </w:tc>
        <w:tc>
          <w:tcPr>
            <w:tcW w:w="1926" w:type="pct"/>
            <w:vAlign w:val="center"/>
            <w:hideMark/>
          </w:tcPr>
          <w:p w14:paraId="2B39D13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Regulatory Deferral Accounts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641C537E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DBBF62C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1F04A1E5" w14:textId="77777777" w:rsidTr="001A4A5A">
        <w:trPr>
          <w:trHeight w:val="317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94589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15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14:paraId="04181598" w14:textId="793E8EB2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Revenue from Contracts with Customers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B010F2F" w14:textId="2BC31679" w:rsidR="001938D9" w:rsidRPr="001938D9" w:rsidRDefault="00897E66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62B042EE" w14:textId="7641ED81" w:rsidR="001938D9" w:rsidRPr="001938D9" w:rsidRDefault="00897E66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>
              <w:rPr>
                <w:rFonts w:eastAsia="Times New Roman" w:cs="Arial"/>
                <w:color w:val="000000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897E66" w:rsidRPr="001938D9" w14:paraId="366002D6" w14:textId="77777777" w:rsidTr="001A4A5A">
        <w:trPr>
          <w:trHeight w:val="265"/>
        </w:trPr>
        <w:tc>
          <w:tcPr>
            <w:tcW w:w="335" w:type="pct"/>
            <w:noWrap/>
            <w:vAlign w:val="center"/>
            <w:hideMark/>
          </w:tcPr>
          <w:p w14:paraId="0FC38438" w14:textId="77777777" w:rsidR="00897E66" w:rsidRPr="001938D9" w:rsidRDefault="00897E66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16</w:t>
            </w:r>
          </w:p>
        </w:tc>
        <w:tc>
          <w:tcPr>
            <w:tcW w:w="1926" w:type="pct"/>
            <w:vAlign w:val="center"/>
            <w:hideMark/>
          </w:tcPr>
          <w:p w14:paraId="5AB40A65" w14:textId="5A416DFD" w:rsidR="00897E66" w:rsidRPr="009B1925" w:rsidRDefault="00897E66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Leases</w:t>
            </w:r>
          </w:p>
        </w:tc>
        <w:tc>
          <w:tcPr>
            <w:tcW w:w="1209" w:type="pct"/>
            <w:shd w:val="clear" w:color="auto" w:fill="A6A6A6" w:themeFill="background1" w:themeFillShade="A6"/>
            <w:vAlign w:val="center"/>
            <w:hideMark/>
          </w:tcPr>
          <w:p w14:paraId="0D6F0F14" w14:textId="1B257421" w:rsidR="00897E66" w:rsidRPr="003427DB" w:rsidRDefault="00897E66" w:rsidP="001A4A5A">
            <w:pPr>
              <w:spacing w:before="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47FFAB6B" w14:textId="59D86BF5" w:rsidR="00897E66" w:rsidRPr="003427DB" w:rsidRDefault="00897E66" w:rsidP="001A4A5A">
            <w:pPr>
              <w:spacing w:before="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373635AD" w14:textId="77777777" w:rsidTr="00897E66">
        <w:trPr>
          <w:trHeight w:val="375"/>
        </w:trPr>
        <w:tc>
          <w:tcPr>
            <w:tcW w:w="335" w:type="pct"/>
            <w:noWrap/>
            <w:vAlign w:val="center"/>
          </w:tcPr>
          <w:p w14:paraId="1C5992DA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17</w:t>
            </w:r>
          </w:p>
        </w:tc>
        <w:tc>
          <w:tcPr>
            <w:tcW w:w="1926" w:type="pct"/>
            <w:vAlign w:val="center"/>
          </w:tcPr>
          <w:p w14:paraId="33637722" w14:textId="59FAFE2F" w:rsidR="001938D9" w:rsidRPr="003427DB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Insurance Contracts</w:t>
            </w:r>
            <w:r w:rsidR="00071EBE">
              <w:rPr>
                <w:rStyle w:val="EndnoteReference"/>
              </w:rPr>
              <w:t>1</w:t>
            </w:r>
          </w:p>
        </w:tc>
        <w:tc>
          <w:tcPr>
            <w:tcW w:w="1209" w:type="pct"/>
            <w:shd w:val="clear" w:color="auto" w:fill="A6A6A6"/>
            <w:noWrap/>
            <w:vAlign w:val="center"/>
          </w:tcPr>
          <w:p w14:paraId="09DE2733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Applicable from reporting</w:t>
            </w:r>
          </w:p>
          <w:p w14:paraId="2A928CD2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periods beginning on or after</w:t>
            </w:r>
          </w:p>
          <w:p w14:paraId="53311E18" w14:textId="27EFDCE6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 J</w:t>
            </w:r>
            <w:r w:rsidR="001778BA">
              <w:rPr>
                <w:rFonts w:eastAsia="Times New Roman" w:cs="Arial"/>
                <w:color w:val="000000"/>
                <w:spacing w:val="2"/>
                <w:lang w:eastAsia="en-AU"/>
              </w:rPr>
              <w:t>uly 2026</w:t>
            </w:r>
          </w:p>
        </w:tc>
        <w:tc>
          <w:tcPr>
            <w:tcW w:w="1530" w:type="pct"/>
            <w:shd w:val="clear" w:color="auto" w:fill="D9D9D9"/>
            <w:noWrap/>
            <w:vAlign w:val="center"/>
          </w:tcPr>
          <w:p w14:paraId="0DE60BB0" w14:textId="77777777" w:rsidR="001778BA" w:rsidRPr="001938D9" w:rsidRDefault="001778BA" w:rsidP="001778B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Applicable from reporting</w:t>
            </w:r>
          </w:p>
          <w:p w14:paraId="4D5B2419" w14:textId="77777777" w:rsidR="001778BA" w:rsidRPr="001938D9" w:rsidRDefault="001778BA" w:rsidP="001778B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periods beginning on or after</w:t>
            </w:r>
          </w:p>
          <w:p w14:paraId="3194DEDB" w14:textId="3C849FA9" w:rsidR="001938D9" w:rsidRPr="001938D9" w:rsidRDefault="001778BA" w:rsidP="001778B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 J</w:t>
            </w:r>
            <w:r>
              <w:rPr>
                <w:rFonts w:eastAsia="Times New Roman" w:cs="Arial"/>
                <w:color w:val="000000"/>
                <w:spacing w:val="2"/>
                <w:lang w:eastAsia="en-AU"/>
              </w:rPr>
              <w:t>uly 2026</w:t>
            </w:r>
          </w:p>
        </w:tc>
      </w:tr>
      <w:tr w:rsidR="001938D9" w:rsidRPr="001938D9" w14:paraId="73F38520" w14:textId="77777777" w:rsidTr="00897E66">
        <w:trPr>
          <w:trHeight w:val="375"/>
        </w:trPr>
        <w:tc>
          <w:tcPr>
            <w:tcW w:w="335" w:type="pct"/>
            <w:noWrap/>
            <w:vAlign w:val="center"/>
            <w:hideMark/>
          </w:tcPr>
          <w:p w14:paraId="35B5F79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101</w:t>
            </w:r>
          </w:p>
        </w:tc>
        <w:tc>
          <w:tcPr>
            <w:tcW w:w="1926" w:type="pct"/>
            <w:vAlign w:val="center"/>
            <w:hideMark/>
          </w:tcPr>
          <w:p w14:paraId="20E7B86B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Presentation of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49A979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9B5867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EE1E61" w14:textId="77777777" w:rsidTr="00071EBE">
        <w:trPr>
          <w:trHeight w:val="235"/>
        </w:trPr>
        <w:tc>
          <w:tcPr>
            <w:tcW w:w="335" w:type="pct"/>
            <w:noWrap/>
            <w:vAlign w:val="center"/>
            <w:hideMark/>
          </w:tcPr>
          <w:p w14:paraId="604701E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102</w:t>
            </w:r>
          </w:p>
        </w:tc>
        <w:tc>
          <w:tcPr>
            <w:tcW w:w="1926" w:type="pct"/>
            <w:vAlign w:val="center"/>
            <w:hideMark/>
          </w:tcPr>
          <w:p w14:paraId="1F21D11E" w14:textId="614F19E1" w:rsidR="00B82A39" w:rsidRPr="001938D9" w:rsidRDefault="001938D9" w:rsidP="00B82A3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Inventories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6F603494" w14:textId="08838710" w:rsidR="001938D9" w:rsidRPr="001938D9" w:rsidRDefault="001778BA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8CDF2F2" w14:textId="2E908FB2" w:rsidR="001938D9" w:rsidRPr="001938D9" w:rsidRDefault="001778BA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793BCC6C" w14:textId="77777777" w:rsidTr="001A4A5A">
        <w:trPr>
          <w:trHeight w:val="263"/>
        </w:trPr>
        <w:tc>
          <w:tcPr>
            <w:tcW w:w="335" w:type="pct"/>
            <w:noWrap/>
            <w:vAlign w:val="center"/>
            <w:hideMark/>
          </w:tcPr>
          <w:p w14:paraId="1D1061B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107</w:t>
            </w:r>
          </w:p>
        </w:tc>
        <w:tc>
          <w:tcPr>
            <w:tcW w:w="1926" w:type="pct"/>
            <w:vAlign w:val="center"/>
            <w:hideMark/>
          </w:tcPr>
          <w:p w14:paraId="18820B64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Statement of Cash Flows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FFBC79B" w14:textId="7C461E1F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9255BB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A17FC22" w14:textId="77777777" w:rsidTr="001A4A5A">
        <w:trPr>
          <w:trHeight w:val="410"/>
        </w:trPr>
        <w:tc>
          <w:tcPr>
            <w:tcW w:w="335" w:type="pct"/>
            <w:noWrap/>
            <w:vAlign w:val="center"/>
            <w:hideMark/>
          </w:tcPr>
          <w:p w14:paraId="061E48BE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108</w:t>
            </w:r>
          </w:p>
        </w:tc>
        <w:tc>
          <w:tcPr>
            <w:tcW w:w="1926" w:type="pct"/>
            <w:vAlign w:val="center"/>
            <w:hideMark/>
          </w:tcPr>
          <w:p w14:paraId="52D95E17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Accounting Policies, Changes in Accounting Estimates and Errors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7FB739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48F576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F5E11F4" w14:textId="77777777" w:rsidTr="001A4A5A">
        <w:trPr>
          <w:trHeight w:val="274"/>
        </w:trPr>
        <w:tc>
          <w:tcPr>
            <w:tcW w:w="335" w:type="pct"/>
            <w:noWrap/>
            <w:vAlign w:val="center"/>
            <w:hideMark/>
          </w:tcPr>
          <w:p w14:paraId="55305A4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110</w:t>
            </w:r>
          </w:p>
        </w:tc>
        <w:tc>
          <w:tcPr>
            <w:tcW w:w="1926" w:type="pct"/>
            <w:vAlign w:val="center"/>
            <w:hideMark/>
          </w:tcPr>
          <w:p w14:paraId="3B050D6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Events after the Reporting Period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BE0ACB8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54EE970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9D1391D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705405F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112</w:t>
            </w:r>
          </w:p>
        </w:tc>
        <w:tc>
          <w:tcPr>
            <w:tcW w:w="1926" w:type="pct"/>
            <w:vAlign w:val="center"/>
            <w:hideMark/>
          </w:tcPr>
          <w:p w14:paraId="6276BC9C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Income Taxes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02E96B3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 xml:space="preserve">A deferred tax asset can arise on non-taxable </w:t>
            </w: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lastRenderedPageBreak/>
              <w:t>government grant related to an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658055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lastRenderedPageBreak/>
              <w:t>A deferred tax asset does not arise on a non-taxable government grant related to an asset.</w:t>
            </w:r>
          </w:p>
        </w:tc>
      </w:tr>
      <w:tr w:rsidR="001938D9" w:rsidRPr="001938D9" w14:paraId="22CCCF78" w14:textId="77777777" w:rsidTr="00897E66">
        <w:trPr>
          <w:trHeight w:val="309"/>
        </w:trPr>
        <w:tc>
          <w:tcPr>
            <w:tcW w:w="335" w:type="pct"/>
            <w:noWrap/>
            <w:vAlign w:val="center"/>
            <w:hideMark/>
          </w:tcPr>
          <w:p w14:paraId="7A88EE5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116</w:t>
            </w:r>
          </w:p>
        </w:tc>
        <w:tc>
          <w:tcPr>
            <w:tcW w:w="1926" w:type="pct"/>
            <w:vAlign w:val="center"/>
            <w:hideMark/>
          </w:tcPr>
          <w:p w14:paraId="722BBB91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Property, Plant and Equipment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2C7AC94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individual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13469D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class of assets.</w:t>
            </w:r>
          </w:p>
        </w:tc>
      </w:tr>
      <w:tr w:rsidR="001938D9" w:rsidRPr="001938D9" w14:paraId="15D9F088" w14:textId="77777777" w:rsidTr="001A4A5A">
        <w:trPr>
          <w:trHeight w:val="948"/>
        </w:trPr>
        <w:tc>
          <w:tcPr>
            <w:tcW w:w="335" w:type="pct"/>
            <w:noWrap/>
            <w:vAlign w:val="center"/>
            <w:hideMark/>
          </w:tcPr>
          <w:p w14:paraId="657CDC1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119</w:t>
            </w:r>
          </w:p>
        </w:tc>
        <w:tc>
          <w:tcPr>
            <w:tcW w:w="1926" w:type="pct"/>
            <w:vAlign w:val="center"/>
            <w:hideMark/>
          </w:tcPr>
          <w:p w14:paraId="0215810F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E04DE9D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 obligations shall be determined using market yields on high quality corporate bonds.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BDCEF6C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Employee benefit obligations shall be determined using market yields on government bonds.</w:t>
            </w:r>
          </w:p>
        </w:tc>
      </w:tr>
      <w:tr w:rsidR="001938D9" w:rsidRPr="001938D9" w14:paraId="32A4DFED" w14:textId="77777777" w:rsidTr="00897E66">
        <w:trPr>
          <w:trHeight w:val="307"/>
        </w:trPr>
        <w:tc>
          <w:tcPr>
            <w:tcW w:w="335" w:type="pct"/>
            <w:noWrap/>
            <w:vAlign w:val="center"/>
            <w:hideMark/>
          </w:tcPr>
          <w:p w14:paraId="64ED534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120</w:t>
            </w:r>
          </w:p>
        </w:tc>
        <w:tc>
          <w:tcPr>
            <w:tcW w:w="1926" w:type="pct"/>
            <w:vAlign w:val="center"/>
            <w:hideMark/>
          </w:tcPr>
          <w:p w14:paraId="7FA04AF0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Accounting for Government Grants and Disclosure of Government Assistance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367E75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4224B06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04902D40" w14:textId="77777777" w:rsidTr="001A4A5A">
        <w:trPr>
          <w:trHeight w:val="474"/>
        </w:trPr>
        <w:tc>
          <w:tcPr>
            <w:tcW w:w="335" w:type="pct"/>
            <w:noWrap/>
            <w:vAlign w:val="center"/>
            <w:hideMark/>
          </w:tcPr>
          <w:p w14:paraId="7A2F4A2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121</w:t>
            </w:r>
          </w:p>
        </w:tc>
        <w:tc>
          <w:tcPr>
            <w:tcW w:w="1926" w:type="pct"/>
            <w:vAlign w:val="center"/>
            <w:hideMark/>
          </w:tcPr>
          <w:p w14:paraId="033CD02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The Effects of Changes in Foreign Exchange Rates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F0B1AB3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80C2263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1ADDEF77" w14:textId="77777777" w:rsidTr="001A4A5A">
        <w:trPr>
          <w:trHeight w:val="163"/>
        </w:trPr>
        <w:tc>
          <w:tcPr>
            <w:tcW w:w="335" w:type="pct"/>
            <w:noWrap/>
            <w:vAlign w:val="center"/>
            <w:hideMark/>
          </w:tcPr>
          <w:p w14:paraId="2A249857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123</w:t>
            </w:r>
          </w:p>
        </w:tc>
        <w:tc>
          <w:tcPr>
            <w:tcW w:w="1926" w:type="pct"/>
            <w:vAlign w:val="center"/>
            <w:hideMark/>
          </w:tcPr>
          <w:p w14:paraId="58F4FBE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Borrowing Costs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9708C88" w14:textId="77777777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DCC1F69" w14:textId="2CBA0B01" w:rsidR="001938D9" w:rsidRPr="001938D9" w:rsidRDefault="001938D9" w:rsidP="001A4A5A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  <w:r w:rsidRPr="001938D9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footnoteReference w:id="1"/>
            </w:r>
          </w:p>
        </w:tc>
      </w:tr>
      <w:tr w:rsidR="001938D9" w:rsidRPr="001938D9" w14:paraId="7DD62599" w14:textId="77777777" w:rsidTr="00897E66">
        <w:trPr>
          <w:trHeight w:val="238"/>
        </w:trPr>
        <w:tc>
          <w:tcPr>
            <w:tcW w:w="335" w:type="pct"/>
            <w:noWrap/>
            <w:vAlign w:val="center"/>
            <w:hideMark/>
          </w:tcPr>
          <w:p w14:paraId="4F38667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124</w:t>
            </w:r>
          </w:p>
        </w:tc>
        <w:tc>
          <w:tcPr>
            <w:tcW w:w="1926" w:type="pct"/>
            <w:vAlign w:val="center"/>
            <w:hideMark/>
          </w:tcPr>
          <w:p w14:paraId="41C0EDC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Related Party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16FBF3F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7088B55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AD938EC" w14:textId="77777777" w:rsidTr="00897E66">
        <w:trPr>
          <w:trHeight w:val="86"/>
        </w:trPr>
        <w:tc>
          <w:tcPr>
            <w:tcW w:w="335" w:type="pct"/>
            <w:noWrap/>
            <w:vAlign w:val="center"/>
            <w:hideMark/>
          </w:tcPr>
          <w:p w14:paraId="1B6D6A1A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127</w:t>
            </w:r>
          </w:p>
        </w:tc>
        <w:tc>
          <w:tcPr>
            <w:tcW w:w="1926" w:type="pct"/>
            <w:vAlign w:val="center"/>
            <w:hideMark/>
          </w:tcPr>
          <w:p w14:paraId="4F8C2350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Separate Financial Statements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4E3392EC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B983FE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48F5C34" w14:textId="77777777" w:rsidTr="00897E66">
        <w:trPr>
          <w:trHeight w:val="388"/>
        </w:trPr>
        <w:tc>
          <w:tcPr>
            <w:tcW w:w="335" w:type="pct"/>
            <w:noWrap/>
            <w:vAlign w:val="center"/>
            <w:hideMark/>
          </w:tcPr>
          <w:p w14:paraId="4A6976B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128</w:t>
            </w:r>
          </w:p>
        </w:tc>
        <w:tc>
          <w:tcPr>
            <w:tcW w:w="1926" w:type="pct"/>
            <w:vAlign w:val="center"/>
            <w:hideMark/>
          </w:tcPr>
          <w:p w14:paraId="4AFB770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Investments in Associates and Joint Ventures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C117A98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3598DE2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46C899E" w14:textId="77777777" w:rsidTr="00897E66">
        <w:trPr>
          <w:trHeight w:val="111"/>
        </w:trPr>
        <w:tc>
          <w:tcPr>
            <w:tcW w:w="335" w:type="pct"/>
            <w:noWrap/>
            <w:vAlign w:val="center"/>
            <w:hideMark/>
          </w:tcPr>
          <w:p w14:paraId="4AD10F2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129</w:t>
            </w:r>
          </w:p>
        </w:tc>
        <w:tc>
          <w:tcPr>
            <w:tcW w:w="1926" w:type="pct"/>
            <w:vAlign w:val="center"/>
            <w:hideMark/>
          </w:tcPr>
          <w:p w14:paraId="513F4A52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Reporting in Hyperinflationary Economies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4130F00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A3312FE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4E66A1DF" w14:textId="77777777" w:rsidTr="00897E66">
        <w:trPr>
          <w:trHeight w:val="147"/>
        </w:trPr>
        <w:tc>
          <w:tcPr>
            <w:tcW w:w="335" w:type="pct"/>
            <w:noWrap/>
            <w:vAlign w:val="center"/>
            <w:hideMark/>
          </w:tcPr>
          <w:p w14:paraId="12E8491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132</w:t>
            </w:r>
          </w:p>
        </w:tc>
        <w:tc>
          <w:tcPr>
            <w:tcW w:w="1926" w:type="pct"/>
            <w:vAlign w:val="center"/>
            <w:hideMark/>
          </w:tcPr>
          <w:p w14:paraId="7448D74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Financial Instruments: Presentation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977125D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8083859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7933FAA5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525CC54C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133</w:t>
            </w:r>
          </w:p>
        </w:tc>
        <w:tc>
          <w:tcPr>
            <w:tcW w:w="1926" w:type="pct"/>
            <w:vAlign w:val="center"/>
            <w:hideMark/>
          </w:tcPr>
          <w:p w14:paraId="4C09D3EB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Earnings per Share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3013BA02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7FD3BE2E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</w:tr>
      <w:tr w:rsidR="001938D9" w:rsidRPr="001938D9" w14:paraId="35CC51A3" w14:textId="77777777" w:rsidTr="00897E66">
        <w:trPr>
          <w:trHeight w:val="297"/>
        </w:trPr>
        <w:tc>
          <w:tcPr>
            <w:tcW w:w="335" w:type="pct"/>
            <w:noWrap/>
            <w:vAlign w:val="center"/>
            <w:hideMark/>
          </w:tcPr>
          <w:p w14:paraId="5A23899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134</w:t>
            </w:r>
          </w:p>
        </w:tc>
        <w:tc>
          <w:tcPr>
            <w:tcW w:w="1926" w:type="pct"/>
            <w:vAlign w:val="center"/>
            <w:hideMark/>
          </w:tcPr>
          <w:p w14:paraId="20627D9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Interim Financial Reporting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D78B682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AFEA352" w14:textId="77777777" w:rsidR="001938D9" w:rsidRPr="001938D9" w:rsidRDefault="001938D9" w:rsidP="001A4A5A">
            <w:pPr>
              <w:spacing w:before="0"/>
              <w:jc w:val="center"/>
              <w:rPr>
                <w:rFonts w:ascii="Garamond" w:eastAsia="Times New Roman" w:hAnsi="Garamond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36DF252D" w14:textId="77777777" w:rsidTr="00897E66">
        <w:trPr>
          <w:trHeight w:val="401"/>
        </w:trPr>
        <w:tc>
          <w:tcPr>
            <w:tcW w:w="335" w:type="pct"/>
            <w:vMerge w:val="restart"/>
            <w:noWrap/>
            <w:vAlign w:val="center"/>
            <w:hideMark/>
          </w:tcPr>
          <w:p w14:paraId="7A64B3A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136</w:t>
            </w:r>
          </w:p>
        </w:tc>
        <w:tc>
          <w:tcPr>
            <w:tcW w:w="1926" w:type="pct"/>
            <w:vMerge w:val="restart"/>
            <w:vAlign w:val="center"/>
            <w:hideMark/>
          </w:tcPr>
          <w:p w14:paraId="044DEF69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of Assets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3CE6307D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Value in use is determined by the present value of future cash flows associated with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5DEFEBA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Value in use shall be determined by current replacement cost.</w:t>
            </w:r>
          </w:p>
        </w:tc>
      </w:tr>
      <w:tr w:rsidR="001938D9" w:rsidRPr="001938D9" w14:paraId="39113E0F" w14:textId="77777777" w:rsidTr="00897E66">
        <w:trPr>
          <w:trHeight w:val="335"/>
        </w:trPr>
        <w:tc>
          <w:tcPr>
            <w:tcW w:w="335" w:type="pct"/>
            <w:vMerge/>
            <w:noWrap/>
            <w:vAlign w:val="center"/>
            <w:hideMark/>
          </w:tcPr>
          <w:p w14:paraId="29A1EFA3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</w:p>
        </w:tc>
        <w:tc>
          <w:tcPr>
            <w:tcW w:w="1926" w:type="pct"/>
            <w:vMerge/>
            <w:vAlign w:val="center"/>
            <w:hideMark/>
          </w:tcPr>
          <w:p w14:paraId="44731436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DDB26D9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loss on a revalued asset can be applied against revaluation reserve for the same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2B6E1465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Impairment loss on a revalued asset can be applied against revaluation reserve by class of assets.</w:t>
            </w:r>
          </w:p>
        </w:tc>
      </w:tr>
      <w:tr w:rsidR="001938D9" w:rsidRPr="001938D9" w14:paraId="6CFCD2DE" w14:textId="77777777" w:rsidTr="00897E66">
        <w:trPr>
          <w:trHeight w:val="376"/>
        </w:trPr>
        <w:tc>
          <w:tcPr>
            <w:tcW w:w="335" w:type="pct"/>
            <w:noWrap/>
            <w:vAlign w:val="center"/>
            <w:hideMark/>
          </w:tcPr>
          <w:p w14:paraId="6586975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137</w:t>
            </w:r>
          </w:p>
        </w:tc>
        <w:tc>
          <w:tcPr>
            <w:tcW w:w="1926" w:type="pct"/>
            <w:vAlign w:val="center"/>
            <w:hideMark/>
          </w:tcPr>
          <w:p w14:paraId="7768F943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Provisions, Contingent Liabilities and Contingent Assets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112F6791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2A4F2A0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1E7A71C6" w14:textId="77777777" w:rsidTr="00897E66">
        <w:trPr>
          <w:trHeight w:val="863"/>
        </w:trPr>
        <w:tc>
          <w:tcPr>
            <w:tcW w:w="335" w:type="pct"/>
            <w:noWrap/>
            <w:vAlign w:val="center"/>
            <w:hideMark/>
          </w:tcPr>
          <w:p w14:paraId="3A327A5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138</w:t>
            </w:r>
          </w:p>
        </w:tc>
        <w:tc>
          <w:tcPr>
            <w:tcW w:w="1926" w:type="pct"/>
            <w:vAlign w:val="center"/>
            <w:hideMark/>
          </w:tcPr>
          <w:p w14:paraId="3D8B7661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Intangible Assets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A4931DE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individual asset.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50AE831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Revaluation increments and decrements are offset by class of assets.</w:t>
            </w:r>
          </w:p>
        </w:tc>
      </w:tr>
      <w:tr w:rsidR="001938D9" w:rsidRPr="001938D9" w14:paraId="259990A9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5A6B87D4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140</w:t>
            </w:r>
          </w:p>
        </w:tc>
        <w:tc>
          <w:tcPr>
            <w:tcW w:w="1926" w:type="pct"/>
            <w:vAlign w:val="center"/>
            <w:hideMark/>
          </w:tcPr>
          <w:p w14:paraId="6A46B41E" w14:textId="77777777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Investment Property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3578D684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7CA43D7" w14:textId="77777777" w:rsidR="001938D9" w:rsidRPr="001938D9" w:rsidRDefault="001938D9" w:rsidP="001A4A5A">
            <w:pPr>
              <w:spacing w:before="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064A10B3" w14:textId="77777777" w:rsidTr="00897E66">
        <w:trPr>
          <w:trHeight w:val="404"/>
        </w:trPr>
        <w:tc>
          <w:tcPr>
            <w:tcW w:w="335" w:type="pct"/>
            <w:noWrap/>
            <w:vAlign w:val="center"/>
            <w:hideMark/>
          </w:tcPr>
          <w:p w14:paraId="0F4F591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141</w:t>
            </w:r>
          </w:p>
        </w:tc>
        <w:tc>
          <w:tcPr>
            <w:tcW w:w="1926" w:type="pct"/>
            <w:vAlign w:val="center"/>
            <w:hideMark/>
          </w:tcPr>
          <w:p w14:paraId="721AB6CD" w14:textId="77447309" w:rsidR="001938D9" w:rsidRPr="001938D9" w:rsidRDefault="001938D9" w:rsidP="001A4A5A">
            <w:pPr>
              <w:spacing w:before="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Agriculture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5E3CDB0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F568C1E" w14:textId="77777777" w:rsidR="001938D9" w:rsidRPr="001938D9" w:rsidRDefault="001938D9" w:rsidP="001A4A5A">
            <w:pPr>
              <w:spacing w:before="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 xml:space="preserve"> </w:t>
            </w:r>
          </w:p>
        </w:tc>
      </w:tr>
      <w:tr w:rsidR="001938D9" w:rsidRPr="001938D9" w14:paraId="7C1BDDFA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626F6689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1004</w:t>
            </w:r>
          </w:p>
        </w:tc>
        <w:tc>
          <w:tcPr>
            <w:tcW w:w="1926" w:type="pct"/>
            <w:vAlign w:val="center"/>
            <w:hideMark/>
          </w:tcPr>
          <w:p w14:paraId="66BD88DB" w14:textId="3C4ECCF2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Contributions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103839C4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580CBF83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4E0177B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541FB46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1023</w:t>
            </w:r>
          </w:p>
        </w:tc>
        <w:tc>
          <w:tcPr>
            <w:tcW w:w="1926" w:type="pct"/>
            <w:vAlign w:val="center"/>
            <w:hideMark/>
          </w:tcPr>
          <w:p w14:paraId="5F58EBE5" w14:textId="0CF62453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General Insurance Contracts</w:t>
            </w:r>
            <w:r w:rsidR="00071EBE" w:rsidRPr="00071EBE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t>1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15EA28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68E1C4A" w14:textId="0C7EE00E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8B61CD3" w14:textId="77777777" w:rsidTr="001A4A5A">
        <w:trPr>
          <w:trHeight w:val="368"/>
        </w:trPr>
        <w:tc>
          <w:tcPr>
            <w:tcW w:w="335" w:type="pct"/>
            <w:noWrap/>
            <w:vAlign w:val="center"/>
            <w:hideMark/>
          </w:tcPr>
          <w:p w14:paraId="43F17FE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1038</w:t>
            </w:r>
          </w:p>
        </w:tc>
        <w:tc>
          <w:tcPr>
            <w:tcW w:w="1926" w:type="pct"/>
            <w:vAlign w:val="center"/>
            <w:hideMark/>
          </w:tcPr>
          <w:p w14:paraId="22C5BAC9" w14:textId="59DC300F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Life Insurance Contracts</w:t>
            </w:r>
            <w:r w:rsidR="00071EBE" w:rsidRPr="00071EBE"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  <w:t>1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69B6506" w14:textId="247AB538" w:rsidR="001938D9" w:rsidRPr="001938D9" w:rsidRDefault="000361DE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27F4CE7" w14:textId="1286F43F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4CA065AC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0D7C9B81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1039</w:t>
            </w:r>
          </w:p>
        </w:tc>
        <w:tc>
          <w:tcPr>
            <w:tcW w:w="1926" w:type="pct"/>
            <w:vAlign w:val="center"/>
            <w:hideMark/>
          </w:tcPr>
          <w:p w14:paraId="006656F8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Concise Financial Reports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712316EC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6A3349BA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4139CB30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4069500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1048</w:t>
            </w:r>
          </w:p>
        </w:tc>
        <w:tc>
          <w:tcPr>
            <w:tcW w:w="1926" w:type="pct"/>
            <w:vAlign w:val="center"/>
            <w:hideMark/>
          </w:tcPr>
          <w:p w14:paraId="2330D106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Interpretation of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2CFA5E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131C56C7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400CBE1F" w14:textId="77777777" w:rsidTr="00897E66">
        <w:trPr>
          <w:trHeight w:val="600"/>
        </w:trPr>
        <w:tc>
          <w:tcPr>
            <w:tcW w:w="335" w:type="pct"/>
            <w:noWrap/>
            <w:vAlign w:val="center"/>
            <w:hideMark/>
          </w:tcPr>
          <w:p w14:paraId="6134C16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1049</w:t>
            </w:r>
          </w:p>
        </w:tc>
        <w:tc>
          <w:tcPr>
            <w:tcW w:w="1926" w:type="pct"/>
            <w:vAlign w:val="center"/>
            <w:hideMark/>
          </w:tcPr>
          <w:p w14:paraId="3FEDA6BA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Whole of Government and General Government Sector Financial Reporting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1B21FA86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0194AF11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39AD024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43E685C7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1050</w:t>
            </w:r>
          </w:p>
        </w:tc>
        <w:tc>
          <w:tcPr>
            <w:tcW w:w="1926" w:type="pct"/>
            <w:vAlign w:val="center"/>
            <w:hideMark/>
          </w:tcPr>
          <w:p w14:paraId="7DA6F26A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Administered Items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08AEC585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t>NR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33DC4048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7A70A05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052FC195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1051</w:t>
            </w:r>
          </w:p>
        </w:tc>
        <w:tc>
          <w:tcPr>
            <w:tcW w:w="1926" w:type="pct"/>
            <w:vAlign w:val="center"/>
            <w:hideMark/>
          </w:tcPr>
          <w:p w14:paraId="14223611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Land Under Roads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F80E1D8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E651A1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22A33EB0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3E3852F5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1052</w:t>
            </w:r>
          </w:p>
        </w:tc>
        <w:tc>
          <w:tcPr>
            <w:tcW w:w="1926" w:type="pct"/>
            <w:vAlign w:val="center"/>
            <w:hideMark/>
          </w:tcPr>
          <w:p w14:paraId="11D3657C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Disaggregated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75E90FC6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090F14F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E94A5B" w14:textId="77777777" w:rsidTr="00897E66">
        <w:trPr>
          <w:trHeight w:val="70"/>
        </w:trPr>
        <w:tc>
          <w:tcPr>
            <w:tcW w:w="335" w:type="pct"/>
            <w:noWrap/>
            <w:vAlign w:val="center"/>
          </w:tcPr>
          <w:p w14:paraId="6BA8B74F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1053</w:t>
            </w:r>
          </w:p>
        </w:tc>
        <w:tc>
          <w:tcPr>
            <w:tcW w:w="1926" w:type="pct"/>
            <w:vAlign w:val="center"/>
          </w:tcPr>
          <w:p w14:paraId="428D3594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Application of Tiers of Australian Accounting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</w:tcPr>
          <w:p w14:paraId="3E4D4D8D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</w:tcPr>
          <w:p w14:paraId="36A4EB7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50D22C73" w14:textId="77777777" w:rsidTr="00897E66">
        <w:trPr>
          <w:trHeight w:val="70"/>
        </w:trPr>
        <w:tc>
          <w:tcPr>
            <w:tcW w:w="335" w:type="pct"/>
            <w:noWrap/>
            <w:vAlign w:val="center"/>
            <w:hideMark/>
          </w:tcPr>
          <w:p w14:paraId="63D66C02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1054</w:t>
            </w:r>
          </w:p>
        </w:tc>
        <w:tc>
          <w:tcPr>
            <w:tcW w:w="1926" w:type="pct"/>
            <w:vAlign w:val="center"/>
            <w:hideMark/>
          </w:tcPr>
          <w:p w14:paraId="33FA78BF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Australian Additional Disclosures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2AF7001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60CA6D5B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07FCDC5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2A00234D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lastRenderedPageBreak/>
              <w:t>1055</w:t>
            </w:r>
          </w:p>
        </w:tc>
        <w:tc>
          <w:tcPr>
            <w:tcW w:w="1926" w:type="pct"/>
            <w:vAlign w:val="center"/>
            <w:hideMark/>
          </w:tcPr>
          <w:p w14:paraId="62570D8C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Budgetary Reporting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40AFA620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2D84F38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6F873F05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2205FA33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1056</w:t>
            </w:r>
          </w:p>
        </w:tc>
        <w:tc>
          <w:tcPr>
            <w:tcW w:w="1926" w:type="pct"/>
            <w:vAlign w:val="center"/>
            <w:hideMark/>
          </w:tcPr>
          <w:p w14:paraId="5A5C4520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Superannuation Entities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20D4CB39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1E850115" w14:textId="77777777" w:rsidR="001938D9" w:rsidRPr="001938D9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Calibri" w:eastAsia="Times New Roman" w:hAnsi="Calibri" w:cs="Times New Roman"/>
                <w:color w:val="000000"/>
                <w:spacing w:val="2"/>
                <w:lang w:eastAsia="en-AU"/>
              </w:rPr>
              <w:sym w:font="Wingdings 2" w:char="F04F"/>
            </w:r>
          </w:p>
        </w:tc>
      </w:tr>
      <w:tr w:rsidR="001938D9" w:rsidRPr="001938D9" w14:paraId="35744A12" w14:textId="77777777" w:rsidTr="00897E66">
        <w:trPr>
          <w:trHeight w:val="300"/>
        </w:trPr>
        <w:tc>
          <w:tcPr>
            <w:tcW w:w="335" w:type="pct"/>
            <w:noWrap/>
            <w:vAlign w:val="center"/>
            <w:hideMark/>
          </w:tcPr>
          <w:p w14:paraId="32898C1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1057</w:t>
            </w:r>
          </w:p>
        </w:tc>
        <w:tc>
          <w:tcPr>
            <w:tcW w:w="1926" w:type="pct"/>
            <w:vAlign w:val="center"/>
            <w:hideMark/>
          </w:tcPr>
          <w:p w14:paraId="61D03023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Application of Australian Accounting Standards</w:t>
            </w:r>
          </w:p>
        </w:tc>
        <w:tc>
          <w:tcPr>
            <w:tcW w:w="1209" w:type="pct"/>
            <w:shd w:val="clear" w:color="auto" w:fill="A6A6A6"/>
            <w:noWrap/>
            <w:vAlign w:val="center"/>
            <w:hideMark/>
          </w:tcPr>
          <w:p w14:paraId="0AD38A22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noWrap/>
            <w:vAlign w:val="center"/>
            <w:hideMark/>
          </w:tcPr>
          <w:p w14:paraId="7066DE8A" w14:textId="77777777" w:rsidR="001938D9" w:rsidRPr="001938D9" w:rsidRDefault="001938D9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</w:pPr>
            <w:r w:rsidRPr="001938D9">
              <w:rPr>
                <w:rFonts w:ascii="Wingdings 2" w:eastAsia="Times New Roman" w:hAnsi="Wingdings 2" w:cs="Times New Roman"/>
                <w:color w:val="000000"/>
                <w:spacing w:val="2"/>
                <w:lang w:eastAsia="en-AU"/>
              </w:rPr>
              <w:t></w:t>
            </w:r>
          </w:p>
        </w:tc>
      </w:tr>
      <w:tr w:rsidR="001938D9" w:rsidRPr="001938D9" w14:paraId="3EF9112E" w14:textId="77777777" w:rsidTr="00897E66">
        <w:trPr>
          <w:trHeight w:val="234"/>
        </w:trPr>
        <w:tc>
          <w:tcPr>
            <w:tcW w:w="335" w:type="pct"/>
            <w:noWrap/>
            <w:vAlign w:val="center"/>
            <w:hideMark/>
          </w:tcPr>
          <w:p w14:paraId="494A6AC8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  <w:lang w:eastAsia="en-AU"/>
              </w:rPr>
              <w:t>1058</w:t>
            </w:r>
          </w:p>
        </w:tc>
        <w:tc>
          <w:tcPr>
            <w:tcW w:w="1926" w:type="pct"/>
            <w:vAlign w:val="center"/>
            <w:hideMark/>
          </w:tcPr>
          <w:p w14:paraId="46EF571E" w14:textId="77777777" w:rsidR="001938D9" w:rsidRPr="001938D9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9B1925">
              <w:rPr>
                <w:rFonts w:eastAsia="Times New Roman" w:cs="Arial"/>
                <w:color w:val="000000"/>
                <w:spacing w:val="2"/>
                <w:lang w:eastAsia="en-AU"/>
              </w:rPr>
              <w:t>Income of Not-for-Profit Entities</w:t>
            </w:r>
          </w:p>
        </w:tc>
        <w:tc>
          <w:tcPr>
            <w:tcW w:w="1209" w:type="pct"/>
            <w:shd w:val="clear" w:color="auto" w:fill="A6A6A6"/>
            <w:vAlign w:val="center"/>
            <w:hideMark/>
          </w:tcPr>
          <w:p w14:paraId="66EDF948" w14:textId="77777777" w:rsidR="001938D9" w:rsidRPr="003427DB" w:rsidRDefault="001938D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spacing w:val="2"/>
                <w:lang w:eastAsia="en-AU"/>
              </w:rPr>
            </w:pPr>
            <w:r w:rsidRPr="003427DB">
              <w:rPr>
                <w:rFonts w:ascii="Calibri" w:eastAsia="Times New Roman" w:hAnsi="Calibri" w:cs="Times New Roman"/>
                <w:spacing w:val="2"/>
                <w:lang w:eastAsia="en-AU"/>
              </w:rPr>
              <w:sym w:font="Wingdings 2" w:char="F04F"/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14:paraId="528121C3" w14:textId="14E36A01" w:rsidR="001938D9" w:rsidRPr="003427DB" w:rsidRDefault="00897E66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1938D9" w:rsidRPr="001938D9" w14:paraId="7DFAE51B" w14:textId="77777777" w:rsidTr="00897E66">
        <w:trPr>
          <w:trHeight w:val="234"/>
        </w:trPr>
        <w:tc>
          <w:tcPr>
            <w:tcW w:w="335" w:type="pct"/>
            <w:noWrap/>
            <w:vAlign w:val="center"/>
          </w:tcPr>
          <w:p w14:paraId="7414D54B" w14:textId="77777777" w:rsidR="001938D9" w:rsidRPr="001938D9" w:rsidRDefault="001938D9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</w:rPr>
              <w:t>1059</w:t>
            </w:r>
          </w:p>
        </w:tc>
        <w:tc>
          <w:tcPr>
            <w:tcW w:w="1926" w:type="pct"/>
            <w:vAlign w:val="center"/>
          </w:tcPr>
          <w:p w14:paraId="5E47984E" w14:textId="42215AA0" w:rsidR="001938D9" w:rsidRPr="003427DB" w:rsidRDefault="001938D9" w:rsidP="001938D9">
            <w:pPr>
              <w:spacing w:before="20" w:after="20"/>
              <w:rPr>
                <w:rFonts w:eastAsia="Times New Roman" w:cs="Arial"/>
                <w:color w:val="000000"/>
                <w:spacing w:val="2"/>
                <w:vertAlign w:val="superscript"/>
                <w:lang w:eastAsia="en-AU"/>
              </w:rPr>
            </w:pPr>
            <w:r w:rsidRPr="001938D9">
              <w:rPr>
                <w:rFonts w:eastAsia="Times New Roman" w:cs="Arial"/>
                <w:color w:val="000000"/>
                <w:spacing w:val="2"/>
              </w:rPr>
              <w:t>Service Concession Arrangements: Grantors</w:t>
            </w:r>
          </w:p>
        </w:tc>
        <w:tc>
          <w:tcPr>
            <w:tcW w:w="1209" w:type="pct"/>
            <w:shd w:val="clear" w:color="auto" w:fill="A6A6A6"/>
            <w:vAlign w:val="center"/>
          </w:tcPr>
          <w:p w14:paraId="7BAABE20" w14:textId="0263AA3A" w:rsidR="001938D9" w:rsidRPr="003427DB" w:rsidRDefault="009D2B09" w:rsidP="001938D9">
            <w:pPr>
              <w:spacing w:before="20" w:after="20"/>
              <w:jc w:val="center"/>
              <w:rPr>
                <w:rFonts w:ascii="Calibri" w:eastAsia="Times New Roman" w:hAnsi="Calibri" w:cs="Times New Roman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604CD100" w14:textId="1240A902" w:rsidR="001938D9" w:rsidRPr="003427DB" w:rsidRDefault="00897E66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eastAsia="Times New Roman" w:cs="Arial"/>
                <w:spacing w:val="2"/>
                <w:lang w:eastAsia="en-AU"/>
              </w:rPr>
              <w:t xml:space="preserve"> </w:t>
            </w: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</w:tr>
      <w:tr w:rsidR="00802B94" w:rsidRPr="001938D9" w14:paraId="30A8DCAE" w14:textId="77777777" w:rsidTr="00897E66">
        <w:trPr>
          <w:trHeight w:val="234"/>
        </w:trPr>
        <w:tc>
          <w:tcPr>
            <w:tcW w:w="335" w:type="pct"/>
            <w:noWrap/>
            <w:vAlign w:val="center"/>
          </w:tcPr>
          <w:p w14:paraId="72F222FE" w14:textId="0926233C" w:rsidR="00802B94" w:rsidRPr="001938D9" w:rsidRDefault="00802B94" w:rsidP="001938D9">
            <w:pPr>
              <w:spacing w:before="20" w:after="20"/>
              <w:jc w:val="center"/>
              <w:rPr>
                <w:rFonts w:eastAsia="Times New Roman" w:cs="Arial"/>
                <w:color w:val="000000"/>
                <w:spacing w:val="2"/>
              </w:rPr>
            </w:pPr>
            <w:r>
              <w:rPr>
                <w:rFonts w:eastAsia="Times New Roman" w:cs="Arial"/>
                <w:color w:val="000000"/>
                <w:spacing w:val="2"/>
              </w:rPr>
              <w:t>1060</w:t>
            </w:r>
          </w:p>
        </w:tc>
        <w:tc>
          <w:tcPr>
            <w:tcW w:w="1926" w:type="pct"/>
            <w:vAlign w:val="center"/>
          </w:tcPr>
          <w:p w14:paraId="4E35715E" w14:textId="0A20329D" w:rsidR="00802B94" w:rsidRPr="001938D9" w:rsidRDefault="00802B94" w:rsidP="00D31585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pacing w:val="2"/>
              </w:rPr>
            </w:pPr>
            <w:r>
              <w:rPr>
                <w:rFonts w:ascii="ArialMT" w:hAnsi="ArialMT" w:cs="ArialMT"/>
                <w:sz w:val="17"/>
                <w:szCs w:val="17"/>
              </w:rPr>
              <w:t>General Purpose Financial Statements – Simplified Disclosures for For-Profit</w:t>
            </w:r>
            <w:r w:rsidR="00D31585">
              <w:rPr>
                <w:rFonts w:ascii="ArialMT" w:hAnsi="ArialMT" w:cs="ArialMT"/>
                <w:sz w:val="17"/>
                <w:szCs w:val="17"/>
              </w:rPr>
              <w:t xml:space="preserve"> </w:t>
            </w:r>
            <w:r>
              <w:rPr>
                <w:rFonts w:ascii="ArialMT" w:hAnsi="ArialMT" w:cs="ArialMT"/>
                <w:sz w:val="17"/>
                <w:szCs w:val="17"/>
              </w:rPr>
              <w:t>and Not-for-Profit Tier 2 Entities</w:t>
            </w:r>
            <w:r w:rsidR="00D31585">
              <w:rPr>
                <w:rStyle w:val="EndnoteReference"/>
                <w:rFonts w:ascii="ArialMT" w:hAnsi="ArialMT" w:cs="ArialMT"/>
                <w:sz w:val="17"/>
                <w:szCs w:val="17"/>
              </w:rPr>
              <w:endnoteReference w:id="2"/>
            </w:r>
          </w:p>
        </w:tc>
        <w:tc>
          <w:tcPr>
            <w:tcW w:w="1209" w:type="pct"/>
            <w:shd w:val="clear" w:color="auto" w:fill="A6A6A6"/>
            <w:vAlign w:val="center"/>
          </w:tcPr>
          <w:p w14:paraId="734B102B" w14:textId="78C69D72" w:rsidR="00802B94" w:rsidRPr="003427DB" w:rsidRDefault="00802B94" w:rsidP="001938D9">
            <w:pPr>
              <w:spacing w:before="20" w:after="20"/>
              <w:jc w:val="center"/>
              <w:rPr>
                <w:rFonts w:ascii="Wingdings 2" w:eastAsia="Times New Roman" w:hAnsi="Wingdings 2" w:cs="Times New Roman"/>
                <w:spacing w:val="2"/>
                <w:lang w:eastAsia="en-AU"/>
              </w:rPr>
            </w:pPr>
            <w:r w:rsidRPr="003427DB">
              <w:rPr>
                <w:rFonts w:ascii="Wingdings 2" w:eastAsia="Times New Roman" w:hAnsi="Wingdings 2" w:cs="Times New Roman"/>
                <w:spacing w:val="2"/>
                <w:lang w:eastAsia="en-AU"/>
              </w:rPr>
              <w:t></w:t>
            </w:r>
          </w:p>
        </w:tc>
        <w:tc>
          <w:tcPr>
            <w:tcW w:w="1530" w:type="pct"/>
            <w:shd w:val="clear" w:color="auto" w:fill="D9D9D9"/>
            <w:vAlign w:val="center"/>
          </w:tcPr>
          <w:p w14:paraId="21B8267A" w14:textId="49590591" w:rsidR="00802B94" w:rsidRPr="003427DB" w:rsidRDefault="00802B94" w:rsidP="001938D9">
            <w:pPr>
              <w:spacing w:before="20" w:after="20"/>
              <w:jc w:val="center"/>
              <w:rPr>
                <w:rFonts w:eastAsia="Times New Roman" w:cs="Arial"/>
                <w:spacing w:val="2"/>
                <w:lang w:eastAsia="en-AU"/>
              </w:rPr>
            </w:pPr>
            <w:r w:rsidRPr="003427DB">
              <w:rPr>
                <w:rFonts w:ascii="Calibri" w:eastAsia="Times New Roman" w:hAnsi="Calibri" w:cs="Times New Roman"/>
                <w:spacing w:val="2"/>
                <w:lang w:eastAsia="en-AU"/>
              </w:rPr>
              <w:sym w:font="Wingdings 2" w:char="F04F"/>
            </w:r>
          </w:p>
        </w:tc>
      </w:tr>
    </w:tbl>
    <w:p w14:paraId="790F82A8" w14:textId="11F58675" w:rsidR="00376AC0" w:rsidRPr="001938D9" w:rsidRDefault="00376AC0" w:rsidP="00B82A39">
      <w:pPr>
        <w:keepLines/>
        <w:spacing w:before="120" w:after="0" w:line="240" w:lineRule="auto"/>
      </w:pPr>
    </w:p>
    <w:sectPr w:rsidR="00376AC0" w:rsidRPr="001938D9">
      <w:headerReference w:type="default" r:id="rId8"/>
      <w:foot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9C7D" w14:textId="77777777" w:rsidR="003435BA" w:rsidRDefault="003435BA" w:rsidP="001938D9">
      <w:pPr>
        <w:spacing w:after="0" w:line="240" w:lineRule="auto"/>
      </w:pPr>
      <w:r>
        <w:separator/>
      </w:r>
    </w:p>
  </w:endnote>
  <w:endnote w:type="continuationSeparator" w:id="0">
    <w:p w14:paraId="12A6C4B0" w14:textId="77777777" w:rsidR="003435BA" w:rsidRDefault="003435BA" w:rsidP="001938D9">
      <w:pPr>
        <w:spacing w:after="0" w:line="240" w:lineRule="auto"/>
      </w:pPr>
      <w:r>
        <w:continuationSeparator/>
      </w:r>
    </w:p>
  </w:endnote>
  <w:endnote w:id="1">
    <w:p w14:paraId="225BCC15" w14:textId="77777777" w:rsidR="00071EBE" w:rsidRDefault="00071EBE" w:rsidP="00071EB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938D9">
        <w:rPr>
          <w:sz w:val="16"/>
          <w:szCs w:val="16"/>
        </w:rPr>
        <w:t xml:space="preserve"> </w:t>
      </w:r>
      <w:r w:rsidRPr="001778BA">
        <w:rPr>
          <w:sz w:val="16"/>
          <w:szCs w:val="16"/>
        </w:rPr>
        <w:t xml:space="preserve">AASB 4 </w:t>
      </w:r>
      <w:r w:rsidRPr="001778BA">
        <w:rPr>
          <w:i/>
          <w:iCs/>
          <w:sz w:val="16"/>
          <w:szCs w:val="16"/>
        </w:rPr>
        <w:t>Insurance Contracts</w:t>
      </w:r>
      <w:r w:rsidRPr="001778BA">
        <w:rPr>
          <w:sz w:val="16"/>
          <w:szCs w:val="16"/>
        </w:rPr>
        <w:t xml:space="preserve">, AASB 1023 </w:t>
      </w:r>
      <w:r w:rsidRPr="001778BA">
        <w:rPr>
          <w:i/>
          <w:iCs/>
          <w:sz w:val="16"/>
          <w:szCs w:val="16"/>
        </w:rPr>
        <w:t>General Insurance Contracts</w:t>
      </w:r>
      <w:r w:rsidRPr="001778BA">
        <w:rPr>
          <w:sz w:val="16"/>
          <w:szCs w:val="16"/>
        </w:rPr>
        <w:t xml:space="preserve"> and AASB 1038 </w:t>
      </w:r>
      <w:r w:rsidRPr="001778BA">
        <w:rPr>
          <w:i/>
          <w:iCs/>
          <w:sz w:val="16"/>
          <w:szCs w:val="16"/>
        </w:rPr>
        <w:t>Life Insurance Contracts</w:t>
      </w:r>
      <w:r w:rsidRPr="001778BA">
        <w:rPr>
          <w:sz w:val="16"/>
          <w:szCs w:val="16"/>
        </w:rPr>
        <w:t xml:space="preserve"> will</w:t>
      </w:r>
      <w:r>
        <w:rPr>
          <w:sz w:val="16"/>
          <w:szCs w:val="16"/>
        </w:rPr>
        <w:t xml:space="preserve"> </w:t>
      </w:r>
      <w:r w:rsidRPr="001778BA">
        <w:rPr>
          <w:sz w:val="16"/>
          <w:szCs w:val="16"/>
        </w:rPr>
        <w:t xml:space="preserve">continue to be applicable until AASB 17 </w:t>
      </w:r>
      <w:r w:rsidRPr="001778BA">
        <w:rPr>
          <w:i/>
          <w:iCs/>
          <w:sz w:val="16"/>
          <w:szCs w:val="16"/>
        </w:rPr>
        <w:t>Insurance Contracts</w:t>
      </w:r>
      <w:r w:rsidRPr="001778BA">
        <w:rPr>
          <w:sz w:val="16"/>
          <w:szCs w:val="16"/>
        </w:rPr>
        <w:t xml:space="preserve"> becomes effective for the public sector on or after 1 July</w:t>
      </w:r>
      <w:r>
        <w:rPr>
          <w:sz w:val="16"/>
          <w:szCs w:val="16"/>
        </w:rPr>
        <w:t xml:space="preserve"> </w:t>
      </w:r>
      <w:r w:rsidRPr="001778BA">
        <w:rPr>
          <w:sz w:val="16"/>
          <w:szCs w:val="16"/>
        </w:rPr>
        <w:t>2026</w:t>
      </w:r>
      <w:r w:rsidRPr="001938D9">
        <w:rPr>
          <w:sz w:val="16"/>
          <w:szCs w:val="16"/>
        </w:rPr>
        <w:t>.</w:t>
      </w:r>
    </w:p>
  </w:endnote>
  <w:endnote w:id="2">
    <w:p w14:paraId="01F23349" w14:textId="4B338937" w:rsidR="00D31585" w:rsidRDefault="00D31585" w:rsidP="00D31585">
      <w:pPr>
        <w:pStyle w:val="EndnoteText"/>
      </w:pPr>
      <w:r>
        <w:rPr>
          <w:rStyle w:val="EndnoteReference"/>
        </w:rPr>
        <w:endnoteRef/>
      </w:r>
      <w:r>
        <w:t xml:space="preserve"> W</w:t>
      </w:r>
      <w:r w:rsidRPr="00D31585">
        <w:rPr>
          <w:sz w:val="16"/>
          <w:szCs w:val="16"/>
        </w:rPr>
        <w:t>hile</w:t>
      </w:r>
      <w:r>
        <w:rPr>
          <w:sz w:val="16"/>
          <w:szCs w:val="16"/>
        </w:rPr>
        <w:t xml:space="preserve"> AASB 1060 </w:t>
      </w:r>
      <w:r w:rsidRPr="00D31585">
        <w:rPr>
          <w:i/>
          <w:iCs/>
          <w:sz w:val="16"/>
          <w:szCs w:val="16"/>
        </w:rPr>
        <w:t>General Purpose Financial Statements – Simplified Disclosures for For-Profit</w:t>
      </w:r>
      <w:r w:rsidRPr="00D31585">
        <w:rPr>
          <w:i/>
          <w:iCs/>
          <w:sz w:val="16"/>
          <w:szCs w:val="16"/>
        </w:rPr>
        <w:t xml:space="preserve"> </w:t>
      </w:r>
      <w:r w:rsidRPr="00D31585">
        <w:rPr>
          <w:i/>
          <w:iCs/>
          <w:sz w:val="16"/>
          <w:szCs w:val="16"/>
        </w:rPr>
        <w:t xml:space="preserve">and Not-for-Profit Tier 2 </w:t>
      </w:r>
      <w:r w:rsidRPr="00D31585">
        <w:rPr>
          <w:i/>
          <w:iCs/>
          <w:sz w:val="16"/>
          <w:szCs w:val="16"/>
        </w:rPr>
        <w:t>Entities</w:t>
      </w:r>
      <w:r>
        <w:rPr>
          <w:sz w:val="16"/>
          <w:szCs w:val="16"/>
        </w:rPr>
        <w:t xml:space="preserve"> </w:t>
      </w:r>
      <w:r w:rsidRPr="00D31585">
        <w:rPr>
          <w:sz w:val="16"/>
          <w:szCs w:val="16"/>
        </w:rPr>
        <w:t>available</w:t>
      </w:r>
      <w:r w:rsidRPr="00D31585">
        <w:rPr>
          <w:sz w:val="16"/>
          <w:szCs w:val="16"/>
        </w:rPr>
        <w:t xml:space="preserve"> to </w:t>
      </w:r>
      <w:r>
        <w:rPr>
          <w:sz w:val="16"/>
          <w:szCs w:val="16"/>
        </w:rPr>
        <w:t>for-profit entities,</w:t>
      </w:r>
      <w:r w:rsidRPr="00D31585">
        <w:rPr>
          <w:sz w:val="16"/>
          <w:szCs w:val="16"/>
        </w:rPr>
        <w:t xml:space="preserve"> DTF does not permit the adoption of this standard by any entity</w:t>
      </w:r>
      <w:r>
        <w:rPr>
          <w:sz w:val="16"/>
          <w:szCs w:val="16"/>
        </w:rPr>
        <w:t xml:space="preserve"> in Victorian public sector.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454F" w14:textId="257A7205" w:rsidR="009B1925" w:rsidRDefault="009B1925" w:rsidP="009B1925">
    <w:pPr>
      <w:rPr>
        <w:rFonts w:ascii="Arial" w:hAnsi="Arial" w:cs="Arial"/>
        <w:b/>
        <w:bCs/>
        <w:sz w:val="20"/>
        <w:szCs w:val="20"/>
      </w:rPr>
    </w:pPr>
  </w:p>
  <w:p w14:paraId="2933BBD8" w14:textId="77777777" w:rsidR="009B1925" w:rsidRPr="003427DB" w:rsidRDefault="009B1925" w:rsidP="009B1925">
    <w:pPr>
      <w:rPr>
        <w:rFonts w:ascii="Arial" w:hAnsi="Arial" w:cs="Arial"/>
        <w:b/>
        <w:bCs/>
        <w:color w:val="2F5496" w:themeColor="accent1" w:themeShade="BF"/>
        <w:sz w:val="20"/>
        <w:szCs w:val="20"/>
      </w:rPr>
    </w:pPr>
  </w:p>
  <w:p w14:paraId="4340B66A" w14:textId="25E1A7E7" w:rsidR="009B1925" w:rsidRPr="003427DB" w:rsidRDefault="009B1925" w:rsidP="003427DB">
    <w:pPr>
      <w:tabs>
        <w:tab w:val="left" w:pos="8287"/>
      </w:tabs>
      <w:rPr>
        <w:rFonts w:ascii="Arial" w:hAnsi="Arial" w:cs="Arial"/>
        <w:sz w:val="20"/>
        <w:szCs w:val="20"/>
      </w:rPr>
    </w:pPr>
    <w:r w:rsidRPr="003427DB">
      <w:rPr>
        <w:rFonts w:ascii="Arial" w:hAnsi="Arial" w:cs="Arial"/>
        <w:b/>
        <w:bCs/>
        <w:color w:val="2F5496" w:themeColor="accent1" w:themeShade="BF"/>
        <w:sz w:val="20"/>
        <w:szCs w:val="20"/>
      </w:rPr>
      <w:t>Guidance to Financial Reporting Direction 120</w:t>
    </w:r>
    <w:r w:rsidRPr="003427DB">
      <w:rPr>
        <w:rFonts w:ascii="Arial" w:hAnsi="Arial" w:cs="Arial"/>
        <w:b/>
        <w:bCs/>
        <w:sz w:val="20"/>
        <w:szCs w:val="20"/>
      </w:rPr>
      <w:tab/>
    </w:r>
    <w:r w:rsidRPr="003427DB">
      <w:rPr>
        <w:rFonts w:ascii="Arial" w:hAnsi="Arial" w:cs="Arial"/>
        <w:sz w:val="20"/>
        <w:szCs w:val="20"/>
      </w:rPr>
      <w:t xml:space="preserve">Page </w: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begin"/>
    </w:r>
    <w:r w:rsidRPr="003427DB">
      <w:rPr>
        <w:rStyle w:val="PageNumber"/>
        <w:rFonts w:ascii="Arial" w:hAnsi="Arial" w:cs="Arial"/>
        <w:color w:val="auto"/>
        <w:sz w:val="20"/>
        <w:szCs w:val="20"/>
      </w:rPr>
      <w:instrText xml:space="preserve"> Page </w:instrTex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separate"/>
    </w:r>
    <w:r w:rsidRPr="003427DB">
      <w:rPr>
        <w:rStyle w:val="PageNumber"/>
        <w:rFonts w:ascii="Arial" w:hAnsi="Arial" w:cs="Arial"/>
        <w:color w:val="auto"/>
        <w:sz w:val="20"/>
        <w:szCs w:val="20"/>
      </w:rPr>
      <w:t>1</w:t>
    </w:r>
    <w:r w:rsidRPr="003427DB">
      <w:rPr>
        <w:rStyle w:val="PageNumber"/>
        <w:rFonts w:ascii="Arial" w:hAnsi="Arial" w:cs="Arial"/>
        <w:color w:val="auto"/>
        <w:sz w:val="20"/>
        <w:szCs w:val="20"/>
      </w:rPr>
      <w:fldChar w:fldCharType="end"/>
    </w:r>
  </w:p>
  <w:p w14:paraId="468C2C44" w14:textId="77777777" w:rsidR="001938D9" w:rsidRDefault="001938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823891" wp14:editId="17C1021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554c4642a0db1137103737e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BFD30A" w14:textId="77777777" w:rsidR="001938D9" w:rsidRPr="001938D9" w:rsidRDefault="001938D9" w:rsidP="001938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938D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23891" id="_x0000_t202" coordsize="21600,21600" o:spt="202" path="m,l,21600r21600,l21600,xe">
              <v:stroke joinstyle="miter"/>
              <v:path gradientshapeok="t" o:connecttype="rect"/>
            </v:shapetype>
            <v:shape id="MSIPCM554c4642a0db1137103737e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8BFD30A" w14:textId="77777777" w:rsidR="001938D9" w:rsidRPr="001938D9" w:rsidRDefault="001938D9" w:rsidP="001938D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938D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B9D1" w14:textId="77777777" w:rsidR="003435BA" w:rsidRDefault="003435BA" w:rsidP="001938D9">
      <w:pPr>
        <w:spacing w:after="0" w:line="240" w:lineRule="auto"/>
      </w:pPr>
      <w:r>
        <w:separator/>
      </w:r>
    </w:p>
  </w:footnote>
  <w:footnote w:type="continuationSeparator" w:id="0">
    <w:p w14:paraId="65D1C77E" w14:textId="77777777" w:rsidR="003435BA" w:rsidRDefault="003435BA" w:rsidP="001938D9">
      <w:pPr>
        <w:spacing w:after="0" w:line="240" w:lineRule="auto"/>
      </w:pPr>
      <w:r>
        <w:continuationSeparator/>
      </w:r>
    </w:p>
  </w:footnote>
  <w:footnote w:id="1">
    <w:p w14:paraId="2D62DA17" w14:textId="4216A49A" w:rsidR="001938D9" w:rsidRPr="000E16B3" w:rsidRDefault="001938D9" w:rsidP="001938D9">
      <w:pPr>
        <w:pStyle w:val="FootnoteText"/>
        <w:spacing w:line="276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1DFA" w14:textId="77777777" w:rsidR="009B1925" w:rsidRPr="0041689E" w:rsidRDefault="009B1925" w:rsidP="009B192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6BFE2" wp14:editId="207C268F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DFED2D" wp14:editId="0A9ABE27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B1A60" w14:textId="77777777" w:rsidR="009B1925" w:rsidRDefault="009B1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D9"/>
    <w:rsid w:val="000361DE"/>
    <w:rsid w:val="00071EBE"/>
    <w:rsid w:val="00134C10"/>
    <w:rsid w:val="001778BA"/>
    <w:rsid w:val="001938D9"/>
    <w:rsid w:val="001A4A5A"/>
    <w:rsid w:val="0021357C"/>
    <w:rsid w:val="00336625"/>
    <w:rsid w:val="003427DB"/>
    <w:rsid w:val="003435BA"/>
    <w:rsid w:val="00376AC0"/>
    <w:rsid w:val="003A3CC5"/>
    <w:rsid w:val="003F20AA"/>
    <w:rsid w:val="0041083D"/>
    <w:rsid w:val="00540744"/>
    <w:rsid w:val="0057631D"/>
    <w:rsid w:val="006E01DA"/>
    <w:rsid w:val="007B08D5"/>
    <w:rsid w:val="00802B94"/>
    <w:rsid w:val="00897E0A"/>
    <w:rsid w:val="00897E66"/>
    <w:rsid w:val="00965FD5"/>
    <w:rsid w:val="009B1925"/>
    <w:rsid w:val="009D2B09"/>
    <w:rsid w:val="00A1103B"/>
    <w:rsid w:val="00AA7007"/>
    <w:rsid w:val="00AF44D9"/>
    <w:rsid w:val="00B4638F"/>
    <w:rsid w:val="00B8036B"/>
    <w:rsid w:val="00B82A39"/>
    <w:rsid w:val="00BF3C74"/>
    <w:rsid w:val="00C2534B"/>
    <w:rsid w:val="00D305C0"/>
    <w:rsid w:val="00D31585"/>
    <w:rsid w:val="00D35D67"/>
    <w:rsid w:val="00D924A5"/>
    <w:rsid w:val="00ED57BA"/>
    <w:rsid w:val="00F20FCE"/>
    <w:rsid w:val="00F4255C"/>
    <w:rsid w:val="00F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BDB5BD"/>
  <w15:chartTrackingRefBased/>
  <w15:docId w15:val="{83292722-A00D-4071-A9C5-0FA0FBF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9B1925"/>
    <w:pPr>
      <w:keepNext/>
      <w:keepLines/>
      <w:spacing w:before="60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1938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38D9"/>
    <w:rPr>
      <w:sz w:val="20"/>
      <w:szCs w:val="20"/>
    </w:rPr>
  </w:style>
  <w:style w:type="table" w:customStyle="1" w:styleId="Modeltable">
    <w:name w:val="Model table"/>
    <w:basedOn w:val="TableNormal"/>
    <w:uiPriority w:val="99"/>
    <w:rsid w:val="001938D9"/>
    <w:pPr>
      <w:spacing w:before="40"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bottom w:val="single" w:sz="12" w:space="0" w:color="000000"/>
      </w:tblBorders>
      <w:tblCellMar>
        <w:left w:w="43" w:type="dxa"/>
        <w:right w:w="43" w:type="dxa"/>
      </w:tblCellMar>
    </w:tblPr>
    <w:tblStylePr w:type="firstRow">
      <w:rPr>
        <w:rFonts w:ascii="Arial" w:hAnsi="Arial"/>
        <w:color w:val="FFFFFF"/>
        <w:sz w:val="18"/>
      </w:rPr>
      <w:tblPr/>
      <w:tcPr>
        <w:shd w:val="clear" w:color="auto" w:fill="000000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</w:style>
  <w:style w:type="table" w:customStyle="1" w:styleId="CVtable2">
    <w:name w:val="CV table2"/>
    <w:basedOn w:val="TableNormal"/>
    <w:next w:val="TableGrid"/>
    <w:uiPriority w:val="59"/>
    <w:rsid w:val="001938D9"/>
    <w:pPr>
      <w:spacing w:before="120" w:after="0" w:line="240" w:lineRule="atLeast"/>
    </w:pPr>
    <w:rPr>
      <w:rFonts w:ascii="Calibri" w:eastAsia="Times New Roman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938D9"/>
    <w:pPr>
      <w:keepLines/>
      <w:spacing w:before="120" w:after="0" w:line="240" w:lineRule="auto"/>
    </w:pPr>
    <w:rPr>
      <w:spacing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D9"/>
    <w:rPr>
      <w:spacing w:val="2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938D9"/>
    <w:rPr>
      <w:sz w:val="16"/>
      <w:szCs w:val="16"/>
    </w:rPr>
  </w:style>
  <w:style w:type="table" w:styleId="TableGrid">
    <w:name w:val="Table Grid"/>
    <w:basedOn w:val="TableNormal"/>
    <w:uiPriority w:val="39"/>
    <w:rsid w:val="001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nhideWhenUsed/>
    <w:rsid w:val="001938D9"/>
    <w:rPr>
      <w:vertAlign w:val="superscript"/>
    </w:rPr>
  </w:style>
  <w:style w:type="paragraph" w:customStyle="1" w:styleId="AppendixHeading">
    <w:name w:val="Appendix Heading"/>
    <w:basedOn w:val="Normal"/>
    <w:qFormat/>
    <w:rsid w:val="001938D9"/>
    <w:pPr>
      <w:keepNext/>
      <w:keepLines/>
      <w:pBdr>
        <w:bottom w:val="single" w:sz="12" w:space="1" w:color="auto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aps/>
      <w:spacing w:val="-2"/>
      <w:sz w:val="28"/>
      <w:szCs w:val="28"/>
    </w:rPr>
  </w:style>
  <w:style w:type="table" w:customStyle="1" w:styleId="Modeltable1">
    <w:name w:val="Model table1"/>
    <w:basedOn w:val="TableNormal"/>
    <w:uiPriority w:val="99"/>
    <w:rsid w:val="001938D9"/>
    <w:pPr>
      <w:spacing w:before="40" w:after="0" w:line="240" w:lineRule="auto"/>
    </w:pPr>
    <w:rPr>
      <w:rFonts w:ascii="Arial" w:hAnsi="Arial"/>
      <w:sz w:val="16"/>
    </w:rPr>
    <w:tblPr>
      <w:tblStyleRowBandSize w:val="1"/>
      <w:tblStyleColBandSize w:val="1"/>
      <w:tblBorders>
        <w:bottom w:val="single" w:sz="12" w:space="0" w:color="000000"/>
      </w:tblBorders>
      <w:tblCellMar>
        <w:left w:w="43" w:type="dxa"/>
        <w:right w:w="43" w:type="dxa"/>
      </w:tblCellMar>
    </w:tblPr>
    <w:tblStylePr w:type="firstRow">
      <w:rPr>
        <w:rFonts w:ascii="Arial" w:hAnsi="Arial"/>
        <w:color w:val="FFFFFF"/>
        <w:sz w:val="18"/>
      </w:rPr>
      <w:tblPr/>
      <w:tcPr>
        <w:shd w:val="clear" w:color="auto" w:fill="000000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</w:style>
  <w:style w:type="table" w:customStyle="1" w:styleId="CVtable21">
    <w:name w:val="CV table21"/>
    <w:basedOn w:val="TableNormal"/>
    <w:next w:val="TableGrid"/>
    <w:uiPriority w:val="59"/>
    <w:rsid w:val="001938D9"/>
    <w:pPr>
      <w:spacing w:before="120" w:after="0" w:line="240" w:lineRule="atLeast"/>
    </w:pPr>
    <w:rPr>
      <w:rFonts w:ascii="Calibri" w:eastAsia="Times New Roman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D9"/>
  </w:style>
  <w:style w:type="paragraph" w:styleId="Footer">
    <w:name w:val="footer"/>
    <w:basedOn w:val="Normal"/>
    <w:link w:val="FooterChar"/>
    <w:uiPriority w:val="99"/>
    <w:unhideWhenUsed/>
    <w:rsid w:val="00193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D9"/>
  </w:style>
  <w:style w:type="character" w:customStyle="1" w:styleId="Heading1Char">
    <w:name w:val="Heading 1 Char"/>
    <w:basedOn w:val="DefaultParagraphFont"/>
    <w:link w:val="Heading1"/>
    <w:rsid w:val="009B1925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  <w:lang w:eastAsia="en-AU"/>
    </w:rPr>
  </w:style>
  <w:style w:type="character" w:styleId="PageNumber">
    <w:name w:val="page number"/>
    <w:uiPriority w:val="49"/>
    <w:semiHidden/>
    <w:rsid w:val="009B1925"/>
    <w:rPr>
      <w:b w:val="0"/>
      <w:color w:val="000000" w:themeColor="text1"/>
    </w:rPr>
  </w:style>
  <w:style w:type="paragraph" w:styleId="Revision">
    <w:name w:val="Revision"/>
    <w:hidden/>
    <w:uiPriority w:val="99"/>
    <w:semiHidden/>
    <w:rsid w:val="003427D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71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B19E-2438-4C91-AE93-B145F89499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3CE1C9-5FDE-4E1B-A276-026BE17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Pham (DTF)</dc:creator>
  <cp:keywords/>
  <dc:description/>
  <cp:lastModifiedBy>Aloka Seneviratne (DTF)</cp:lastModifiedBy>
  <cp:revision>4</cp:revision>
  <dcterms:created xsi:type="dcterms:W3CDTF">2023-04-12T04:08:00Z</dcterms:created>
  <dcterms:modified xsi:type="dcterms:W3CDTF">2023-04-12T05:36:00Z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2023-04-12T05:36:42Z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f7c131c3-d4da-422e-90d1-ce3dcf72e44c</vt:lpwstr>
  </property>
  <property fmtid="{D5CDD505-2E9C-101B-9397-08002B2CF9AE}" pid="8" name="MSIP_Label_7158ebbd-6c5e-441f-bfc9-4eb8c11e3978_ContentBits">
    <vt:lpwstr>2</vt:lpwstr>
  </property>
</Properties>
</file>