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C158" w14:textId="65A7B743" w:rsidR="00045296" w:rsidRPr="00691C09" w:rsidRDefault="00374170" w:rsidP="00691C09">
      <w:pPr>
        <w:pStyle w:val="Title"/>
      </w:pPr>
      <w:bookmarkStart w:id="0" w:name="_Toc442780672"/>
      <w:r>
        <w:t xml:space="preserve">Compliance with Financial Reporting Direction (FRD) </w:t>
      </w:r>
      <w:r w:rsidR="00FC130D">
        <w:t>22</w:t>
      </w:r>
    </w:p>
    <w:p w14:paraId="14AD39D8" w14:textId="77777777" w:rsidR="00045296" w:rsidRDefault="00374170" w:rsidP="00200BB3">
      <w:pPr>
        <w:pStyle w:val="Heading1"/>
      </w:pPr>
      <w:r>
        <w:t xml:space="preserve">Additional information available on request </w:t>
      </w:r>
    </w:p>
    <w:p w14:paraId="5490C405" w14:textId="25C90BC5" w:rsidR="00374170" w:rsidRPr="00374170" w:rsidRDefault="00374170" w:rsidP="00374170">
      <w:pPr>
        <w:pStyle w:val="Heading3"/>
        <w:rPr>
          <w:rFonts w:asciiTheme="minorHAnsi" w:eastAsiaTheme="minorEastAsia" w:hAnsiTheme="minorHAnsi" w:cstheme="minorBidi"/>
          <w:b w:val="0"/>
          <w:bCs w:val="0"/>
          <w:color w:val="auto"/>
          <w:sz w:val="20"/>
          <w:szCs w:val="20"/>
        </w:rPr>
      </w:pPr>
      <w:bookmarkStart w:id="1" w:name="_Toc442780675"/>
      <w:r w:rsidRPr="00374170">
        <w:rPr>
          <w:rFonts w:asciiTheme="minorHAnsi" w:eastAsiaTheme="minorEastAsia" w:hAnsiTheme="minorHAnsi" w:cstheme="minorBidi"/>
          <w:b w:val="0"/>
          <w:bCs w:val="0"/>
          <w:color w:val="auto"/>
          <w:sz w:val="20"/>
          <w:szCs w:val="20"/>
        </w:rPr>
        <w:t xml:space="preserve">Financial Reporting Direction </w:t>
      </w:r>
      <w:r w:rsidR="00FC130D">
        <w:rPr>
          <w:rFonts w:asciiTheme="minorHAnsi" w:eastAsiaTheme="minorEastAsia" w:hAnsiTheme="minorHAnsi" w:cstheme="minorBidi"/>
          <w:b w:val="0"/>
          <w:bCs w:val="0"/>
          <w:color w:val="auto"/>
          <w:sz w:val="20"/>
          <w:szCs w:val="20"/>
        </w:rPr>
        <w:t>22</w:t>
      </w:r>
      <w:r w:rsidRPr="00374170">
        <w:rPr>
          <w:rFonts w:asciiTheme="minorHAnsi" w:eastAsiaTheme="minorEastAsia" w:hAnsiTheme="minorHAnsi" w:cstheme="minorBidi"/>
          <w:b w:val="0"/>
          <w:bCs w:val="0"/>
          <w:color w:val="auto"/>
          <w:sz w:val="20"/>
          <w:szCs w:val="20"/>
        </w:rPr>
        <w:t xml:space="preserve"> requires that additional information, as specified in the Direction, must be retained by the Accountable Officer and made available on request to the relevant Ministers, Members of Parliament and the public, subject to the provisions of the </w:t>
      </w:r>
      <w:r w:rsidRPr="00374170">
        <w:rPr>
          <w:rFonts w:asciiTheme="minorHAnsi" w:eastAsiaTheme="minorEastAsia" w:hAnsiTheme="minorHAnsi" w:cstheme="minorBidi"/>
          <w:b w:val="0"/>
          <w:bCs w:val="0"/>
          <w:i/>
          <w:color w:val="auto"/>
          <w:sz w:val="20"/>
          <w:szCs w:val="20"/>
        </w:rPr>
        <w:t>Freedom of Information Act 1982</w:t>
      </w:r>
      <w:r w:rsidRPr="00374170">
        <w:rPr>
          <w:rFonts w:asciiTheme="minorHAnsi" w:eastAsiaTheme="minorEastAsia" w:hAnsiTheme="minorHAnsi" w:cstheme="minorBidi"/>
          <w:b w:val="0"/>
          <w:bCs w:val="0"/>
          <w:color w:val="auto"/>
          <w:sz w:val="20"/>
          <w:szCs w:val="20"/>
        </w:rPr>
        <w:t xml:space="preserve">. </w:t>
      </w:r>
    </w:p>
    <w:p w14:paraId="50BCE8A1" w14:textId="77777777" w:rsidR="00374170" w:rsidRDefault="00374170" w:rsidP="00374170">
      <w:pPr>
        <w:pStyle w:val="Heading3"/>
        <w:rPr>
          <w:rFonts w:asciiTheme="minorHAnsi" w:eastAsiaTheme="minorEastAsia" w:hAnsiTheme="minorHAnsi" w:cstheme="minorBidi"/>
          <w:b w:val="0"/>
          <w:bCs w:val="0"/>
          <w:color w:val="auto"/>
          <w:sz w:val="20"/>
          <w:szCs w:val="20"/>
        </w:rPr>
      </w:pPr>
      <w:r w:rsidRPr="00374170">
        <w:rPr>
          <w:rFonts w:asciiTheme="minorHAnsi" w:eastAsiaTheme="minorEastAsia" w:hAnsiTheme="minorHAnsi" w:cstheme="minorBidi"/>
          <w:b w:val="0"/>
          <w:bCs w:val="0"/>
          <w:color w:val="auto"/>
          <w:sz w:val="20"/>
          <w:szCs w:val="20"/>
        </w:rPr>
        <w:t>Below is a guide to assist entities to comply with any request for this information. It is recommended that all information gathered by entities for release under this Direction be reviewed by the entity’s Freedom of Information officers prior to release.</w:t>
      </w:r>
    </w:p>
    <w:p w14:paraId="7A354924" w14:textId="77777777" w:rsidR="005F6F27" w:rsidRDefault="00374170" w:rsidP="00374170">
      <w:pPr>
        <w:pStyle w:val="Heading3"/>
      </w:pPr>
      <w:r>
        <w:t xml:space="preserve">Information that must be retained by the Accountable Officer should include: </w:t>
      </w:r>
    </w:p>
    <w:p w14:paraId="6943F66B" w14:textId="77777777" w:rsidR="00374170" w:rsidRPr="00174234" w:rsidRDefault="00174234" w:rsidP="00174234">
      <w:pPr>
        <w:pStyle w:val="Bullet1"/>
        <w:rPr>
          <w:b/>
          <w:lang w:eastAsia="en-US"/>
        </w:rPr>
      </w:pPr>
      <w:r w:rsidRPr="00174234">
        <w:rPr>
          <w:b/>
          <w:lang w:eastAsia="en-US"/>
        </w:rPr>
        <w:t xml:space="preserve">a </w:t>
      </w:r>
      <w:r w:rsidR="00374170" w:rsidRPr="00174234">
        <w:rPr>
          <w:b/>
          <w:lang w:eastAsia="en-US"/>
        </w:rPr>
        <w:t>statement that declarations of pecuniary interests have been duly completed by all relevant officers;</w:t>
      </w:r>
    </w:p>
    <w:p w14:paraId="6F5148F3" w14:textId="77777777" w:rsidR="00374170" w:rsidRDefault="00374170" w:rsidP="00374170">
      <w:pPr>
        <w:rPr>
          <w:lang w:eastAsia="en-US"/>
        </w:rPr>
      </w:pPr>
      <w:r>
        <w:rPr>
          <w:lang w:eastAsia="en-US"/>
        </w:rPr>
        <w:t xml:space="preserve">Guidance: </w:t>
      </w:r>
    </w:p>
    <w:p w14:paraId="1C688991" w14:textId="77777777" w:rsidR="00374170" w:rsidRDefault="00374170" w:rsidP="00E70B10">
      <w:pPr>
        <w:rPr>
          <w:lang w:eastAsia="en-US"/>
        </w:rPr>
      </w:pPr>
      <w:r>
        <w:rPr>
          <w:lang w:eastAsia="en-US"/>
        </w:rPr>
        <w:t xml:space="preserve">If all declarations have been completed:  </w:t>
      </w:r>
    </w:p>
    <w:p w14:paraId="717239BE" w14:textId="77777777" w:rsidR="00374170" w:rsidRPr="00DA0548" w:rsidRDefault="00374170" w:rsidP="00E70B10">
      <w:pPr>
        <w:rPr>
          <w:i/>
          <w:lang w:eastAsia="en-US"/>
        </w:rPr>
      </w:pPr>
      <w:r>
        <w:rPr>
          <w:i/>
          <w:lang w:eastAsia="en-US"/>
        </w:rPr>
        <w:t>‘</w:t>
      </w:r>
      <w:r w:rsidRPr="00DA0548">
        <w:rPr>
          <w:i/>
          <w:lang w:eastAsia="en-US"/>
        </w:rPr>
        <w:t>Declarations of pecuniary interests have been duly completed by all relevant officers.</w:t>
      </w:r>
      <w:r>
        <w:rPr>
          <w:i/>
          <w:lang w:eastAsia="en-US"/>
        </w:rPr>
        <w:t>’</w:t>
      </w:r>
    </w:p>
    <w:p w14:paraId="461E2576" w14:textId="77777777" w:rsidR="00374170" w:rsidRDefault="00374170" w:rsidP="00E70B10">
      <w:pPr>
        <w:rPr>
          <w:lang w:eastAsia="en-US"/>
        </w:rPr>
      </w:pPr>
      <w:r>
        <w:rPr>
          <w:lang w:eastAsia="en-US"/>
        </w:rPr>
        <w:t xml:space="preserve">If any declarations have not been completed:  </w:t>
      </w:r>
    </w:p>
    <w:p w14:paraId="0D8FE807" w14:textId="77777777" w:rsidR="00374170" w:rsidRDefault="00374170" w:rsidP="00E70B10">
      <w:pPr>
        <w:rPr>
          <w:i/>
          <w:lang w:eastAsia="en-US"/>
        </w:rPr>
      </w:pPr>
      <w:r>
        <w:rPr>
          <w:i/>
          <w:lang w:eastAsia="en-US"/>
        </w:rPr>
        <w:t>‘</w:t>
      </w:r>
      <w:r w:rsidRPr="00DA0548">
        <w:rPr>
          <w:i/>
          <w:lang w:eastAsia="en-US"/>
        </w:rPr>
        <w:t>Statement not available as not all declarations of pecuniary interests have been completed by all relevant officers.</w:t>
      </w:r>
      <w:r>
        <w:rPr>
          <w:i/>
          <w:lang w:eastAsia="en-US"/>
        </w:rPr>
        <w:t>’</w:t>
      </w:r>
    </w:p>
    <w:p w14:paraId="64C504F2" w14:textId="77777777" w:rsidR="00374170" w:rsidRPr="00174234" w:rsidRDefault="00174234" w:rsidP="00174234">
      <w:pPr>
        <w:pStyle w:val="Bullet1"/>
        <w:rPr>
          <w:b/>
        </w:rPr>
      </w:pPr>
      <w:r w:rsidRPr="00174234">
        <w:rPr>
          <w:b/>
        </w:rPr>
        <w:t>d</w:t>
      </w:r>
      <w:r w:rsidR="00374170" w:rsidRPr="00174234">
        <w:rPr>
          <w:b/>
        </w:rPr>
        <w:t>etails of shares held by a senior officer as nominee or held beneficially in a statutory authority or subsidiary;</w:t>
      </w:r>
    </w:p>
    <w:p w14:paraId="755B9ECA" w14:textId="77777777" w:rsidR="00374170" w:rsidRDefault="00374170" w:rsidP="00374170">
      <w:pPr>
        <w:rPr>
          <w:lang w:eastAsia="en-US"/>
        </w:rPr>
      </w:pPr>
      <w:r>
        <w:rPr>
          <w:lang w:eastAsia="en-US"/>
        </w:rPr>
        <w:t xml:space="preserve">Note: </w:t>
      </w:r>
    </w:p>
    <w:p w14:paraId="56E79448" w14:textId="77777777" w:rsidR="00374170" w:rsidRDefault="00374170" w:rsidP="00174234">
      <w:pPr>
        <w:pStyle w:val="Bullet2"/>
        <w:rPr>
          <w:lang w:eastAsia="en-US"/>
        </w:rPr>
      </w:pPr>
      <w:r>
        <w:rPr>
          <w:lang w:eastAsia="en-US"/>
        </w:rPr>
        <w:t xml:space="preserve">A ‘senior officer’ is not a Minister. </w:t>
      </w:r>
    </w:p>
    <w:p w14:paraId="0D307363" w14:textId="77777777" w:rsidR="00374170" w:rsidRDefault="00374170" w:rsidP="00174234">
      <w:pPr>
        <w:pStyle w:val="Bullet2"/>
        <w:rPr>
          <w:lang w:eastAsia="en-US"/>
        </w:rPr>
      </w:pPr>
      <w:r>
        <w:rPr>
          <w:lang w:eastAsia="en-US"/>
        </w:rPr>
        <w:t xml:space="preserve">Generally shares held by an officer as nominee or held beneficially in a statutory authority or subsidiary, relates to the officer’s role in an organisation. A ‘subsidiary’ would be a subsidiary of the entity within which the officer works or a subsidiary of the statutory authority mentioned above. </w:t>
      </w:r>
    </w:p>
    <w:p w14:paraId="16C75FA7" w14:textId="77777777" w:rsidR="00374170" w:rsidRDefault="00374170" w:rsidP="00174234">
      <w:pPr>
        <w:pStyle w:val="Bullet2"/>
        <w:rPr>
          <w:lang w:eastAsia="en-US"/>
        </w:rPr>
      </w:pPr>
      <w:r>
        <w:rPr>
          <w:lang w:eastAsia="en-US"/>
        </w:rPr>
        <w:t xml:space="preserve">The information does not include details of shares held personally by an officer or shares held by companies/trusts to which the officer has a personal interest. Therefore information on shareholdings from an officer’s </w:t>
      </w:r>
      <w:r>
        <w:rPr>
          <w:i/>
          <w:lang w:eastAsia="en-US"/>
        </w:rPr>
        <w:t>‘</w:t>
      </w:r>
      <w:r w:rsidRPr="00DA0548">
        <w:rPr>
          <w:i/>
          <w:lang w:eastAsia="en-US"/>
        </w:rPr>
        <w:t>declaration of pecuniary interest</w:t>
      </w:r>
      <w:r>
        <w:rPr>
          <w:i/>
          <w:lang w:eastAsia="en-US"/>
        </w:rPr>
        <w:t>’</w:t>
      </w:r>
      <w:r>
        <w:rPr>
          <w:lang w:eastAsia="en-US"/>
        </w:rPr>
        <w:t xml:space="preserve"> (see previous point) is not included in the information to be released.</w:t>
      </w:r>
    </w:p>
    <w:p w14:paraId="79AD5677" w14:textId="77777777" w:rsidR="00174234" w:rsidRDefault="00174234" w:rsidP="00174234">
      <w:pPr>
        <w:pStyle w:val="Bullet1"/>
        <w:numPr>
          <w:ilvl w:val="0"/>
          <w:numId w:val="0"/>
        </w:numPr>
        <w:rPr>
          <w:lang w:eastAsia="en-US"/>
        </w:rPr>
      </w:pPr>
    </w:p>
    <w:p w14:paraId="09DB1A68" w14:textId="77777777" w:rsidR="00374170" w:rsidRDefault="00374170" w:rsidP="00174234">
      <w:pPr>
        <w:pStyle w:val="Bullet1"/>
        <w:numPr>
          <w:ilvl w:val="0"/>
          <w:numId w:val="0"/>
        </w:numPr>
        <w:rPr>
          <w:lang w:eastAsia="en-US"/>
        </w:rPr>
      </w:pPr>
      <w:r>
        <w:rPr>
          <w:lang w:eastAsia="en-US"/>
        </w:rPr>
        <w:t>Guidance:</w:t>
      </w:r>
    </w:p>
    <w:p w14:paraId="3590AEF8" w14:textId="77777777" w:rsidR="00374170" w:rsidRDefault="00374170" w:rsidP="00E70B10">
      <w:pPr>
        <w:rPr>
          <w:lang w:eastAsia="en-US"/>
        </w:rPr>
      </w:pPr>
      <w:r>
        <w:rPr>
          <w:lang w:eastAsia="en-US"/>
        </w:rPr>
        <w:t>If a senior officer in the entity does hold shares:</w:t>
      </w:r>
    </w:p>
    <w:tbl>
      <w:tblPr>
        <w:tblStyle w:val="TableGrid"/>
        <w:tblW w:w="0" w:type="auto"/>
        <w:tblLook w:val="04A0" w:firstRow="1" w:lastRow="0" w:firstColumn="1" w:lastColumn="0" w:noHBand="0" w:noVBand="1"/>
      </w:tblPr>
      <w:tblGrid>
        <w:gridCol w:w="3038"/>
        <w:gridCol w:w="3041"/>
        <w:gridCol w:w="3061"/>
      </w:tblGrid>
      <w:tr w:rsidR="00E70B10" w14:paraId="110AC512" w14:textId="77777777" w:rsidTr="00E70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9539DD" w14:textId="77777777" w:rsidR="00E70B10" w:rsidRPr="00E70B10" w:rsidRDefault="00E70B10" w:rsidP="00E70B10">
            <w:pPr>
              <w:rPr>
                <w:b/>
                <w:sz w:val="18"/>
                <w:szCs w:val="18"/>
              </w:rPr>
            </w:pPr>
            <w:r w:rsidRPr="00E70B10">
              <w:rPr>
                <w:b/>
                <w:sz w:val="18"/>
                <w:szCs w:val="18"/>
              </w:rPr>
              <w:lastRenderedPageBreak/>
              <w:t>Senior Officer</w:t>
            </w:r>
          </w:p>
        </w:tc>
        <w:tc>
          <w:tcPr>
            <w:tcW w:w="3081" w:type="dxa"/>
          </w:tcPr>
          <w:p w14:paraId="19D977A1" w14:textId="77777777" w:rsidR="00E70B10" w:rsidRPr="00E70B10" w:rsidRDefault="00E70B10" w:rsidP="00E70B10">
            <w:pPr>
              <w:cnfStyle w:val="100000000000" w:firstRow="1" w:lastRow="0" w:firstColumn="0" w:lastColumn="0" w:oddVBand="0" w:evenVBand="0" w:oddHBand="0" w:evenHBand="0" w:firstRowFirstColumn="0" w:firstRowLastColumn="0" w:lastRowFirstColumn="0" w:lastRowLastColumn="0"/>
              <w:rPr>
                <w:b/>
                <w:sz w:val="18"/>
                <w:szCs w:val="18"/>
              </w:rPr>
            </w:pPr>
            <w:r w:rsidRPr="00E70B10">
              <w:rPr>
                <w:b/>
                <w:sz w:val="18"/>
                <w:szCs w:val="18"/>
              </w:rPr>
              <w:t>Shares Held</w:t>
            </w:r>
          </w:p>
        </w:tc>
        <w:tc>
          <w:tcPr>
            <w:tcW w:w="3081" w:type="dxa"/>
          </w:tcPr>
          <w:p w14:paraId="46CF12A3" w14:textId="77777777" w:rsidR="00E70B10" w:rsidRPr="00E70B10" w:rsidRDefault="00E70B10" w:rsidP="00E70B10">
            <w:pPr>
              <w:cnfStyle w:val="100000000000" w:firstRow="1" w:lastRow="0" w:firstColumn="0" w:lastColumn="0" w:oddVBand="0" w:evenVBand="0" w:oddHBand="0" w:evenHBand="0" w:firstRowFirstColumn="0" w:firstRowLastColumn="0" w:lastRowFirstColumn="0" w:lastRowLastColumn="0"/>
              <w:rPr>
                <w:b/>
                <w:sz w:val="18"/>
                <w:szCs w:val="18"/>
              </w:rPr>
            </w:pPr>
            <w:r w:rsidRPr="00E70B10">
              <w:rPr>
                <w:b/>
                <w:sz w:val="18"/>
                <w:szCs w:val="18"/>
              </w:rPr>
              <w:t>Stat Authority/Subsidiary</w:t>
            </w:r>
          </w:p>
        </w:tc>
      </w:tr>
      <w:tr w:rsidR="00E70B10" w14:paraId="387F0217" w14:textId="77777777" w:rsidTr="00E70B10">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6536EC73" w14:textId="77777777" w:rsidR="00E70B10" w:rsidRPr="00E755BF" w:rsidRDefault="00E70B10" w:rsidP="00E70B10">
            <w:pPr>
              <w:rPr>
                <w:i/>
                <w:sz w:val="18"/>
                <w:szCs w:val="18"/>
              </w:rPr>
            </w:pPr>
            <w:r w:rsidRPr="00E755BF">
              <w:rPr>
                <w:i/>
                <w:sz w:val="18"/>
                <w:szCs w:val="18"/>
              </w:rPr>
              <w:t>Title of officer</w:t>
            </w:r>
          </w:p>
        </w:tc>
        <w:tc>
          <w:tcPr>
            <w:tcW w:w="3081" w:type="dxa"/>
            <w:shd w:val="clear" w:color="auto" w:fill="auto"/>
          </w:tcPr>
          <w:p w14:paraId="0719D85D" w14:textId="77777777" w:rsidR="00E70B10" w:rsidRPr="00E755BF" w:rsidRDefault="00E70B10" w:rsidP="00E70B10">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Number of shares</w:t>
            </w:r>
          </w:p>
        </w:tc>
        <w:tc>
          <w:tcPr>
            <w:tcW w:w="3081" w:type="dxa"/>
          </w:tcPr>
          <w:p w14:paraId="058E206F" w14:textId="77777777" w:rsidR="00E70B10" w:rsidRPr="00E755BF" w:rsidRDefault="00E70B10" w:rsidP="00E70B10">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 xml:space="preserve">Name of authority </w:t>
            </w:r>
          </w:p>
        </w:tc>
      </w:tr>
    </w:tbl>
    <w:p w14:paraId="7B7FF5EF" w14:textId="77777777" w:rsidR="00374170" w:rsidRDefault="00374170" w:rsidP="00E70B10">
      <w:pPr>
        <w:rPr>
          <w:lang w:eastAsia="en-US"/>
        </w:rPr>
      </w:pPr>
      <w:r>
        <w:rPr>
          <w:lang w:eastAsia="en-US"/>
        </w:rPr>
        <w:t>If no officer in the entity holds shares:</w:t>
      </w:r>
    </w:p>
    <w:p w14:paraId="770AB9E6" w14:textId="77777777" w:rsidR="00374170" w:rsidRDefault="00374170" w:rsidP="00E70B10">
      <w:pPr>
        <w:rPr>
          <w:i/>
          <w:lang w:eastAsia="en-US"/>
        </w:rPr>
      </w:pPr>
      <w:r>
        <w:rPr>
          <w:i/>
          <w:lang w:eastAsia="en-US"/>
        </w:rPr>
        <w:t>‘</w:t>
      </w:r>
      <w:r w:rsidRPr="00DA0548">
        <w:rPr>
          <w:i/>
          <w:lang w:eastAsia="en-US"/>
        </w:rPr>
        <w:t>No shares are held by a senior officer as nominee or held beneficially in a statutory authority or subsidiary</w:t>
      </w:r>
      <w:r>
        <w:rPr>
          <w:i/>
          <w:lang w:eastAsia="en-US"/>
        </w:rPr>
        <w:t>’</w:t>
      </w:r>
    </w:p>
    <w:p w14:paraId="718A91EE" w14:textId="77777777" w:rsidR="00374170" w:rsidRPr="00DA0548" w:rsidRDefault="00374170" w:rsidP="00374170">
      <w:pPr>
        <w:pStyle w:val="Bullet1"/>
        <w:tabs>
          <w:tab w:val="clear" w:pos="360"/>
          <w:tab w:val="num" w:pos="283"/>
        </w:tabs>
        <w:spacing w:before="0" w:after="0" w:line="260" w:lineRule="atLeast"/>
        <w:ind w:left="283" w:hanging="283"/>
        <w:contextualSpacing w:val="0"/>
        <w:rPr>
          <w:b/>
          <w:lang w:eastAsia="en-US"/>
        </w:rPr>
      </w:pPr>
      <w:r w:rsidRPr="00DA0548">
        <w:rPr>
          <w:b/>
          <w:lang w:eastAsia="en-US"/>
        </w:rPr>
        <w:t>details of publications produced by the entity about the entity</w:t>
      </w:r>
      <w:r>
        <w:rPr>
          <w:b/>
          <w:lang w:eastAsia="en-US"/>
        </w:rPr>
        <w:t>, and how these can be obtained;</w:t>
      </w:r>
    </w:p>
    <w:p w14:paraId="6C0D4E85" w14:textId="77777777" w:rsidR="00374170" w:rsidRDefault="00374170" w:rsidP="00374170">
      <w:pPr>
        <w:rPr>
          <w:lang w:eastAsia="en-US"/>
        </w:rPr>
      </w:pPr>
      <w:r>
        <w:rPr>
          <w:lang w:eastAsia="en-US"/>
        </w:rPr>
        <w:t xml:space="preserve">Note: </w:t>
      </w:r>
    </w:p>
    <w:p w14:paraId="558A3648" w14:textId="77777777" w:rsidR="00374170" w:rsidRDefault="00374170" w:rsidP="00877608">
      <w:pPr>
        <w:pStyle w:val="Bullet2"/>
        <w:rPr>
          <w:lang w:eastAsia="en-US"/>
        </w:rPr>
      </w:pPr>
      <w:r>
        <w:rPr>
          <w:lang w:eastAsia="en-US"/>
        </w:rPr>
        <w:t xml:space="preserve">the Direction does not cover all publications. It only includes publications BY the entity ABOUT the entity (i.e. Corporate Plan and Annual Report). </w:t>
      </w:r>
    </w:p>
    <w:p w14:paraId="32514CA3" w14:textId="77777777" w:rsidR="00374170" w:rsidRDefault="00374170" w:rsidP="00877608">
      <w:pPr>
        <w:pStyle w:val="Bullet2"/>
        <w:rPr>
          <w:lang w:eastAsia="en-US"/>
        </w:rPr>
      </w:pPr>
      <w:r>
        <w:rPr>
          <w:lang w:eastAsia="en-US"/>
        </w:rPr>
        <w:t>the Direction does not include publications:</w:t>
      </w:r>
    </w:p>
    <w:p w14:paraId="73F5D2F1" w14:textId="77777777" w:rsidR="00374170" w:rsidRDefault="00374170" w:rsidP="00877608">
      <w:pPr>
        <w:pStyle w:val="Bulletindent2"/>
        <w:rPr>
          <w:lang w:eastAsia="en-US"/>
        </w:rPr>
      </w:pPr>
      <w:r>
        <w:rPr>
          <w:lang w:eastAsia="en-US"/>
        </w:rPr>
        <w:t>published by the entity on behalf of the Government (i.e. State’s Annual Financial Report, Budget documents or the Pre-election Budget Update);</w:t>
      </w:r>
      <w:r w:rsidR="00877608">
        <w:rPr>
          <w:lang w:eastAsia="en-US"/>
        </w:rPr>
        <w:t xml:space="preserve"> and</w:t>
      </w:r>
    </w:p>
    <w:p w14:paraId="38AA5D90" w14:textId="77777777" w:rsidR="003A6C22" w:rsidRDefault="00374170" w:rsidP="003A6C22">
      <w:pPr>
        <w:pStyle w:val="Bulletindent2"/>
        <w:rPr>
          <w:lang w:eastAsia="en-US"/>
        </w:rPr>
      </w:pPr>
      <w:r>
        <w:rPr>
          <w:lang w:eastAsia="en-US"/>
        </w:rPr>
        <w:t>published by external parties (eg: Victorian Auditor-General’s Office reviews).</w:t>
      </w:r>
    </w:p>
    <w:tbl>
      <w:tblPr>
        <w:tblStyle w:val="TableGrid"/>
        <w:tblW w:w="0" w:type="auto"/>
        <w:tblLook w:val="04A0" w:firstRow="1" w:lastRow="0" w:firstColumn="1" w:lastColumn="0" w:noHBand="0" w:noVBand="1"/>
      </w:tblPr>
      <w:tblGrid>
        <w:gridCol w:w="3047"/>
        <w:gridCol w:w="3046"/>
        <w:gridCol w:w="3047"/>
      </w:tblGrid>
      <w:tr w:rsidR="003A6C22" w14:paraId="61B15006"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AD43A72" w14:textId="77777777" w:rsidR="003A6C22" w:rsidRPr="00E70B10" w:rsidRDefault="003A6C22" w:rsidP="00776D4D">
            <w:pPr>
              <w:rPr>
                <w:b/>
                <w:sz w:val="18"/>
                <w:szCs w:val="18"/>
              </w:rPr>
            </w:pPr>
            <w:r>
              <w:rPr>
                <w:b/>
                <w:sz w:val="18"/>
                <w:szCs w:val="18"/>
              </w:rPr>
              <w:t>Publication</w:t>
            </w:r>
          </w:p>
        </w:tc>
        <w:tc>
          <w:tcPr>
            <w:tcW w:w="3081" w:type="dxa"/>
          </w:tcPr>
          <w:p w14:paraId="3AD31F26" w14:textId="77777777" w:rsidR="003A6C22" w:rsidRPr="00E70B10" w:rsidRDefault="003A6C22"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Produced</w:t>
            </w:r>
          </w:p>
        </w:tc>
        <w:tc>
          <w:tcPr>
            <w:tcW w:w="3081" w:type="dxa"/>
          </w:tcPr>
          <w:p w14:paraId="505ED8D5" w14:textId="77777777" w:rsidR="003A6C22" w:rsidRPr="00E70B10" w:rsidRDefault="003A6C22"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How obtained </w:t>
            </w:r>
          </w:p>
        </w:tc>
      </w:tr>
      <w:tr w:rsidR="003A6C22" w14:paraId="47BA5B5D"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6A57DE8D" w14:textId="77777777" w:rsidR="003A6C22" w:rsidRPr="00E755BF" w:rsidRDefault="003A6C22" w:rsidP="003A6C22">
            <w:pPr>
              <w:rPr>
                <w:i/>
                <w:sz w:val="18"/>
                <w:szCs w:val="18"/>
              </w:rPr>
            </w:pPr>
            <w:r w:rsidRPr="00E755BF">
              <w:rPr>
                <w:i/>
                <w:sz w:val="18"/>
                <w:szCs w:val="18"/>
              </w:rPr>
              <w:t>Title (i.e. Annual Report)</w:t>
            </w:r>
          </w:p>
        </w:tc>
        <w:tc>
          <w:tcPr>
            <w:tcW w:w="3081" w:type="dxa"/>
            <w:shd w:val="clear" w:color="auto" w:fill="auto"/>
          </w:tcPr>
          <w:p w14:paraId="4801C866" w14:textId="77777777" w:rsidR="003A6C22" w:rsidRPr="00E755BF" w:rsidRDefault="003A6C22"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Date produced</w:t>
            </w:r>
          </w:p>
        </w:tc>
        <w:tc>
          <w:tcPr>
            <w:tcW w:w="3081" w:type="dxa"/>
          </w:tcPr>
          <w:p w14:paraId="0771D098" w14:textId="77777777" w:rsidR="003A6C22" w:rsidRPr="00E755BF" w:rsidRDefault="003A6C22" w:rsidP="003A6C22">
            <w:pPr>
              <w:pStyle w:val="Tablebullet"/>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Name of relevant officer, contact details</w:t>
            </w:r>
          </w:p>
          <w:p w14:paraId="345BFB09" w14:textId="77777777" w:rsidR="003A6C22" w:rsidRPr="00E755BF" w:rsidRDefault="003A6C22" w:rsidP="003A6C22">
            <w:pPr>
              <w:pStyle w:val="Tablebullet"/>
              <w:jc w:val="left"/>
              <w:cnfStyle w:val="000000000000" w:firstRow="0" w:lastRow="0" w:firstColumn="0" w:lastColumn="0" w:oddVBand="0" w:evenVBand="0" w:oddHBand="0" w:evenHBand="0" w:firstRowFirstColumn="0" w:firstRowLastColumn="0" w:lastRowFirstColumn="0" w:lastRowLastColumn="0"/>
              <w:rPr>
                <w:i/>
              </w:rPr>
            </w:pPr>
            <w:r w:rsidRPr="00E755BF">
              <w:rPr>
                <w:i/>
                <w:sz w:val="18"/>
                <w:szCs w:val="18"/>
              </w:rPr>
              <w:t>Address of relevant web page</w:t>
            </w:r>
          </w:p>
        </w:tc>
      </w:tr>
    </w:tbl>
    <w:p w14:paraId="534FE97B" w14:textId="77777777" w:rsidR="003A6C22" w:rsidRDefault="003A6C22" w:rsidP="003A6C22">
      <w:pPr>
        <w:pStyle w:val="Bullet1"/>
        <w:numPr>
          <w:ilvl w:val="0"/>
          <w:numId w:val="0"/>
        </w:numPr>
        <w:spacing w:before="0" w:after="0" w:line="260" w:lineRule="atLeast"/>
        <w:ind w:left="283"/>
        <w:contextualSpacing w:val="0"/>
        <w:rPr>
          <w:b/>
          <w:lang w:eastAsia="en-US"/>
        </w:rPr>
      </w:pPr>
    </w:p>
    <w:p w14:paraId="3BBD06B3" w14:textId="77777777" w:rsidR="00374170" w:rsidRPr="00DA0548" w:rsidRDefault="00374170" w:rsidP="00374170">
      <w:pPr>
        <w:pStyle w:val="Bullet1"/>
        <w:tabs>
          <w:tab w:val="clear" w:pos="360"/>
          <w:tab w:val="num" w:pos="283"/>
        </w:tabs>
        <w:spacing w:before="0" w:after="0" w:line="260" w:lineRule="atLeast"/>
        <w:ind w:left="283" w:hanging="283"/>
        <w:contextualSpacing w:val="0"/>
        <w:rPr>
          <w:b/>
          <w:lang w:eastAsia="en-US"/>
        </w:rPr>
      </w:pPr>
      <w:r w:rsidRPr="00DA0548">
        <w:rPr>
          <w:b/>
          <w:lang w:eastAsia="en-US"/>
        </w:rPr>
        <w:t>details of changes in prices, fees, charges, rates a</w:t>
      </w:r>
      <w:r w:rsidR="00157285">
        <w:rPr>
          <w:b/>
          <w:lang w:eastAsia="en-US"/>
        </w:rPr>
        <w:t>nd levies charged by the entity;</w:t>
      </w:r>
    </w:p>
    <w:p w14:paraId="5DB6D3E6" w14:textId="77777777" w:rsidR="00374170" w:rsidRDefault="00374170" w:rsidP="00374170">
      <w:pPr>
        <w:rPr>
          <w:lang w:eastAsia="en-US"/>
        </w:rPr>
      </w:pPr>
      <w:r>
        <w:rPr>
          <w:lang w:eastAsia="en-US"/>
        </w:rPr>
        <w:t>Note:</w:t>
      </w:r>
    </w:p>
    <w:p w14:paraId="49EBF459" w14:textId="77777777" w:rsidR="00374170" w:rsidRDefault="00374170" w:rsidP="00897E45">
      <w:pPr>
        <w:pStyle w:val="Bullet2"/>
        <w:rPr>
          <w:lang w:eastAsia="en-US"/>
        </w:rPr>
      </w:pPr>
      <w:r>
        <w:rPr>
          <w:lang w:eastAsia="en-US"/>
        </w:rPr>
        <w:t xml:space="preserve">Departments publish data on indexation of fees and fines on their websites. This data need not be replicated here. Only include prices, fees, charges, rates and levies that are </w:t>
      </w:r>
      <w:r w:rsidRPr="002A014A">
        <w:rPr>
          <w:b/>
          <w:lang w:eastAsia="en-US"/>
        </w:rPr>
        <w:t>not</w:t>
      </w:r>
      <w:r>
        <w:rPr>
          <w:lang w:eastAsia="en-US"/>
        </w:rPr>
        <w:t xml:space="preserve"> about to be published on websites.</w:t>
      </w:r>
    </w:p>
    <w:p w14:paraId="7C09D358" w14:textId="77777777" w:rsidR="00374170" w:rsidRDefault="00374170" w:rsidP="00897E45">
      <w:pPr>
        <w:pStyle w:val="Bullet2"/>
        <w:rPr>
          <w:lang w:eastAsia="en-US"/>
        </w:rPr>
      </w:pPr>
      <w:r>
        <w:rPr>
          <w:lang w:eastAsia="en-US"/>
        </w:rPr>
        <w:t>Only include fees and charges for which the entity is responsible. This includes any fees and charges which are administered or collected by another body on behalf of the entity.</w:t>
      </w:r>
    </w:p>
    <w:p w14:paraId="1FFDCF15" w14:textId="77777777" w:rsidR="00374170" w:rsidRDefault="00374170" w:rsidP="00897E45">
      <w:pPr>
        <w:pStyle w:val="Bullet2"/>
        <w:rPr>
          <w:lang w:eastAsia="en-US"/>
        </w:rPr>
      </w:pPr>
      <w:r>
        <w:rPr>
          <w:lang w:eastAsia="en-US"/>
        </w:rPr>
        <w:t>Only include fees and charges that have changed between 1/07/</w:t>
      </w:r>
      <w:r w:rsidR="00E233ED">
        <w:rPr>
          <w:lang w:eastAsia="en-US"/>
        </w:rPr>
        <w:t>1Y</w:t>
      </w:r>
      <w:r>
        <w:rPr>
          <w:lang w:eastAsia="en-US"/>
        </w:rPr>
        <w:t xml:space="preserve"> and 30/6/</w:t>
      </w:r>
      <w:r w:rsidR="00E233ED">
        <w:rPr>
          <w:lang w:eastAsia="en-US"/>
        </w:rPr>
        <w:t>1</w:t>
      </w:r>
      <w:r w:rsidR="00157285">
        <w:rPr>
          <w:lang w:eastAsia="en-US"/>
        </w:rPr>
        <w:t>X</w:t>
      </w:r>
      <w:r>
        <w:rPr>
          <w:lang w:eastAsia="en-US"/>
        </w:rPr>
        <w:t>.</w:t>
      </w:r>
    </w:p>
    <w:p w14:paraId="66FE12B2" w14:textId="77777777" w:rsidR="00374170" w:rsidRDefault="00374170" w:rsidP="00157285">
      <w:pPr>
        <w:rPr>
          <w:lang w:eastAsia="en-US"/>
        </w:rPr>
      </w:pPr>
      <w:r>
        <w:rPr>
          <w:lang w:eastAsia="en-US"/>
        </w:rPr>
        <w:t>Guidance:</w:t>
      </w:r>
    </w:p>
    <w:p w14:paraId="3C202E1A" w14:textId="77777777" w:rsidR="00374170" w:rsidRDefault="00374170" w:rsidP="00157285">
      <w:pPr>
        <w:rPr>
          <w:i/>
          <w:lang w:eastAsia="en-US"/>
        </w:rPr>
      </w:pPr>
      <w:r>
        <w:rPr>
          <w:i/>
          <w:lang w:eastAsia="en-US"/>
        </w:rPr>
        <w:t>‘</w:t>
      </w:r>
      <w:r w:rsidRPr="00DA0548">
        <w:rPr>
          <w:i/>
          <w:lang w:eastAsia="en-US"/>
        </w:rPr>
        <w:t>The Government has committed to publish full lists of the indexed charges on the websites of each department. This is due to be completed shortly.  Data to be published on websites is not included here.</w:t>
      </w:r>
      <w:r>
        <w:rPr>
          <w:i/>
          <w:lang w:eastAsia="en-US"/>
        </w:rPr>
        <w:t>’</w:t>
      </w:r>
    </w:p>
    <w:tbl>
      <w:tblPr>
        <w:tblStyle w:val="TableGrid"/>
        <w:tblW w:w="0" w:type="auto"/>
        <w:tblLook w:val="04A0" w:firstRow="1" w:lastRow="0" w:firstColumn="1" w:lastColumn="0" w:noHBand="0" w:noVBand="1"/>
      </w:tblPr>
      <w:tblGrid>
        <w:gridCol w:w="3048"/>
        <w:gridCol w:w="3046"/>
        <w:gridCol w:w="3046"/>
      </w:tblGrid>
      <w:tr w:rsidR="00157285" w14:paraId="3FF1FDC5"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9956374" w14:textId="77777777" w:rsidR="00157285" w:rsidRPr="00E70B10" w:rsidRDefault="00157285" w:rsidP="00157285">
            <w:pPr>
              <w:rPr>
                <w:b/>
                <w:sz w:val="18"/>
                <w:szCs w:val="18"/>
              </w:rPr>
            </w:pPr>
            <w:r>
              <w:rPr>
                <w:b/>
                <w:sz w:val="18"/>
                <w:szCs w:val="18"/>
              </w:rPr>
              <w:t>Title</w:t>
            </w:r>
          </w:p>
        </w:tc>
        <w:tc>
          <w:tcPr>
            <w:tcW w:w="3081" w:type="dxa"/>
          </w:tcPr>
          <w:p w14:paraId="331521F9" w14:textId="77777777" w:rsidR="00157285" w:rsidRPr="00E70B10" w:rsidRDefault="00157285" w:rsidP="00E233E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20</w:t>
            </w:r>
            <w:r w:rsidR="00E233ED">
              <w:rPr>
                <w:b/>
                <w:sz w:val="18"/>
                <w:szCs w:val="18"/>
              </w:rPr>
              <w:t>1Y</w:t>
            </w:r>
            <w:r>
              <w:rPr>
                <w:b/>
                <w:sz w:val="18"/>
                <w:szCs w:val="18"/>
              </w:rPr>
              <w:t xml:space="preserve"> – </w:t>
            </w:r>
            <w:r w:rsidR="00E233ED">
              <w:rPr>
                <w:b/>
                <w:sz w:val="18"/>
                <w:szCs w:val="18"/>
              </w:rPr>
              <w:t>1X</w:t>
            </w:r>
            <w:r>
              <w:rPr>
                <w:b/>
                <w:sz w:val="18"/>
                <w:szCs w:val="18"/>
              </w:rPr>
              <w:t xml:space="preserve"> rate</w:t>
            </w:r>
          </w:p>
        </w:tc>
        <w:tc>
          <w:tcPr>
            <w:tcW w:w="3081" w:type="dxa"/>
          </w:tcPr>
          <w:p w14:paraId="4CC51636" w14:textId="77777777" w:rsidR="00157285" w:rsidRPr="00E70B10" w:rsidRDefault="00157285" w:rsidP="00E233E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20</w:t>
            </w:r>
            <w:r w:rsidR="00E233ED">
              <w:rPr>
                <w:b/>
                <w:sz w:val="18"/>
                <w:szCs w:val="18"/>
              </w:rPr>
              <w:t>1</w:t>
            </w:r>
            <w:r>
              <w:rPr>
                <w:b/>
                <w:sz w:val="18"/>
                <w:szCs w:val="18"/>
              </w:rPr>
              <w:t xml:space="preserve">X – </w:t>
            </w:r>
            <w:r w:rsidR="00E233ED">
              <w:rPr>
                <w:b/>
                <w:sz w:val="18"/>
                <w:szCs w:val="18"/>
              </w:rPr>
              <w:t>1W</w:t>
            </w:r>
            <w:r>
              <w:rPr>
                <w:b/>
                <w:sz w:val="18"/>
                <w:szCs w:val="18"/>
              </w:rPr>
              <w:t xml:space="preserve"> rate </w:t>
            </w:r>
          </w:p>
        </w:tc>
      </w:tr>
      <w:tr w:rsidR="00157285" w14:paraId="3F518FB2"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41A1347A" w14:textId="77777777" w:rsidR="00157285" w:rsidRPr="00E70B10" w:rsidRDefault="00157285" w:rsidP="00776D4D">
            <w:pPr>
              <w:rPr>
                <w:sz w:val="18"/>
                <w:szCs w:val="18"/>
              </w:rPr>
            </w:pPr>
            <w:r>
              <w:rPr>
                <w:sz w:val="18"/>
                <w:szCs w:val="18"/>
              </w:rPr>
              <w:t>Name of Fee or Charge</w:t>
            </w:r>
          </w:p>
        </w:tc>
        <w:tc>
          <w:tcPr>
            <w:tcW w:w="3081" w:type="dxa"/>
            <w:shd w:val="clear" w:color="auto" w:fill="auto"/>
          </w:tcPr>
          <w:p w14:paraId="6066F1DA" w14:textId="77777777" w:rsidR="00157285" w:rsidRPr="00E70B10" w:rsidRDefault="00157285" w:rsidP="00776D4D">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3081" w:type="dxa"/>
          </w:tcPr>
          <w:p w14:paraId="6859279D" w14:textId="77777777" w:rsidR="00157285" w:rsidRPr="00E70B10" w:rsidRDefault="00157285" w:rsidP="00157285">
            <w:pPr>
              <w:jc w:val="left"/>
              <w:cnfStyle w:val="000000000000" w:firstRow="0" w:lastRow="0" w:firstColumn="0" w:lastColumn="0" w:oddVBand="0" w:evenVBand="0" w:oddHBand="0" w:evenHBand="0" w:firstRowFirstColumn="0" w:firstRowLastColumn="0" w:lastRowFirstColumn="0" w:lastRowLastColumn="0"/>
            </w:pPr>
            <w:r>
              <w:t>$</w:t>
            </w:r>
          </w:p>
        </w:tc>
      </w:tr>
    </w:tbl>
    <w:p w14:paraId="37027B74" w14:textId="77777777" w:rsidR="00374170" w:rsidRDefault="00374170" w:rsidP="00157285">
      <w:pPr>
        <w:rPr>
          <w:lang w:eastAsia="en-US"/>
        </w:rPr>
      </w:pPr>
      <w:r>
        <w:rPr>
          <w:lang w:eastAsia="en-US"/>
        </w:rPr>
        <w:t>If no changes to fees or charges:</w:t>
      </w:r>
    </w:p>
    <w:p w14:paraId="7546D82B" w14:textId="77777777" w:rsidR="00374170" w:rsidRDefault="00374170" w:rsidP="00157285">
      <w:pPr>
        <w:rPr>
          <w:i/>
          <w:lang w:eastAsia="en-US"/>
        </w:rPr>
      </w:pPr>
      <w:r>
        <w:rPr>
          <w:i/>
          <w:lang w:eastAsia="en-US"/>
        </w:rPr>
        <w:t>‘</w:t>
      </w:r>
      <w:r w:rsidRPr="00DA0548">
        <w:rPr>
          <w:i/>
          <w:lang w:eastAsia="en-US"/>
        </w:rPr>
        <w:t xml:space="preserve">There were no changes during the </w:t>
      </w:r>
      <w:r>
        <w:rPr>
          <w:i/>
          <w:lang w:eastAsia="en-US"/>
        </w:rPr>
        <w:t>20</w:t>
      </w:r>
      <w:r w:rsidR="00E233ED">
        <w:rPr>
          <w:i/>
          <w:lang w:eastAsia="en-US"/>
        </w:rPr>
        <w:t>1Y</w:t>
      </w:r>
      <w:r>
        <w:rPr>
          <w:i/>
          <w:lang w:eastAsia="en-US"/>
        </w:rPr>
        <w:t>-</w:t>
      </w:r>
      <w:r w:rsidR="00E233ED">
        <w:rPr>
          <w:i/>
          <w:lang w:eastAsia="en-US"/>
        </w:rPr>
        <w:t>1X</w:t>
      </w:r>
      <w:r w:rsidRPr="00DA0548">
        <w:rPr>
          <w:i/>
          <w:lang w:eastAsia="en-US"/>
        </w:rPr>
        <w:t xml:space="preserve"> financial year in prices, fees, charges, rates and levies charged by the entity.</w:t>
      </w:r>
      <w:r>
        <w:rPr>
          <w:i/>
          <w:lang w:eastAsia="en-US"/>
        </w:rPr>
        <w:t>’</w:t>
      </w:r>
    </w:p>
    <w:p w14:paraId="39DFF151" w14:textId="77777777" w:rsidR="00374170" w:rsidRPr="005F4032" w:rsidRDefault="00374170" w:rsidP="00374170">
      <w:pPr>
        <w:pStyle w:val="Bullet1"/>
        <w:tabs>
          <w:tab w:val="clear" w:pos="360"/>
          <w:tab w:val="num" w:pos="283"/>
        </w:tabs>
        <w:spacing w:before="0" w:after="0" w:line="260" w:lineRule="atLeast"/>
        <w:ind w:left="283" w:hanging="283"/>
        <w:contextualSpacing w:val="0"/>
        <w:rPr>
          <w:b/>
          <w:lang w:eastAsia="en-US"/>
        </w:rPr>
      </w:pPr>
      <w:r w:rsidRPr="005F4032">
        <w:rPr>
          <w:b/>
          <w:lang w:eastAsia="en-US"/>
        </w:rPr>
        <w:t>details of any major external re</w:t>
      </w:r>
      <w:r w:rsidR="00157285">
        <w:rPr>
          <w:b/>
          <w:lang w:eastAsia="en-US"/>
        </w:rPr>
        <w:t>views carried out on the entity;</w:t>
      </w:r>
    </w:p>
    <w:p w14:paraId="5F398877" w14:textId="77777777" w:rsidR="00374170" w:rsidRDefault="00374170" w:rsidP="00374170">
      <w:pPr>
        <w:rPr>
          <w:lang w:eastAsia="en-US"/>
        </w:rPr>
      </w:pPr>
      <w:r>
        <w:rPr>
          <w:lang w:eastAsia="en-US"/>
        </w:rPr>
        <w:t xml:space="preserve">Note: </w:t>
      </w:r>
    </w:p>
    <w:p w14:paraId="3D35277B" w14:textId="77777777" w:rsidR="00374170" w:rsidRDefault="00374170" w:rsidP="00157285">
      <w:pPr>
        <w:pStyle w:val="Bullet2"/>
        <w:rPr>
          <w:lang w:eastAsia="en-US"/>
        </w:rPr>
      </w:pPr>
      <w:r>
        <w:rPr>
          <w:lang w:eastAsia="en-US"/>
        </w:rPr>
        <w:lastRenderedPageBreak/>
        <w:t>This would include reviews undertaken by independent parties outside the entity (e.g. Victorian Auditor</w:t>
      </w:r>
      <w:r>
        <w:rPr>
          <w:lang w:eastAsia="en-US"/>
        </w:rPr>
        <w:noBreakHyphen/>
        <w:t xml:space="preserve">General’s Office, State Services Authority). </w:t>
      </w:r>
    </w:p>
    <w:p w14:paraId="3B3862E4" w14:textId="77777777" w:rsidR="00374170" w:rsidRDefault="00374170" w:rsidP="00157285">
      <w:pPr>
        <w:pStyle w:val="Bullet2"/>
        <w:rPr>
          <w:lang w:eastAsia="en-US"/>
        </w:rPr>
      </w:pPr>
      <w:r>
        <w:rPr>
          <w:lang w:eastAsia="en-US"/>
        </w:rPr>
        <w:t>Where an entity commissions a consultant to undertake a review this would not be considered ‘external’ as the entity itself is setting the Terms of Reference.</w:t>
      </w:r>
    </w:p>
    <w:p w14:paraId="7D368A0F" w14:textId="77777777" w:rsidR="00374170" w:rsidRDefault="00374170" w:rsidP="00157285">
      <w:pPr>
        <w:pStyle w:val="Bullet2"/>
        <w:rPr>
          <w:lang w:eastAsia="en-US"/>
        </w:rPr>
      </w:pPr>
      <w:r>
        <w:rPr>
          <w:lang w:eastAsia="en-US"/>
        </w:rPr>
        <w:t>Only include reviews that were completed in the reporting year</w:t>
      </w:r>
    </w:p>
    <w:p w14:paraId="305B5B5C" w14:textId="77777777" w:rsidR="00374170" w:rsidRDefault="00374170" w:rsidP="00157285">
      <w:pPr>
        <w:pStyle w:val="Bullet2"/>
        <w:rPr>
          <w:lang w:eastAsia="en-US"/>
        </w:rPr>
      </w:pPr>
      <w:r>
        <w:rPr>
          <w:lang w:eastAsia="en-US"/>
        </w:rPr>
        <w:t xml:space="preserve">‘Major’ and ‘external’ would include a review that: </w:t>
      </w:r>
    </w:p>
    <w:p w14:paraId="3BCCA047" w14:textId="77777777" w:rsidR="00374170" w:rsidRDefault="00374170" w:rsidP="00157285">
      <w:pPr>
        <w:pStyle w:val="Bulletindent2"/>
        <w:rPr>
          <w:lang w:eastAsia="en-US"/>
        </w:rPr>
      </w:pPr>
      <w:r>
        <w:rPr>
          <w:lang w:eastAsia="en-US"/>
        </w:rPr>
        <w:t>results in an independent report to the Minister or the Parliament</w:t>
      </w:r>
    </w:p>
    <w:p w14:paraId="342DA50D" w14:textId="77777777" w:rsidR="00374170" w:rsidRDefault="00374170" w:rsidP="00157285">
      <w:pPr>
        <w:pStyle w:val="Bulletindent2"/>
        <w:rPr>
          <w:lang w:eastAsia="en-US"/>
        </w:rPr>
      </w:pPr>
      <w:r>
        <w:rPr>
          <w:lang w:eastAsia="en-US"/>
        </w:rPr>
        <w:t>results in a published report</w:t>
      </w:r>
    </w:p>
    <w:p w14:paraId="5621B4B8" w14:textId="77777777" w:rsidR="00374170" w:rsidRDefault="00374170" w:rsidP="00157285">
      <w:pPr>
        <w:pStyle w:val="Bulletindent2"/>
        <w:rPr>
          <w:lang w:eastAsia="en-US"/>
        </w:rPr>
      </w:pPr>
      <w:r>
        <w:rPr>
          <w:lang w:eastAsia="en-US"/>
        </w:rPr>
        <w:t>is likely to result in a change to the entity’s funding, business/activities, staff levels or senior personnel</w:t>
      </w:r>
    </w:p>
    <w:p w14:paraId="661EDE3E" w14:textId="77777777" w:rsidR="00374170" w:rsidRDefault="00374170" w:rsidP="00157285">
      <w:pPr>
        <w:pStyle w:val="Bulletindent2"/>
        <w:rPr>
          <w:lang w:eastAsia="en-US"/>
        </w:rPr>
      </w:pPr>
      <w:r>
        <w:rPr>
          <w:lang w:eastAsia="en-US"/>
        </w:rPr>
        <w:t>leads to a change to an Act of Parliament, Directions or Regulations</w:t>
      </w:r>
    </w:p>
    <w:tbl>
      <w:tblPr>
        <w:tblStyle w:val="TableGrid"/>
        <w:tblW w:w="0" w:type="auto"/>
        <w:tblLook w:val="04A0" w:firstRow="1" w:lastRow="0" w:firstColumn="1" w:lastColumn="0" w:noHBand="0" w:noVBand="1"/>
      </w:tblPr>
      <w:tblGrid>
        <w:gridCol w:w="2291"/>
        <w:gridCol w:w="2411"/>
        <w:gridCol w:w="2337"/>
        <w:gridCol w:w="2101"/>
      </w:tblGrid>
      <w:tr w:rsidR="00157285" w14:paraId="7F62F914" w14:textId="77777777" w:rsidTr="00157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4940E3D6" w14:textId="77777777" w:rsidR="00157285" w:rsidRPr="00E70B10" w:rsidRDefault="00157285" w:rsidP="00157285">
            <w:pPr>
              <w:rPr>
                <w:b/>
                <w:sz w:val="18"/>
                <w:szCs w:val="18"/>
              </w:rPr>
            </w:pPr>
            <w:r>
              <w:rPr>
                <w:b/>
                <w:sz w:val="18"/>
                <w:szCs w:val="18"/>
              </w:rPr>
              <w:t>Major review</w:t>
            </w:r>
          </w:p>
        </w:tc>
        <w:tc>
          <w:tcPr>
            <w:tcW w:w="2411" w:type="dxa"/>
          </w:tcPr>
          <w:p w14:paraId="5971777C" w14:textId="77777777" w:rsidR="00157285" w:rsidRPr="00E70B10" w:rsidRDefault="00157285"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Conducted by </w:t>
            </w:r>
          </w:p>
        </w:tc>
        <w:tc>
          <w:tcPr>
            <w:tcW w:w="2337" w:type="dxa"/>
          </w:tcPr>
          <w:p w14:paraId="7101BBB7" w14:textId="77777777" w:rsidR="00157285" w:rsidRPr="00E70B10" w:rsidRDefault="00157285"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Purpose</w:t>
            </w:r>
          </w:p>
        </w:tc>
        <w:tc>
          <w:tcPr>
            <w:tcW w:w="2101" w:type="dxa"/>
          </w:tcPr>
          <w:p w14:paraId="6A8B5C5B" w14:textId="77777777" w:rsidR="00157285" w:rsidRDefault="00157285"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Completed</w:t>
            </w:r>
          </w:p>
        </w:tc>
      </w:tr>
      <w:tr w:rsidR="00157285" w14:paraId="3E2B8E22" w14:textId="77777777" w:rsidTr="00157285">
        <w:tc>
          <w:tcPr>
            <w:cnfStyle w:val="001000000000" w:firstRow="0" w:lastRow="0" w:firstColumn="1" w:lastColumn="0" w:oddVBand="0" w:evenVBand="0" w:oddHBand="0" w:evenHBand="0" w:firstRowFirstColumn="0" w:firstRowLastColumn="0" w:lastRowFirstColumn="0" w:lastRowLastColumn="0"/>
            <w:tcW w:w="2291" w:type="dxa"/>
            <w:shd w:val="clear" w:color="auto" w:fill="auto"/>
          </w:tcPr>
          <w:p w14:paraId="12FA754C" w14:textId="77777777" w:rsidR="00157285" w:rsidRPr="00E755BF" w:rsidRDefault="00157285" w:rsidP="00776D4D">
            <w:pPr>
              <w:rPr>
                <w:i/>
                <w:sz w:val="18"/>
                <w:szCs w:val="18"/>
              </w:rPr>
            </w:pPr>
            <w:r w:rsidRPr="00E755BF">
              <w:rPr>
                <w:i/>
                <w:sz w:val="18"/>
                <w:szCs w:val="18"/>
              </w:rPr>
              <w:t>Title of review</w:t>
            </w:r>
          </w:p>
        </w:tc>
        <w:tc>
          <w:tcPr>
            <w:tcW w:w="2411" w:type="dxa"/>
            <w:shd w:val="clear" w:color="auto" w:fill="auto"/>
          </w:tcPr>
          <w:p w14:paraId="2D728FFF" w14:textId="77777777" w:rsidR="00157285" w:rsidRPr="00E755BF" w:rsidRDefault="00157285"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Entity or organisation that undertook review</w:t>
            </w:r>
          </w:p>
        </w:tc>
        <w:tc>
          <w:tcPr>
            <w:tcW w:w="2337" w:type="dxa"/>
          </w:tcPr>
          <w:p w14:paraId="1F0AE3A2" w14:textId="77777777" w:rsidR="00157285" w:rsidRPr="00E755BF" w:rsidRDefault="00157285"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Summarise Terms of Reference</w:t>
            </w:r>
          </w:p>
        </w:tc>
        <w:tc>
          <w:tcPr>
            <w:tcW w:w="2101" w:type="dxa"/>
          </w:tcPr>
          <w:p w14:paraId="7FCB87F4" w14:textId="77777777" w:rsidR="00157285" w:rsidRPr="00E755BF" w:rsidRDefault="00157285" w:rsidP="00157285">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Date review completed</w:t>
            </w:r>
          </w:p>
        </w:tc>
      </w:tr>
    </w:tbl>
    <w:p w14:paraId="27F876CF" w14:textId="77777777" w:rsidR="00374170" w:rsidRDefault="00374170" w:rsidP="00157285">
      <w:pPr>
        <w:rPr>
          <w:lang w:eastAsia="en-US"/>
        </w:rPr>
      </w:pPr>
      <w:r>
        <w:rPr>
          <w:lang w:eastAsia="en-US"/>
        </w:rPr>
        <w:t>If no major external reviews were carried out:</w:t>
      </w:r>
    </w:p>
    <w:p w14:paraId="01F2AF7B" w14:textId="77777777" w:rsidR="00374170" w:rsidRPr="00DA0548" w:rsidRDefault="00374170" w:rsidP="00157285">
      <w:pPr>
        <w:rPr>
          <w:i/>
          <w:lang w:eastAsia="en-US"/>
        </w:rPr>
      </w:pPr>
      <w:r>
        <w:rPr>
          <w:i/>
          <w:lang w:eastAsia="en-US"/>
        </w:rPr>
        <w:t>‘</w:t>
      </w:r>
      <w:r w:rsidRPr="00DA0548">
        <w:rPr>
          <w:i/>
          <w:lang w:eastAsia="en-US"/>
        </w:rPr>
        <w:t xml:space="preserve">There were no major external reviews carried out on the entity during the </w:t>
      </w:r>
      <w:r>
        <w:rPr>
          <w:i/>
          <w:lang w:eastAsia="en-US"/>
        </w:rPr>
        <w:t>20</w:t>
      </w:r>
      <w:r w:rsidR="005B35C5">
        <w:rPr>
          <w:i/>
          <w:lang w:eastAsia="en-US"/>
        </w:rPr>
        <w:t>1Y</w:t>
      </w:r>
      <w:r>
        <w:rPr>
          <w:i/>
          <w:lang w:eastAsia="en-US"/>
        </w:rPr>
        <w:t>-</w:t>
      </w:r>
      <w:r w:rsidR="005B35C5">
        <w:rPr>
          <w:i/>
          <w:lang w:eastAsia="en-US"/>
        </w:rPr>
        <w:t>1</w:t>
      </w:r>
      <w:r w:rsidR="00133B1C">
        <w:rPr>
          <w:i/>
          <w:lang w:eastAsia="en-US"/>
        </w:rPr>
        <w:t>X</w:t>
      </w:r>
      <w:r w:rsidRPr="00DA0548">
        <w:rPr>
          <w:i/>
          <w:lang w:eastAsia="en-US"/>
        </w:rPr>
        <w:t xml:space="preserve"> financial year.</w:t>
      </w:r>
      <w:r>
        <w:rPr>
          <w:i/>
          <w:lang w:eastAsia="en-US"/>
        </w:rPr>
        <w:t>’</w:t>
      </w:r>
    </w:p>
    <w:p w14:paraId="5642B1B6" w14:textId="77777777" w:rsidR="00374170" w:rsidRPr="005F4032" w:rsidRDefault="00374170" w:rsidP="00374170">
      <w:pPr>
        <w:pStyle w:val="Bullet1"/>
        <w:tabs>
          <w:tab w:val="clear" w:pos="360"/>
          <w:tab w:val="num" w:pos="283"/>
        </w:tabs>
        <w:spacing w:before="0" w:after="0" w:line="260" w:lineRule="atLeast"/>
        <w:ind w:left="283" w:hanging="283"/>
        <w:contextualSpacing w:val="0"/>
        <w:rPr>
          <w:b/>
          <w:lang w:eastAsia="en-US"/>
        </w:rPr>
      </w:pPr>
      <w:r w:rsidRPr="005F4032">
        <w:rPr>
          <w:b/>
          <w:lang w:eastAsia="en-US"/>
        </w:rPr>
        <w:t>details of major research and development activities undertaken by the entity</w:t>
      </w:r>
      <w:r w:rsidR="00133B1C">
        <w:rPr>
          <w:b/>
          <w:lang w:eastAsia="en-US"/>
        </w:rPr>
        <w:t>;</w:t>
      </w:r>
    </w:p>
    <w:p w14:paraId="57A87D84" w14:textId="77777777" w:rsidR="00374170" w:rsidRDefault="00374170" w:rsidP="00374170">
      <w:pPr>
        <w:rPr>
          <w:lang w:eastAsia="en-US"/>
        </w:rPr>
      </w:pPr>
      <w:r>
        <w:rPr>
          <w:lang w:eastAsia="en-US"/>
        </w:rPr>
        <w:t>Note:</w:t>
      </w:r>
    </w:p>
    <w:p w14:paraId="75E41F18" w14:textId="77777777" w:rsidR="00374170" w:rsidRDefault="00374170" w:rsidP="00133B1C">
      <w:pPr>
        <w:pStyle w:val="Bullet2"/>
        <w:rPr>
          <w:lang w:eastAsia="en-US"/>
        </w:rPr>
      </w:pPr>
      <w:r>
        <w:rPr>
          <w:lang w:eastAsia="en-US"/>
        </w:rPr>
        <w:t xml:space="preserve">In defining ‘major’ it is recommended that existing tender thresholds be used. (e.g. costs in excess of $100 000 conducted either externally or by internal officers). </w:t>
      </w:r>
    </w:p>
    <w:p w14:paraId="4B89DC5F" w14:textId="77777777" w:rsidR="00374170" w:rsidRDefault="00374170" w:rsidP="00133B1C">
      <w:pPr>
        <w:pStyle w:val="Bullet2"/>
        <w:rPr>
          <w:lang w:eastAsia="en-US"/>
        </w:rPr>
      </w:pPr>
      <w:r>
        <w:rPr>
          <w:lang w:eastAsia="en-US"/>
        </w:rPr>
        <w:t>Major research and development may have resulted in a report to the Chief Executive Officer, Secretary and/or Minister; a published report, media article or public discussion paper.</w:t>
      </w:r>
    </w:p>
    <w:p w14:paraId="02D7FDB6" w14:textId="77777777" w:rsidR="00374170" w:rsidRDefault="00374170" w:rsidP="00374170">
      <w:pPr>
        <w:pStyle w:val="Spacer"/>
        <w:rPr>
          <w:lang w:eastAsia="en-US"/>
        </w:rPr>
      </w:pPr>
    </w:p>
    <w:tbl>
      <w:tblPr>
        <w:tblStyle w:val="TableGrid"/>
        <w:tblW w:w="0" w:type="auto"/>
        <w:tblLook w:val="04A0" w:firstRow="1" w:lastRow="0" w:firstColumn="1" w:lastColumn="0" w:noHBand="0" w:noVBand="1"/>
      </w:tblPr>
      <w:tblGrid>
        <w:gridCol w:w="3046"/>
        <w:gridCol w:w="3048"/>
        <w:gridCol w:w="3046"/>
      </w:tblGrid>
      <w:tr w:rsidR="00133B1C" w14:paraId="2C5EBF98"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32CD063" w14:textId="77777777" w:rsidR="00133B1C" w:rsidRPr="00E70B10" w:rsidRDefault="00133B1C" w:rsidP="00133B1C">
            <w:pPr>
              <w:rPr>
                <w:b/>
                <w:sz w:val="18"/>
                <w:szCs w:val="18"/>
              </w:rPr>
            </w:pPr>
            <w:r>
              <w:rPr>
                <w:b/>
                <w:sz w:val="18"/>
                <w:szCs w:val="18"/>
              </w:rPr>
              <w:t>Major review</w:t>
            </w:r>
          </w:p>
        </w:tc>
        <w:tc>
          <w:tcPr>
            <w:tcW w:w="3081" w:type="dxa"/>
          </w:tcPr>
          <w:p w14:paraId="59433251" w14:textId="77777777" w:rsidR="00133B1C" w:rsidRPr="00E70B10" w:rsidRDefault="00133B1C"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Conducted by </w:t>
            </w:r>
          </w:p>
        </w:tc>
        <w:tc>
          <w:tcPr>
            <w:tcW w:w="3081" w:type="dxa"/>
          </w:tcPr>
          <w:p w14:paraId="01EE41CB" w14:textId="77777777" w:rsidR="00133B1C" w:rsidRPr="00E70B10" w:rsidRDefault="00133B1C"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Purpose</w:t>
            </w:r>
          </w:p>
        </w:tc>
      </w:tr>
      <w:tr w:rsidR="00133B1C" w14:paraId="5BBDC045"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49E90290" w14:textId="77777777" w:rsidR="00133B1C" w:rsidRPr="00E755BF" w:rsidRDefault="00133B1C" w:rsidP="00776D4D">
            <w:pPr>
              <w:rPr>
                <w:i/>
                <w:sz w:val="18"/>
                <w:szCs w:val="18"/>
              </w:rPr>
            </w:pPr>
            <w:r w:rsidRPr="00E755BF">
              <w:rPr>
                <w:i/>
                <w:sz w:val="18"/>
                <w:szCs w:val="18"/>
              </w:rPr>
              <w:t>Title of research and development</w:t>
            </w:r>
          </w:p>
        </w:tc>
        <w:tc>
          <w:tcPr>
            <w:tcW w:w="3081" w:type="dxa"/>
            <w:shd w:val="clear" w:color="auto" w:fill="auto"/>
          </w:tcPr>
          <w:p w14:paraId="0B141EB7" w14:textId="77777777" w:rsidR="00133B1C" w:rsidRPr="00E755BF" w:rsidRDefault="00133B1C"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 xml:space="preserve">Entity or organisation that undertook research and development </w:t>
            </w:r>
          </w:p>
        </w:tc>
        <w:tc>
          <w:tcPr>
            <w:tcW w:w="3081" w:type="dxa"/>
          </w:tcPr>
          <w:p w14:paraId="1DEB0223" w14:textId="77777777" w:rsidR="00133B1C" w:rsidRPr="00E755BF" w:rsidRDefault="00133B1C"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 xml:space="preserve">Summarise terms of reference </w:t>
            </w:r>
          </w:p>
        </w:tc>
      </w:tr>
    </w:tbl>
    <w:p w14:paraId="198602D1" w14:textId="77777777" w:rsidR="00374170" w:rsidRDefault="00374170" w:rsidP="00133B1C">
      <w:pPr>
        <w:rPr>
          <w:lang w:eastAsia="en-US"/>
        </w:rPr>
      </w:pPr>
      <w:r>
        <w:rPr>
          <w:lang w:eastAsia="en-US"/>
        </w:rPr>
        <w:t>If no major research or development activity was carried out:</w:t>
      </w:r>
    </w:p>
    <w:p w14:paraId="4526C70B" w14:textId="77777777" w:rsidR="00374170" w:rsidRDefault="00374170" w:rsidP="00133B1C">
      <w:pPr>
        <w:rPr>
          <w:i/>
          <w:lang w:eastAsia="en-US"/>
        </w:rPr>
      </w:pPr>
      <w:r>
        <w:rPr>
          <w:i/>
          <w:lang w:eastAsia="en-US"/>
        </w:rPr>
        <w:t>‘</w:t>
      </w:r>
      <w:r w:rsidRPr="001122ED">
        <w:rPr>
          <w:i/>
          <w:lang w:eastAsia="en-US"/>
        </w:rPr>
        <w:t xml:space="preserve">There was no major research or development activity carried out on the entity during the </w:t>
      </w:r>
      <w:r w:rsidR="005B35C5">
        <w:rPr>
          <w:i/>
          <w:lang w:eastAsia="en-US"/>
        </w:rPr>
        <w:t>201Y-1X</w:t>
      </w:r>
      <w:r w:rsidR="005B35C5" w:rsidRPr="00DA0548">
        <w:rPr>
          <w:i/>
          <w:lang w:eastAsia="en-US"/>
        </w:rPr>
        <w:t xml:space="preserve"> </w:t>
      </w:r>
      <w:r w:rsidRPr="001122ED">
        <w:rPr>
          <w:i/>
          <w:lang w:eastAsia="en-US"/>
        </w:rPr>
        <w:t>financial year.</w:t>
      </w:r>
      <w:r>
        <w:rPr>
          <w:i/>
          <w:lang w:eastAsia="en-US"/>
        </w:rPr>
        <w:t>’</w:t>
      </w:r>
    </w:p>
    <w:p w14:paraId="7BAED6E5" w14:textId="77777777" w:rsidR="00374170" w:rsidRPr="00DA0548" w:rsidRDefault="00374170" w:rsidP="00374170">
      <w:pPr>
        <w:pStyle w:val="Bullet1"/>
        <w:tabs>
          <w:tab w:val="clear" w:pos="360"/>
          <w:tab w:val="num" w:pos="283"/>
        </w:tabs>
        <w:spacing w:before="0" w:after="0" w:line="260" w:lineRule="atLeast"/>
        <w:ind w:left="283" w:hanging="283"/>
        <w:contextualSpacing w:val="0"/>
        <w:rPr>
          <w:b/>
          <w:lang w:eastAsia="en-US"/>
        </w:rPr>
      </w:pPr>
      <w:r w:rsidRPr="00DA0548">
        <w:rPr>
          <w:b/>
          <w:lang w:eastAsia="en-US"/>
        </w:rPr>
        <w:t>details of overseas visits undertaken including a summary of the objecti</w:t>
      </w:r>
      <w:r w:rsidR="00133B1C">
        <w:rPr>
          <w:b/>
          <w:lang w:eastAsia="en-US"/>
        </w:rPr>
        <w:t>ves and  outcomes of each visit;</w:t>
      </w:r>
    </w:p>
    <w:p w14:paraId="7D771097" w14:textId="77777777" w:rsidR="00374170" w:rsidRDefault="00374170" w:rsidP="00374170">
      <w:pPr>
        <w:rPr>
          <w:lang w:eastAsia="en-US"/>
        </w:rPr>
      </w:pPr>
      <w:r>
        <w:rPr>
          <w:lang w:eastAsia="en-US"/>
        </w:rPr>
        <w:t xml:space="preserve">Note: </w:t>
      </w:r>
    </w:p>
    <w:p w14:paraId="5BC4655E" w14:textId="77777777" w:rsidR="00374170" w:rsidRDefault="00374170" w:rsidP="00133B1C">
      <w:pPr>
        <w:pStyle w:val="Bullet2"/>
        <w:rPr>
          <w:lang w:eastAsia="en-US"/>
        </w:rPr>
      </w:pPr>
      <w:r>
        <w:rPr>
          <w:lang w:eastAsia="en-US"/>
        </w:rPr>
        <w:t>Overseas ‘visits’ are those relating to the official business of the entity. It is questionable whether training or professional development (i.e. attending a course at an overseas institution) should be included.</w:t>
      </w:r>
    </w:p>
    <w:p w14:paraId="1871B260" w14:textId="77777777" w:rsidR="00374170" w:rsidRDefault="00374170" w:rsidP="00133B1C">
      <w:pPr>
        <w:pStyle w:val="Bullet2"/>
        <w:rPr>
          <w:lang w:eastAsia="en-US"/>
        </w:rPr>
      </w:pPr>
      <w:r>
        <w:rPr>
          <w:lang w:eastAsia="en-US"/>
        </w:rPr>
        <w:t xml:space="preserve">In general, before overseas visits are authorised within an organisation, the relevant officer would complete an application which states the purpose and objectives of the visit. </w:t>
      </w:r>
    </w:p>
    <w:p w14:paraId="5CD4BD94" w14:textId="77777777" w:rsidR="00374170" w:rsidRDefault="00374170" w:rsidP="00133B1C">
      <w:pPr>
        <w:pStyle w:val="Bullet2"/>
        <w:rPr>
          <w:lang w:eastAsia="en-US"/>
        </w:rPr>
      </w:pPr>
      <w:r>
        <w:rPr>
          <w:lang w:eastAsia="en-US"/>
        </w:rPr>
        <w:t>Information on the outcome may be more difficult to obtain but should be contained in any report completed by the officer on the overseas visit.</w:t>
      </w:r>
    </w:p>
    <w:tbl>
      <w:tblPr>
        <w:tblStyle w:val="TableGrid"/>
        <w:tblW w:w="0" w:type="auto"/>
        <w:tblLook w:val="04A0" w:firstRow="1" w:lastRow="0" w:firstColumn="1" w:lastColumn="0" w:noHBand="0" w:noVBand="1"/>
      </w:tblPr>
      <w:tblGrid>
        <w:gridCol w:w="2291"/>
        <w:gridCol w:w="2411"/>
        <w:gridCol w:w="2337"/>
        <w:gridCol w:w="2101"/>
      </w:tblGrid>
      <w:tr w:rsidR="00133B1C" w14:paraId="2BF874CA"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6879B326" w14:textId="77777777" w:rsidR="00133B1C" w:rsidRPr="00E70B10" w:rsidRDefault="00133B1C" w:rsidP="00776D4D">
            <w:pPr>
              <w:rPr>
                <w:b/>
                <w:sz w:val="18"/>
                <w:szCs w:val="18"/>
              </w:rPr>
            </w:pPr>
            <w:r>
              <w:rPr>
                <w:b/>
                <w:sz w:val="18"/>
                <w:szCs w:val="18"/>
              </w:rPr>
              <w:lastRenderedPageBreak/>
              <w:t>Officer</w:t>
            </w:r>
          </w:p>
        </w:tc>
        <w:tc>
          <w:tcPr>
            <w:tcW w:w="2411" w:type="dxa"/>
          </w:tcPr>
          <w:p w14:paraId="1FDAB796" w14:textId="77777777" w:rsidR="00133B1C" w:rsidRPr="00E70B10" w:rsidRDefault="00133B1C"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Destination</w:t>
            </w:r>
          </w:p>
        </w:tc>
        <w:tc>
          <w:tcPr>
            <w:tcW w:w="2337" w:type="dxa"/>
          </w:tcPr>
          <w:p w14:paraId="24C1B5DC" w14:textId="77777777" w:rsidR="00133B1C" w:rsidRPr="00E70B10" w:rsidRDefault="00133B1C"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Objective</w:t>
            </w:r>
          </w:p>
        </w:tc>
        <w:tc>
          <w:tcPr>
            <w:tcW w:w="2101" w:type="dxa"/>
          </w:tcPr>
          <w:p w14:paraId="366A6D86" w14:textId="77777777" w:rsidR="00133B1C" w:rsidRDefault="00133B1C"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Outcome </w:t>
            </w:r>
          </w:p>
        </w:tc>
      </w:tr>
      <w:tr w:rsidR="00133B1C" w14:paraId="31C62A6A" w14:textId="77777777" w:rsidTr="00776D4D">
        <w:tc>
          <w:tcPr>
            <w:cnfStyle w:val="001000000000" w:firstRow="0" w:lastRow="0" w:firstColumn="1" w:lastColumn="0" w:oddVBand="0" w:evenVBand="0" w:oddHBand="0" w:evenHBand="0" w:firstRowFirstColumn="0" w:firstRowLastColumn="0" w:lastRowFirstColumn="0" w:lastRowLastColumn="0"/>
            <w:tcW w:w="2291" w:type="dxa"/>
            <w:shd w:val="clear" w:color="auto" w:fill="auto"/>
          </w:tcPr>
          <w:p w14:paraId="75A52B51" w14:textId="77777777" w:rsidR="00133B1C" w:rsidRPr="00E755BF" w:rsidRDefault="00133B1C" w:rsidP="00133B1C">
            <w:pPr>
              <w:rPr>
                <w:i/>
                <w:sz w:val="18"/>
                <w:szCs w:val="18"/>
              </w:rPr>
            </w:pPr>
            <w:r w:rsidRPr="00E755BF">
              <w:rPr>
                <w:i/>
                <w:sz w:val="18"/>
                <w:szCs w:val="18"/>
              </w:rPr>
              <w:t>Title of officer</w:t>
            </w:r>
          </w:p>
        </w:tc>
        <w:tc>
          <w:tcPr>
            <w:tcW w:w="2411" w:type="dxa"/>
            <w:shd w:val="clear" w:color="auto" w:fill="auto"/>
          </w:tcPr>
          <w:p w14:paraId="5C7BBCA2" w14:textId="77777777" w:rsidR="00133B1C" w:rsidRPr="00E755BF" w:rsidRDefault="00133B1C"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p>
        </w:tc>
        <w:tc>
          <w:tcPr>
            <w:tcW w:w="2337" w:type="dxa"/>
          </w:tcPr>
          <w:p w14:paraId="12007696" w14:textId="77777777" w:rsidR="00133B1C" w:rsidRPr="00E755BF" w:rsidRDefault="00133B1C"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From application for overseas travel (e.g. to deliver keynote address at international conference)</w:t>
            </w:r>
          </w:p>
        </w:tc>
        <w:tc>
          <w:tcPr>
            <w:tcW w:w="2101" w:type="dxa"/>
          </w:tcPr>
          <w:p w14:paraId="36D202E7" w14:textId="77777777" w:rsidR="00133B1C" w:rsidRPr="00E755BF" w:rsidRDefault="00133B1C"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p>
        </w:tc>
      </w:tr>
    </w:tbl>
    <w:p w14:paraId="1A55FDD3" w14:textId="77777777" w:rsidR="00133B1C" w:rsidRDefault="00133B1C" w:rsidP="00133B1C">
      <w:pPr>
        <w:pStyle w:val="Bullet1"/>
        <w:numPr>
          <w:ilvl w:val="0"/>
          <w:numId w:val="0"/>
        </w:numPr>
        <w:spacing w:before="0" w:after="0" w:line="260" w:lineRule="atLeast"/>
        <w:ind w:left="283"/>
        <w:contextualSpacing w:val="0"/>
        <w:rPr>
          <w:b/>
          <w:lang w:eastAsia="en-US"/>
        </w:rPr>
      </w:pPr>
    </w:p>
    <w:p w14:paraId="6FF74EE8" w14:textId="77777777" w:rsidR="00374170" w:rsidRPr="00DA0548" w:rsidRDefault="00374170" w:rsidP="00374170">
      <w:pPr>
        <w:pStyle w:val="Bullet1"/>
        <w:tabs>
          <w:tab w:val="clear" w:pos="360"/>
          <w:tab w:val="num" w:pos="283"/>
        </w:tabs>
        <w:spacing w:before="0" w:after="0" w:line="260" w:lineRule="atLeast"/>
        <w:ind w:left="283" w:hanging="283"/>
        <w:contextualSpacing w:val="0"/>
        <w:rPr>
          <w:b/>
          <w:lang w:eastAsia="en-US"/>
        </w:rPr>
      </w:pPr>
      <w:r w:rsidRPr="00DA0548">
        <w:rPr>
          <w:b/>
          <w:lang w:eastAsia="en-US"/>
        </w:rPr>
        <w:t>details of major promotional, public relations and marketing activities undertaken by the entity to develop community awareness</w:t>
      </w:r>
      <w:r w:rsidR="00133B1C">
        <w:rPr>
          <w:b/>
          <w:lang w:eastAsia="en-US"/>
        </w:rPr>
        <w:t xml:space="preserve"> of the entity and its services;</w:t>
      </w:r>
    </w:p>
    <w:p w14:paraId="7D9B1084" w14:textId="77777777" w:rsidR="00374170" w:rsidRDefault="00374170" w:rsidP="00374170">
      <w:pPr>
        <w:rPr>
          <w:lang w:eastAsia="en-US"/>
        </w:rPr>
      </w:pPr>
      <w:r>
        <w:rPr>
          <w:lang w:eastAsia="en-US"/>
        </w:rPr>
        <w:t xml:space="preserve">Note: </w:t>
      </w:r>
    </w:p>
    <w:p w14:paraId="40D58A12" w14:textId="77777777" w:rsidR="00374170" w:rsidRDefault="00374170" w:rsidP="00133B1C">
      <w:pPr>
        <w:pStyle w:val="Bullet2"/>
        <w:rPr>
          <w:lang w:eastAsia="en-US"/>
        </w:rPr>
      </w:pPr>
      <w:r>
        <w:rPr>
          <w:lang w:eastAsia="en-US"/>
        </w:rPr>
        <w:t xml:space="preserve">Only includes activity designed ‘to develop community awareness </w:t>
      </w:r>
      <w:r w:rsidRPr="001122ED">
        <w:rPr>
          <w:b/>
          <w:lang w:eastAsia="en-US"/>
        </w:rPr>
        <w:t>of the entity and its services</w:t>
      </w:r>
      <w:r>
        <w:rPr>
          <w:lang w:eastAsia="en-US"/>
        </w:rPr>
        <w:t>’, but does not include activities designed to raise awareness within the entity itself. This is not all promotional public relations and marketing activity.</w:t>
      </w:r>
    </w:p>
    <w:p w14:paraId="5B1EA097" w14:textId="77777777" w:rsidR="00374170" w:rsidRDefault="00374170" w:rsidP="00133B1C">
      <w:pPr>
        <w:pStyle w:val="Bullet2"/>
        <w:rPr>
          <w:lang w:eastAsia="en-US"/>
        </w:rPr>
      </w:pPr>
      <w:r>
        <w:rPr>
          <w:lang w:eastAsia="en-US"/>
        </w:rPr>
        <w:t xml:space="preserve">Costs refer to relevant external expenditure incurred which is associated with community awareness activities. </w:t>
      </w:r>
    </w:p>
    <w:p w14:paraId="4103A8B5" w14:textId="77777777" w:rsidR="00374170" w:rsidRDefault="00374170" w:rsidP="00133B1C">
      <w:pPr>
        <w:pStyle w:val="Bullet2"/>
        <w:rPr>
          <w:lang w:eastAsia="en-US"/>
        </w:rPr>
      </w:pPr>
      <w:r>
        <w:rPr>
          <w:lang w:eastAsia="en-US"/>
        </w:rPr>
        <w:t xml:space="preserve">In identifying the cost associated with community awareness activities, it may be useful for the entity to use identifiers like project or activity or event codes to track relevant expenditure. </w:t>
      </w:r>
    </w:p>
    <w:p w14:paraId="446BF827" w14:textId="77777777" w:rsidR="00133B1C" w:rsidRDefault="00374170" w:rsidP="005F24D9">
      <w:pPr>
        <w:pStyle w:val="Bullet2"/>
        <w:rPr>
          <w:lang w:eastAsia="en-US"/>
        </w:rPr>
      </w:pPr>
      <w:r>
        <w:rPr>
          <w:lang w:eastAsia="en-US"/>
        </w:rPr>
        <w:t>It may be useful for separate records to be retained for each major community awareness activity.</w:t>
      </w:r>
    </w:p>
    <w:tbl>
      <w:tblPr>
        <w:tblStyle w:val="TableGrid"/>
        <w:tblW w:w="0" w:type="auto"/>
        <w:tblLook w:val="04A0" w:firstRow="1" w:lastRow="0" w:firstColumn="1" w:lastColumn="0" w:noHBand="0" w:noVBand="1"/>
      </w:tblPr>
      <w:tblGrid>
        <w:gridCol w:w="3048"/>
        <w:gridCol w:w="3046"/>
        <w:gridCol w:w="3046"/>
      </w:tblGrid>
      <w:tr w:rsidR="005F24D9" w:rsidRPr="00E70B10" w14:paraId="6CFEA32B"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D1BC62F" w14:textId="77777777" w:rsidR="005F24D9" w:rsidRPr="00E70B10" w:rsidRDefault="005F24D9" w:rsidP="005F24D9">
            <w:pPr>
              <w:rPr>
                <w:b/>
                <w:sz w:val="18"/>
                <w:szCs w:val="18"/>
              </w:rPr>
            </w:pPr>
            <w:r>
              <w:rPr>
                <w:b/>
                <w:sz w:val="18"/>
                <w:szCs w:val="18"/>
              </w:rPr>
              <w:t>Major promotional, public relations or marketing activity</w:t>
            </w:r>
          </w:p>
        </w:tc>
        <w:tc>
          <w:tcPr>
            <w:tcW w:w="3081" w:type="dxa"/>
          </w:tcPr>
          <w:p w14:paraId="2D8EE6FF" w14:textId="77777777" w:rsidR="005F24D9" w:rsidRPr="00E70B10" w:rsidRDefault="005F24D9"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Purpose</w:t>
            </w:r>
          </w:p>
        </w:tc>
        <w:tc>
          <w:tcPr>
            <w:tcW w:w="3081" w:type="dxa"/>
          </w:tcPr>
          <w:p w14:paraId="5E408A18" w14:textId="77777777" w:rsidR="005F24D9" w:rsidRPr="00E70B10" w:rsidRDefault="005F24D9"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Total cost </w:t>
            </w:r>
          </w:p>
        </w:tc>
      </w:tr>
      <w:tr w:rsidR="005F24D9" w:rsidRPr="00133B1C" w14:paraId="461E773C"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7FC68A66" w14:textId="77777777" w:rsidR="005F24D9" w:rsidRPr="00E755BF" w:rsidRDefault="005F24D9" w:rsidP="005F24D9">
            <w:pPr>
              <w:rPr>
                <w:i/>
                <w:sz w:val="18"/>
                <w:szCs w:val="18"/>
              </w:rPr>
            </w:pPr>
            <w:r w:rsidRPr="00E755BF">
              <w:rPr>
                <w:i/>
                <w:sz w:val="18"/>
                <w:szCs w:val="18"/>
              </w:rPr>
              <w:t>Title of activity</w:t>
            </w:r>
          </w:p>
        </w:tc>
        <w:tc>
          <w:tcPr>
            <w:tcW w:w="3081" w:type="dxa"/>
            <w:shd w:val="clear" w:color="auto" w:fill="auto"/>
          </w:tcPr>
          <w:p w14:paraId="7EB86CE7" w14:textId="77777777" w:rsidR="005F24D9" w:rsidRPr="00E755BF" w:rsidRDefault="005F24D9"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What the activity promotes, including community awareness of the entity and its services</w:t>
            </w:r>
          </w:p>
        </w:tc>
        <w:tc>
          <w:tcPr>
            <w:tcW w:w="3081" w:type="dxa"/>
          </w:tcPr>
          <w:p w14:paraId="0436D1E2" w14:textId="77777777" w:rsidR="005F24D9" w:rsidRPr="00E755BF" w:rsidRDefault="005F24D9"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r w:rsidRPr="00E755BF">
              <w:rPr>
                <w:i/>
                <w:sz w:val="18"/>
                <w:szCs w:val="18"/>
              </w:rPr>
              <w:t xml:space="preserve">Total external cost associated with community awareness activities </w:t>
            </w:r>
          </w:p>
        </w:tc>
      </w:tr>
    </w:tbl>
    <w:p w14:paraId="19D1121D" w14:textId="77777777" w:rsidR="005F24D9" w:rsidRDefault="005F24D9" w:rsidP="005F24D9">
      <w:pPr>
        <w:pStyle w:val="Bullet1"/>
        <w:numPr>
          <w:ilvl w:val="0"/>
          <w:numId w:val="0"/>
        </w:numPr>
        <w:spacing w:before="0" w:after="0" w:line="260" w:lineRule="atLeast"/>
        <w:ind w:left="283"/>
        <w:contextualSpacing w:val="0"/>
        <w:rPr>
          <w:b/>
          <w:lang w:eastAsia="en-US"/>
        </w:rPr>
      </w:pPr>
    </w:p>
    <w:p w14:paraId="04B0A9CC" w14:textId="77777777" w:rsidR="00374170" w:rsidRPr="001122ED" w:rsidRDefault="00374170" w:rsidP="00374170">
      <w:pPr>
        <w:pStyle w:val="Bullet1"/>
        <w:tabs>
          <w:tab w:val="clear" w:pos="360"/>
          <w:tab w:val="num" w:pos="283"/>
        </w:tabs>
        <w:spacing w:before="0" w:after="0" w:line="260" w:lineRule="atLeast"/>
        <w:ind w:left="283" w:hanging="283"/>
        <w:contextualSpacing w:val="0"/>
        <w:rPr>
          <w:b/>
          <w:lang w:eastAsia="en-US"/>
        </w:rPr>
      </w:pPr>
      <w:r w:rsidRPr="001122ED">
        <w:rPr>
          <w:b/>
          <w:lang w:eastAsia="en-US"/>
        </w:rPr>
        <w:t>details of assessments and measures undertaken to improve the occupational health and safety of employees</w:t>
      </w:r>
      <w:r w:rsidR="005F24D9">
        <w:rPr>
          <w:b/>
          <w:lang w:eastAsia="en-US"/>
        </w:rPr>
        <w:t>;</w:t>
      </w:r>
    </w:p>
    <w:p w14:paraId="086EA0A0" w14:textId="77777777" w:rsidR="00374170" w:rsidRDefault="00374170" w:rsidP="005F24D9">
      <w:pPr>
        <w:rPr>
          <w:lang w:eastAsia="en-US"/>
        </w:rPr>
      </w:pPr>
      <w:r>
        <w:rPr>
          <w:lang w:eastAsia="en-US"/>
        </w:rPr>
        <w:t xml:space="preserve">Refer to the most recent Department of Treasury and Finance (DTF) Annual Report </w:t>
      </w:r>
      <w:r w:rsidR="005B35C5">
        <w:rPr>
          <w:lang w:eastAsia="en-US"/>
        </w:rPr>
        <w:t>a</w:t>
      </w:r>
      <w:r>
        <w:rPr>
          <w:lang w:eastAsia="en-US"/>
        </w:rPr>
        <w:t>s a guide. Other departments may also have OHS examples in their recent reports.</w:t>
      </w:r>
    </w:p>
    <w:p w14:paraId="1714BF5E" w14:textId="77777777" w:rsidR="00374170" w:rsidRPr="001122ED" w:rsidRDefault="00374170" w:rsidP="00374170">
      <w:pPr>
        <w:pStyle w:val="Bullet1"/>
        <w:tabs>
          <w:tab w:val="clear" w:pos="360"/>
          <w:tab w:val="num" w:pos="283"/>
        </w:tabs>
        <w:spacing w:before="0" w:after="0" w:line="260" w:lineRule="atLeast"/>
        <w:ind w:left="283" w:hanging="283"/>
        <w:contextualSpacing w:val="0"/>
        <w:rPr>
          <w:b/>
          <w:lang w:eastAsia="en-US"/>
        </w:rPr>
      </w:pPr>
      <w:r w:rsidRPr="001122ED">
        <w:rPr>
          <w:b/>
          <w:lang w:eastAsia="en-US"/>
        </w:rPr>
        <w:t>general statement on industrial relations within the entity and details of time lost through industrial accidents and disputes</w:t>
      </w:r>
      <w:r w:rsidR="005F24D9">
        <w:rPr>
          <w:b/>
          <w:lang w:eastAsia="en-US"/>
        </w:rPr>
        <w:t xml:space="preserve">; </w:t>
      </w:r>
      <w:r w:rsidRPr="001122ED">
        <w:rPr>
          <w:b/>
          <w:lang w:eastAsia="en-US"/>
        </w:rPr>
        <w:t>and</w:t>
      </w:r>
    </w:p>
    <w:p w14:paraId="11FE3731" w14:textId="77777777" w:rsidR="00374170" w:rsidRDefault="00374170" w:rsidP="00374170">
      <w:pPr>
        <w:rPr>
          <w:lang w:eastAsia="en-US"/>
        </w:rPr>
      </w:pPr>
      <w:r>
        <w:rPr>
          <w:lang w:eastAsia="en-US"/>
        </w:rPr>
        <w:t>Note:</w:t>
      </w:r>
    </w:p>
    <w:p w14:paraId="6098158F" w14:textId="77777777" w:rsidR="00374170" w:rsidRDefault="00374170" w:rsidP="005F24D9">
      <w:pPr>
        <w:pStyle w:val="Bullet2"/>
        <w:rPr>
          <w:lang w:eastAsia="en-US"/>
        </w:rPr>
      </w:pPr>
      <w:r>
        <w:rPr>
          <w:lang w:eastAsia="en-US"/>
        </w:rPr>
        <w:t>A general industrial relations statement may already be published in the ‘Workforce Data’ section of the entity’s Annual Report. Other possible sources may be the entity’s current human resources or industrial relations strategy</w:t>
      </w:r>
    </w:p>
    <w:p w14:paraId="45800915" w14:textId="77777777" w:rsidR="00374170" w:rsidRDefault="00374170" w:rsidP="005F24D9">
      <w:pPr>
        <w:pStyle w:val="Bullet2"/>
        <w:rPr>
          <w:lang w:eastAsia="en-US"/>
        </w:rPr>
      </w:pPr>
      <w:r>
        <w:rPr>
          <w:lang w:eastAsia="en-US"/>
        </w:rPr>
        <w:t>A general industrial relations statement may include:</w:t>
      </w:r>
    </w:p>
    <w:p w14:paraId="5BE94750" w14:textId="77777777" w:rsidR="00374170" w:rsidRPr="00CF2AE2" w:rsidRDefault="00374170" w:rsidP="00CF2AE2">
      <w:pPr>
        <w:pStyle w:val="Bulletindent2"/>
      </w:pPr>
      <w:r w:rsidRPr="00CF2AE2">
        <w:t>commitment to fair and reasonable treatment of staff</w:t>
      </w:r>
    </w:p>
    <w:p w14:paraId="1F61BC5B" w14:textId="77777777" w:rsidR="00374170" w:rsidRPr="00CF2AE2" w:rsidRDefault="00374170" w:rsidP="00CF2AE2">
      <w:pPr>
        <w:pStyle w:val="Bulletindent2"/>
      </w:pPr>
      <w:r w:rsidRPr="00CF2AE2">
        <w:t>reference to the entity’s dispute resolution process</w:t>
      </w:r>
    </w:p>
    <w:p w14:paraId="03839EF1" w14:textId="77777777" w:rsidR="00CF2AE2" w:rsidRPr="00CF2AE2" w:rsidRDefault="00374170" w:rsidP="00CF2AE2">
      <w:pPr>
        <w:pStyle w:val="Bulletindent2"/>
      </w:pPr>
      <w:r w:rsidRPr="00CF2AE2">
        <w:t>commitment to improved occupational health and safety</w:t>
      </w:r>
    </w:p>
    <w:p w14:paraId="6B7539A6" w14:textId="77777777" w:rsidR="00CF2AE2" w:rsidRDefault="00CF2AE2" w:rsidP="00CF2AE2">
      <w:pPr>
        <w:pStyle w:val="Bulletindent2"/>
        <w:numPr>
          <w:ilvl w:val="0"/>
          <w:numId w:val="0"/>
        </w:numPr>
        <w:rPr>
          <w:lang w:eastAsia="en-US"/>
        </w:rPr>
      </w:pPr>
    </w:p>
    <w:tbl>
      <w:tblPr>
        <w:tblStyle w:val="TableGrid"/>
        <w:tblW w:w="0" w:type="auto"/>
        <w:tblLook w:val="04A0" w:firstRow="1" w:lastRow="0" w:firstColumn="1" w:lastColumn="0" w:noHBand="0" w:noVBand="1"/>
      </w:tblPr>
      <w:tblGrid>
        <w:gridCol w:w="4571"/>
        <w:gridCol w:w="4569"/>
      </w:tblGrid>
      <w:tr w:rsidR="00CF2AE2" w14:paraId="24AB9DB5" w14:textId="77777777" w:rsidTr="00CF2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B3174B1" w14:textId="77777777" w:rsidR="00CF2AE2" w:rsidRPr="00507034" w:rsidRDefault="00CF2AE2" w:rsidP="00CF2AE2">
            <w:pPr>
              <w:pStyle w:val="Bulletindent2"/>
              <w:numPr>
                <w:ilvl w:val="0"/>
                <w:numId w:val="0"/>
              </w:numPr>
              <w:rPr>
                <w:sz w:val="18"/>
                <w:szCs w:val="18"/>
              </w:rPr>
            </w:pPr>
          </w:p>
        </w:tc>
        <w:tc>
          <w:tcPr>
            <w:tcW w:w="4621" w:type="dxa"/>
          </w:tcPr>
          <w:p w14:paraId="0356669F" w14:textId="77777777" w:rsidR="00CF2AE2" w:rsidRPr="00507034" w:rsidRDefault="00CF2AE2" w:rsidP="00CF2AE2">
            <w:pPr>
              <w:pStyle w:val="Bulletindent2"/>
              <w:numPr>
                <w:ilvl w:val="0"/>
                <w:numId w:val="0"/>
              </w:numPr>
              <w:cnfStyle w:val="100000000000" w:firstRow="1" w:lastRow="0" w:firstColumn="0" w:lastColumn="0" w:oddVBand="0" w:evenVBand="0" w:oddHBand="0" w:evenHBand="0" w:firstRowFirstColumn="0" w:firstRowLastColumn="0" w:lastRowFirstColumn="0" w:lastRowLastColumn="0"/>
              <w:rPr>
                <w:sz w:val="18"/>
                <w:szCs w:val="18"/>
              </w:rPr>
            </w:pPr>
            <w:r w:rsidRPr="00507034">
              <w:rPr>
                <w:sz w:val="18"/>
                <w:szCs w:val="18"/>
              </w:rPr>
              <w:t xml:space="preserve">Time lost (person days) </w:t>
            </w:r>
          </w:p>
        </w:tc>
      </w:tr>
      <w:tr w:rsidR="00CF2AE2" w14:paraId="6C1534B4" w14:textId="77777777" w:rsidTr="00507034">
        <w:trPr>
          <w:trHeight w:val="533"/>
        </w:trPr>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14:paraId="66CDE837" w14:textId="77777777" w:rsidR="00CF2AE2" w:rsidRPr="00507034" w:rsidRDefault="00CF2AE2" w:rsidP="00CF2AE2">
            <w:pPr>
              <w:pStyle w:val="Bulletindent2"/>
              <w:numPr>
                <w:ilvl w:val="0"/>
                <w:numId w:val="0"/>
              </w:numPr>
              <w:rPr>
                <w:sz w:val="18"/>
                <w:szCs w:val="18"/>
              </w:rPr>
            </w:pPr>
            <w:r w:rsidRPr="00507034">
              <w:rPr>
                <w:sz w:val="18"/>
                <w:szCs w:val="18"/>
              </w:rPr>
              <w:t>Industrial accidents</w:t>
            </w:r>
          </w:p>
        </w:tc>
        <w:tc>
          <w:tcPr>
            <w:tcW w:w="4621" w:type="dxa"/>
            <w:shd w:val="clear" w:color="auto" w:fill="auto"/>
          </w:tcPr>
          <w:p w14:paraId="0452806B" w14:textId="77777777" w:rsidR="00CF2AE2" w:rsidRPr="00507034" w:rsidRDefault="00CF2AE2" w:rsidP="00CF2AE2">
            <w:pPr>
              <w:pStyle w:val="Bulletindent2"/>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p>
        </w:tc>
      </w:tr>
      <w:tr w:rsidR="00CF2AE2" w14:paraId="22AFFCA9" w14:textId="77777777" w:rsidTr="00507034">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21" w:type="dxa"/>
          </w:tcPr>
          <w:p w14:paraId="0493C133" w14:textId="77777777" w:rsidR="00CF2AE2" w:rsidRPr="00507034" w:rsidRDefault="00CF2AE2" w:rsidP="00CF2AE2">
            <w:pPr>
              <w:pStyle w:val="Bulletindent2"/>
              <w:numPr>
                <w:ilvl w:val="0"/>
                <w:numId w:val="0"/>
              </w:numPr>
              <w:rPr>
                <w:sz w:val="18"/>
                <w:szCs w:val="18"/>
              </w:rPr>
            </w:pPr>
            <w:r w:rsidRPr="00507034">
              <w:rPr>
                <w:sz w:val="18"/>
                <w:szCs w:val="18"/>
              </w:rPr>
              <w:t>Industrial disputes</w:t>
            </w:r>
          </w:p>
        </w:tc>
        <w:tc>
          <w:tcPr>
            <w:tcW w:w="4621" w:type="dxa"/>
          </w:tcPr>
          <w:p w14:paraId="336772E8" w14:textId="77777777" w:rsidR="00CF2AE2" w:rsidRPr="00507034" w:rsidRDefault="00CF2AE2" w:rsidP="00CF2AE2">
            <w:pPr>
              <w:pStyle w:val="Bulletindent2"/>
              <w:numPr>
                <w:ilvl w:val="0"/>
                <w:numId w:val="0"/>
              </w:numPr>
              <w:cnfStyle w:val="000000010000" w:firstRow="0" w:lastRow="0" w:firstColumn="0" w:lastColumn="0" w:oddVBand="0" w:evenVBand="0" w:oddHBand="0" w:evenHBand="1" w:firstRowFirstColumn="0" w:firstRowLastColumn="0" w:lastRowFirstColumn="0" w:lastRowLastColumn="0"/>
              <w:rPr>
                <w:sz w:val="18"/>
                <w:szCs w:val="18"/>
              </w:rPr>
            </w:pPr>
          </w:p>
        </w:tc>
      </w:tr>
    </w:tbl>
    <w:p w14:paraId="547C92B8" w14:textId="77777777" w:rsidR="00CF2AE2" w:rsidRDefault="00CF2AE2" w:rsidP="00CF2AE2">
      <w:pPr>
        <w:pStyle w:val="Bullet1"/>
        <w:numPr>
          <w:ilvl w:val="0"/>
          <w:numId w:val="0"/>
        </w:numPr>
        <w:spacing w:before="0" w:after="0" w:line="260" w:lineRule="atLeast"/>
        <w:ind w:left="283"/>
        <w:contextualSpacing w:val="0"/>
        <w:rPr>
          <w:b/>
          <w:lang w:eastAsia="en-US"/>
        </w:rPr>
      </w:pPr>
    </w:p>
    <w:p w14:paraId="4A1586F1" w14:textId="77777777" w:rsidR="00374170" w:rsidRPr="001C2BAB" w:rsidRDefault="00374170" w:rsidP="00374170">
      <w:pPr>
        <w:pStyle w:val="Bullet1"/>
        <w:tabs>
          <w:tab w:val="clear" w:pos="360"/>
          <w:tab w:val="num" w:pos="283"/>
        </w:tabs>
        <w:spacing w:before="0" w:after="0" w:line="260" w:lineRule="atLeast"/>
        <w:ind w:left="283" w:hanging="283"/>
        <w:contextualSpacing w:val="0"/>
        <w:rPr>
          <w:b/>
          <w:lang w:eastAsia="en-US"/>
        </w:rPr>
      </w:pPr>
      <w:r w:rsidRPr="001C2BAB">
        <w:rPr>
          <w:b/>
          <w:lang w:eastAsia="en-US"/>
        </w:rPr>
        <w:t>list of major committees sponsored by the entity, the purposes of each committee and the extent to which the purposes have been achieved.</w:t>
      </w:r>
    </w:p>
    <w:p w14:paraId="36E6AD2F" w14:textId="77777777" w:rsidR="00374170" w:rsidRDefault="00374170" w:rsidP="00374170">
      <w:pPr>
        <w:rPr>
          <w:lang w:eastAsia="en-US"/>
        </w:rPr>
      </w:pPr>
      <w:r>
        <w:rPr>
          <w:lang w:eastAsia="en-US"/>
        </w:rPr>
        <w:t xml:space="preserve">Note: </w:t>
      </w:r>
    </w:p>
    <w:p w14:paraId="4A8EB18D" w14:textId="77777777" w:rsidR="00374170" w:rsidRDefault="00374170" w:rsidP="00CF2AE2">
      <w:pPr>
        <w:pStyle w:val="Bullet2"/>
        <w:rPr>
          <w:lang w:eastAsia="en-US"/>
        </w:rPr>
      </w:pPr>
      <w:r>
        <w:rPr>
          <w:lang w:eastAsia="en-US"/>
        </w:rPr>
        <w:t>‘Major’ committees include those:</w:t>
      </w:r>
    </w:p>
    <w:p w14:paraId="5F3E4104" w14:textId="77777777" w:rsidR="00374170" w:rsidRDefault="00374170" w:rsidP="00CF2AE2">
      <w:pPr>
        <w:pStyle w:val="Bulletindent2"/>
        <w:rPr>
          <w:lang w:eastAsia="en-US"/>
        </w:rPr>
      </w:pPr>
      <w:r>
        <w:rPr>
          <w:lang w:eastAsia="en-US"/>
        </w:rPr>
        <w:t>required by legislation or Ministerial Direction (i.e. Internal Audit Committee); and/or</w:t>
      </w:r>
    </w:p>
    <w:p w14:paraId="72512BA3" w14:textId="77777777" w:rsidR="00374170" w:rsidRDefault="00374170" w:rsidP="00CF2AE2">
      <w:pPr>
        <w:pStyle w:val="Bulletindent2"/>
        <w:rPr>
          <w:lang w:eastAsia="en-US"/>
        </w:rPr>
      </w:pPr>
      <w:r>
        <w:rPr>
          <w:lang w:eastAsia="en-US"/>
        </w:rPr>
        <w:t>chaired by a senior executive of the entity</w:t>
      </w:r>
    </w:p>
    <w:p w14:paraId="2F040FB7" w14:textId="77777777" w:rsidR="00374170" w:rsidRDefault="00374170" w:rsidP="00CF2AE2">
      <w:pPr>
        <w:pStyle w:val="Bullet2"/>
        <w:rPr>
          <w:lang w:eastAsia="en-US"/>
        </w:rPr>
      </w:pPr>
      <w:r>
        <w:rPr>
          <w:lang w:eastAsia="en-US"/>
        </w:rPr>
        <w:t>All major committees should have a Terms of Reference or Charter stating its ‘purpose’.</w:t>
      </w:r>
    </w:p>
    <w:tbl>
      <w:tblPr>
        <w:tblStyle w:val="TableGrid"/>
        <w:tblW w:w="0" w:type="auto"/>
        <w:tblLook w:val="04A0" w:firstRow="1" w:lastRow="0" w:firstColumn="1" w:lastColumn="0" w:noHBand="0" w:noVBand="1"/>
      </w:tblPr>
      <w:tblGrid>
        <w:gridCol w:w="3047"/>
        <w:gridCol w:w="3046"/>
        <w:gridCol w:w="3047"/>
      </w:tblGrid>
      <w:tr w:rsidR="00CF2AE2" w:rsidRPr="00E70B10" w14:paraId="1572D37F"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9DBB0ED" w14:textId="77777777" w:rsidR="00CF2AE2" w:rsidRPr="00E70B10" w:rsidRDefault="00CF2AE2" w:rsidP="00776D4D">
            <w:pPr>
              <w:rPr>
                <w:b/>
                <w:sz w:val="18"/>
                <w:szCs w:val="18"/>
              </w:rPr>
            </w:pPr>
            <w:r>
              <w:rPr>
                <w:b/>
                <w:sz w:val="18"/>
                <w:szCs w:val="18"/>
              </w:rPr>
              <w:t>Major committee</w:t>
            </w:r>
          </w:p>
        </w:tc>
        <w:tc>
          <w:tcPr>
            <w:tcW w:w="3081" w:type="dxa"/>
          </w:tcPr>
          <w:p w14:paraId="0C1F5EF3" w14:textId="77777777" w:rsidR="00CF2AE2" w:rsidRPr="00E70B10" w:rsidRDefault="00CF2AE2"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Purpose</w:t>
            </w:r>
          </w:p>
        </w:tc>
        <w:tc>
          <w:tcPr>
            <w:tcW w:w="3081" w:type="dxa"/>
          </w:tcPr>
          <w:p w14:paraId="2A8A4481" w14:textId="77777777" w:rsidR="00CF2AE2" w:rsidRPr="00E70B10" w:rsidRDefault="00CF2AE2"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Extent of purpose achieved </w:t>
            </w:r>
          </w:p>
        </w:tc>
      </w:tr>
      <w:tr w:rsidR="00CF2AE2" w:rsidRPr="00133B1C" w14:paraId="2B50C77D"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71285F50" w14:textId="77777777" w:rsidR="00CF2AE2" w:rsidRPr="00507034" w:rsidRDefault="00CF2AE2" w:rsidP="00776D4D">
            <w:pPr>
              <w:rPr>
                <w:i/>
                <w:sz w:val="18"/>
                <w:szCs w:val="18"/>
              </w:rPr>
            </w:pPr>
            <w:r w:rsidRPr="00507034">
              <w:rPr>
                <w:i/>
                <w:sz w:val="18"/>
                <w:szCs w:val="18"/>
              </w:rPr>
              <w:t>Committee name</w:t>
            </w:r>
          </w:p>
        </w:tc>
        <w:tc>
          <w:tcPr>
            <w:tcW w:w="3081" w:type="dxa"/>
            <w:shd w:val="clear" w:color="auto" w:fill="auto"/>
          </w:tcPr>
          <w:p w14:paraId="34DD7866" w14:textId="77777777" w:rsidR="00CF2AE2" w:rsidRPr="00507034" w:rsidRDefault="00CF2AE2"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p>
        </w:tc>
        <w:tc>
          <w:tcPr>
            <w:tcW w:w="3081" w:type="dxa"/>
          </w:tcPr>
          <w:p w14:paraId="2F60B01B" w14:textId="77777777" w:rsidR="00CF2AE2" w:rsidRPr="00507034" w:rsidRDefault="00CF2AE2"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p>
        </w:tc>
      </w:tr>
      <w:tr w:rsidR="00CF2AE2" w:rsidRPr="00133B1C" w14:paraId="3649847B" w14:textId="77777777" w:rsidTr="00CF2A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501CB6B" w14:textId="77777777" w:rsidR="00CF2AE2" w:rsidRPr="00507034" w:rsidRDefault="00CF2AE2" w:rsidP="00776D4D">
            <w:pPr>
              <w:rPr>
                <w:i/>
                <w:sz w:val="18"/>
                <w:szCs w:val="18"/>
              </w:rPr>
            </w:pPr>
            <w:r w:rsidRPr="00507034">
              <w:rPr>
                <w:i/>
                <w:sz w:val="18"/>
                <w:szCs w:val="18"/>
              </w:rPr>
              <w:t>Committee name</w:t>
            </w:r>
          </w:p>
        </w:tc>
        <w:tc>
          <w:tcPr>
            <w:tcW w:w="3081" w:type="dxa"/>
          </w:tcPr>
          <w:p w14:paraId="40E5ACE0" w14:textId="77777777" w:rsidR="00CF2AE2" w:rsidRPr="00507034" w:rsidRDefault="00CF2AE2" w:rsidP="00776D4D">
            <w:pPr>
              <w:cnfStyle w:val="000000010000" w:firstRow="0" w:lastRow="0" w:firstColumn="0" w:lastColumn="0" w:oddVBand="0" w:evenVBand="0" w:oddHBand="0" w:evenHBand="1" w:firstRowFirstColumn="0" w:firstRowLastColumn="0" w:lastRowFirstColumn="0" w:lastRowLastColumn="0"/>
              <w:rPr>
                <w:i/>
                <w:sz w:val="18"/>
                <w:szCs w:val="18"/>
              </w:rPr>
            </w:pPr>
          </w:p>
        </w:tc>
        <w:tc>
          <w:tcPr>
            <w:tcW w:w="3081" w:type="dxa"/>
          </w:tcPr>
          <w:p w14:paraId="4625E185" w14:textId="77777777" w:rsidR="00CF2AE2" w:rsidRPr="00507034" w:rsidRDefault="00CF2AE2" w:rsidP="00776D4D">
            <w:pPr>
              <w:cnfStyle w:val="000000010000" w:firstRow="0" w:lastRow="0" w:firstColumn="0" w:lastColumn="0" w:oddVBand="0" w:evenVBand="0" w:oddHBand="0" w:evenHBand="1" w:firstRowFirstColumn="0" w:firstRowLastColumn="0" w:lastRowFirstColumn="0" w:lastRowLastColumn="0"/>
              <w:rPr>
                <w:i/>
                <w:sz w:val="18"/>
                <w:szCs w:val="18"/>
              </w:rPr>
            </w:pPr>
          </w:p>
        </w:tc>
      </w:tr>
      <w:tr w:rsidR="00CF2AE2" w:rsidRPr="00133B1C" w14:paraId="44458A1C"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3D6C425E" w14:textId="77777777" w:rsidR="00CF2AE2" w:rsidRPr="00507034" w:rsidRDefault="00CF2AE2" w:rsidP="00776D4D">
            <w:pPr>
              <w:rPr>
                <w:i/>
                <w:sz w:val="18"/>
                <w:szCs w:val="18"/>
              </w:rPr>
            </w:pPr>
            <w:r w:rsidRPr="00507034">
              <w:rPr>
                <w:i/>
                <w:sz w:val="18"/>
                <w:szCs w:val="18"/>
              </w:rPr>
              <w:t>Committee name</w:t>
            </w:r>
          </w:p>
        </w:tc>
        <w:tc>
          <w:tcPr>
            <w:tcW w:w="3081" w:type="dxa"/>
            <w:shd w:val="clear" w:color="auto" w:fill="auto"/>
          </w:tcPr>
          <w:p w14:paraId="7D3AE843" w14:textId="77777777" w:rsidR="00CF2AE2" w:rsidRPr="00507034" w:rsidRDefault="00CF2AE2" w:rsidP="00776D4D">
            <w:pPr>
              <w:cnfStyle w:val="000000000000" w:firstRow="0" w:lastRow="0" w:firstColumn="0" w:lastColumn="0" w:oddVBand="0" w:evenVBand="0" w:oddHBand="0" w:evenHBand="0" w:firstRowFirstColumn="0" w:firstRowLastColumn="0" w:lastRowFirstColumn="0" w:lastRowLastColumn="0"/>
              <w:rPr>
                <w:i/>
                <w:sz w:val="18"/>
                <w:szCs w:val="18"/>
              </w:rPr>
            </w:pPr>
          </w:p>
        </w:tc>
        <w:tc>
          <w:tcPr>
            <w:tcW w:w="3081" w:type="dxa"/>
          </w:tcPr>
          <w:p w14:paraId="57ED438E" w14:textId="77777777" w:rsidR="00CF2AE2" w:rsidRPr="00507034" w:rsidRDefault="00CF2AE2" w:rsidP="00776D4D">
            <w:pPr>
              <w:cnfStyle w:val="000000000000" w:firstRow="0" w:lastRow="0" w:firstColumn="0" w:lastColumn="0" w:oddVBand="0" w:evenVBand="0" w:oddHBand="0" w:evenHBand="0" w:firstRowFirstColumn="0" w:firstRowLastColumn="0" w:lastRowFirstColumn="0" w:lastRowLastColumn="0"/>
              <w:rPr>
                <w:i/>
                <w:sz w:val="18"/>
                <w:szCs w:val="18"/>
              </w:rPr>
            </w:pPr>
          </w:p>
        </w:tc>
      </w:tr>
    </w:tbl>
    <w:p w14:paraId="3AD020C0" w14:textId="77777777" w:rsidR="00CF2AE2" w:rsidRPr="00CF2AE2" w:rsidRDefault="00CF2AE2" w:rsidP="00CF2AE2">
      <w:pPr>
        <w:spacing w:before="0" w:after="120" w:line="240" w:lineRule="auto"/>
        <w:ind w:left="360"/>
        <w:rPr>
          <w:b/>
        </w:rPr>
      </w:pPr>
    </w:p>
    <w:p w14:paraId="5D8531A7" w14:textId="77777777" w:rsidR="00374170" w:rsidRPr="00BD5F06" w:rsidRDefault="00374170" w:rsidP="00374170">
      <w:pPr>
        <w:numPr>
          <w:ilvl w:val="0"/>
          <w:numId w:val="36"/>
        </w:numPr>
        <w:spacing w:before="0" w:after="120" w:line="240" w:lineRule="auto"/>
        <w:rPr>
          <w:b/>
        </w:rPr>
      </w:pPr>
      <w:r w:rsidRPr="00BD5F06">
        <w:rPr>
          <w:b/>
          <w:color w:val="000000"/>
        </w:rPr>
        <w:t>details of all consultancies and contractors including:</w:t>
      </w:r>
    </w:p>
    <w:p w14:paraId="59CEAD95" w14:textId="77777777" w:rsidR="00374170" w:rsidRPr="004F1A56" w:rsidRDefault="00374170" w:rsidP="00CF2AE2">
      <w:pPr>
        <w:pStyle w:val="Bullet2"/>
        <w:rPr>
          <w:lang w:eastAsia="en-US"/>
        </w:rPr>
      </w:pPr>
      <w:r w:rsidRPr="004F1A56">
        <w:rPr>
          <w:lang w:eastAsia="en-US"/>
        </w:rPr>
        <w:t xml:space="preserve">consultants/contractors engaged; </w:t>
      </w:r>
    </w:p>
    <w:p w14:paraId="68E605C4" w14:textId="77777777" w:rsidR="00374170" w:rsidRPr="004F1A56" w:rsidRDefault="00374170" w:rsidP="00CF2AE2">
      <w:pPr>
        <w:pStyle w:val="Bullet2"/>
        <w:rPr>
          <w:lang w:eastAsia="en-US"/>
        </w:rPr>
      </w:pPr>
      <w:r w:rsidRPr="004F1A56">
        <w:rPr>
          <w:lang w:eastAsia="en-US"/>
        </w:rPr>
        <w:t>services provided; and</w:t>
      </w:r>
    </w:p>
    <w:p w14:paraId="5B782BD5" w14:textId="77777777" w:rsidR="00374170" w:rsidRPr="004F1A56" w:rsidRDefault="00374170" w:rsidP="00CF2AE2">
      <w:pPr>
        <w:pStyle w:val="Bullet2"/>
        <w:rPr>
          <w:lang w:eastAsia="en-US"/>
        </w:rPr>
      </w:pPr>
      <w:r w:rsidRPr="004F1A56">
        <w:rPr>
          <w:lang w:eastAsia="en-US"/>
        </w:rPr>
        <w:t>expenditure committed to for each engagement</w:t>
      </w:r>
    </w:p>
    <w:p w14:paraId="2C367F58" w14:textId="77777777" w:rsidR="00374170" w:rsidRDefault="00374170" w:rsidP="00374170">
      <w:pPr>
        <w:rPr>
          <w:lang w:eastAsia="en-US"/>
        </w:rPr>
      </w:pPr>
      <w:r>
        <w:rPr>
          <w:lang w:eastAsia="en-US"/>
        </w:rPr>
        <w:t xml:space="preserve">Note: </w:t>
      </w:r>
    </w:p>
    <w:p w14:paraId="41C01B33" w14:textId="77777777" w:rsidR="00374170" w:rsidRPr="00C87BA5" w:rsidRDefault="00374170" w:rsidP="00507034">
      <w:pPr>
        <w:rPr>
          <w:lang w:eastAsia="en-US"/>
        </w:rPr>
      </w:pPr>
      <w:r w:rsidRPr="00337E35">
        <w:rPr>
          <w:b/>
          <w:lang w:eastAsia="en-US"/>
        </w:rPr>
        <w:t xml:space="preserve">Contractor </w:t>
      </w:r>
      <w:r w:rsidRPr="00C87BA5">
        <w:rPr>
          <w:lang w:eastAsia="en-US"/>
        </w:rPr>
        <w:t xml:space="preserve">– A contractor is an individual or organisation that is formally engaged to provide works or services for or on behalf of an entity. This definition does not apply to casual, fixed-term or temporary employees directly employed by the entity. </w:t>
      </w:r>
      <w:r w:rsidRPr="00C87BA5">
        <w:rPr>
          <w:lang w:eastAsia="en-US"/>
        </w:rPr>
        <w:cr/>
      </w:r>
      <w:r w:rsidRPr="00337E35">
        <w:rPr>
          <w:b/>
          <w:lang w:eastAsia="en-US"/>
        </w:rPr>
        <w:t xml:space="preserve">Consultancy </w:t>
      </w:r>
      <w:r w:rsidRPr="00C87BA5">
        <w:rPr>
          <w:lang w:eastAsia="en-US"/>
        </w:rPr>
        <w:t>– A consultant is a particular type of contractor that is engaged primarily to perform a discrete task for an entity that facilitates decision making through:</w:t>
      </w:r>
    </w:p>
    <w:p w14:paraId="01E05144" w14:textId="77777777" w:rsidR="00374170" w:rsidRDefault="00374170" w:rsidP="00507034">
      <w:pPr>
        <w:pStyle w:val="Bullet2"/>
        <w:rPr>
          <w:lang w:eastAsia="en-US"/>
        </w:rPr>
      </w:pPr>
      <w:r w:rsidRPr="00C87BA5">
        <w:rPr>
          <w:lang w:eastAsia="en-US"/>
        </w:rPr>
        <w:t>provision of expert analysis and advice; and/or</w:t>
      </w:r>
    </w:p>
    <w:p w14:paraId="159A5A19" w14:textId="77777777" w:rsidR="00374170" w:rsidRDefault="00374170" w:rsidP="00507034">
      <w:pPr>
        <w:pStyle w:val="Bullet2"/>
        <w:rPr>
          <w:lang w:eastAsia="en-US"/>
        </w:rPr>
      </w:pPr>
      <w:r>
        <w:rPr>
          <w:lang w:eastAsia="en-US"/>
        </w:rPr>
        <w:t xml:space="preserve">development of a written report or other intellectual output.  </w:t>
      </w:r>
    </w:p>
    <w:p w14:paraId="5D7F33FE" w14:textId="77777777" w:rsidR="00507034" w:rsidRDefault="00507034" w:rsidP="00507034">
      <w:pPr>
        <w:pStyle w:val="Bullet2"/>
        <w:numPr>
          <w:ilvl w:val="0"/>
          <w:numId w:val="0"/>
        </w:numPr>
        <w:rPr>
          <w:lang w:eastAsia="en-US"/>
        </w:rPr>
      </w:pPr>
    </w:p>
    <w:tbl>
      <w:tblPr>
        <w:tblStyle w:val="TableGrid"/>
        <w:tblW w:w="0" w:type="auto"/>
        <w:tblLook w:val="04A0" w:firstRow="1" w:lastRow="0" w:firstColumn="1" w:lastColumn="0" w:noHBand="0" w:noVBand="1"/>
      </w:tblPr>
      <w:tblGrid>
        <w:gridCol w:w="3060"/>
        <w:gridCol w:w="3037"/>
        <w:gridCol w:w="3043"/>
      </w:tblGrid>
      <w:tr w:rsidR="00507034" w:rsidRPr="00E70B10" w14:paraId="282DEC86" w14:textId="77777777" w:rsidTr="0077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3FA8FFB" w14:textId="77777777" w:rsidR="00507034" w:rsidRPr="00E70B10" w:rsidRDefault="00507034" w:rsidP="00776D4D">
            <w:pPr>
              <w:rPr>
                <w:b/>
                <w:sz w:val="18"/>
                <w:szCs w:val="18"/>
              </w:rPr>
            </w:pPr>
            <w:r>
              <w:rPr>
                <w:b/>
                <w:sz w:val="18"/>
                <w:szCs w:val="18"/>
              </w:rPr>
              <w:t>Consultant/Contractor engaged</w:t>
            </w:r>
          </w:p>
        </w:tc>
        <w:tc>
          <w:tcPr>
            <w:tcW w:w="3081" w:type="dxa"/>
          </w:tcPr>
          <w:p w14:paraId="6E7281EC" w14:textId="77777777" w:rsidR="00507034" w:rsidRPr="00E70B10" w:rsidRDefault="00507034"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Services provided</w:t>
            </w:r>
          </w:p>
        </w:tc>
        <w:tc>
          <w:tcPr>
            <w:tcW w:w="3081" w:type="dxa"/>
          </w:tcPr>
          <w:p w14:paraId="39EF30BF" w14:textId="77777777" w:rsidR="00507034" w:rsidRPr="00E70B10" w:rsidRDefault="00507034" w:rsidP="00776D4D">
            <w:pP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Expenditure committed </w:t>
            </w:r>
          </w:p>
        </w:tc>
      </w:tr>
      <w:tr w:rsidR="00507034" w:rsidRPr="00133B1C" w14:paraId="3E8B1149"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04D7A20E" w14:textId="77777777" w:rsidR="00507034" w:rsidRPr="00507034" w:rsidRDefault="00507034" w:rsidP="00776D4D">
            <w:pPr>
              <w:rPr>
                <w:i/>
                <w:sz w:val="18"/>
                <w:szCs w:val="18"/>
              </w:rPr>
            </w:pPr>
            <w:r w:rsidRPr="00507034">
              <w:rPr>
                <w:i/>
                <w:sz w:val="18"/>
                <w:szCs w:val="18"/>
              </w:rPr>
              <w:t>Consultant/Contractor name</w:t>
            </w:r>
          </w:p>
        </w:tc>
        <w:tc>
          <w:tcPr>
            <w:tcW w:w="3081" w:type="dxa"/>
            <w:shd w:val="clear" w:color="auto" w:fill="auto"/>
          </w:tcPr>
          <w:p w14:paraId="5F70B09A" w14:textId="77777777" w:rsidR="00507034" w:rsidRPr="00507034" w:rsidRDefault="00507034"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p>
        </w:tc>
        <w:tc>
          <w:tcPr>
            <w:tcW w:w="3081" w:type="dxa"/>
          </w:tcPr>
          <w:p w14:paraId="0133E2A9" w14:textId="77777777" w:rsidR="00507034" w:rsidRPr="00507034" w:rsidRDefault="00507034" w:rsidP="00776D4D">
            <w:pPr>
              <w:jc w:val="left"/>
              <w:cnfStyle w:val="000000000000" w:firstRow="0" w:lastRow="0" w:firstColumn="0" w:lastColumn="0" w:oddVBand="0" w:evenVBand="0" w:oddHBand="0" w:evenHBand="0" w:firstRowFirstColumn="0" w:firstRowLastColumn="0" w:lastRowFirstColumn="0" w:lastRowLastColumn="0"/>
              <w:rPr>
                <w:i/>
                <w:sz w:val="18"/>
                <w:szCs w:val="18"/>
              </w:rPr>
            </w:pPr>
          </w:p>
        </w:tc>
      </w:tr>
      <w:tr w:rsidR="00507034" w:rsidRPr="00133B1C" w14:paraId="22EFEA18" w14:textId="77777777" w:rsidTr="00776D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822F795" w14:textId="77777777" w:rsidR="00507034" w:rsidRPr="00507034" w:rsidRDefault="00507034" w:rsidP="00776D4D">
            <w:pPr>
              <w:rPr>
                <w:i/>
                <w:sz w:val="18"/>
                <w:szCs w:val="18"/>
              </w:rPr>
            </w:pPr>
            <w:r w:rsidRPr="00507034">
              <w:rPr>
                <w:i/>
                <w:sz w:val="18"/>
                <w:szCs w:val="18"/>
              </w:rPr>
              <w:t>Consultant/Contractor name</w:t>
            </w:r>
          </w:p>
        </w:tc>
        <w:tc>
          <w:tcPr>
            <w:tcW w:w="3081" w:type="dxa"/>
          </w:tcPr>
          <w:p w14:paraId="7081012B" w14:textId="77777777" w:rsidR="00507034" w:rsidRPr="00507034" w:rsidRDefault="00507034" w:rsidP="00776D4D">
            <w:pPr>
              <w:cnfStyle w:val="000000010000" w:firstRow="0" w:lastRow="0" w:firstColumn="0" w:lastColumn="0" w:oddVBand="0" w:evenVBand="0" w:oddHBand="0" w:evenHBand="1" w:firstRowFirstColumn="0" w:firstRowLastColumn="0" w:lastRowFirstColumn="0" w:lastRowLastColumn="0"/>
              <w:rPr>
                <w:i/>
                <w:sz w:val="18"/>
                <w:szCs w:val="18"/>
              </w:rPr>
            </w:pPr>
          </w:p>
        </w:tc>
        <w:tc>
          <w:tcPr>
            <w:tcW w:w="3081" w:type="dxa"/>
          </w:tcPr>
          <w:p w14:paraId="2016BA25" w14:textId="77777777" w:rsidR="00507034" w:rsidRPr="00507034" w:rsidRDefault="00507034" w:rsidP="00776D4D">
            <w:pPr>
              <w:cnfStyle w:val="000000010000" w:firstRow="0" w:lastRow="0" w:firstColumn="0" w:lastColumn="0" w:oddVBand="0" w:evenVBand="0" w:oddHBand="0" w:evenHBand="1" w:firstRowFirstColumn="0" w:firstRowLastColumn="0" w:lastRowFirstColumn="0" w:lastRowLastColumn="0"/>
              <w:rPr>
                <w:i/>
                <w:sz w:val="18"/>
                <w:szCs w:val="18"/>
              </w:rPr>
            </w:pPr>
          </w:p>
        </w:tc>
      </w:tr>
      <w:tr w:rsidR="00507034" w:rsidRPr="00133B1C" w14:paraId="71271788" w14:textId="77777777" w:rsidTr="00776D4D">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68F46D96" w14:textId="77777777" w:rsidR="00507034" w:rsidRPr="00507034" w:rsidRDefault="00507034" w:rsidP="00776D4D">
            <w:pPr>
              <w:rPr>
                <w:i/>
                <w:sz w:val="18"/>
                <w:szCs w:val="18"/>
              </w:rPr>
            </w:pPr>
            <w:r w:rsidRPr="00507034">
              <w:rPr>
                <w:i/>
                <w:sz w:val="18"/>
                <w:szCs w:val="18"/>
              </w:rPr>
              <w:t>Consultant/Contractor name</w:t>
            </w:r>
          </w:p>
        </w:tc>
        <w:tc>
          <w:tcPr>
            <w:tcW w:w="3081" w:type="dxa"/>
            <w:shd w:val="clear" w:color="auto" w:fill="auto"/>
          </w:tcPr>
          <w:p w14:paraId="041D0FA7" w14:textId="77777777" w:rsidR="00507034" w:rsidRPr="00507034" w:rsidRDefault="00507034" w:rsidP="00776D4D">
            <w:pPr>
              <w:cnfStyle w:val="000000000000" w:firstRow="0" w:lastRow="0" w:firstColumn="0" w:lastColumn="0" w:oddVBand="0" w:evenVBand="0" w:oddHBand="0" w:evenHBand="0" w:firstRowFirstColumn="0" w:firstRowLastColumn="0" w:lastRowFirstColumn="0" w:lastRowLastColumn="0"/>
              <w:rPr>
                <w:i/>
                <w:sz w:val="18"/>
                <w:szCs w:val="18"/>
              </w:rPr>
            </w:pPr>
          </w:p>
        </w:tc>
        <w:tc>
          <w:tcPr>
            <w:tcW w:w="3081" w:type="dxa"/>
          </w:tcPr>
          <w:p w14:paraId="69EE2C51" w14:textId="77777777" w:rsidR="00507034" w:rsidRPr="00507034" w:rsidRDefault="00507034" w:rsidP="00776D4D">
            <w:pPr>
              <w:cnfStyle w:val="000000000000" w:firstRow="0" w:lastRow="0" w:firstColumn="0" w:lastColumn="0" w:oddVBand="0" w:evenVBand="0" w:oddHBand="0" w:evenHBand="0" w:firstRowFirstColumn="0" w:firstRowLastColumn="0" w:lastRowFirstColumn="0" w:lastRowLastColumn="0"/>
              <w:rPr>
                <w:i/>
                <w:sz w:val="18"/>
                <w:szCs w:val="18"/>
              </w:rPr>
            </w:pPr>
          </w:p>
        </w:tc>
      </w:tr>
      <w:bookmarkEnd w:id="0"/>
      <w:bookmarkEnd w:id="1"/>
    </w:tbl>
    <w:p w14:paraId="03BEC322" w14:textId="77777777" w:rsidR="00507034" w:rsidRDefault="00507034" w:rsidP="00507034">
      <w:pPr>
        <w:pStyle w:val="Bullet2"/>
        <w:numPr>
          <w:ilvl w:val="0"/>
          <w:numId w:val="0"/>
        </w:numPr>
        <w:rPr>
          <w:lang w:eastAsia="en-US"/>
        </w:rPr>
      </w:pPr>
    </w:p>
    <w:sectPr w:rsidR="00507034" w:rsidSect="00F417C3">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D8D06" w14:textId="77777777" w:rsidR="00BF0F6D" w:rsidRDefault="00BF0F6D" w:rsidP="002D711A">
      <w:pPr>
        <w:spacing w:after="0" w:line="240" w:lineRule="auto"/>
      </w:pPr>
      <w:r>
        <w:separator/>
      </w:r>
    </w:p>
  </w:endnote>
  <w:endnote w:type="continuationSeparator" w:id="0">
    <w:p w14:paraId="47470ED2" w14:textId="77777777" w:rsidR="00BF0F6D" w:rsidRDefault="00BF0F6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0A92" w14:textId="77777777" w:rsidR="00FC130D" w:rsidRDefault="00FC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FEA9" w14:textId="1E0135C6" w:rsidR="00F417C3" w:rsidRDefault="00FC130D" w:rsidP="004669E3">
    <w:pPr>
      <w:pStyle w:val="Spacer"/>
    </w:pPr>
    <w:r>
      <w:rPr>
        <w:noProof/>
      </w:rPr>
      <mc:AlternateContent>
        <mc:Choice Requires="wps">
          <w:drawing>
            <wp:anchor distT="0" distB="0" distL="114300" distR="114300" simplePos="0" relativeHeight="251674624" behindDoc="0" locked="0" layoutInCell="0" allowOverlap="1" wp14:anchorId="2F789E02" wp14:editId="0F1BFE50">
              <wp:simplePos x="0" y="0"/>
              <wp:positionH relativeFrom="page">
                <wp:posOffset>0</wp:posOffset>
              </wp:positionH>
              <wp:positionV relativeFrom="page">
                <wp:posOffset>10227945</wp:posOffset>
              </wp:positionV>
              <wp:extent cx="7560310" cy="273050"/>
              <wp:effectExtent l="0" t="0" r="0" b="12700"/>
              <wp:wrapNone/>
              <wp:docPr id="1" name="MSIPCM05aa4326b37c8a24b7bd0fb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5C5ED" w14:textId="21F052AB" w:rsidR="00FC130D" w:rsidRPr="00FC130D" w:rsidRDefault="00FC130D" w:rsidP="00FC130D">
                          <w:pPr>
                            <w:spacing w:before="0" w:after="0"/>
                            <w:rPr>
                              <w:rFonts w:ascii="Calibri" w:hAnsi="Calibri" w:cs="Calibri"/>
                              <w:color w:val="000000"/>
                              <w:sz w:val="22"/>
                            </w:rPr>
                          </w:pPr>
                          <w:r w:rsidRPr="00FC130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789E02" id="_x0000_t202" coordsize="21600,21600" o:spt="202" path="m,l,21600r21600,l21600,xe">
              <v:stroke joinstyle="miter"/>
              <v:path gradientshapeok="t" o:connecttype="rect"/>
            </v:shapetype>
            <v:shape id="MSIPCM05aa4326b37c8a24b7bd0fb6"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0HksB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3735C5ED" w14:textId="21F052AB" w:rsidR="00FC130D" w:rsidRPr="00FC130D" w:rsidRDefault="00FC130D" w:rsidP="00FC130D">
                    <w:pPr>
                      <w:spacing w:before="0" w:after="0"/>
                      <w:rPr>
                        <w:rFonts w:ascii="Calibri" w:hAnsi="Calibri" w:cs="Calibri"/>
                        <w:color w:val="000000"/>
                        <w:sz w:val="22"/>
                      </w:rPr>
                    </w:pPr>
                    <w:r w:rsidRPr="00FC130D">
                      <w:rPr>
                        <w:rFonts w:ascii="Calibri" w:hAnsi="Calibri" w:cs="Calibri"/>
                        <w:color w:val="000000"/>
                        <w:sz w:val="22"/>
                      </w:rPr>
                      <w:t>OFFICIAL</w:t>
                    </w:r>
                  </w:p>
                </w:txbxContent>
              </v:textbox>
              <w10:wrap anchorx="page" anchory="page"/>
            </v:shape>
          </w:pict>
        </mc:Fallback>
      </mc:AlternateContent>
    </w:r>
  </w:p>
  <w:p w14:paraId="207285BE" w14:textId="52AECD02"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FC130D">
      <w:rPr>
        <w:b/>
        <w:color w:val="0063A6" w:themeColor="accent1"/>
      </w:rPr>
      <w:t>Compliance with Financial Reporting Direction (FRD) 22</w:t>
    </w:r>
    <w:r w:rsidRPr="00C022F9">
      <w:rPr>
        <w:b/>
        <w:color w:val="0063A6" w:themeColor="accent1"/>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CE579A">
      <w:rPr>
        <w:rStyle w:val="PageNumber"/>
      </w:rPr>
      <w:t>5</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B5B" w14:textId="77777777" w:rsidR="00FC130D" w:rsidRDefault="00FC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0933E" w14:textId="77777777" w:rsidR="00BF0F6D" w:rsidRDefault="00BF0F6D" w:rsidP="002D711A">
      <w:pPr>
        <w:spacing w:after="0" w:line="240" w:lineRule="auto"/>
      </w:pPr>
      <w:r>
        <w:separator/>
      </w:r>
    </w:p>
  </w:footnote>
  <w:footnote w:type="continuationSeparator" w:id="0">
    <w:p w14:paraId="2C50E012" w14:textId="77777777" w:rsidR="00BF0F6D" w:rsidRDefault="00BF0F6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C6E9" w14:textId="77777777" w:rsidR="00FC130D" w:rsidRDefault="00FC1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55CD" w14:textId="77777777" w:rsidR="00F417C3" w:rsidRPr="0041689E" w:rsidRDefault="00F417C3">
    <w:pPr>
      <w:pStyle w:val="Header"/>
    </w:pPr>
    <w:r>
      <w:rPr>
        <w:noProof/>
      </w:rPr>
      <w:drawing>
        <wp:anchor distT="0" distB="0" distL="114300" distR="114300" simplePos="0" relativeHeight="251673600" behindDoc="0" locked="0" layoutInCell="1" allowOverlap="1" wp14:anchorId="381291A3" wp14:editId="3B69F33B">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AA4F02E" wp14:editId="549EF511">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03D6" w14:textId="77777777" w:rsidR="00FC130D" w:rsidRDefault="00FC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7C3692"/>
    <w:multiLevelType w:val="hybridMultilevel"/>
    <w:tmpl w:val="552AB31C"/>
    <w:lvl w:ilvl="0" w:tplc="025CD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EC305F"/>
    <w:multiLevelType w:val="hybridMultilevel"/>
    <w:tmpl w:val="60947040"/>
    <w:lvl w:ilvl="0" w:tplc="FFFFFFFF">
      <w:start w:val="1"/>
      <w:numFmt w:val="bullet"/>
      <w:lvlText w:val="•"/>
      <w:lvlJc w:val="left"/>
    </w:lvl>
    <w:lvl w:ilvl="1" w:tplc="FFFFFFFF">
      <w:start w:val="1"/>
      <w:numFmt w:val="ideographDigital"/>
      <w:lvlText w:val="•"/>
      <w:lvlJc w:val="left"/>
    </w:lvl>
    <w:lvl w:ilvl="2" w:tplc="C6F07A14">
      <w:start w:val="1"/>
      <w:numFmt w:val="bullet"/>
      <w:lvlText w:val=""/>
      <w:lvlJc w:val="left"/>
      <w:pPr>
        <w:tabs>
          <w:tab w:val="num" w:pos="960"/>
        </w:tabs>
        <w:ind w:left="9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C63045"/>
    <w:multiLevelType w:val="hybridMultilevel"/>
    <w:tmpl w:val="552AB31C"/>
    <w:lvl w:ilvl="0" w:tplc="025CD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7F5F26"/>
    <w:multiLevelType w:val="hybridMultilevel"/>
    <w:tmpl w:val="5E4E74A8"/>
    <w:lvl w:ilvl="0" w:tplc="F02416A2">
      <w:start w:val="1"/>
      <w:numFmt w:val="bullet"/>
      <w:lvlText w:val=""/>
      <w:lvlJc w:val="left"/>
      <w:pPr>
        <w:tabs>
          <w:tab w:val="num" w:pos="360"/>
        </w:tabs>
        <w:ind w:left="360" w:hanging="360"/>
      </w:pPr>
      <w:rPr>
        <w:rFonts w:ascii="Symbol" w:hAnsi="Symbol"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F094C"/>
    <w:multiLevelType w:val="hybridMultilevel"/>
    <w:tmpl w:val="BE2E6DCA"/>
    <w:lvl w:ilvl="0" w:tplc="7E4C915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247C39"/>
    <w:multiLevelType w:val="hybridMultilevel"/>
    <w:tmpl w:val="EEAE1C06"/>
    <w:lvl w:ilvl="0" w:tplc="0CAA5C5A">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E452D"/>
    <w:multiLevelType w:val="hybridMultilevel"/>
    <w:tmpl w:val="5A5CEA58"/>
    <w:lvl w:ilvl="0" w:tplc="E38AA1EA">
      <w:numFmt w:val="bullet"/>
      <w:lvlText w:val=""/>
      <w:lvlJc w:val="left"/>
      <w:pPr>
        <w:ind w:left="720" w:hanging="360"/>
      </w:pPr>
      <w:rPr>
        <w:rFonts w:ascii="Symbol" w:eastAsia="Times New Roman" w:hAnsi="Symbol"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E000AD"/>
    <w:multiLevelType w:val="hybridMultilevel"/>
    <w:tmpl w:val="3DE4C738"/>
    <w:lvl w:ilvl="0" w:tplc="0CAA5C5A">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A2327F"/>
    <w:multiLevelType w:val="hybridMultilevel"/>
    <w:tmpl w:val="56FA35D2"/>
    <w:lvl w:ilvl="0" w:tplc="0B5ABAC0">
      <w:numFmt w:val="bullet"/>
      <w:lvlText w:val=""/>
      <w:lvlJc w:val="left"/>
      <w:pPr>
        <w:ind w:left="720" w:hanging="360"/>
      </w:pPr>
      <w:rPr>
        <w:rFonts w:ascii="Symbol" w:eastAsia="Times New Roman" w:hAnsi="Symbol"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C56DEE"/>
    <w:multiLevelType w:val="hybridMultilevel"/>
    <w:tmpl w:val="3B0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4"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3B65B6"/>
    <w:multiLevelType w:val="hybridMultilevel"/>
    <w:tmpl w:val="69CE9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7"/>
  </w:num>
  <w:num w:numId="2">
    <w:abstractNumId w:val="7"/>
  </w:num>
  <w:num w:numId="3">
    <w:abstractNumId w:val="7"/>
  </w:num>
  <w:num w:numId="4">
    <w:abstractNumId w:val="17"/>
  </w:num>
  <w:num w:numId="5">
    <w:abstractNumId w:val="7"/>
  </w:num>
  <w:num w:numId="6">
    <w:abstractNumId w:val="7"/>
  </w:num>
  <w:num w:numId="7">
    <w:abstractNumId w:val="7"/>
  </w:num>
  <w:num w:numId="8">
    <w:abstractNumId w:val="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2"/>
  </w:num>
  <w:num w:numId="18">
    <w:abstractNumId w:val="2"/>
  </w:num>
  <w:num w:numId="19">
    <w:abstractNumId w:val="15"/>
  </w:num>
  <w:num w:numId="20">
    <w:abstractNumId w:val="14"/>
  </w:num>
  <w:num w:numId="21">
    <w:abstractNumId w:val="0"/>
  </w:num>
  <w:num w:numId="22">
    <w:abstractNumId w:val="0"/>
  </w:num>
  <w:num w:numId="23">
    <w:abstractNumId w:val="0"/>
  </w:num>
  <w:num w:numId="24">
    <w:abstractNumId w:val="15"/>
  </w:num>
  <w:num w:numId="25">
    <w:abstractNumId w:val="17"/>
  </w:num>
  <w:num w:numId="26">
    <w:abstractNumId w:val="2"/>
  </w:num>
  <w:num w:numId="27">
    <w:abstractNumId w:val="2"/>
  </w:num>
  <w:num w:numId="28">
    <w:abstractNumId w:val="6"/>
  </w:num>
  <w:num w:numId="29">
    <w:abstractNumId w:val="8"/>
  </w:num>
  <w:num w:numId="30">
    <w:abstractNumId w:val="9"/>
  </w:num>
  <w:num w:numId="31">
    <w:abstractNumId w:val="10"/>
  </w:num>
  <w:num w:numId="32">
    <w:abstractNumId w:val="11"/>
  </w:num>
  <w:num w:numId="33">
    <w:abstractNumId w:val="4"/>
  </w:num>
  <w:num w:numId="34">
    <w:abstractNumId w:val="1"/>
  </w:num>
  <w:num w:numId="35">
    <w:abstractNumId w:val="13"/>
  </w:num>
  <w:num w:numId="36">
    <w:abstractNumId w:val="5"/>
  </w:num>
  <w:num w:numId="37">
    <w:abstractNumId w:val="3"/>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B72"/>
    <w:rsid w:val="00012F6F"/>
    <w:rsid w:val="00014213"/>
    <w:rsid w:val="00014B55"/>
    <w:rsid w:val="00020E3E"/>
    <w:rsid w:val="00023BF3"/>
    <w:rsid w:val="00026811"/>
    <w:rsid w:val="00043296"/>
    <w:rsid w:val="0004356D"/>
    <w:rsid w:val="00045296"/>
    <w:rsid w:val="00075E6C"/>
    <w:rsid w:val="000B29AD"/>
    <w:rsid w:val="000C6372"/>
    <w:rsid w:val="000D2240"/>
    <w:rsid w:val="000D593F"/>
    <w:rsid w:val="000E392D"/>
    <w:rsid w:val="000F4288"/>
    <w:rsid w:val="000F7165"/>
    <w:rsid w:val="00102379"/>
    <w:rsid w:val="001065D6"/>
    <w:rsid w:val="00121252"/>
    <w:rsid w:val="00124609"/>
    <w:rsid w:val="001254CE"/>
    <w:rsid w:val="00126AF9"/>
    <w:rsid w:val="00133B1C"/>
    <w:rsid w:val="00134CEA"/>
    <w:rsid w:val="001422CC"/>
    <w:rsid w:val="00143EDF"/>
    <w:rsid w:val="00157285"/>
    <w:rsid w:val="001617B6"/>
    <w:rsid w:val="00165E66"/>
    <w:rsid w:val="00174234"/>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22715"/>
    <w:rsid w:val="00374170"/>
    <w:rsid w:val="0038771C"/>
    <w:rsid w:val="00392A8F"/>
    <w:rsid w:val="0039405B"/>
    <w:rsid w:val="003A1C92"/>
    <w:rsid w:val="003A541A"/>
    <w:rsid w:val="003A6923"/>
    <w:rsid w:val="003A6C22"/>
    <w:rsid w:val="003C2C67"/>
    <w:rsid w:val="003C2EA2"/>
    <w:rsid w:val="003C5BA4"/>
    <w:rsid w:val="003E3E26"/>
    <w:rsid w:val="003F1295"/>
    <w:rsid w:val="003F76FC"/>
    <w:rsid w:val="004002EB"/>
    <w:rsid w:val="00405C57"/>
    <w:rsid w:val="0041689E"/>
    <w:rsid w:val="004236C8"/>
    <w:rsid w:val="00426895"/>
    <w:rsid w:val="00427681"/>
    <w:rsid w:val="00433DB7"/>
    <w:rsid w:val="00453750"/>
    <w:rsid w:val="00456941"/>
    <w:rsid w:val="004669E3"/>
    <w:rsid w:val="004702EA"/>
    <w:rsid w:val="00482D02"/>
    <w:rsid w:val="004A7519"/>
    <w:rsid w:val="004B41CA"/>
    <w:rsid w:val="004D3518"/>
    <w:rsid w:val="004D62D6"/>
    <w:rsid w:val="00507034"/>
    <w:rsid w:val="0053416C"/>
    <w:rsid w:val="00541C2F"/>
    <w:rsid w:val="00563527"/>
    <w:rsid w:val="0058124E"/>
    <w:rsid w:val="00584301"/>
    <w:rsid w:val="005875A3"/>
    <w:rsid w:val="005A3416"/>
    <w:rsid w:val="005B27FE"/>
    <w:rsid w:val="005B35C5"/>
    <w:rsid w:val="005C3E6D"/>
    <w:rsid w:val="005D1908"/>
    <w:rsid w:val="005F24D9"/>
    <w:rsid w:val="005F331D"/>
    <w:rsid w:val="005F61DF"/>
    <w:rsid w:val="005F6F27"/>
    <w:rsid w:val="006023F9"/>
    <w:rsid w:val="00610559"/>
    <w:rsid w:val="006332F6"/>
    <w:rsid w:val="006361E7"/>
    <w:rsid w:val="00643E02"/>
    <w:rsid w:val="00652625"/>
    <w:rsid w:val="006534B2"/>
    <w:rsid w:val="0065615D"/>
    <w:rsid w:val="00657011"/>
    <w:rsid w:val="006650B5"/>
    <w:rsid w:val="006651B1"/>
    <w:rsid w:val="00665778"/>
    <w:rsid w:val="006738C4"/>
    <w:rsid w:val="006778D0"/>
    <w:rsid w:val="00691C09"/>
    <w:rsid w:val="006A5B34"/>
    <w:rsid w:val="006A5F5B"/>
    <w:rsid w:val="006C77A9"/>
    <w:rsid w:val="006F6693"/>
    <w:rsid w:val="006F7456"/>
    <w:rsid w:val="00707FE8"/>
    <w:rsid w:val="00724962"/>
    <w:rsid w:val="00724A0F"/>
    <w:rsid w:val="0073072C"/>
    <w:rsid w:val="007320B4"/>
    <w:rsid w:val="00732162"/>
    <w:rsid w:val="00736732"/>
    <w:rsid w:val="00750CBE"/>
    <w:rsid w:val="007515D0"/>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491D"/>
    <w:rsid w:val="008471C4"/>
    <w:rsid w:val="00877608"/>
    <w:rsid w:val="00897E45"/>
    <w:rsid w:val="008A4900"/>
    <w:rsid w:val="008D0281"/>
    <w:rsid w:val="008E16CF"/>
    <w:rsid w:val="008E3C4E"/>
    <w:rsid w:val="008F6D45"/>
    <w:rsid w:val="00973B4F"/>
    <w:rsid w:val="009834C0"/>
    <w:rsid w:val="00984C95"/>
    <w:rsid w:val="00986AAC"/>
    <w:rsid w:val="009A1DA2"/>
    <w:rsid w:val="009A3704"/>
    <w:rsid w:val="009A4739"/>
    <w:rsid w:val="009A674F"/>
    <w:rsid w:val="009B199C"/>
    <w:rsid w:val="009B54C8"/>
    <w:rsid w:val="009B61F1"/>
    <w:rsid w:val="009B62E0"/>
    <w:rsid w:val="009C3D88"/>
    <w:rsid w:val="009D79DB"/>
    <w:rsid w:val="009E3858"/>
    <w:rsid w:val="009E70DD"/>
    <w:rsid w:val="009F2ED9"/>
    <w:rsid w:val="009F3231"/>
    <w:rsid w:val="009F5C58"/>
    <w:rsid w:val="00A023A0"/>
    <w:rsid w:val="00A1562B"/>
    <w:rsid w:val="00A170F4"/>
    <w:rsid w:val="00A2559E"/>
    <w:rsid w:val="00A25FD9"/>
    <w:rsid w:val="00A27B90"/>
    <w:rsid w:val="00A46BA8"/>
    <w:rsid w:val="00A47634"/>
    <w:rsid w:val="00A612FE"/>
    <w:rsid w:val="00A97B72"/>
    <w:rsid w:val="00AA26B8"/>
    <w:rsid w:val="00AA6FB5"/>
    <w:rsid w:val="00AB3FE2"/>
    <w:rsid w:val="00AC75F1"/>
    <w:rsid w:val="00AD3322"/>
    <w:rsid w:val="00AD7E4E"/>
    <w:rsid w:val="00AF1410"/>
    <w:rsid w:val="00AF34DE"/>
    <w:rsid w:val="00AF4D58"/>
    <w:rsid w:val="00AF6666"/>
    <w:rsid w:val="00B10154"/>
    <w:rsid w:val="00B81B44"/>
    <w:rsid w:val="00B9053B"/>
    <w:rsid w:val="00BC3422"/>
    <w:rsid w:val="00BF0F6D"/>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579A"/>
    <w:rsid w:val="00CE62B3"/>
    <w:rsid w:val="00CF2AE2"/>
    <w:rsid w:val="00CF7DCA"/>
    <w:rsid w:val="00D211E9"/>
    <w:rsid w:val="00D21845"/>
    <w:rsid w:val="00D2312F"/>
    <w:rsid w:val="00D269C1"/>
    <w:rsid w:val="00D44953"/>
    <w:rsid w:val="00D542F3"/>
    <w:rsid w:val="00D543E5"/>
    <w:rsid w:val="00D5644B"/>
    <w:rsid w:val="00D56E25"/>
    <w:rsid w:val="00D71896"/>
    <w:rsid w:val="00D718D7"/>
    <w:rsid w:val="00D73212"/>
    <w:rsid w:val="00D814B7"/>
    <w:rsid w:val="00D827B3"/>
    <w:rsid w:val="00D90688"/>
    <w:rsid w:val="00DA3AAD"/>
    <w:rsid w:val="00DB312B"/>
    <w:rsid w:val="00DC5654"/>
    <w:rsid w:val="00DC658F"/>
    <w:rsid w:val="00DE60CC"/>
    <w:rsid w:val="00E233ED"/>
    <w:rsid w:val="00E26B32"/>
    <w:rsid w:val="00E31444"/>
    <w:rsid w:val="00E407B6"/>
    <w:rsid w:val="00E41EF1"/>
    <w:rsid w:val="00E42942"/>
    <w:rsid w:val="00E468A6"/>
    <w:rsid w:val="00E70B10"/>
    <w:rsid w:val="00E71BDF"/>
    <w:rsid w:val="00E755BF"/>
    <w:rsid w:val="00E76472"/>
    <w:rsid w:val="00E83CA7"/>
    <w:rsid w:val="00EC171D"/>
    <w:rsid w:val="00ED487E"/>
    <w:rsid w:val="00EE7A0D"/>
    <w:rsid w:val="00EF0D21"/>
    <w:rsid w:val="00F17CE1"/>
    <w:rsid w:val="00F2115C"/>
    <w:rsid w:val="00F22ABA"/>
    <w:rsid w:val="00F36B12"/>
    <w:rsid w:val="00F417C3"/>
    <w:rsid w:val="00F60F9F"/>
    <w:rsid w:val="00F64F08"/>
    <w:rsid w:val="00F65505"/>
    <w:rsid w:val="00F734F5"/>
    <w:rsid w:val="00F966B1"/>
    <w:rsid w:val="00F97D48"/>
    <w:rsid w:val="00FA0311"/>
    <w:rsid w:val="00FC130D"/>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CEF11"/>
  <w15:docId w15:val="{FBDAEC36-D925-4E60-803A-1D3A1F2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Text0">
    <w:name w:val="Table Text"/>
    <w:basedOn w:val="Normal"/>
    <w:uiPriority w:val="15"/>
    <w:qFormat/>
    <w:rsid w:val="005F6F27"/>
    <w:pPr>
      <w:spacing w:before="20" w:after="20" w:line="240" w:lineRule="auto"/>
    </w:pPr>
    <w:rPr>
      <w:rFonts w:ascii="Calibri" w:eastAsia="Times New Roman" w:hAnsi="Calibri" w:cs="Calibri"/>
      <w:color w:val="404040" w:themeColor="text1" w:themeTint="BF"/>
      <w:spacing w:val="0"/>
      <w:szCs w:val="22"/>
    </w:rPr>
  </w:style>
  <w:style w:type="paragraph" w:customStyle="1" w:styleId="TableHeader0">
    <w:name w:val="Table Header"/>
    <w:basedOn w:val="TableText0"/>
    <w:uiPriority w:val="15"/>
    <w:qFormat/>
    <w:rsid w:val="005F6F27"/>
    <w:pPr>
      <w:keepNext/>
      <w:spacing w:before="40" w:after="40"/>
    </w:pPr>
    <w:rPr>
      <w:color w:val="FFFFFF"/>
      <w:sz w:val="24"/>
      <w:lang w:eastAsia="en-US"/>
    </w:rPr>
  </w:style>
  <w:style w:type="paragraph" w:customStyle="1" w:styleId="Heading2NoNum">
    <w:name w:val="Heading 2 NoNum"/>
    <w:basedOn w:val="Heading2"/>
    <w:next w:val="Normal"/>
    <w:uiPriority w:val="4"/>
    <w:qFormat/>
    <w:rsid w:val="005F6F27"/>
    <w:pPr>
      <w:widowControl w:val="0"/>
      <w:spacing w:before="240" w:after="120" w:line="240" w:lineRule="auto"/>
    </w:pPr>
    <w:rPr>
      <w:rFonts w:ascii="Calibri" w:eastAsia="Times New Roman" w:hAnsi="Calibri" w:cs="Calibri"/>
      <w:bCs w:val="0"/>
      <w:color w:val="4D4D4D"/>
      <w:spacing w:val="0"/>
      <w:kern w:val="28"/>
      <w:sz w:val="24"/>
      <w:szCs w:val="22"/>
      <w:lang w:eastAsia="en-US"/>
    </w:rPr>
  </w:style>
  <w:style w:type="paragraph" w:customStyle="1" w:styleId="Heading1NoNum">
    <w:name w:val="Heading 1 NoNum"/>
    <w:basedOn w:val="Heading1"/>
    <w:next w:val="Normal"/>
    <w:uiPriority w:val="4"/>
    <w:qFormat/>
    <w:rsid w:val="005F6F27"/>
    <w:pPr>
      <w:spacing w:before="200" w:after="80" w:line="240" w:lineRule="auto"/>
    </w:pPr>
    <w:rPr>
      <w:rFonts w:ascii="Calibri" w:eastAsia="Times New Roman" w:hAnsi="Calibri" w:cs="Calibri"/>
      <w:b w:val="0"/>
      <w:bCs w:val="0"/>
      <w:color w:val="4D4D4D"/>
      <w:spacing w:val="0"/>
      <w:kern w:val="28"/>
      <w:sz w:val="30"/>
      <w:szCs w:val="22"/>
      <w:lang w:eastAsia="en-US"/>
    </w:rPr>
  </w:style>
  <w:style w:type="paragraph" w:customStyle="1" w:styleId="Default">
    <w:name w:val="Default"/>
    <w:rsid w:val="0037417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Bullet0">
    <w:name w:val="Table Bullet"/>
    <w:basedOn w:val="TableText0"/>
    <w:uiPriority w:val="10"/>
    <w:semiHidden/>
    <w:qFormat/>
    <w:rsid w:val="00374170"/>
    <w:pPr>
      <w:numPr>
        <w:numId w:val="35"/>
      </w:numPr>
      <w:spacing w:before="0" w:after="0"/>
    </w:pPr>
    <w:rPr>
      <w:color w:val="auto"/>
    </w:rPr>
  </w:style>
  <w:style w:type="paragraph" w:customStyle="1" w:styleId="TableBulletDash">
    <w:name w:val="Table Bullet Dash"/>
    <w:basedOn w:val="Normal"/>
    <w:uiPriority w:val="10"/>
    <w:semiHidden/>
    <w:rsid w:val="00374170"/>
    <w:pPr>
      <w:numPr>
        <w:ilvl w:val="1"/>
        <w:numId w:val="35"/>
      </w:numPr>
      <w:spacing w:before="0" w:after="0" w:line="260" w:lineRule="atLeast"/>
    </w:pPr>
    <w:rPr>
      <w:rFonts w:ascii="Calibri" w:eastAsia="Times New Roman" w:hAnsi="Calibri" w:cs="Calibri"/>
      <w:spacing w:val="0"/>
      <w:sz w:val="22"/>
      <w:szCs w:val="22"/>
    </w:rPr>
  </w:style>
  <w:style w:type="paragraph" w:customStyle="1" w:styleId="Bullet3">
    <w:name w:val="Bullet 3"/>
    <w:basedOn w:val="Bullet2"/>
    <w:uiPriority w:val="11"/>
    <w:semiHidden/>
    <w:rsid w:val="00374170"/>
    <w:pPr>
      <w:numPr>
        <w:ilvl w:val="0"/>
        <w:numId w:val="0"/>
      </w:numPr>
      <w:tabs>
        <w:tab w:val="num" w:pos="1644"/>
      </w:tabs>
      <w:spacing w:before="0" w:after="0" w:line="260" w:lineRule="atLeast"/>
      <w:ind w:left="1644" w:hanging="283"/>
      <w:contextualSpacing w:val="0"/>
    </w:pPr>
    <w:rPr>
      <w:rFonts w:ascii="Calibri" w:hAnsi="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019F4E6-0D7E-490B-96DD-07606FF52890}">
  <ds:schemaRefs>
    <ds:schemaRef ds:uri="http://schemas.openxmlformats.org/officeDocument/2006/bibliography"/>
  </ds:schemaRefs>
</ds:datastoreItem>
</file>

<file path=customXml/itemProps2.xml><?xml version="1.0" encoding="utf-8"?>
<ds:datastoreItem xmlns:ds="http://schemas.openxmlformats.org/officeDocument/2006/customXml" ds:itemID="{2BBD93B5-DD8C-45A7-8720-687E4CFB93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Bhavisha Mistry (DTF)</cp:lastModifiedBy>
  <cp:revision>3</cp:revision>
  <cp:lastPrinted>2017-05-24T02:11:00Z</cp:lastPrinted>
  <dcterms:created xsi:type="dcterms:W3CDTF">2017-05-31T01:36:00Z</dcterms:created>
  <dcterms:modified xsi:type="dcterms:W3CDTF">2021-05-27T03:40:00Z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2b393c9d-9d36-4ffb-b0ba-17d637170a38</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2021-05-27T03:40:45Z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4a87690b-3cb8-43e3-bc24-fedea776f7e8</vt:lpwstr>
  </property>
  <property fmtid="{D5CDD505-2E9C-101B-9397-08002B2CF9AE}" pid="10" name="MSIP_Label_7158ebbd-6c5e-441f-bfc9-4eb8c11e3978_ContentBits">
    <vt:lpwstr>2</vt:lpwstr>
  </property>
</Properties>
</file>