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89" w:rsidRPr="00FA266B" w:rsidRDefault="00C15289" w:rsidP="00C15289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 xml:space="preserve">Fact sheet - </w:t>
      </w:r>
      <w:r w:rsidRPr="00C15289">
        <w:rPr>
          <w:lang w:eastAsia="en-US"/>
        </w:rPr>
        <w:t xml:space="preserve">Supplier Panels or </w:t>
      </w:r>
      <w:r>
        <w:rPr>
          <w:lang w:eastAsia="en-US"/>
        </w:rPr>
        <w:br/>
      </w:r>
      <w:r w:rsidRPr="00C15289">
        <w:rPr>
          <w:lang w:eastAsia="en-US"/>
        </w:rPr>
        <w:t>Standing Offer Arrangements</w:t>
      </w:r>
    </w:p>
    <w:p w:rsidR="00C15289" w:rsidRDefault="00C15289" w:rsidP="00C15289">
      <w:pPr>
        <w:pStyle w:val="Heading2"/>
        <w:keepNext w:val="0"/>
        <w:keepLines w:val="0"/>
        <w:tabs>
          <w:tab w:val="left" w:pos="5952"/>
        </w:tabs>
        <w:rPr>
          <w:lang w:eastAsia="en-US"/>
        </w:rPr>
      </w:pPr>
      <w:r>
        <w:rPr>
          <w:lang w:eastAsia="en-US"/>
        </w:rPr>
        <w:t>About this Fact sheet</w:t>
      </w:r>
    </w:p>
    <w:p w:rsidR="0035441B" w:rsidRDefault="0035441B" w:rsidP="0035441B">
      <w:r>
        <w:t>Supplier Panels (sometimes referred to as</w:t>
      </w:r>
      <w:r w:rsidRPr="006A2D92">
        <w:t xml:space="preserve"> </w:t>
      </w:r>
      <w:r>
        <w:t xml:space="preserve">standing offer arrangements) can be created where the existing arrangements for </w:t>
      </w:r>
      <w:r w:rsidR="006D61DE">
        <w:t>s</w:t>
      </w:r>
      <w:r>
        <w:t xml:space="preserve">uppliers, including any </w:t>
      </w:r>
      <w:r w:rsidR="006D61DE">
        <w:t>r</w:t>
      </w:r>
      <w:r>
        <w:t xml:space="preserve">egisters, do not meet the business needs of an Agency. </w:t>
      </w:r>
      <w:r w:rsidR="00277928">
        <w:t>There are various advantages to establishing Supplier Panels</w:t>
      </w:r>
      <w:r w:rsidR="00277928" w:rsidRPr="00277928">
        <w:t xml:space="preserve"> </w:t>
      </w:r>
      <w:r w:rsidR="00277928">
        <w:t xml:space="preserve">for both Agencies and </w:t>
      </w:r>
      <w:r w:rsidR="006D61DE">
        <w:t>s</w:t>
      </w:r>
      <w:r w:rsidR="00277928">
        <w:t>uppliers.</w:t>
      </w:r>
    </w:p>
    <w:p w:rsidR="00C15289" w:rsidRPr="00885779" w:rsidRDefault="00C15289" w:rsidP="00C15289">
      <w:r>
        <w:t>This fact sheet identifies and summarises issues relating to the use of standing offer arrangements. It also seeks to distinguish between Supplier Panels and Registers</w:t>
      </w:r>
      <w:r w:rsidR="006D61DE">
        <w:t xml:space="preserve"> of prequalified suppliers</w:t>
      </w:r>
      <w:r>
        <w:t>.</w:t>
      </w:r>
    </w:p>
    <w:p w:rsidR="00C15289" w:rsidRDefault="00C15289" w:rsidP="00C15289">
      <w:pPr>
        <w:pStyle w:val="Heading2"/>
        <w:tabs>
          <w:tab w:val="left" w:pos="5952"/>
        </w:tabs>
        <w:rPr>
          <w:lang w:eastAsia="en-US"/>
        </w:rPr>
      </w:pPr>
      <w:r>
        <w:rPr>
          <w:lang w:eastAsia="en-US"/>
        </w:rPr>
        <w:t>Help and support</w:t>
      </w:r>
    </w:p>
    <w:p w:rsidR="00C15289" w:rsidRPr="00A64298" w:rsidRDefault="00C15289" w:rsidP="00C15289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do not hesitate to contact the Construction Policy Team on 03 </w:t>
      </w:r>
      <w:r w:rsidR="00B07133">
        <w:rPr>
          <w:rFonts w:cstheme="minorHAnsi"/>
          <w:color w:val="000000"/>
          <w:szCs w:val="21"/>
        </w:rPr>
        <w:t>7005 9533</w:t>
      </w:r>
      <w:bookmarkStart w:id="1" w:name="_GoBack"/>
      <w:bookmarkEnd w:id="1"/>
      <w:r w:rsidRPr="00A64298">
        <w:rPr>
          <w:rFonts w:cstheme="minorHAnsi"/>
          <w:color w:val="000000"/>
          <w:szCs w:val="21"/>
        </w:rPr>
        <w:t xml:space="preserve"> or by email: </w:t>
      </w:r>
      <w:hyperlink r:id="rId9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p w:rsidR="00045296" w:rsidRDefault="0035441B" w:rsidP="0035441B">
      <w:pPr>
        <w:pStyle w:val="Heading2"/>
      </w:pPr>
      <w:r>
        <w:t>Why establish a supplier panel?</w:t>
      </w:r>
    </w:p>
    <w:p w:rsidR="0035441B" w:rsidRDefault="0035441B" w:rsidP="00566C29">
      <w:bookmarkStart w:id="2" w:name="_Toc442780673"/>
      <w:r>
        <w:t xml:space="preserve">Supplier panels make the process of engaging a supplier </w:t>
      </w:r>
      <w:r w:rsidR="00D57B2F">
        <w:t xml:space="preserve">for Works or Construction Services </w:t>
      </w:r>
      <w:r>
        <w:t>more efficient for both the Agency and suppliers.</w:t>
      </w:r>
    </w:p>
    <w:p w:rsidR="0035441B" w:rsidRDefault="0035441B" w:rsidP="00566C29">
      <w:r>
        <w:t>Agencies benefit from:</w:t>
      </w:r>
    </w:p>
    <w:p w:rsidR="0035441B" w:rsidRDefault="003C5C0E" w:rsidP="004C02E5">
      <w:pPr>
        <w:pStyle w:val="ListParagraph"/>
        <w:numPr>
          <w:ilvl w:val="0"/>
          <w:numId w:val="11"/>
        </w:numPr>
      </w:pPr>
      <w:r>
        <w:t>s</w:t>
      </w:r>
      <w:r w:rsidR="0035441B">
        <w:t>impler and faster process to engage a supplier</w:t>
      </w:r>
      <w:r w:rsidR="00661EDD">
        <w:t>;</w:t>
      </w:r>
    </w:p>
    <w:p w:rsidR="0035441B" w:rsidRDefault="003C5C0E" w:rsidP="004C02E5">
      <w:pPr>
        <w:pStyle w:val="ListParagraph"/>
        <w:numPr>
          <w:ilvl w:val="0"/>
          <w:numId w:val="11"/>
        </w:numPr>
      </w:pPr>
      <w:r>
        <w:t>e</w:t>
      </w:r>
      <w:r w:rsidR="0035441B">
        <w:t>stablish</w:t>
      </w:r>
      <w:r>
        <w:t>ing</w:t>
      </w:r>
      <w:r w:rsidR="0035441B">
        <w:t xml:space="preserve"> better relationship</w:t>
      </w:r>
      <w:r>
        <w:t>s</w:t>
      </w:r>
      <w:r w:rsidR="0035441B">
        <w:t xml:space="preserve"> with suppliers on the panel</w:t>
      </w:r>
      <w:r>
        <w:t>; and</w:t>
      </w:r>
    </w:p>
    <w:p w:rsidR="00F01F45" w:rsidRDefault="003C5C0E" w:rsidP="004C02E5">
      <w:pPr>
        <w:pStyle w:val="ListParagraph"/>
        <w:numPr>
          <w:ilvl w:val="0"/>
          <w:numId w:val="11"/>
        </w:numPr>
      </w:pPr>
      <w:r>
        <w:t>opportunities</w:t>
      </w:r>
      <w:r w:rsidR="00F01F45">
        <w:t xml:space="preserve"> to co-operate with like Agencies when procuring similar services.</w:t>
      </w:r>
    </w:p>
    <w:p w:rsidR="0035441B" w:rsidRDefault="0035441B" w:rsidP="00566C29">
      <w:r>
        <w:t xml:space="preserve">Suppliers on </w:t>
      </w:r>
      <w:r w:rsidR="003C5C0E">
        <w:t>a</w:t>
      </w:r>
      <w:r>
        <w:t xml:space="preserve"> panel benefit from: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r</w:t>
      </w:r>
      <w:r w:rsidR="0035441B">
        <w:t>educed co</w:t>
      </w:r>
      <w:r>
        <w:t>st for preparing offers for Works or Construction Services;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developing a b</w:t>
      </w:r>
      <w:r w:rsidR="0035441B">
        <w:t xml:space="preserve">etter understanding of a program of </w:t>
      </w:r>
      <w:r>
        <w:t>W</w:t>
      </w:r>
      <w:r w:rsidR="0035441B">
        <w:t xml:space="preserve">orks </w:t>
      </w:r>
      <w:r>
        <w:t xml:space="preserve">of Construction Services </w:t>
      </w:r>
      <w:r w:rsidR="0035441B">
        <w:t>related to the panel</w:t>
      </w:r>
      <w:r>
        <w:t>; and</w:t>
      </w:r>
    </w:p>
    <w:p w:rsidR="0035441B" w:rsidRDefault="003C5C0E" w:rsidP="004C02E5">
      <w:pPr>
        <w:pStyle w:val="ListParagraph"/>
        <w:numPr>
          <w:ilvl w:val="0"/>
          <w:numId w:val="12"/>
        </w:numPr>
      </w:pPr>
      <w:r>
        <w:t>e</w:t>
      </w:r>
      <w:r w:rsidR="0035441B">
        <w:t>stablish</w:t>
      </w:r>
      <w:r>
        <w:t>ing</w:t>
      </w:r>
      <w:r w:rsidR="0035441B">
        <w:t xml:space="preserve"> better relationship</w:t>
      </w:r>
      <w:r>
        <w:t>s</w:t>
      </w:r>
      <w:r w:rsidR="0035441B">
        <w:t xml:space="preserve"> with the Agency.</w:t>
      </w:r>
    </w:p>
    <w:p w:rsidR="00566C29" w:rsidRDefault="00566C29" w:rsidP="00566C29">
      <w:r w:rsidRPr="00F2389F">
        <w:t xml:space="preserve">An Agency may decide to establish a </w:t>
      </w:r>
      <w:r w:rsidR="00F01F45">
        <w:t>supplier panel for:</w:t>
      </w:r>
    </w:p>
    <w:p w:rsidR="00566C29" w:rsidRDefault="00566C29" w:rsidP="004C02E5">
      <w:pPr>
        <w:pStyle w:val="ListParagraph"/>
        <w:numPr>
          <w:ilvl w:val="0"/>
          <w:numId w:val="6"/>
        </w:numPr>
        <w:ind w:left="714" w:hanging="357"/>
      </w:pPr>
      <w:r w:rsidRPr="00F2389F">
        <w:t xml:space="preserve">a program of similar </w:t>
      </w:r>
      <w:r w:rsidR="003C5C0E">
        <w:t>W</w:t>
      </w:r>
      <w:r w:rsidRPr="00F2389F">
        <w:t xml:space="preserve">orks </w:t>
      </w:r>
      <w:r w:rsidR="003C5C0E">
        <w:t xml:space="preserve">or Construction Services </w:t>
      </w:r>
      <w:r w:rsidRPr="00F2389F">
        <w:t xml:space="preserve">and allocate projects according to advertised criteria to suppliers who are accepted onto the panel over the period for </w:t>
      </w:r>
      <w:r w:rsidR="003C5C0E">
        <w:t>which the panel was established;</w:t>
      </w:r>
      <w:r w:rsidRPr="00F2389F">
        <w:t xml:space="preserve"> </w:t>
      </w:r>
      <w:r w:rsidR="003C5C0E">
        <w:t>or</w:t>
      </w:r>
    </w:p>
    <w:p w:rsidR="00566C29" w:rsidRDefault="00566C29" w:rsidP="004C02E5">
      <w:pPr>
        <w:pStyle w:val="ListParagraph"/>
        <w:numPr>
          <w:ilvl w:val="0"/>
          <w:numId w:val="6"/>
        </w:numPr>
        <w:ind w:left="714" w:hanging="357"/>
        <w:contextualSpacing w:val="0"/>
      </w:pPr>
      <w:r>
        <w:t>a perio</w:t>
      </w:r>
      <w:r w:rsidR="003C5C0E">
        <w:t>d of time to provide a pool of s</w:t>
      </w:r>
      <w:r>
        <w:t>uppliers available to be called on at short notice, for example to provide maintenance services.</w:t>
      </w:r>
    </w:p>
    <w:p w:rsidR="00566C29" w:rsidRDefault="00566C29" w:rsidP="00566C29">
      <w:r>
        <w:t>A group of related Agencies</w:t>
      </w:r>
      <w:r w:rsidR="006828EC" w:rsidRPr="006828EC">
        <w:t xml:space="preserve"> </w:t>
      </w:r>
      <w:r w:rsidR="006828EC">
        <w:t>with similar procurement requirements</w:t>
      </w:r>
      <w:r>
        <w:t xml:space="preserve"> may decide to share the use of a</w:t>
      </w:r>
      <w:r w:rsidRPr="00566C29">
        <w:t xml:space="preserve"> </w:t>
      </w:r>
      <w:r w:rsidR="003C5C0E">
        <w:t>standing offer arrangement.</w:t>
      </w:r>
    </w:p>
    <w:p w:rsidR="006A2D92" w:rsidRDefault="006A2D92" w:rsidP="00566C29">
      <w:r>
        <w:t>A standing offer arrangement may be a panel of one supplier.</w:t>
      </w:r>
    </w:p>
    <w:p w:rsidR="00277928" w:rsidRDefault="00277928" w:rsidP="00566C29">
      <w:r>
        <w:t xml:space="preserve">Standing offer arrangements should not be used to avoid the underlying </w:t>
      </w:r>
      <w:hyperlink r:id="rId10" w:history="1">
        <w:r w:rsidRPr="003C5C0E">
          <w:rPr>
            <w:rStyle w:val="Hyperlink"/>
          </w:rPr>
          <w:t xml:space="preserve">principles of the </w:t>
        </w:r>
        <w:r w:rsidR="003C5C0E" w:rsidRPr="003C5C0E">
          <w:rPr>
            <w:rStyle w:val="Hyperlink"/>
          </w:rPr>
          <w:t xml:space="preserve">Ministerial </w:t>
        </w:r>
        <w:r w:rsidRPr="003C5C0E">
          <w:rPr>
            <w:rStyle w:val="Hyperlink"/>
          </w:rPr>
          <w:t>Directions</w:t>
        </w:r>
        <w:r w:rsidR="003C5C0E" w:rsidRPr="003C5C0E">
          <w:rPr>
            <w:rStyle w:val="Hyperlink"/>
          </w:rPr>
          <w:t xml:space="preserve"> for Public Construction Procurement</w:t>
        </w:r>
      </w:hyperlink>
      <w:r w:rsidR="003C5C0E">
        <w:t>,</w:t>
      </w:r>
      <w:r>
        <w:t xml:space="preserve"> in particular transparency.</w:t>
      </w:r>
    </w:p>
    <w:p w:rsidR="005221DE" w:rsidRDefault="005221DE" w:rsidP="005221DE">
      <w:pPr>
        <w:pStyle w:val="Heading2"/>
      </w:pPr>
      <w:r>
        <w:lastRenderedPageBreak/>
        <w:t xml:space="preserve">Difference between </w:t>
      </w:r>
      <w:r w:rsidR="00214DFE">
        <w:t xml:space="preserve">Supplier </w:t>
      </w:r>
      <w:r>
        <w:t>Panels and Registers</w:t>
      </w:r>
    </w:p>
    <w:p w:rsidR="005221DE" w:rsidRPr="00FF014A" w:rsidRDefault="005221DE" w:rsidP="005221DE">
      <w:r>
        <w:t>Standing offer arrangements</w:t>
      </w:r>
      <w:r w:rsidRPr="00FF014A">
        <w:t xml:space="preserve"> differ from </w:t>
      </w:r>
      <w:r>
        <w:t>registers of prequalified suppliers</w:t>
      </w:r>
      <w:r w:rsidRPr="00FF014A">
        <w:t xml:space="preserve"> in a number of respects</w:t>
      </w:r>
      <w:r>
        <w:t>: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2268"/>
        <w:gridCol w:w="3261"/>
        <w:gridCol w:w="3554"/>
      </w:tblGrid>
      <w:tr w:rsidR="005221DE" w:rsidRPr="005221DE" w:rsidTr="00DF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5221DE" w:rsidRDefault="005221DE" w:rsidP="00DF4612">
            <w:pPr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Characteristic</w:t>
            </w:r>
          </w:p>
        </w:tc>
        <w:tc>
          <w:tcPr>
            <w:tcW w:w="3261" w:type="dxa"/>
          </w:tcPr>
          <w:p w:rsidR="005221DE" w:rsidRPr="005221DE" w:rsidRDefault="005221DE" w:rsidP="00DF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Supplier Panel</w:t>
            </w:r>
          </w:p>
        </w:tc>
        <w:tc>
          <w:tcPr>
            <w:tcW w:w="3554" w:type="dxa"/>
          </w:tcPr>
          <w:p w:rsidR="005221DE" w:rsidRPr="005221DE" w:rsidRDefault="005221DE" w:rsidP="00DF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1DE">
              <w:rPr>
                <w:b/>
                <w:sz w:val="20"/>
                <w:szCs w:val="20"/>
              </w:rPr>
              <w:t>Register</w:t>
            </w:r>
            <w:r w:rsidR="00214DFE">
              <w:rPr>
                <w:b/>
                <w:sz w:val="20"/>
                <w:szCs w:val="20"/>
              </w:rPr>
              <w:t xml:space="preserve"> of prequalified suppliers</w:t>
            </w:r>
          </w:p>
        </w:tc>
      </w:tr>
      <w:tr w:rsidR="005221DE" w:rsidRPr="008A7705" w:rsidTr="00DF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Duration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Established for a specified period of time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ended, but s</w:t>
            </w:r>
            <w:r w:rsidRPr="008A7705">
              <w:rPr>
                <w:sz w:val="18"/>
                <w:szCs w:val="18"/>
              </w:rPr>
              <w:t>uppliers are subject to annual checks to satisfy ongoing prequalification requirements</w:t>
            </w:r>
          </w:p>
        </w:tc>
      </w:tr>
      <w:tr w:rsidR="005221DE" w:rsidRPr="008A7705" w:rsidTr="00DF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Contract </w:t>
            </w:r>
            <w:r>
              <w:rPr>
                <w:sz w:val="18"/>
                <w:szCs w:val="18"/>
              </w:rPr>
              <w:t>form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enter into a (head) contract with the sponsoring Agency and </w:t>
            </w:r>
            <w:r>
              <w:rPr>
                <w:sz w:val="18"/>
                <w:szCs w:val="18"/>
              </w:rPr>
              <w:t>specific ‘</w:t>
            </w:r>
            <w:r w:rsidRPr="008A7705">
              <w:rPr>
                <w:sz w:val="18"/>
                <w:szCs w:val="18"/>
              </w:rPr>
              <w:t>order</w:t>
            </w:r>
            <w:r>
              <w:rPr>
                <w:sz w:val="18"/>
                <w:szCs w:val="18"/>
              </w:rPr>
              <w:t>s’ are issued for each portion of allocated work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enter </w:t>
            </w:r>
            <w:r>
              <w:rPr>
                <w:sz w:val="18"/>
                <w:szCs w:val="18"/>
              </w:rPr>
              <w:t>into a c</w:t>
            </w:r>
            <w:r w:rsidRPr="008A7705">
              <w:rPr>
                <w:sz w:val="18"/>
                <w:szCs w:val="18"/>
              </w:rPr>
              <w:t xml:space="preserve">ontract for specific </w:t>
            </w:r>
            <w:r>
              <w:rPr>
                <w:sz w:val="18"/>
                <w:szCs w:val="18"/>
              </w:rPr>
              <w:t xml:space="preserve">the specific </w:t>
            </w:r>
            <w:r w:rsidRPr="008A7705">
              <w:rPr>
                <w:sz w:val="18"/>
                <w:szCs w:val="18"/>
              </w:rPr>
              <w:t>work package only</w:t>
            </w:r>
          </w:p>
        </w:tc>
      </w:tr>
      <w:tr w:rsidR="005221DE" w:rsidRPr="008A7705" w:rsidTr="00DF4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Terms and conditions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nominate rates and often personnel for the works or services to </w:t>
            </w:r>
            <w:r>
              <w:rPr>
                <w:sz w:val="18"/>
                <w:szCs w:val="18"/>
              </w:rPr>
              <w:t>that may be required, in advance of any specific requirement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Suppliers quote for </w:t>
            </w:r>
            <w:r>
              <w:rPr>
                <w:sz w:val="18"/>
                <w:szCs w:val="18"/>
              </w:rPr>
              <w:t>tendered work packages</w:t>
            </w:r>
          </w:p>
        </w:tc>
      </w:tr>
      <w:tr w:rsidR="005221DE" w:rsidRPr="008A7705" w:rsidTr="00DF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221DE" w:rsidRPr="008A7705" w:rsidRDefault="005221DE" w:rsidP="00DF4612">
            <w:pPr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Qualifications</w:t>
            </w:r>
          </w:p>
        </w:tc>
        <w:tc>
          <w:tcPr>
            <w:tcW w:w="3261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Specialist qualifications or certification, such as </w:t>
            </w:r>
            <w:r w:rsidRPr="005221DE">
              <w:rPr>
                <w:sz w:val="18"/>
                <w:szCs w:val="18"/>
              </w:rPr>
              <w:t>registrations required to practice a profession</w:t>
            </w:r>
            <w:r w:rsidRPr="008A77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8A7705">
              <w:rPr>
                <w:sz w:val="18"/>
                <w:szCs w:val="18"/>
              </w:rPr>
              <w:t>industry-specific health and safety certification or registration as a Registered Building Practitioner</w:t>
            </w:r>
          </w:p>
        </w:tc>
        <w:tc>
          <w:tcPr>
            <w:tcW w:w="3554" w:type="dxa"/>
          </w:tcPr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Specialist qualifications or certification (as per Supplier Panel)</w:t>
            </w:r>
          </w:p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 xml:space="preserve">Industrial relations and Occupational Health and Safety </w:t>
            </w:r>
            <w:r>
              <w:rPr>
                <w:sz w:val="18"/>
                <w:szCs w:val="18"/>
              </w:rPr>
              <w:t>m</w:t>
            </w:r>
            <w:r w:rsidRPr="008A7705">
              <w:rPr>
                <w:sz w:val="18"/>
                <w:szCs w:val="18"/>
              </w:rPr>
              <w:t xml:space="preserve">andatory </w:t>
            </w:r>
            <w:r>
              <w:rPr>
                <w:sz w:val="18"/>
                <w:szCs w:val="18"/>
              </w:rPr>
              <w:t>c</w:t>
            </w:r>
            <w:r w:rsidRPr="008A7705">
              <w:rPr>
                <w:sz w:val="18"/>
                <w:szCs w:val="18"/>
              </w:rPr>
              <w:t>riteria</w:t>
            </w:r>
          </w:p>
          <w:p w:rsidR="005221DE" w:rsidRPr="008A7705" w:rsidRDefault="005221DE" w:rsidP="00DF461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A7705">
              <w:rPr>
                <w:sz w:val="18"/>
                <w:szCs w:val="18"/>
              </w:rPr>
              <w:t>Financial ca</w:t>
            </w:r>
            <w:r>
              <w:rPr>
                <w:sz w:val="18"/>
                <w:szCs w:val="18"/>
              </w:rPr>
              <w:t>pacity and work type experience</w:t>
            </w:r>
          </w:p>
        </w:tc>
      </w:tr>
    </w:tbl>
    <w:p w:rsidR="005221DE" w:rsidRDefault="005221DE" w:rsidP="005221DE">
      <w:pPr>
        <w:spacing w:before="0" w:after="0"/>
      </w:pPr>
    </w:p>
    <w:p w:rsidR="00885779" w:rsidRDefault="001520DB" w:rsidP="000A1896">
      <w:pPr>
        <w:pStyle w:val="Heading2"/>
        <w:spacing w:before="120"/>
      </w:pPr>
      <w:r>
        <w:t>Establishing a standing offer arrangement</w:t>
      </w:r>
      <w:bookmarkStart w:id="3" w:name="_Toc442780674"/>
      <w:bookmarkEnd w:id="2"/>
    </w:p>
    <w:p w:rsidR="00334F26" w:rsidRDefault="006828EC" w:rsidP="001520DB">
      <w:r>
        <w:t>Standing offer arrangement</w:t>
      </w:r>
      <w:r w:rsidR="003D2717">
        <w:t>s</w:t>
      </w:r>
      <w:r w:rsidR="001520DB" w:rsidRPr="00FF014A">
        <w:t xml:space="preserve"> </w:t>
      </w:r>
      <w:r w:rsidR="001520DB">
        <w:t>must</w:t>
      </w:r>
      <w:r w:rsidR="001520DB" w:rsidRPr="00FF014A">
        <w:t xml:space="preserve"> be established</w:t>
      </w:r>
      <w:r w:rsidR="001520DB">
        <w:t xml:space="preserve"> </w:t>
      </w:r>
      <w:r w:rsidR="001520DB" w:rsidRPr="00970C67">
        <w:t xml:space="preserve">using a procurement method that complies with the requirements of the </w:t>
      </w:r>
      <w:hyperlink r:id="rId11" w:history="1">
        <w:r w:rsidR="00325EA5" w:rsidRPr="00325EA5">
          <w:rPr>
            <w:rStyle w:val="Hyperlink"/>
          </w:rPr>
          <w:t>Use of Registers and Supplier Panels (Direction 6.1)</w:t>
        </w:r>
      </w:hyperlink>
      <w:r w:rsidR="00325EA5">
        <w:t xml:space="preserve"> and </w:t>
      </w:r>
      <w:hyperlink r:id="rId12" w:history="1">
        <w:r w:rsidR="00325EA5" w:rsidRPr="00325EA5">
          <w:rPr>
            <w:rStyle w:val="Hyperlink"/>
          </w:rPr>
          <w:t>Supplier Panels (Instruction 6.1.4)</w:t>
        </w:r>
      </w:hyperlink>
      <w:r w:rsidR="001520DB" w:rsidRPr="00325EA5">
        <w:t>.</w:t>
      </w:r>
    </w:p>
    <w:p w:rsidR="00277928" w:rsidRDefault="00334F26" w:rsidP="001520DB">
      <w:r>
        <w:t xml:space="preserve">The </w:t>
      </w:r>
      <w:r w:rsidR="00325EA5">
        <w:t>procurement for the s</w:t>
      </w:r>
      <w:r>
        <w:t xml:space="preserve">tanding offer </w:t>
      </w:r>
      <w:r w:rsidR="00325EA5">
        <w:t xml:space="preserve">arrangement </w:t>
      </w:r>
      <w:r>
        <w:t xml:space="preserve">must comply with relevant thresholds for </w:t>
      </w:r>
      <w:r w:rsidR="00325EA5">
        <w:t xml:space="preserve">public construction procurement listed in </w:t>
      </w:r>
      <w:hyperlink r:id="rId13" w:history="1">
        <w:r w:rsidR="00325EA5" w:rsidRPr="00325EA5">
          <w:rPr>
            <w:rStyle w:val="Hyperlink"/>
          </w:rPr>
          <w:t>Competition and contestability (Instruction 3.2)</w:t>
        </w:r>
      </w:hyperlink>
      <w:r w:rsidR="00325EA5">
        <w:t xml:space="preserve">, </w:t>
      </w:r>
      <w:r>
        <w:t>based on the estimated total value of the program of works</w:t>
      </w:r>
      <w:r w:rsidR="00BF4B98">
        <w:t xml:space="preserve"> over the duration of the arrangement</w:t>
      </w:r>
      <w:r w:rsidR="00325EA5">
        <w:t>.</w:t>
      </w:r>
    </w:p>
    <w:p w:rsidR="00334F26" w:rsidRDefault="00334F26" w:rsidP="001520DB">
      <w:r>
        <w:t xml:space="preserve">The procurement must also address </w:t>
      </w:r>
      <w:hyperlink r:id="rId14" w:history="1">
        <w:r w:rsidR="00325EA5" w:rsidRPr="00325EA5">
          <w:rPr>
            <w:rStyle w:val="Hyperlink"/>
          </w:rPr>
          <w:t>forward n</w:t>
        </w:r>
        <w:r w:rsidRPr="00325EA5">
          <w:rPr>
            <w:rStyle w:val="Hyperlink"/>
          </w:rPr>
          <w:t xml:space="preserve">otice </w:t>
        </w:r>
        <w:r w:rsidR="00325EA5" w:rsidRPr="00325EA5">
          <w:rPr>
            <w:rStyle w:val="Hyperlink"/>
          </w:rPr>
          <w:t>(Instruction 5.1)</w:t>
        </w:r>
      </w:hyperlink>
      <w:r w:rsidR="00325EA5">
        <w:t xml:space="preserve"> and </w:t>
      </w:r>
      <w:hyperlink r:id="rId15" w:history="1">
        <w:r w:rsidR="00325EA5" w:rsidRPr="00325EA5">
          <w:rPr>
            <w:rStyle w:val="Hyperlink"/>
          </w:rPr>
          <w:t>Tender Notice</w:t>
        </w:r>
        <w:r w:rsidRPr="00325EA5">
          <w:rPr>
            <w:rStyle w:val="Hyperlink"/>
          </w:rPr>
          <w:t xml:space="preserve"> </w:t>
        </w:r>
        <w:r w:rsidR="00325EA5" w:rsidRPr="00325EA5">
          <w:rPr>
            <w:rStyle w:val="Hyperlink"/>
          </w:rPr>
          <w:t>(Instruction 3.4)</w:t>
        </w:r>
      </w:hyperlink>
      <w:r w:rsidR="00325EA5">
        <w:t xml:space="preserve"> </w:t>
      </w:r>
      <w:r>
        <w:t xml:space="preserve">requirements </w:t>
      </w:r>
      <w:r w:rsidR="00325EA5">
        <w:t xml:space="preserve">when </w:t>
      </w:r>
      <w:r>
        <w:t>establish</w:t>
      </w:r>
      <w:r w:rsidR="006A2D92">
        <w:t>ing</w:t>
      </w:r>
      <w:r>
        <w:t xml:space="preserve"> the arrangement.</w:t>
      </w:r>
    </w:p>
    <w:p w:rsidR="006B58D1" w:rsidRDefault="001520DB" w:rsidP="001520DB">
      <w:r>
        <w:t>T</w:t>
      </w:r>
      <w:r w:rsidRPr="00FF014A">
        <w:t>he Agency</w:t>
      </w:r>
      <w:r>
        <w:t xml:space="preserve"> </w:t>
      </w:r>
      <w:r w:rsidRPr="00FF014A">
        <w:t xml:space="preserve">establishing a </w:t>
      </w:r>
      <w:r w:rsidR="006828EC">
        <w:t>standing offer arrangement</w:t>
      </w:r>
      <w:r w:rsidRPr="00FF014A">
        <w:t xml:space="preserve"> is responsible for </w:t>
      </w:r>
      <w:r w:rsidR="00277928">
        <w:t>the</w:t>
      </w:r>
      <w:r w:rsidRPr="00FF014A">
        <w:t xml:space="preserve"> terms and conditions of use</w:t>
      </w:r>
      <w:r w:rsidR="006B58D1">
        <w:t xml:space="preserve"> which should be set out in the tender documentation. This includes: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A description of the type of works and services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Estimated total value of the works program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S</w:t>
      </w:r>
      <w:r w:rsidRPr="00FF014A">
        <w:t>pecialist qualifications or certification, such as</w:t>
      </w:r>
      <w:r>
        <w:t xml:space="preserve"> </w:t>
      </w:r>
      <w:r w:rsidR="00325EA5">
        <w:t xml:space="preserve">registrations required to practice a profession, </w:t>
      </w:r>
      <w:r w:rsidRPr="00FF014A">
        <w:t>industry-specific health and safety certification</w:t>
      </w:r>
      <w:r w:rsidR="00325EA5">
        <w:t>,</w:t>
      </w:r>
      <w:r w:rsidRPr="00085B7B">
        <w:t xml:space="preserve"> </w:t>
      </w:r>
      <w:r>
        <w:t>or registration as a Registered Building Practitioner</w:t>
      </w:r>
      <w:r w:rsidR="00325EA5">
        <w:t>.</w:t>
      </w:r>
    </w:p>
    <w:p w:rsidR="006B58D1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Duration of</w:t>
      </w:r>
      <w:r w:rsidR="00325EA5">
        <w:t xml:space="preserve"> the standing offer arrangement.</w:t>
      </w:r>
    </w:p>
    <w:p w:rsidR="00607D1F" w:rsidRDefault="006B58D1" w:rsidP="004C02E5">
      <w:pPr>
        <w:pStyle w:val="ListParagraph"/>
        <w:numPr>
          <w:ilvl w:val="0"/>
          <w:numId w:val="7"/>
        </w:numPr>
        <w:ind w:left="714" w:hanging="357"/>
      </w:pPr>
      <w:r>
        <w:t>The proposed approach to work package allocation</w:t>
      </w:r>
      <w:r w:rsidR="00325EA5">
        <w:t>.</w:t>
      </w:r>
    </w:p>
    <w:p w:rsidR="001520DB" w:rsidRDefault="00607D1F" w:rsidP="004C02E5">
      <w:pPr>
        <w:pStyle w:val="ListParagraph"/>
        <w:numPr>
          <w:ilvl w:val="0"/>
          <w:numId w:val="7"/>
        </w:numPr>
        <w:ind w:left="714" w:hanging="357"/>
      </w:pPr>
      <w:r>
        <w:t>Compliance with mandatory evaluation criteria</w:t>
      </w:r>
      <w:r w:rsidR="00325EA5">
        <w:t>.</w:t>
      </w:r>
    </w:p>
    <w:p w:rsidR="006A2D92" w:rsidRDefault="006A2D92" w:rsidP="004C02E5">
      <w:pPr>
        <w:pStyle w:val="ListParagraph"/>
        <w:numPr>
          <w:ilvl w:val="0"/>
          <w:numId w:val="7"/>
        </w:numPr>
        <w:ind w:left="714" w:hanging="357"/>
      </w:pPr>
      <w:r>
        <w:t>Supplier performance reporting processes</w:t>
      </w:r>
      <w:r w:rsidR="00325EA5">
        <w:t>.</w:t>
      </w:r>
    </w:p>
    <w:p w:rsidR="006828EC" w:rsidRDefault="006828EC" w:rsidP="004C02E5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>Access by other Agencies</w:t>
      </w:r>
      <w:r w:rsidR="00586C40">
        <w:t xml:space="preserve"> (if relevant)</w:t>
      </w:r>
      <w:r w:rsidR="00325EA5">
        <w:t>.</w:t>
      </w:r>
    </w:p>
    <w:p w:rsidR="00607D1F" w:rsidRDefault="00607D1F" w:rsidP="005221DE">
      <w:pPr>
        <w:pStyle w:val="Heading3"/>
      </w:pPr>
      <w:r w:rsidRPr="005276B2">
        <w:lastRenderedPageBreak/>
        <w:t>Mandatory evaluation criteria</w:t>
      </w:r>
    </w:p>
    <w:p w:rsidR="00277928" w:rsidRDefault="00277928" w:rsidP="00607D1F">
      <w:r>
        <w:t>Mandatory evaluation criteria must be applied by the Agency when establishing the panel.</w:t>
      </w:r>
    </w:p>
    <w:p w:rsidR="00607D1F" w:rsidRPr="000A1896" w:rsidRDefault="00C46488" w:rsidP="00607D1F">
      <w:hyperlink r:id="rId16" w:history="1">
        <w:r w:rsidR="000A1896" w:rsidRPr="000A1896">
          <w:rPr>
            <w:rStyle w:val="Hyperlink"/>
          </w:rPr>
          <w:t>Mandatory evaluation criteria for o</w:t>
        </w:r>
        <w:r w:rsidR="00607D1F" w:rsidRPr="000A1896">
          <w:rPr>
            <w:rStyle w:val="Hyperlink"/>
          </w:rPr>
          <w:t xml:space="preserve">ccupational health and safety management </w:t>
        </w:r>
        <w:r w:rsidR="000A1896" w:rsidRPr="000A1896">
          <w:rPr>
            <w:rStyle w:val="Hyperlink"/>
          </w:rPr>
          <w:t>(</w:t>
        </w:r>
        <w:r w:rsidR="00607D1F" w:rsidRPr="000A1896">
          <w:rPr>
            <w:rStyle w:val="Hyperlink"/>
          </w:rPr>
          <w:t>Attachment 1 to Instruction 3.7</w:t>
        </w:r>
        <w:r w:rsidR="000A1896" w:rsidRPr="000A1896">
          <w:rPr>
            <w:rStyle w:val="Hyperlink"/>
          </w:rPr>
          <w:t>)</w:t>
        </w:r>
      </w:hyperlink>
      <w:r w:rsidR="00607D1F" w:rsidRPr="000A1896">
        <w:t xml:space="preserve"> must be addressed where the individual work packages are likely to:</w:t>
      </w:r>
    </w:p>
    <w:p w:rsidR="00607D1F" w:rsidRPr="000A1896" w:rsidRDefault="00607D1F" w:rsidP="004C02E5">
      <w:pPr>
        <w:pStyle w:val="Listnumindent"/>
        <w:numPr>
          <w:ilvl w:val="0"/>
          <w:numId w:val="9"/>
        </w:numPr>
      </w:pPr>
      <w:r w:rsidRPr="000A1896">
        <w:t xml:space="preserve">in the case of Works, have </w:t>
      </w:r>
      <w:r w:rsidR="005221DE" w:rsidRPr="000A1896">
        <w:t>a value exceeding $500,000 (inclusive of</w:t>
      </w:r>
      <w:r w:rsidRPr="000A1896">
        <w:t xml:space="preserve"> GST); and</w:t>
      </w:r>
    </w:p>
    <w:p w:rsidR="00607D1F" w:rsidRPr="000A1896" w:rsidRDefault="00607D1F" w:rsidP="004C02E5">
      <w:pPr>
        <w:pStyle w:val="Listnumindent"/>
        <w:numPr>
          <w:ilvl w:val="0"/>
          <w:numId w:val="9"/>
        </w:numPr>
      </w:pPr>
      <w:r w:rsidRPr="000A1896">
        <w:t>in the case of Construction Services have a value</w:t>
      </w:r>
      <w:r w:rsidR="005221DE" w:rsidRPr="000A1896">
        <w:t xml:space="preserve"> exceeding $200,000 (inclusive of GST).</w:t>
      </w:r>
    </w:p>
    <w:p w:rsidR="00607D1F" w:rsidRDefault="00C46488" w:rsidP="00607D1F">
      <w:hyperlink r:id="rId17" w:history="1">
        <w:r w:rsidR="000A1896" w:rsidRPr="000A1896">
          <w:rPr>
            <w:rStyle w:val="Hyperlink"/>
          </w:rPr>
          <w:t>Mandatory evaluation criteria for i</w:t>
        </w:r>
        <w:r w:rsidR="00607D1F" w:rsidRPr="000A1896">
          <w:rPr>
            <w:rStyle w:val="Hyperlink"/>
          </w:rPr>
          <w:t xml:space="preserve">ndustrial relations management </w:t>
        </w:r>
        <w:r w:rsidR="000A1896" w:rsidRPr="000A1896">
          <w:rPr>
            <w:rStyle w:val="Hyperlink"/>
          </w:rPr>
          <w:t>(</w:t>
        </w:r>
        <w:r w:rsidR="00607D1F" w:rsidRPr="000A1896">
          <w:rPr>
            <w:rStyle w:val="Hyperlink"/>
          </w:rPr>
          <w:t>Attachment 2 to Instruction 3.7</w:t>
        </w:r>
        <w:r w:rsidR="000A1896" w:rsidRPr="000A1896">
          <w:rPr>
            <w:rStyle w:val="Hyperlink"/>
          </w:rPr>
          <w:t>)</w:t>
        </w:r>
      </w:hyperlink>
      <w:r w:rsidR="00607D1F" w:rsidRPr="000A1896">
        <w:t xml:space="preserve"> </w:t>
      </w:r>
      <w:r w:rsidR="005221DE" w:rsidRPr="000A1896">
        <w:t>must be addressed where:</w:t>
      </w:r>
    </w:p>
    <w:p w:rsidR="00607D1F" w:rsidRDefault="00607D1F" w:rsidP="004C02E5">
      <w:pPr>
        <w:pStyle w:val="Listnumindent"/>
        <w:numPr>
          <w:ilvl w:val="0"/>
          <w:numId w:val="9"/>
        </w:numPr>
      </w:pPr>
      <w:r>
        <w:t>the procurement includes supply of Works and</w:t>
      </w:r>
      <w:r w:rsidRPr="00184A8D">
        <w:t xml:space="preserve"> </w:t>
      </w:r>
      <w:r>
        <w:t>the individual work packages are likely to have a value (of Works component) exceed</w:t>
      </w:r>
      <w:r w:rsidR="000A1896">
        <w:t>ing $500,000 (inclusive of GST).</w:t>
      </w:r>
    </w:p>
    <w:p w:rsidR="008A7705" w:rsidRDefault="00214DFE" w:rsidP="008A7705">
      <w:pPr>
        <w:pStyle w:val="Heading2"/>
      </w:pPr>
      <w:r>
        <w:t>Operation of the standing offer a</w:t>
      </w:r>
      <w:r w:rsidR="008A7705">
        <w:t>rrangement</w:t>
      </w:r>
    </w:p>
    <w:p w:rsidR="00CE181C" w:rsidRPr="00CE181C" w:rsidRDefault="00CE181C" w:rsidP="000A1896">
      <w:pPr>
        <w:pStyle w:val="Heading3"/>
      </w:pPr>
      <w:r w:rsidRPr="00CE181C">
        <w:t>Disclosure</w:t>
      </w:r>
    </w:p>
    <w:p w:rsidR="00A86E8D" w:rsidRDefault="00A86E8D" w:rsidP="00A86E8D">
      <w:r>
        <w:t>Within 60 days of establishing the head agreement for a standing offer arrangement</w:t>
      </w:r>
      <w:r w:rsidR="00D57B2F">
        <w:t xml:space="preserve"> for Works or Construction Services</w:t>
      </w:r>
      <w:r>
        <w:t>, Agencies must disclose on the</w:t>
      </w:r>
      <w:r w:rsidR="009B4253">
        <w:t xml:space="preserve"> </w:t>
      </w:r>
      <w:hyperlink r:id="rId18" w:history="1">
        <w:r w:rsidRPr="009B4253">
          <w:rPr>
            <w:rStyle w:val="Hyperlink"/>
          </w:rPr>
          <w:t>contracts module of TendersVIC</w:t>
        </w:r>
      </w:hyperlink>
      <w:r w:rsidR="009B4253">
        <w:t>.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>key details of the head agreement for as standing offer arrangements or arrangements establishing a Supplier Panel with a total estimated value equal to or exceeding $100,000 (inclusive of GST); and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 xml:space="preserve">full contract information where the estimated value of engagements made under the standing offer arrangement exceeds $10 million (inclusive of GST) under </w:t>
      </w:r>
      <w:hyperlink r:id="rId19" w:history="1">
        <w:r w:rsidRPr="009B4253">
          <w:rPr>
            <w:rStyle w:val="Hyperlink"/>
          </w:rPr>
          <w:t>Financial Reporting Direction 12B</w:t>
        </w:r>
      </w:hyperlink>
      <w:r>
        <w:t>.</w:t>
      </w:r>
    </w:p>
    <w:p w:rsidR="00A86E8D" w:rsidRDefault="00A86E8D" w:rsidP="00A86E8D">
      <w:r>
        <w:t>Within 60 days of issuing an order under a standing offer arrangement</w:t>
      </w:r>
      <w:r w:rsidR="00D57B2F">
        <w:t xml:space="preserve"> for Works or Construction Services</w:t>
      </w:r>
      <w:r>
        <w:t xml:space="preserve">, Agencies must disclose on the </w:t>
      </w:r>
      <w:hyperlink r:id="rId20" w:history="1">
        <w:r w:rsidR="009B4253" w:rsidRPr="009B4253">
          <w:rPr>
            <w:rStyle w:val="Hyperlink"/>
          </w:rPr>
          <w:t>contracts module of TendersVIC</w:t>
        </w:r>
      </w:hyperlink>
      <w:r>
        <w:t>: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>key details of engagements with a total estimated value equal to or exceeding $100,000 (inclusive of GST); and</w:t>
      </w:r>
    </w:p>
    <w:p w:rsidR="00A86E8D" w:rsidRDefault="00A86E8D" w:rsidP="00A86E8D">
      <w:pPr>
        <w:pStyle w:val="ListParagraph"/>
        <w:numPr>
          <w:ilvl w:val="0"/>
          <w:numId w:val="14"/>
        </w:numPr>
      </w:pPr>
      <w:r>
        <w:t xml:space="preserve">full engagement information where the estimated value of an engagement made under the standing offer arrangement exceeds $10 million (inclusive of GST) under </w:t>
      </w:r>
      <w:hyperlink r:id="rId21" w:history="1">
        <w:r w:rsidRPr="009B4253">
          <w:rPr>
            <w:rStyle w:val="Hyperlink"/>
          </w:rPr>
          <w:t>Financial Reporting Direction 12B</w:t>
        </w:r>
      </w:hyperlink>
      <w:r>
        <w:t>.</w:t>
      </w:r>
    </w:p>
    <w:p w:rsidR="009B4253" w:rsidRDefault="009B4253" w:rsidP="009B4253">
      <w:r>
        <w:t xml:space="preserve">Further information on disclosure is presented in </w:t>
      </w:r>
      <w:hyperlink r:id="rId22" w:history="1">
        <w:r w:rsidRPr="009B4253">
          <w:rPr>
            <w:rStyle w:val="Hyperlink"/>
          </w:rPr>
          <w:t>Publishing details of procurements undertaken (Instruction 5.2)</w:t>
        </w:r>
      </w:hyperlink>
      <w:r>
        <w:t>.</w:t>
      </w:r>
    </w:p>
    <w:p w:rsidR="009B4253" w:rsidRPr="00277928" w:rsidRDefault="009B4253" w:rsidP="009B4253">
      <w:r w:rsidRPr="00277928">
        <w:t>To assist in transparency, once established Agencies should notify the Department of Treasury and Finance of the standing offer arrangement</w:t>
      </w:r>
      <w:r>
        <w:t>,</w:t>
      </w:r>
      <w:r w:rsidRPr="00277928">
        <w:t xml:space="preserve"> including: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>a brief d</w:t>
      </w:r>
      <w:r>
        <w:t>escription of the works program;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 xml:space="preserve">the </w:t>
      </w:r>
      <w:r>
        <w:t>duration of the arrangement; and</w:t>
      </w:r>
    </w:p>
    <w:p w:rsidR="009B4253" w:rsidRPr="00277928" w:rsidRDefault="009B4253" w:rsidP="009B4253">
      <w:pPr>
        <w:pStyle w:val="ListParagraph"/>
        <w:numPr>
          <w:ilvl w:val="0"/>
          <w:numId w:val="8"/>
        </w:numPr>
      </w:pPr>
      <w:r w:rsidRPr="00277928">
        <w:t>relevant contact details (name, phone and email).</w:t>
      </w:r>
    </w:p>
    <w:p w:rsidR="00A86E8D" w:rsidRDefault="00A86E8D" w:rsidP="00A86E8D">
      <w:pPr>
        <w:pStyle w:val="Heading3"/>
      </w:pPr>
      <w:r>
        <w:t xml:space="preserve">Monitoring and assessing </w:t>
      </w:r>
      <w:r w:rsidR="00492AAD">
        <w:t xml:space="preserve">how </w:t>
      </w:r>
      <w:r>
        <w:t>supplier</w:t>
      </w:r>
      <w:r w:rsidR="00492AAD">
        <w:t>s perform</w:t>
      </w:r>
    </w:p>
    <w:p w:rsidR="008A7705" w:rsidRDefault="008A7705" w:rsidP="008A7705">
      <w:r>
        <w:t xml:space="preserve">The Agency must </w:t>
      </w:r>
      <w:r w:rsidRPr="00970C67">
        <w:t xml:space="preserve">establish appropriate processes to monitor and record performance of </w:t>
      </w:r>
      <w:r w:rsidR="00492AAD">
        <w:t>members of a standing offer arrangement</w:t>
      </w:r>
      <w:r w:rsidRPr="00970C67">
        <w:t xml:space="preserve">, </w:t>
      </w:r>
      <w:r w:rsidR="00492AAD">
        <w:t xml:space="preserve">as required by </w:t>
      </w:r>
      <w:hyperlink r:id="rId23" w:history="1">
        <w:r w:rsidR="00492AAD" w:rsidRPr="00492AAD">
          <w:rPr>
            <w:rStyle w:val="Hyperlink"/>
          </w:rPr>
          <w:t>Supplier Panels (Instruction 6.1.4 (vii)</w:t>
        </w:r>
      </w:hyperlink>
      <w:r w:rsidR="00492AAD">
        <w:t>.</w:t>
      </w:r>
    </w:p>
    <w:p w:rsidR="00CE181C" w:rsidRPr="00CE181C" w:rsidRDefault="00CE181C" w:rsidP="000A1896">
      <w:pPr>
        <w:pStyle w:val="Heading3"/>
      </w:pPr>
      <w:r>
        <w:lastRenderedPageBreak/>
        <w:t>Rules of operation</w:t>
      </w:r>
    </w:p>
    <w:p w:rsidR="00607D1F" w:rsidRDefault="00CE181C" w:rsidP="008A7705">
      <w:r>
        <w:t>The responsible agency should establish cle</w:t>
      </w:r>
      <w:r w:rsidR="00481547">
        <w:t xml:space="preserve">ar rules of use for the panel. </w:t>
      </w:r>
      <w:r>
        <w:t>These rules should align with the any details set ou</w:t>
      </w:r>
      <w:r w:rsidR="00481547">
        <w:t>t in the tender documentation.</w:t>
      </w:r>
    </w:p>
    <w:p w:rsidR="00607D1F" w:rsidRDefault="00607D1F" w:rsidP="008A7705">
      <w:r>
        <w:t>The rules of use may contain: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607D1F">
        <w:t>he form of competition n</w:t>
      </w:r>
      <w:r>
        <w:t>eeded when selecting a supplier;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a</w:t>
      </w:r>
      <w:r w:rsidR="00607D1F">
        <w:t>pproval processes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s</w:t>
      </w:r>
      <w:r w:rsidR="00607D1F">
        <w:t>egmentati</w:t>
      </w:r>
      <w:r>
        <w:t>on of works skills on the panel;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a</w:t>
      </w:r>
      <w:r w:rsidR="00607D1F">
        <w:t xml:space="preserve">llocation of work across </w:t>
      </w:r>
      <w:r>
        <w:t>members</w:t>
      </w:r>
      <w:r w:rsidR="00607D1F">
        <w:t xml:space="preserve"> </w:t>
      </w:r>
      <w:r>
        <w:t xml:space="preserve">of </w:t>
      </w:r>
      <w:r w:rsidR="00607D1F">
        <w:t>the panel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p</w:t>
      </w:r>
      <w:r w:rsidR="00607D1F">
        <w:t>ricing mechanism</w:t>
      </w:r>
      <w:r>
        <w:t>;</w:t>
      </w:r>
    </w:p>
    <w:p w:rsidR="0035441B" w:rsidRDefault="00481547" w:rsidP="004C02E5">
      <w:pPr>
        <w:pStyle w:val="ListParagraph"/>
        <w:numPr>
          <w:ilvl w:val="0"/>
          <w:numId w:val="10"/>
        </w:numPr>
      </w:pPr>
      <w:r>
        <w:t>d</w:t>
      </w:r>
      <w:r w:rsidR="0035441B">
        <w:t>iscounts that may apply, for example discount for a long engagement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c</w:t>
      </w:r>
      <w:r w:rsidR="00607D1F">
        <w:t>onflict of interest management</w:t>
      </w:r>
      <w:r>
        <w:t>;</w:t>
      </w:r>
    </w:p>
    <w:p w:rsidR="0035441B" w:rsidRPr="0035441B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35441B" w:rsidRPr="0035441B">
        <w:t xml:space="preserve">he required approach to </w:t>
      </w:r>
      <w:r>
        <w:t xml:space="preserve">confirm engagements made under </w:t>
      </w:r>
      <w:r w:rsidR="0035441B" w:rsidRPr="0035441B">
        <w:t>the panel</w:t>
      </w:r>
      <w:r w:rsidR="0035441B">
        <w:t>,</w:t>
      </w:r>
      <w:r w:rsidR="0035441B" w:rsidRPr="0035441B">
        <w:t xml:space="preserve"> for example a purchase order arrangement</w:t>
      </w:r>
      <w:r>
        <w:t>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t</w:t>
      </w:r>
      <w:r w:rsidR="00607D1F">
        <w:t>he requirem</w:t>
      </w:r>
      <w:r>
        <w:t>ent to use particular templates;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record keeping requirements;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s</w:t>
      </w:r>
      <w:r w:rsidR="00607D1F">
        <w:t>upplier performan</w:t>
      </w:r>
      <w:r>
        <w:t>ce reporting requirements;</w:t>
      </w:r>
    </w:p>
    <w:p w:rsidR="00607D1F" w:rsidRDefault="00481547" w:rsidP="004C02E5">
      <w:pPr>
        <w:pStyle w:val="ListParagraph"/>
        <w:numPr>
          <w:ilvl w:val="0"/>
          <w:numId w:val="10"/>
        </w:numPr>
      </w:pPr>
      <w:r>
        <w:t>d</w:t>
      </w:r>
      <w:r w:rsidR="00607D1F">
        <w:t>isclosure of the engagement</w:t>
      </w:r>
      <w:r>
        <w:t>; and</w:t>
      </w:r>
    </w:p>
    <w:p w:rsidR="00607D1F" w:rsidRPr="0035441B" w:rsidRDefault="00481547" w:rsidP="004C02E5">
      <w:pPr>
        <w:pStyle w:val="ListParagraph"/>
        <w:numPr>
          <w:ilvl w:val="0"/>
          <w:numId w:val="10"/>
        </w:numPr>
      </w:pPr>
      <w:r>
        <w:t>r</w:t>
      </w:r>
      <w:r w:rsidR="00607D1F">
        <w:t>eporting requirements</w:t>
      </w:r>
      <w:r>
        <w:t>.</w:t>
      </w:r>
    </w:p>
    <w:p w:rsidR="00607D1F" w:rsidRDefault="00607D1F" w:rsidP="001058F4">
      <w:pPr>
        <w:pStyle w:val="Listnum"/>
        <w:numPr>
          <w:ilvl w:val="0"/>
          <w:numId w:val="0"/>
        </w:numPr>
      </w:pPr>
      <w:r w:rsidRPr="00B43264">
        <w:rPr>
          <w:b/>
        </w:rPr>
        <w:t xml:space="preserve">Note: </w:t>
      </w:r>
      <w:r w:rsidR="00481547">
        <w:t xml:space="preserve">Where </w:t>
      </w:r>
      <w:r>
        <w:t xml:space="preserve">the mandatory </w:t>
      </w:r>
      <w:r w:rsidR="00481547">
        <w:t xml:space="preserve">evaluation </w:t>
      </w:r>
      <w:r>
        <w:t xml:space="preserve">criteria </w:t>
      </w:r>
      <w:r w:rsidR="00481547">
        <w:t>apply</w:t>
      </w:r>
      <w:r>
        <w:t xml:space="preserve">, Agencies must ensure that a </w:t>
      </w:r>
      <w:r w:rsidR="00481547">
        <w:t xml:space="preserve">member of the panel </w:t>
      </w:r>
      <w:r>
        <w:t xml:space="preserve">satisfies the criteria before </w:t>
      </w:r>
      <w:r w:rsidR="00481547">
        <w:t xml:space="preserve">allocating an engagement </w:t>
      </w:r>
      <w:r>
        <w:t>to perform Works or Construction Services.</w:t>
      </w:r>
      <w:bookmarkEnd w:id="0"/>
      <w:bookmarkEnd w:id="3"/>
    </w:p>
    <w:sectPr w:rsidR="00607D1F" w:rsidSect="005221D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9" w:right="1440" w:bottom="1135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88" w:rsidRDefault="00C46488" w:rsidP="002D711A">
      <w:pPr>
        <w:spacing w:after="0" w:line="240" w:lineRule="auto"/>
      </w:pPr>
      <w:r>
        <w:separator/>
      </w:r>
    </w:p>
  </w:endnote>
  <w:endnote w:type="continuationSeparator" w:id="0">
    <w:p w:rsidR="00C46488" w:rsidRDefault="00C4648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33" w:rsidRDefault="00B07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Pr="00C15289" w:rsidRDefault="00B07133" w:rsidP="00C15289">
    <w:pPr>
      <w:pStyle w:val="Spacer"/>
      <w:rPr>
        <w:sz w:val="18"/>
        <w:szCs w:val="18"/>
      </w:rPr>
    </w:pPr>
    <w:r>
      <w:rPr>
        <w:b/>
        <w:bCs/>
        <w:noProof/>
        <w:color w:val="0063A6" w:themeColor="accen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5bda47d5a58b4bf8125722f0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133" w:rsidRPr="00B07133" w:rsidRDefault="00B07133" w:rsidP="00B0713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B0713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bda47d5a58b4bf8125722f0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CPB9sJHgMAADgGAAAOAAAAAAAA&#10;AAAAAAAAAC4CAABkcnMvZTJvRG9jLnhtbFBLAQItABQABgAIAAAAIQBgEcYm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B07133" w:rsidRPr="00B07133" w:rsidRDefault="00B07133" w:rsidP="00B0713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B0713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289" w:rsidRPr="00C15289">
      <w:rPr>
        <w:b/>
        <w:bCs/>
        <w:color w:val="0063A6" w:themeColor="accent1"/>
        <w:sz w:val="18"/>
        <w:szCs w:val="18"/>
        <w:lang w:val="en-US"/>
      </w:rPr>
      <w:t>Fact sheet - Supplier Panels or Standing Offer Arrangements</w:t>
    </w:r>
  </w:p>
  <w:p w:rsidR="00F417C3" w:rsidRPr="00C022F9" w:rsidRDefault="006D61DE" w:rsidP="0041689E">
    <w:pPr>
      <w:pStyle w:val="Footer"/>
    </w:pPr>
    <w:r>
      <w:t>Effective date:  9 August 2018</w:t>
    </w:r>
    <w:r w:rsidR="006738C4">
      <w:t xml:space="preserve"> </w:t>
    </w:r>
    <w:r w:rsidR="006738C4">
      <w:tab/>
    </w:r>
    <w:r w:rsidR="00F417C3" w:rsidRPr="00C022F9">
      <w:t xml:space="preserve">Page </w:t>
    </w:r>
    <w:r w:rsidR="00F417C3" w:rsidRPr="00DE60CC">
      <w:rPr>
        <w:rStyle w:val="PageNumber"/>
      </w:rPr>
      <w:fldChar w:fldCharType="begin"/>
    </w:r>
    <w:r w:rsidR="00F417C3" w:rsidRPr="00DE60CC">
      <w:rPr>
        <w:rStyle w:val="PageNumber"/>
      </w:rPr>
      <w:instrText xml:space="preserve"> Page </w:instrText>
    </w:r>
    <w:r w:rsidR="00F417C3" w:rsidRPr="00DE60CC">
      <w:rPr>
        <w:rStyle w:val="PageNumber"/>
      </w:rPr>
      <w:fldChar w:fldCharType="separate"/>
    </w:r>
    <w:r w:rsidR="00661EDD">
      <w:rPr>
        <w:rStyle w:val="PageNumber"/>
      </w:rPr>
      <w:t>2</w:t>
    </w:r>
    <w:r w:rsidR="00F417C3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33" w:rsidRDefault="00B0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88" w:rsidRDefault="00C46488" w:rsidP="002D711A">
      <w:pPr>
        <w:spacing w:after="0" w:line="240" w:lineRule="auto"/>
      </w:pPr>
      <w:r>
        <w:separator/>
      </w:r>
    </w:p>
  </w:footnote>
  <w:footnote w:type="continuationSeparator" w:id="0">
    <w:p w:rsidR="00C46488" w:rsidRDefault="00C46488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33" w:rsidRDefault="00B0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Pr="0041689E" w:rsidRDefault="00586C40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1881242" wp14:editId="4C314CC3">
          <wp:simplePos x="0" y="0"/>
          <wp:positionH relativeFrom="column">
            <wp:posOffset>-914400</wp:posOffset>
          </wp:positionH>
          <wp:positionV relativeFrom="page">
            <wp:posOffset>212090</wp:posOffset>
          </wp:positionV>
          <wp:extent cx="7591425" cy="903605"/>
          <wp:effectExtent l="0" t="0" r="9525" b="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A5AA611" wp14:editId="22A189C2">
          <wp:simplePos x="0" y="0"/>
          <wp:positionH relativeFrom="column">
            <wp:posOffset>-319405</wp:posOffset>
          </wp:positionH>
          <wp:positionV relativeFrom="page">
            <wp:posOffset>479425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33" w:rsidRDefault="00B0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FEA"/>
    <w:multiLevelType w:val="hybridMultilevel"/>
    <w:tmpl w:val="04AA5B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5BDE"/>
    <w:multiLevelType w:val="hybridMultilevel"/>
    <w:tmpl w:val="4DC4A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5C1"/>
    <w:multiLevelType w:val="hybridMultilevel"/>
    <w:tmpl w:val="BC64C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F5539"/>
    <w:multiLevelType w:val="hybridMultilevel"/>
    <w:tmpl w:val="70DA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42C8"/>
    <w:multiLevelType w:val="hybridMultilevel"/>
    <w:tmpl w:val="88468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467413D9"/>
    <w:multiLevelType w:val="hybridMultilevel"/>
    <w:tmpl w:val="27C0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62007"/>
    <w:multiLevelType w:val="hybridMultilevel"/>
    <w:tmpl w:val="C1E60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71BE7"/>
    <w:multiLevelType w:val="hybridMultilevel"/>
    <w:tmpl w:val="802CB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2" w15:restartNumberingAfterBreak="0">
    <w:nsid w:val="7FE30931"/>
    <w:multiLevelType w:val="hybridMultilevel"/>
    <w:tmpl w:val="9416B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A1896"/>
    <w:rsid w:val="000B29AD"/>
    <w:rsid w:val="000C6372"/>
    <w:rsid w:val="000D593F"/>
    <w:rsid w:val="000E392D"/>
    <w:rsid w:val="000F4288"/>
    <w:rsid w:val="000F7165"/>
    <w:rsid w:val="00102379"/>
    <w:rsid w:val="001058F4"/>
    <w:rsid w:val="001065D6"/>
    <w:rsid w:val="00121252"/>
    <w:rsid w:val="00124609"/>
    <w:rsid w:val="001254CE"/>
    <w:rsid w:val="00126AF9"/>
    <w:rsid w:val="00134CEA"/>
    <w:rsid w:val="001422CC"/>
    <w:rsid w:val="001520DB"/>
    <w:rsid w:val="001617B6"/>
    <w:rsid w:val="00165E66"/>
    <w:rsid w:val="00167802"/>
    <w:rsid w:val="00171C52"/>
    <w:rsid w:val="00184A8D"/>
    <w:rsid w:val="001A3DD1"/>
    <w:rsid w:val="001C7BAE"/>
    <w:rsid w:val="001D717E"/>
    <w:rsid w:val="001E31FA"/>
    <w:rsid w:val="001E64F6"/>
    <w:rsid w:val="00200BB3"/>
    <w:rsid w:val="00214DFE"/>
    <w:rsid w:val="00222BEB"/>
    <w:rsid w:val="00225E60"/>
    <w:rsid w:val="00227C39"/>
    <w:rsid w:val="0023202C"/>
    <w:rsid w:val="00236203"/>
    <w:rsid w:val="00245043"/>
    <w:rsid w:val="00257760"/>
    <w:rsid w:val="00277928"/>
    <w:rsid w:val="00292D36"/>
    <w:rsid w:val="00297281"/>
    <w:rsid w:val="002C54E0"/>
    <w:rsid w:val="002D711A"/>
    <w:rsid w:val="002D7336"/>
    <w:rsid w:val="002E3396"/>
    <w:rsid w:val="0031149C"/>
    <w:rsid w:val="00323FDF"/>
    <w:rsid w:val="00325EA5"/>
    <w:rsid w:val="00334F26"/>
    <w:rsid w:val="00346A4F"/>
    <w:rsid w:val="0035441B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C5C0E"/>
    <w:rsid w:val="003D2717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1547"/>
    <w:rsid w:val="00482D02"/>
    <w:rsid w:val="00492AAD"/>
    <w:rsid w:val="004A7519"/>
    <w:rsid w:val="004B41CA"/>
    <w:rsid w:val="004C02E5"/>
    <w:rsid w:val="004D3518"/>
    <w:rsid w:val="004D62D6"/>
    <w:rsid w:val="005221DE"/>
    <w:rsid w:val="005276B2"/>
    <w:rsid w:val="0053416C"/>
    <w:rsid w:val="00541C2F"/>
    <w:rsid w:val="00563527"/>
    <w:rsid w:val="00566C29"/>
    <w:rsid w:val="0058124E"/>
    <w:rsid w:val="00584301"/>
    <w:rsid w:val="00586C40"/>
    <w:rsid w:val="005875A3"/>
    <w:rsid w:val="005A3416"/>
    <w:rsid w:val="005B27FE"/>
    <w:rsid w:val="005C3E6D"/>
    <w:rsid w:val="005F331D"/>
    <w:rsid w:val="005F61DF"/>
    <w:rsid w:val="006023F9"/>
    <w:rsid w:val="00607D1F"/>
    <w:rsid w:val="00610559"/>
    <w:rsid w:val="006332F6"/>
    <w:rsid w:val="006361E7"/>
    <w:rsid w:val="00652625"/>
    <w:rsid w:val="006534B2"/>
    <w:rsid w:val="0065615D"/>
    <w:rsid w:val="00657011"/>
    <w:rsid w:val="00661EDD"/>
    <w:rsid w:val="006650B5"/>
    <w:rsid w:val="006651B1"/>
    <w:rsid w:val="00665778"/>
    <w:rsid w:val="006738C4"/>
    <w:rsid w:val="006828EC"/>
    <w:rsid w:val="00691C09"/>
    <w:rsid w:val="006A2D92"/>
    <w:rsid w:val="006A5B34"/>
    <w:rsid w:val="006A5F5B"/>
    <w:rsid w:val="006B58D1"/>
    <w:rsid w:val="006C77A9"/>
    <w:rsid w:val="006D61DE"/>
    <w:rsid w:val="006F6129"/>
    <w:rsid w:val="006F6693"/>
    <w:rsid w:val="00707FE8"/>
    <w:rsid w:val="00724962"/>
    <w:rsid w:val="00724A0F"/>
    <w:rsid w:val="0073072C"/>
    <w:rsid w:val="007320B4"/>
    <w:rsid w:val="00732162"/>
    <w:rsid w:val="00736351"/>
    <w:rsid w:val="00736732"/>
    <w:rsid w:val="00750CBE"/>
    <w:rsid w:val="00766B5A"/>
    <w:rsid w:val="007834F2"/>
    <w:rsid w:val="00791020"/>
    <w:rsid w:val="007A5A3C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85779"/>
    <w:rsid w:val="008A4900"/>
    <w:rsid w:val="008A5920"/>
    <w:rsid w:val="008A7705"/>
    <w:rsid w:val="008D0281"/>
    <w:rsid w:val="008E3C4E"/>
    <w:rsid w:val="008F6D45"/>
    <w:rsid w:val="009834C0"/>
    <w:rsid w:val="00984C95"/>
    <w:rsid w:val="00986AAC"/>
    <w:rsid w:val="009A1629"/>
    <w:rsid w:val="009A1DA2"/>
    <w:rsid w:val="009A3704"/>
    <w:rsid w:val="009A4739"/>
    <w:rsid w:val="009A674F"/>
    <w:rsid w:val="009B199C"/>
    <w:rsid w:val="009B4253"/>
    <w:rsid w:val="009B54C8"/>
    <w:rsid w:val="009B61F1"/>
    <w:rsid w:val="009B62E0"/>
    <w:rsid w:val="009C3D88"/>
    <w:rsid w:val="009D1F8B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4E69"/>
    <w:rsid w:val="00A46BA8"/>
    <w:rsid w:val="00A47634"/>
    <w:rsid w:val="00A612FE"/>
    <w:rsid w:val="00A86E8D"/>
    <w:rsid w:val="00AA26B8"/>
    <w:rsid w:val="00AA6FB5"/>
    <w:rsid w:val="00AB3FE2"/>
    <w:rsid w:val="00AD3322"/>
    <w:rsid w:val="00AD7E4E"/>
    <w:rsid w:val="00AF34DE"/>
    <w:rsid w:val="00AF4D58"/>
    <w:rsid w:val="00AF6666"/>
    <w:rsid w:val="00B07133"/>
    <w:rsid w:val="00B10154"/>
    <w:rsid w:val="00B41798"/>
    <w:rsid w:val="00B43264"/>
    <w:rsid w:val="00B81B44"/>
    <w:rsid w:val="00B9053B"/>
    <w:rsid w:val="00BC3422"/>
    <w:rsid w:val="00BF4B98"/>
    <w:rsid w:val="00C015B9"/>
    <w:rsid w:val="00C022F9"/>
    <w:rsid w:val="00C032EA"/>
    <w:rsid w:val="00C06EB5"/>
    <w:rsid w:val="00C1145F"/>
    <w:rsid w:val="00C15289"/>
    <w:rsid w:val="00C46488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181C"/>
    <w:rsid w:val="00CE62B3"/>
    <w:rsid w:val="00CF7DCA"/>
    <w:rsid w:val="00D10F05"/>
    <w:rsid w:val="00D211E9"/>
    <w:rsid w:val="00D2312F"/>
    <w:rsid w:val="00D269C1"/>
    <w:rsid w:val="00D44953"/>
    <w:rsid w:val="00D542F3"/>
    <w:rsid w:val="00D543E5"/>
    <w:rsid w:val="00D5644B"/>
    <w:rsid w:val="00D56E25"/>
    <w:rsid w:val="00D57B2F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4026"/>
    <w:rsid w:val="00DE60CC"/>
    <w:rsid w:val="00E209E2"/>
    <w:rsid w:val="00E26B32"/>
    <w:rsid w:val="00E31444"/>
    <w:rsid w:val="00E407B6"/>
    <w:rsid w:val="00E41EF1"/>
    <w:rsid w:val="00E42942"/>
    <w:rsid w:val="00E468A6"/>
    <w:rsid w:val="00E506F6"/>
    <w:rsid w:val="00E71BDF"/>
    <w:rsid w:val="00E83CA7"/>
    <w:rsid w:val="00EC171D"/>
    <w:rsid w:val="00ED487E"/>
    <w:rsid w:val="00EE7A0D"/>
    <w:rsid w:val="00EF08B2"/>
    <w:rsid w:val="00EF0D21"/>
    <w:rsid w:val="00F01F45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477C"/>
  <w15:docId w15:val="{C2A3DA2C-2B55-41EB-903D-41E0C13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D61DE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18" Type="http://schemas.openxmlformats.org/officeDocument/2006/relationships/hyperlink" Target="https://www.tenders.vic.gov.au/tenders/contract/list.do?action=contract-view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dtf.vic.gov.au/financial-reporting-policy/financial-reporting-directions-and-guidan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17" Type="http://schemas.openxmlformats.org/officeDocument/2006/relationships/hyperlink" Target="https://www.dtf.vic.gov.au/ministerial-directions-and-instructions-public-construction-procurement/mandatory-evaluation-criteria-industrial-relations-management-attachment-2-instruction-37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mandatory-evaluation-criteria-occupational-health-and-safety-management-attachment-1-instruction-37" TargetMode="External"/><Relationship Id="rId20" Type="http://schemas.openxmlformats.org/officeDocument/2006/relationships/hyperlink" Target="https://www.tenders.vic.gov.au/tenders/contract/list.do?action=contract-view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23" Type="http://schemas.openxmlformats.org/officeDocument/2006/relationships/hyperlink" Target="https://www.dtf.vic.gov.au/ministerial-directions-and-instructions-public-construction-procurement/use-registers-and-supplier-panels-direction-and-instruction-6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dtf.vic.gov.au/ministerial-directions-and-instructions-public-construction-procurement/guiding-principles-direction-12" TargetMode="External"/><Relationship Id="rId19" Type="http://schemas.openxmlformats.org/officeDocument/2006/relationships/hyperlink" Target="https://www.dtf.vic.gov.au/financial-reporting-policy/financial-reporting-directions-and-guidance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onstruction.procurement@dtf.vic.gov.au" TargetMode="External"/><Relationship Id="rId14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22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EB43-EEDF-423E-A94B-51D1E8A4DF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6FF883-6895-4F13-B5D4-0EF3DE5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199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Supplier-panels-and-standing-offer-arrangements-in-public-construction-procurement</vt:lpstr>
    </vt:vector>
  </TitlesOfParts>
  <Company>Department of Treasury and Finance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Fact-Sheet-Supplier-panels-and-standing-offer-arrangements-in-public-construction-procurement</dc:title>
  <dc:creator>Susan Gillett (DTF)</dc:creator>
  <cp:lastModifiedBy>Athena Rozenberg (DTF)</cp:lastModifiedBy>
  <cp:revision>16</cp:revision>
  <cp:lastPrinted>2018-01-30T04:36:00Z</cp:lastPrinted>
  <dcterms:created xsi:type="dcterms:W3CDTF">2018-01-30T04:43:00Z</dcterms:created>
  <dcterms:modified xsi:type="dcterms:W3CDTF">2020-01-03T04:23:00Z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athena.rozenberg@dtf.vic.gov.au</vt:lpwstr>
  </property>
  <property fmtid="{D5CDD505-2E9C-101B-9397-08002B2CF9AE}" pid="7" name="MSIP_Label_7158ebbd-6c5e-441f-bfc9-4eb8c11e3978_SetDate">
    <vt:lpwstr>2020-01-03T04:23:12.6818676Z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