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4A0" w:firstRow="1" w:lastRow="0" w:firstColumn="1" w:lastColumn="0" w:noHBand="0" w:noVBand="1"/>
      </w:tblPr>
      <w:tblGrid>
        <w:gridCol w:w="2293"/>
        <w:gridCol w:w="270"/>
        <w:gridCol w:w="540"/>
        <w:gridCol w:w="6134"/>
      </w:tblGrid>
      <w:tr w:rsidR="00493B55" w:rsidRPr="003C5E9F" w14:paraId="561DB27D" w14:textId="77777777" w:rsidTr="00C501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318F869D" w14:textId="654A10A6" w:rsidR="00845688" w:rsidRPr="003C5E9F" w:rsidRDefault="00845688" w:rsidP="00DE779D">
            <w:pPr>
              <w:pStyle w:val="FRDNumber"/>
            </w:pPr>
            <w:r w:rsidRPr="002E50A4">
              <w:t>FRD</w:t>
            </w:r>
            <w:r w:rsidRPr="003C5E9F">
              <w:t xml:space="preserve"> </w:t>
            </w:r>
            <w:r w:rsidR="00AC41F3">
              <w:t>118</w:t>
            </w:r>
          </w:p>
        </w:tc>
        <w:tc>
          <w:tcPr>
            <w:tcW w:w="270" w:type="dxa"/>
          </w:tcPr>
          <w:p w14:paraId="6A2C01C2"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354C6FAE"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34" w:type="dxa"/>
          </w:tcPr>
          <w:p w14:paraId="506537E2" w14:textId="3FCF7DA2" w:rsidR="00845688" w:rsidRPr="002E50A4" w:rsidRDefault="00AC41F3" w:rsidP="003B2046">
            <w:pPr>
              <w:pStyle w:val="FRDHeader"/>
              <w:cnfStyle w:val="100000000000" w:firstRow="1" w:lastRow="0" w:firstColumn="0" w:lastColumn="0" w:oddVBand="0" w:evenVBand="0" w:oddHBand="0" w:evenHBand="0" w:firstRowFirstColumn="0" w:firstRowLastColumn="0" w:lastRowFirstColumn="0" w:lastRowLastColumn="0"/>
            </w:pPr>
            <w:r w:rsidRPr="00AC41F3">
              <w:t xml:space="preserve">Land </w:t>
            </w:r>
            <w:r w:rsidR="00D935C4" w:rsidRPr="00AC41F3">
              <w:t>under declared roads</w:t>
            </w:r>
            <w:r w:rsidR="00D935C4">
              <w:t xml:space="preserve"> </w:t>
            </w:r>
            <w:r w:rsidR="0075535C">
              <w:t>(</w:t>
            </w:r>
            <w:r w:rsidR="00A631BD">
              <w:t>April</w:t>
            </w:r>
            <w:r w:rsidR="0075535C">
              <w:t xml:space="preserve"> 20</w:t>
            </w:r>
            <w:r w:rsidR="00A631BD">
              <w:t>22</w:t>
            </w:r>
            <w:r w:rsidR="0075535C">
              <w:t>)</w:t>
            </w:r>
          </w:p>
        </w:tc>
      </w:tr>
      <w:tr w:rsidR="00493B55" w:rsidRPr="00E10ADB" w14:paraId="04AC144C" w14:textId="77777777" w:rsidTr="00C5014E">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4C555A00" w14:textId="77777777" w:rsidR="00845688" w:rsidRPr="008A601F" w:rsidRDefault="00845688" w:rsidP="00DE779D">
            <w:pPr>
              <w:pStyle w:val="Tabletext"/>
            </w:pPr>
          </w:p>
        </w:tc>
        <w:tc>
          <w:tcPr>
            <w:tcW w:w="270" w:type="dxa"/>
          </w:tcPr>
          <w:p w14:paraId="016A7DC2"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6D672117"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34" w:type="dxa"/>
          </w:tcPr>
          <w:p w14:paraId="286D503E"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507ADF38"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8935CCF" w14:textId="77777777" w:rsidR="00845688" w:rsidRPr="008A601F" w:rsidRDefault="00845688" w:rsidP="00557224">
            <w:pPr>
              <w:pStyle w:val="Normalgrey"/>
            </w:pPr>
            <w:r w:rsidRPr="008A601F">
              <w:t>Purpose</w:t>
            </w:r>
          </w:p>
        </w:tc>
        <w:tc>
          <w:tcPr>
            <w:tcW w:w="270" w:type="dxa"/>
          </w:tcPr>
          <w:p w14:paraId="285C49B1" w14:textId="77777777" w:rsidR="00845688" w:rsidRPr="00A16757" w:rsidRDefault="00845688" w:rsidP="00557224">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7783D2A1" w14:textId="1EDF8294" w:rsidR="00845688" w:rsidRPr="00A16757" w:rsidRDefault="00557224" w:rsidP="00557224">
            <w:pPr>
              <w:pStyle w:val="Normalgrey"/>
              <w:cnfStyle w:val="000000010000" w:firstRow="0" w:lastRow="0" w:firstColumn="0" w:lastColumn="0" w:oddVBand="0" w:evenVBand="0" w:oddHBand="0" w:evenHBand="1" w:firstRowFirstColumn="0" w:firstRowLastColumn="0" w:lastRowFirstColumn="0" w:lastRowLastColumn="0"/>
            </w:pPr>
            <w:r>
              <w:t>1.1</w:t>
            </w:r>
          </w:p>
        </w:tc>
        <w:tc>
          <w:tcPr>
            <w:tcW w:w="6134" w:type="dxa"/>
          </w:tcPr>
          <w:p w14:paraId="173467B2" w14:textId="77777777" w:rsidR="00845688" w:rsidRPr="00E43EFA" w:rsidRDefault="00AC41F3" w:rsidP="00557224">
            <w:pPr>
              <w:pStyle w:val="Normalgrey"/>
              <w:cnfStyle w:val="000000010000" w:firstRow="0" w:lastRow="0" w:firstColumn="0" w:lastColumn="0" w:oddVBand="0" w:evenVBand="0" w:oddHBand="0" w:evenHBand="1" w:firstRowFirstColumn="0" w:firstRowLastColumn="0" w:lastRowFirstColumn="0" w:lastRowLastColumn="0"/>
            </w:pPr>
            <w:r w:rsidRPr="00AC41F3">
              <w:t>To prescribe requirements for the recognition and measurement of land under declared roads</w:t>
            </w:r>
            <w:r w:rsidR="00BB5C35">
              <w:t xml:space="preserve"> </w:t>
            </w:r>
            <w:r w:rsidR="00BB5C35" w:rsidRPr="00AC41F3">
              <w:rPr>
                <w:rFonts w:cs="Arial"/>
                <w:bCs/>
                <w:szCs w:val="22"/>
              </w:rPr>
              <w:t xml:space="preserve">as defined under the </w:t>
            </w:r>
            <w:r w:rsidR="00BB5C35" w:rsidRPr="00AC41F3">
              <w:rPr>
                <w:rFonts w:cs="Arial"/>
                <w:bCs/>
                <w:i/>
                <w:szCs w:val="22"/>
              </w:rPr>
              <w:t>Road Management Act 2004</w:t>
            </w:r>
            <w:r w:rsidR="00BB5C35" w:rsidRPr="00AC41F3">
              <w:rPr>
                <w:rFonts w:cs="Arial"/>
                <w:bCs/>
                <w:szCs w:val="22"/>
              </w:rPr>
              <w:t xml:space="preserve"> and property acquired in relation to the development of such a road</w:t>
            </w:r>
            <w:r w:rsidRPr="00AC41F3">
              <w:t>.</w:t>
            </w:r>
          </w:p>
        </w:tc>
      </w:tr>
      <w:tr w:rsidR="00AC41F3" w:rsidRPr="00E10ADB" w14:paraId="0DBE8043"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4D25318" w14:textId="77777777" w:rsidR="00AC41F3" w:rsidRPr="00E10ADB" w:rsidRDefault="00AC41F3" w:rsidP="00557224">
            <w:pPr>
              <w:pStyle w:val="Normalbold"/>
            </w:pPr>
            <w:r>
              <w:t>Application</w:t>
            </w:r>
          </w:p>
        </w:tc>
        <w:tc>
          <w:tcPr>
            <w:tcW w:w="270" w:type="dxa"/>
            <w:shd w:val="clear" w:color="auto" w:fill="F2F2F2" w:themeFill="background1" w:themeFillShade="F2"/>
          </w:tcPr>
          <w:p w14:paraId="63CA7AD6" w14:textId="77777777" w:rsidR="00AC41F3" w:rsidRPr="00493B55" w:rsidRDefault="00AC41F3" w:rsidP="00557224">
            <w:pPr>
              <w:pStyle w:val="Normalbold"/>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69D749A4" w14:textId="163B78FB" w:rsidR="00AC41F3" w:rsidRPr="00472918" w:rsidRDefault="00557224" w:rsidP="00557224">
            <w:pPr>
              <w:pStyle w:val="Normalbold"/>
              <w:cnfStyle w:val="000000100000" w:firstRow="0" w:lastRow="0" w:firstColumn="0" w:lastColumn="0" w:oddVBand="0" w:evenVBand="0" w:oddHBand="1" w:evenHBand="0" w:firstRowFirstColumn="0" w:firstRowLastColumn="0" w:lastRowFirstColumn="0" w:lastRowLastColumn="0"/>
            </w:pPr>
            <w:r>
              <w:t>2.1</w:t>
            </w:r>
          </w:p>
        </w:tc>
        <w:tc>
          <w:tcPr>
            <w:tcW w:w="6134" w:type="dxa"/>
            <w:shd w:val="clear" w:color="auto" w:fill="F2F2F2" w:themeFill="background1" w:themeFillShade="F2"/>
          </w:tcPr>
          <w:p w14:paraId="033119FC" w14:textId="77777777" w:rsidR="00AC41F3" w:rsidRPr="00AC41F3" w:rsidRDefault="00AC41F3" w:rsidP="00557224">
            <w:pPr>
              <w:pStyle w:val="Normalbold"/>
              <w:cnfStyle w:val="000000100000" w:firstRow="0" w:lastRow="0" w:firstColumn="0" w:lastColumn="0" w:oddVBand="0" w:evenVBand="0" w:oddHBand="1" w:evenHBand="0" w:firstRowFirstColumn="0" w:firstRowLastColumn="0" w:lastRowFirstColumn="0" w:lastRowLastColumn="0"/>
            </w:pPr>
            <w:r w:rsidRPr="00AC41F3">
              <w:t xml:space="preserve">Applies to any entity that holds land under declared roads and which is controlled by the State, whose financial position and result are thus included in the Annual </w:t>
            </w:r>
            <w:r w:rsidRPr="00FF77E3">
              <w:rPr>
                <w:i/>
              </w:rPr>
              <w:t>Financial Report for the State of Victoria</w:t>
            </w:r>
            <w:r w:rsidRPr="00AC41F3">
              <w:t>.</w:t>
            </w:r>
          </w:p>
        </w:tc>
      </w:tr>
      <w:tr w:rsidR="00AC41F3" w:rsidRPr="00E10ADB" w14:paraId="4579247F"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04B4828" w14:textId="77777777" w:rsidR="00AC41F3" w:rsidRDefault="00AC41F3" w:rsidP="00557224">
            <w:pPr>
              <w:pStyle w:val="Normalbold"/>
            </w:pPr>
          </w:p>
        </w:tc>
        <w:tc>
          <w:tcPr>
            <w:tcW w:w="270" w:type="dxa"/>
            <w:shd w:val="clear" w:color="auto" w:fill="F2F2F2" w:themeFill="background1" w:themeFillShade="F2"/>
          </w:tcPr>
          <w:p w14:paraId="431C11C1" w14:textId="77777777" w:rsidR="00AC41F3" w:rsidRPr="00A16757" w:rsidRDefault="00AC41F3" w:rsidP="00557224">
            <w:pPr>
              <w:pStyle w:val="Normalbold"/>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26E1F02F" w14:textId="590B2043" w:rsidR="00AC41F3" w:rsidRPr="00472918" w:rsidRDefault="00557224" w:rsidP="00557224">
            <w:pPr>
              <w:pStyle w:val="Normalbold"/>
              <w:cnfStyle w:val="000000010000" w:firstRow="0" w:lastRow="0" w:firstColumn="0" w:lastColumn="0" w:oddVBand="0" w:evenVBand="0" w:oddHBand="0" w:evenHBand="1" w:firstRowFirstColumn="0" w:firstRowLastColumn="0" w:lastRowFirstColumn="0" w:lastRowLastColumn="0"/>
            </w:pPr>
            <w:r>
              <w:t>2.2</w:t>
            </w:r>
          </w:p>
        </w:tc>
        <w:tc>
          <w:tcPr>
            <w:tcW w:w="6134" w:type="dxa"/>
            <w:shd w:val="clear" w:color="auto" w:fill="F2F2F2" w:themeFill="background1" w:themeFillShade="F2"/>
          </w:tcPr>
          <w:p w14:paraId="44C7F119" w14:textId="77777777" w:rsidR="00BB5C35" w:rsidRPr="00BB5C35" w:rsidRDefault="00AC41F3" w:rsidP="00557224">
            <w:pPr>
              <w:pStyle w:val="Normalbold"/>
              <w:cnfStyle w:val="000000010000" w:firstRow="0" w:lastRow="0" w:firstColumn="0" w:lastColumn="0" w:oddVBand="0" w:evenVBand="0" w:oddHBand="0" w:evenHBand="1" w:firstRowFirstColumn="0" w:firstRowLastColumn="0" w:lastRowFirstColumn="0" w:lastRowLastColumn="0"/>
            </w:pPr>
            <w:r w:rsidRPr="00AC41F3">
              <w:t>The scope exclusion, referred to in paragraph 2</w:t>
            </w:r>
            <w:r w:rsidR="00404BA2">
              <w:t>.3</w:t>
            </w:r>
            <w:r w:rsidRPr="00AC41F3">
              <w:t xml:space="preserve"> below, is applicable to all public bodies and departments under </w:t>
            </w:r>
            <w:r w:rsidR="00BB5C35">
              <w:t>s</w:t>
            </w:r>
            <w:r w:rsidRPr="00AC41F3">
              <w:t xml:space="preserve">ection 3 of the </w:t>
            </w:r>
            <w:r w:rsidRPr="00AC41F3">
              <w:rPr>
                <w:i/>
              </w:rPr>
              <w:t>Financial Management Act 1994</w:t>
            </w:r>
            <w:r w:rsidRPr="00AC41F3">
              <w:t>.</w:t>
            </w:r>
          </w:p>
        </w:tc>
      </w:tr>
      <w:tr w:rsidR="00BB5C35" w:rsidRPr="00E10ADB" w14:paraId="33906917"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537A02DD" w14:textId="77777777" w:rsidR="00BB5C35" w:rsidRDefault="00BB5C35" w:rsidP="00A16757">
            <w:pPr>
              <w:pStyle w:val="Normalbold"/>
            </w:pPr>
          </w:p>
        </w:tc>
        <w:tc>
          <w:tcPr>
            <w:tcW w:w="270" w:type="dxa"/>
            <w:shd w:val="clear" w:color="auto" w:fill="F2F2F2" w:themeFill="background1" w:themeFillShade="F2"/>
          </w:tcPr>
          <w:p w14:paraId="0ACCB340" w14:textId="77777777" w:rsidR="00BB5C35" w:rsidRPr="00A16757" w:rsidRDefault="00BB5C35" w:rsidP="00A16757">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6A05655B" w14:textId="7888AFBF" w:rsidR="00BB5C35" w:rsidRPr="00472918" w:rsidRDefault="00557224" w:rsidP="00557224">
            <w:pPr>
              <w:pStyle w:val="Normalbold"/>
              <w:cnfStyle w:val="000000100000" w:firstRow="0" w:lastRow="0" w:firstColumn="0" w:lastColumn="0" w:oddVBand="0" w:evenVBand="0" w:oddHBand="1" w:evenHBand="0" w:firstRowFirstColumn="0" w:firstRowLastColumn="0" w:lastRowFirstColumn="0" w:lastRowLastColumn="0"/>
            </w:pPr>
            <w:r>
              <w:t>2.3</w:t>
            </w:r>
          </w:p>
        </w:tc>
        <w:tc>
          <w:tcPr>
            <w:tcW w:w="6134" w:type="dxa"/>
            <w:shd w:val="clear" w:color="auto" w:fill="F2F2F2" w:themeFill="background1" w:themeFillShade="F2"/>
          </w:tcPr>
          <w:p w14:paraId="6C0E3C5B" w14:textId="77777777" w:rsidR="00BB5C35" w:rsidRPr="00AC41F3" w:rsidRDefault="00BB5C35" w:rsidP="00A16757">
            <w:pPr>
              <w:pStyle w:val="Normalbold"/>
              <w:cnfStyle w:val="000000100000" w:firstRow="0" w:lastRow="0" w:firstColumn="0" w:lastColumn="0" w:oddVBand="0" w:evenVBand="0" w:oddHBand="1" w:evenHBand="0" w:firstRowFirstColumn="0" w:firstRowLastColumn="0" w:lastRowFirstColumn="0" w:lastRowLastColumn="0"/>
            </w:pPr>
            <w:r w:rsidRPr="00AC41F3">
              <w:t xml:space="preserve">Any ‘land under roads’ in the following instances </w:t>
            </w:r>
            <w:r w:rsidR="007926F4">
              <w:t>shall</w:t>
            </w:r>
            <w:r w:rsidRPr="00AC41F3">
              <w:t xml:space="preserve"> </w:t>
            </w:r>
            <w:r w:rsidRPr="00AC41F3">
              <w:rPr>
                <w:u w:val="single"/>
              </w:rPr>
              <w:t>not</w:t>
            </w:r>
            <w:r w:rsidRPr="00AC41F3">
              <w:t xml:space="preserve"> be separated or distinguished from other land on the title or parcel and thus are outside the scope of this FRD and </w:t>
            </w:r>
            <w:r w:rsidR="007926F4">
              <w:t>shall</w:t>
            </w:r>
            <w:r w:rsidRPr="00AC41F3">
              <w:t xml:space="preserve"> be recognised and measured in accordance with the </w:t>
            </w:r>
            <w:r w:rsidRPr="00E63787">
              <w:t xml:space="preserve">current version of FRD 103 </w:t>
            </w:r>
            <w:r w:rsidRPr="00E63787">
              <w:rPr>
                <w:i/>
              </w:rPr>
              <w:t>Non</w:t>
            </w:r>
            <w:r w:rsidR="0018626F">
              <w:rPr>
                <w:i/>
              </w:rPr>
              <w:noBreakHyphen/>
            </w:r>
            <w:r w:rsidRPr="00E63787">
              <w:rPr>
                <w:i/>
              </w:rPr>
              <w:t>financial physical</w:t>
            </w:r>
            <w:r w:rsidRPr="00AC41F3">
              <w:rPr>
                <w:i/>
              </w:rPr>
              <w:t xml:space="preserve"> assets</w:t>
            </w:r>
            <w:r w:rsidRPr="00AC41F3">
              <w:t>:</w:t>
            </w:r>
          </w:p>
          <w:p w14:paraId="792E6943" w14:textId="77777777" w:rsidR="00BB5C35" w:rsidRPr="00AC41F3" w:rsidRDefault="00BB5C35" w:rsidP="00A16757">
            <w:pPr>
              <w:pStyle w:val="Normalbold"/>
              <w:cnfStyle w:val="000000100000" w:firstRow="0" w:lastRow="0" w:firstColumn="0" w:lastColumn="0" w:oddVBand="0" w:evenVBand="0" w:oddHBand="1" w:evenHBand="0" w:firstRowFirstColumn="0" w:firstRowLastColumn="0" w:lastRowFirstColumn="0" w:lastRowLastColumn="0"/>
            </w:pPr>
            <w:r w:rsidRPr="00AC41F3">
              <w:t>Land under roads in the following areas:</w:t>
            </w:r>
          </w:p>
          <w:p w14:paraId="04893970" w14:textId="77777777" w:rsidR="00BB5C35" w:rsidRPr="00557224" w:rsidRDefault="00BB5C35" w:rsidP="00AA2EC9">
            <w:pPr>
              <w:pStyle w:val="Listnum"/>
              <w:cnfStyle w:val="000000100000" w:firstRow="0" w:lastRow="0" w:firstColumn="0" w:lastColumn="0" w:oddVBand="0" w:evenVBand="0" w:oddHBand="1" w:evenHBand="0" w:firstRowFirstColumn="0" w:firstRowLastColumn="0" w:lastRowFirstColumn="0" w:lastRowLastColumn="0"/>
              <w:rPr>
                <w:b/>
                <w:bCs/>
              </w:rPr>
            </w:pPr>
            <w:r w:rsidRPr="00557224">
              <w:rPr>
                <w:b/>
                <w:bCs/>
              </w:rPr>
              <w:t>National/State Parks and Forests;</w:t>
            </w:r>
          </w:p>
          <w:p w14:paraId="1F6D282D" w14:textId="77777777" w:rsidR="00BB5C35" w:rsidRPr="00557224" w:rsidRDefault="00BB5C35" w:rsidP="00AA2EC9">
            <w:pPr>
              <w:pStyle w:val="Listnum"/>
              <w:cnfStyle w:val="000000100000" w:firstRow="0" w:lastRow="0" w:firstColumn="0" w:lastColumn="0" w:oddVBand="0" w:evenVBand="0" w:oddHBand="1" w:evenHBand="0" w:firstRowFirstColumn="0" w:firstRowLastColumn="0" w:lastRowFirstColumn="0" w:lastRowLastColumn="0"/>
              <w:rPr>
                <w:b/>
                <w:bCs/>
              </w:rPr>
            </w:pPr>
            <w:r w:rsidRPr="00557224">
              <w:rPr>
                <w:b/>
                <w:bCs/>
              </w:rPr>
              <w:t>Schools (including TAFE) and Hospital grounds;</w:t>
            </w:r>
          </w:p>
          <w:p w14:paraId="39AAF973" w14:textId="16137790" w:rsidR="00BB5C35" w:rsidRPr="00557224" w:rsidRDefault="00BB5C35" w:rsidP="00AA2EC9">
            <w:pPr>
              <w:pStyle w:val="Listnum"/>
              <w:cnfStyle w:val="000000100000" w:firstRow="0" w:lastRow="0" w:firstColumn="0" w:lastColumn="0" w:oddVBand="0" w:evenVBand="0" w:oddHBand="1" w:evenHBand="0" w:firstRowFirstColumn="0" w:firstRowLastColumn="0" w:lastRowFirstColumn="0" w:lastRowLastColumn="0"/>
              <w:rPr>
                <w:b/>
                <w:bCs/>
              </w:rPr>
            </w:pPr>
            <w:r w:rsidRPr="00557224">
              <w:rPr>
                <w:b/>
                <w:bCs/>
              </w:rPr>
              <w:t>other properties associated with infrastructure controlled by entities where the road is not the princip</w:t>
            </w:r>
            <w:r w:rsidR="00557224" w:rsidRPr="00557224">
              <w:rPr>
                <w:b/>
                <w:bCs/>
              </w:rPr>
              <w:t>al</w:t>
            </w:r>
            <w:r w:rsidRPr="00557224">
              <w:rPr>
                <w:b/>
                <w:bCs/>
              </w:rPr>
              <w:t xml:space="preserve"> asset on the property (e.g. water treatment plants); and</w:t>
            </w:r>
          </w:p>
          <w:p w14:paraId="6F3085F8" w14:textId="77777777" w:rsidR="00BB5C35" w:rsidRPr="00AF1352" w:rsidRDefault="00AF1352" w:rsidP="00AA2EC9">
            <w:pPr>
              <w:pStyle w:val="Listnum"/>
              <w:cnfStyle w:val="000000100000" w:firstRow="0" w:lastRow="0" w:firstColumn="0" w:lastColumn="0" w:oddVBand="0" w:evenVBand="0" w:oddHBand="1" w:evenHBand="0" w:firstRowFirstColumn="0" w:firstRowLastColumn="0" w:lastRowFirstColumn="0" w:lastRowLastColumn="0"/>
            </w:pPr>
            <w:r w:rsidRPr="00557224">
              <w:rPr>
                <w:b/>
                <w:bCs/>
              </w:rPr>
              <w:t>‘unused roads’ on Crown land.</w:t>
            </w:r>
          </w:p>
        </w:tc>
      </w:tr>
      <w:tr w:rsidR="00AC41F3" w:rsidRPr="00E10ADB" w14:paraId="1540681A"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61C63B5" w14:textId="77777777" w:rsidR="00AC41F3" w:rsidRPr="00E10ADB" w:rsidRDefault="00AC41F3" w:rsidP="00A16757">
            <w:pPr>
              <w:pStyle w:val="Normalbold"/>
            </w:pPr>
            <w:r>
              <w:t>Operative d</w:t>
            </w:r>
            <w:r w:rsidRPr="00E2009B">
              <w:t>ate</w:t>
            </w:r>
          </w:p>
        </w:tc>
        <w:tc>
          <w:tcPr>
            <w:tcW w:w="270" w:type="dxa"/>
            <w:shd w:val="clear" w:color="auto" w:fill="F2F2F2" w:themeFill="background1" w:themeFillShade="F2"/>
          </w:tcPr>
          <w:p w14:paraId="4A29F41D" w14:textId="77777777" w:rsidR="00AC41F3" w:rsidRPr="00521483" w:rsidRDefault="00AC41F3" w:rsidP="00557224">
            <w:pPr>
              <w:pStyle w:val="Refnum1grey"/>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4686E2D0" w14:textId="6354C338" w:rsidR="00AC41F3" w:rsidRPr="00E2009B" w:rsidRDefault="00557224" w:rsidP="00557224">
            <w:pPr>
              <w:pStyle w:val="Normalbold"/>
              <w:cnfStyle w:val="000000010000" w:firstRow="0" w:lastRow="0" w:firstColumn="0" w:lastColumn="0" w:oddVBand="0" w:evenVBand="0" w:oddHBand="0" w:evenHBand="1" w:firstRowFirstColumn="0" w:firstRowLastColumn="0" w:lastRowFirstColumn="0" w:lastRowLastColumn="0"/>
            </w:pPr>
            <w:r>
              <w:t>3.1</w:t>
            </w:r>
          </w:p>
        </w:tc>
        <w:tc>
          <w:tcPr>
            <w:tcW w:w="6134" w:type="dxa"/>
            <w:shd w:val="clear" w:color="auto" w:fill="F2F2F2" w:themeFill="background1" w:themeFillShade="F2"/>
          </w:tcPr>
          <w:p w14:paraId="3FB81D14" w14:textId="77777777" w:rsidR="00AC41F3" w:rsidRPr="00AC41F3" w:rsidRDefault="00404BA2" w:rsidP="00A16757">
            <w:pPr>
              <w:pStyle w:val="Normalbold"/>
              <w:cnfStyle w:val="000000010000" w:firstRow="0" w:lastRow="0" w:firstColumn="0" w:lastColumn="0" w:oddVBand="0" w:evenVBand="0" w:oddHBand="0" w:evenHBand="1" w:firstRowFirstColumn="0" w:firstRowLastColumn="0" w:lastRowFirstColumn="0" w:lastRowLastColumn="0"/>
            </w:pPr>
            <w:r>
              <w:t>Annual r</w:t>
            </w:r>
            <w:r w:rsidR="00AC41F3" w:rsidRPr="00AC41F3">
              <w:t>eporting periods commencing on or after 1 July 20</w:t>
            </w:r>
            <w:r>
              <w:t>15.</w:t>
            </w:r>
            <w:r w:rsidR="00AC41F3" w:rsidRPr="00AC41F3">
              <w:t xml:space="preserve"> </w:t>
            </w:r>
          </w:p>
        </w:tc>
      </w:tr>
      <w:tr w:rsidR="00AF1352" w:rsidRPr="00E10ADB" w14:paraId="7B518483"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2E66D22" w14:textId="77777777" w:rsidR="00AF1352" w:rsidRDefault="00AF1352" w:rsidP="00A16757">
            <w:pPr>
              <w:pStyle w:val="Normalbold"/>
            </w:pPr>
          </w:p>
        </w:tc>
        <w:tc>
          <w:tcPr>
            <w:tcW w:w="270" w:type="dxa"/>
            <w:shd w:val="clear" w:color="auto" w:fill="F2F2F2" w:themeFill="background1" w:themeFillShade="F2"/>
          </w:tcPr>
          <w:p w14:paraId="3CF59A54" w14:textId="77777777" w:rsidR="00AF1352" w:rsidRPr="00521483" w:rsidRDefault="00AF1352" w:rsidP="00A16757">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352E4E5A" w14:textId="2B67F8D4" w:rsidR="00AF1352" w:rsidRPr="00E2009B" w:rsidRDefault="00557224" w:rsidP="00557224">
            <w:pPr>
              <w:pStyle w:val="Normalbold"/>
              <w:cnfStyle w:val="000000100000" w:firstRow="0" w:lastRow="0" w:firstColumn="0" w:lastColumn="0" w:oddVBand="0" w:evenVBand="0" w:oddHBand="1" w:evenHBand="0" w:firstRowFirstColumn="0" w:firstRowLastColumn="0" w:lastRowFirstColumn="0" w:lastRowLastColumn="0"/>
            </w:pPr>
            <w:r>
              <w:t>3.2</w:t>
            </w:r>
          </w:p>
        </w:tc>
        <w:tc>
          <w:tcPr>
            <w:tcW w:w="6134" w:type="dxa"/>
            <w:shd w:val="clear" w:color="auto" w:fill="F2F2F2" w:themeFill="background1" w:themeFillShade="F2"/>
          </w:tcPr>
          <w:p w14:paraId="4C809143" w14:textId="654257E7" w:rsidR="00AF1352" w:rsidRPr="00AC41F3" w:rsidRDefault="00AF1352" w:rsidP="00A16757">
            <w:pPr>
              <w:pStyle w:val="Normalbold"/>
              <w:cnfStyle w:val="000000100000" w:firstRow="0" w:lastRow="0" w:firstColumn="0" w:lastColumn="0" w:oddVBand="0" w:evenVBand="0" w:oddHBand="1" w:evenHBand="0" w:firstRowFirstColumn="0" w:firstRowLastColumn="0" w:lastRowFirstColumn="0" w:lastRowLastColumn="0"/>
              <w:rPr>
                <w:bCs/>
              </w:rPr>
            </w:pPr>
            <w:r>
              <w:t>FRD 118</w:t>
            </w:r>
            <w:r w:rsidR="00557224">
              <w:t>C</w:t>
            </w:r>
            <w:r>
              <w:t xml:space="preserve"> </w:t>
            </w:r>
            <w:r>
              <w:rPr>
                <w:i/>
              </w:rPr>
              <w:t xml:space="preserve">Land </w:t>
            </w:r>
            <w:r w:rsidR="001A18BE">
              <w:rPr>
                <w:i/>
              </w:rPr>
              <w:t>under declared roa</w:t>
            </w:r>
            <w:r>
              <w:rPr>
                <w:i/>
              </w:rPr>
              <w:t>ds</w:t>
            </w:r>
            <w:r w:rsidRPr="00625D22">
              <w:rPr>
                <w:i/>
              </w:rPr>
              <w:t xml:space="preserve"> </w:t>
            </w:r>
            <w:r>
              <w:t xml:space="preserve">is </w:t>
            </w:r>
            <w:r w:rsidR="00557224">
              <w:t xml:space="preserve">renamed to FRD 118 </w:t>
            </w:r>
            <w:r w:rsidR="00557224">
              <w:rPr>
                <w:i/>
                <w:iCs/>
              </w:rPr>
              <w:t xml:space="preserve">Land under declared roads </w:t>
            </w:r>
            <w:r>
              <w:t xml:space="preserve">effective 1 </w:t>
            </w:r>
            <w:r w:rsidR="00557224">
              <w:t xml:space="preserve">April </w:t>
            </w:r>
            <w:r>
              <w:t>20</w:t>
            </w:r>
            <w:r w:rsidR="00557224">
              <w:t>22</w:t>
            </w:r>
            <w:r>
              <w:t>.</w:t>
            </w:r>
          </w:p>
        </w:tc>
      </w:tr>
      <w:tr w:rsidR="00051888" w:rsidRPr="00E10ADB" w14:paraId="744884D7"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FA8DC46" w14:textId="510D8E4A" w:rsidR="00051888" w:rsidRPr="00472918" w:rsidRDefault="00557224" w:rsidP="00A16757">
            <w:pPr>
              <w:pStyle w:val="Normalbold"/>
            </w:pPr>
            <w:r w:rsidRPr="00472918">
              <w:t>Requirement</w:t>
            </w:r>
            <w:r>
              <w:t>s</w:t>
            </w:r>
          </w:p>
        </w:tc>
        <w:tc>
          <w:tcPr>
            <w:tcW w:w="270" w:type="dxa"/>
            <w:shd w:val="clear" w:color="auto" w:fill="F2F2F2" w:themeFill="background1" w:themeFillShade="F2"/>
          </w:tcPr>
          <w:p w14:paraId="4C17521B" w14:textId="77777777" w:rsidR="00051888" w:rsidRPr="00521483" w:rsidRDefault="00051888" w:rsidP="00C5014E">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35B5BD23" w14:textId="13E0D3DE" w:rsidR="00051888" w:rsidRPr="00472918" w:rsidRDefault="00557224" w:rsidP="00557224">
            <w:pPr>
              <w:pStyle w:val="Normalbold"/>
              <w:cnfStyle w:val="000000010000" w:firstRow="0" w:lastRow="0" w:firstColumn="0" w:lastColumn="0" w:oddVBand="0" w:evenVBand="0" w:oddHBand="0" w:evenHBand="1" w:firstRowFirstColumn="0" w:firstRowLastColumn="0" w:lastRowFirstColumn="0" w:lastRowLastColumn="0"/>
            </w:pPr>
            <w:r>
              <w:t>4.1</w:t>
            </w:r>
          </w:p>
        </w:tc>
        <w:tc>
          <w:tcPr>
            <w:tcW w:w="6134" w:type="dxa"/>
            <w:shd w:val="clear" w:color="auto" w:fill="F2F2F2" w:themeFill="background1" w:themeFillShade="F2"/>
          </w:tcPr>
          <w:p w14:paraId="0023E024" w14:textId="77777777" w:rsidR="00557224" w:rsidRDefault="00557224" w:rsidP="00A16757">
            <w:pPr>
              <w:pStyle w:val="Normalbold"/>
              <w:cnfStyle w:val="000000010000" w:firstRow="0" w:lastRow="0" w:firstColumn="0" w:lastColumn="0" w:oddVBand="0" w:evenVBand="0" w:oddHBand="0" w:evenHBand="1" w:firstRowFirstColumn="0" w:firstRowLastColumn="0" w:lastRowFirstColumn="0" w:lastRowLastColumn="0"/>
            </w:pPr>
            <w:r w:rsidRPr="004B7E6E">
              <w:t>Recognition and measurement – entity and whole of government (AASB 1049) reporting</w:t>
            </w:r>
            <w:r>
              <w:t>:</w:t>
            </w:r>
          </w:p>
          <w:p w14:paraId="1825ADB3" w14:textId="371D7525" w:rsidR="00051888" w:rsidRPr="00AC41F3" w:rsidRDefault="00051888" w:rsidP="00A16757">
            <w:pPr>
              <w:pStyle w:val="Normalbold"/>
              <w:cnfStyle w:val="000000010000" w:firstRow="0" w:lastRow="0" w:firstColumn="0" w:lastColumn="0" w:oddVBand="0" w:evenVBand="0" w:oddHBand="0" w:evenHBand="1" w:firstRowFirstColumn="0" w:firstRowLastColumn="0" w:lastRowFirstColumn="0" w:lastRowLastColumn="0"/>
            </w:pPr>
            <w:r w:rsidRPr="00AC41F3">
              <w:t>Land under declared roads</w:t>
            </w:r>
          </w:p>
          <w:p w14:paraId="78857887" w14:textId="77777777" w:rsidR="00051888" w:rsidRPr="00557224" w:rsidRDefault="00051888" w:rsidP="00AA2EC9">
            <w:pPr>
              <w:pStyle w:val="Listnum"/>
              <w:numPr>
                <w:ilvl w:val="0"/>
                <w:numId w:val="25"/>
              </w:numPr>
              <w:cnfStyle w:val="000000010000" w:firstRow="0" w:lastRow="0" w:firstColumn="0" w:lastColumn="0" w:oddVBand="0" w:evenVBand="0" w:oddHBand="0" w:evenHBand="1" w:firstRowFirstColumn="0" w:firstRowLastColumn="0" w:lastRowFirstColumn="0" w:lastRowLastColumn="0"/>
              <w:rPr>
                <w:b/>
                <w:bCs/>
              </w:rPr>
            </w:pPr>
            <w:r w:rsidRPr="00557224">
              <w:rPr>
                <w:b/>
                <w:bCs/>
              </w:rPr>
              <w:t xml:space="preserve">Land under declared roads </w:t>
            </w:r>
            <w:r w:rsidR="007926F4" w:rsidRPr="00557224">
              <w:rPr>
                <w:b/>
                <w:bCs/>
              </w:rPr>
              <w:t>shall</w:t>
            </w:r>
            <w:r w:rsidRPr="00557224">
              <w:rPr>
                <w:b/>
                <w:bCs/>
              </w:rPr>
              <w:t xml:space="preserve"> be recognised as an asset and accounted for consistent with the requirements of the current version of FRD 103, as follows:</w:t>
            </w:r>
          </w:p>
          <w:p w14:paraId="336DBE57" w14:textId="77777777" w:rsidR="00051888" w:rsidRPr="00557224" w:rsidRDefault="00051888" w:rsidP="00C16F9A">
            <w:pPr>
              <w:pStyle w:val="Listnum2"/>
              <w:cnfStyle w:val="000000010000" w:firstRow="0" w:lastRow="0" w:firstColumn="0" w:lastColumn="0" w:oddVBand="0" w:evenVBand="0" w:oddHBand="0" w:evenHBand="1" w:firstRowFirstColumn="0" w:firstRowLastColumn="0" w:lastRowFirstColumn="0" w:lastRowLastColumn="0"/>
              <w:rPr>
                <w:b/>
                <w:bCs/>
              </w:rPr>
            </w:pPr>
            <w:r w:rsidRPr="00557224">
              <w:rPr>
                <w:b/>
                <w:bCs/>
              </w:rPr>
              <w:t>acquired prior to 1 July 2008: measured at fair value,</w:t>
            </w:r>
          </w:p>
          <w:p w14:paraId="142BEDA5" w14:textId="77777777" w:rsidR="00051888" w:rsidRPr="00051888" w:rsidRDefault="00051888" w:rsidP="00C16F9A">
            <w:pPr>
              <w:pStyle w:val="Listnum2"/>
              <w:cnfStyle w:val="000000010000" w:firstRow="0" w:lastRow="0" w:firstColumn="0" w:lastColumn="0" w:oddVBand="0" w:evenVBand="0" w:oddHBand="0" w:evenHBand="1" w:firstRowFirstColumn="0" w:firstRowLastColumn="0" w:lastRowFirstColumn="0" w:lastRowLastColumn="0"/>
              <w:rPr>
                <w:b/>
              </w:rPr>
            </w:pPr>
            <w:r w:rsidRPr="00557224">
              <w:rPr>
                <w:b/>
                <w:bCs/>
              </w:rPr>
              <w:t>acquired on, or after, 1 July 2008: measured initially at cost of acquisition, and subsequently at fair value.</w:t>
            </w:r>
          </w:p>
        </w:tc>
      </w:tr>
      <w:tr w:rsidR="00051888" w:rsidRPr="00E10ADB" w14:paraId="613EAA71"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D1D2B43" w14:textId="77777777" w:rsidR="00051888" w:rsidRPr="00472918" w:rsidRDefault="00051888" w:rsidP="00A16757">
            <w:pPr>
              <w:pStyle w:val="Normalbold"/>
            </w:pPr>
          </w:p>
        </w:tc>
        <w:tc>
          <w:tcPr>
            <w:tcW w:w="270" w:type="dxa"/>
            <w:shd w:val="clear" w:color="auto" w:fill="F2F2F2" w:themeFill="background1" w:themeFillShade="F2"/>
          </w:tcPr>
          <w:p w14:paraId="03116643" w14:textId="77777777" w:rsidR="00051888" w:rsidRPr="00521483" w:rsidRDefault="00051888" w:rsidP="00C5014E">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4D8CBF4D" w14:textId="3433876E" w:rsidR="00051888" w:rsidRPr="00472918" w:rsidRDefault="00557224" w:rsidP="00557224">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pPr>
            <w:r>
              <w:t>4.2</w:t>
            </w:r>
          </w:p>
        </w:tc>
        <w:tc>
          <w:tcPr>
            <w:tcW w:w="6134" w:type="dxa"/>
            <w:shd w:val="clear" w:color="auto" w:fill="F2F2F2" w:themeFill="background1" w:themeFillShade="F2"/>
          </w:tcPr>
          <w:p w14:paraId="2B93D833" w14:textId="77777777" w:rsidR="00051888" w:rsidRPr="00AC41F3" w:rsidRDefault="00051888" w:rsidP="00A16757">
            <w:pPr>
              <w:pStyle w:val="Normalbold"/>
              <w:cnfStyle w:val="000000100000" w:firstRow="0" w:lastRow="0" w:firstColumn="0" w:lastColumn="0" w:oddVBand="0" w:evenVBand="0" w:oddHBand="1" w:evenHBand="0" w:firstRowFirstColumn="0" w:firstRowLastColumn="0" w:lastRowFirstColumn="0" w:lastRowLastColumn="0"/>
            </w:pPr>
            <w:r w:rsidRPr="00AC41F3">
              <w:t>Property acquired for roads</w:t>
            </w:r>
          </w:p>
          <w:p w14:paraId="61D9E43B" w14:textId="77777777" w:rsidR="00051888" w:rsidRPr="00557224" w:rsidRDefault="00051888" w:rsidP="00C5014E">
            <w:pPr>
              <w:pStyle w:val="Listnum"/>
              <w:numPr>
                <w:ilvl w:val="0"/>
                <w:numId w:val="24"/>
              </w:numPr>
              <w:cnfStyle w:val="000000100000" w:firstRow="0" w:lastRow="0" w:firstColumn="0" w:lastColumn="0" w:oddVBand="0" w:evenVBand="0" w:oddHBand="1" w:evenHBand="0" w:firstRowFirstColumn="0" w:firstRowLastColumn="0" w:lastRowFirstColumn="0" w:lastRowLastColumn="0"/>
              <w:rPr>
                <w:b/>
                <w:bCs/>
              </w:rPr>
            </w:pPr>
            <w:r w:rsidRPr="00557224">
              <w:rPr>
                <w:b/>
                <w:bCs/>
              </w:rPr>
              <w:t xml:space="preserve">Land acquired prior to, on, or after 1 July 2008 in relation to the construction of a future public road in any reporting period </w:t>
            </w:r>
            <w:r w:rsidR="007926F4" w:rsidRPr="00557224">
              <w:rPr>
                <w:b/>
                <w:bCs/>
              </w:rPr>
              <w:t>shall</w:t>
            </w:r>
            <w:r w:rsidRPr="00557224">
              <w:rPr>
                <w:b/>
                <w:bCs/>
              </w:rPr>
              <w:t xml:space="preserve"> be recognised as an asset and accounted for as follows:</w:t>
            </w:r>
          </w:p>
          <w:p w14:paraId="7F15A51D" w14:textId="77777777" w:rsidR="00051888" w:rsidRPr="00557224" w:rsidRDefault="00051888" w:rsidP="00C16F9A">
            <w:pPr>
              <w:pStyle w:val="Listnum2"/>
              <w:cnfStyle w:val="000000100000" w:firstRow="0" w:lastRow="0" w:firstColumn="0" w:lastColumn="0" w:oddVBand="0" w:evenVBand="0" w:oddHBand="1" w:evenHBand="0" w:firstRowFirstColumn="0" w:firstRowLastColumn="0" w:lastRowFirstColumn="0" w:lastRowLastColumn="0"/>
              <w:rPr>
                <w:b/>
                <w:bCs/>
              </w:rPr>
            </w:pPr>
            <w:r w:rsidRPr="00557224">
              <w:rPr>
                <w:b/>
                <w:bCs/>
              </w:rPr>
              <w:t>measured initially at cost of acquisition, and subsequently at fair value; and</w:t>
            </w:r>
          </w:p>
          <w:p w14:paraId="7C6C4922" w14:textId="77777777" w:rsidR="00051888" w:rsidRPr="00051888" w:rsidRDefault="00051888" w:rsidP="00C16F9A">
            <w:pPr>
              <w:pStyle w:val="Listnum2"/>
              <w:cnfStyle w:val="000000100000" w:firstRow="0" w:lastRow="0" w:firstColumn="0" w:lastColumn="0" w:oddVBand="0" w:evenVBand="0" w:oddHBand="1" w:evenHBand="0" w:firstRowFirstColumn="0" w:firstRowLastColumn="0" w:lastRowFirstColumn="0" w:lastRowLastColumn="0"/>
              <w:rPr>
                <w:b/>
              </w:rPr>
            </w:pPr>
            <w:r w:rsidRPr="00557224">
              <w:rPr>
                <w:b/>
                <w:bCs/>
              </w:rPr>
              <w:t xml:space="preserve">sub classified as ‘Property acquired for roads’ until such time as the road is constructed and declared under Section 14 of the </w:t>
            </w:r>
            <w:r w:rsidRPr="00557224">
              <w:rPr>
                <w:b/>
                <w:bCs/>
                <w:i/>
              </w:rPr>
              <w:t>Road Management Act 2004</w:t>
            </w:r>
            <w:r w:rsidRPr="00557224">
              <w:rPr>
                <w:b/>
                <w:bCs/>
              </w:rPr>
              <w:t xml:space="preserve">, at which point it </w:t>
            </w:r>
            <w:r w:rsidR="007926F4" w:rsidRPr="00557224">
              <w:rPr>
                <w:b/>
                <w:bCs/>
              </w:rPr>
              <w:t>shall</w:t>
            </w:r>
            <w:r w:rsidRPr="00557224">
              <w:rPr>
                <w:b/>
                <w:bCs/>
              </w:rPr>
              <w:t xml:space="preserve"> be reclassified as ‘land under declared roads’. When such land is reclassified, it is transferred at its carrying amount at that time.</w:t>
            </w:r>
          </w:p>
        </w:tc>
      </w:tr>
      <w:tr w:rsidR="00AA2EC9" w:rsidRPr="00E10ADB" w14:paraId="081128AA"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C1D8C17" w14:textId="77777777" w:rsidR="00AA2EC9" w:rsidRPr="00E10ADB" w:rsidRDefault="00AA2EC9" w:rsidP="005C620C">
            <w:pPr>
              <w:pStyle w:val="Normalbold"/>
            </w:pPr>
          </w:p>
        </w:tc>
        <w:tc>
          <w:tcPr>
            <w:tcW w:w="270" w:type="dxa"/>
            <w:shd w:val="clear" w:color="auto" w:fill="F2F2F2" w:themeFill="background1" w:themeFillShade="F2"/>
          </w:tcPr>
          <w:p w14:paraId="54941C6E" w14:textId="77777777" w:rsidR="00AA2EC9" w:rsidRPr="00521483" w:rsidRDefault="00AA2EC9" w:rsidP="005C620C">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51138C24" w14:textId="27F2F461" w:rsidR="00AA2EC9" w:rsidRPr="00E2009B" w:rsidRDefault="00557224" w:rsidP="00557224">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pPr>
            <w:r>
              <w:t>4.3</w:t>
            </w:r>
          </w:p>
        </w:tc>
        <w:tc>
          <w:tcPr>
            <w:tcW w:w="6134" w:type="dxa"/>
            <w:shd w:val="clear" w:color="auto" w:fill="F2F2F2" w:themeFill="background1" w:themeFillShade="F2"/>
          </w:tcPr>
          <w:p w14:paraId="75F4154B" w14:textId="77777777" w:rsidR="00AA2EC9" w:rsidRDefault="00AA2EC9" w:rsidP="005C620C">
            <w:pPr>
              <w:pStyle w:val="Normalbold"/>
              <w:cnfStyle w:val="000000010000" w:firstRow="0" w:lastRow="0" w:firstColumn="0" w:lastColumn="0" w:oddVBand="0" w:evenVBand="0" w:oddHBand="0" w:evenHBand="1" w:firstRowFirstColumn="0" w:firstRowLastColumn="0" w:lastRowFirstColumn="0" w:lastRowLastColumn="0"/>
            </w:pPr>
            <w:r w:rsidRPr="004B7E6E">
              <w:t>Classification of land</w:t>
            </w:r>
            <w:r>
              <w:t>:</w:t>
            </w:r>
          </w:p>
          <w:p w14:paraId="2FE1E4BE" w14:textId="77777777" w:rsidR="00AA2EC9" w:rsidRPr="00051888" w:rsidRDefault="00AA2EC9" w:rsidP="00AA2EC9">
            <w:pPr>
              <w:cnfStyle w:val="000000010000" w:firstRow="0" w:lastRow="0" w:firstColumn="0" w:lastColumn="0" w:oddVBand="0" w:evenVBand="0" w:oddHBand="0" w:evenHBand="1" w:firstRowFirstColumn="0" w:firstRowLastColumn="0" w:lastRowFirstColumn="0" w:lastRowLastColumn="0"/>
              <w:rPr>
                <w:b/>
              </w:rPr>
            </w:pPr>
            <w:r w:rsidRPr="00557224">
              <w:rPr>
                <w:b/>
                <w:bCs/>
                <w:sz w:val="18"/>
              </w:rPr>
              <w:t>‘Property acquired for roads’ and ‘Land under declared roads’ form part of the general nature</w:t>
            </w:r>
            <w:r w:rsidRPr="00557224">
              <w:rPr>
                <w:b/>
                <w:bCs/>
                <w:sz w:val="18"/>
              </w:rPr>
              <w:noBreakHyphen/>
              <w:t>based sub class of ‘land’.</w:t>
            </w:r>
          </w:p>
        </w:tc>
      </w:tr>
      <w:tr w:rsidR="00AA2EC9" w:rsidRPr="00E10ADB" w14:paraId="0E687748"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551BADB" w14:textId="77777777" w:rsidR="00AA2EC9" w:rsidRPr="008F349B" w:rsidRDefault="00AA2EC9" w:rsidP="008F349B">
            <w:pPr>
              <w:pStyle w:val="Normalgrey"/>
            </w:pPr>
            <w:r w:rsidRPr="00E2009B">
              <w:t>Definitions</w:t>
            </w:r>
          </w:p>
        </w:tc>
        <w:tc>
          <w:tcPr>
            <w:tcW w:w="270" w:type="dxa"/>
          </w:tcPr>
          <w:p w14:paraId="7B7A26C4" w14:textId="77777777" w:rsidR="00AA2EC9" w:rsidRPr="00317D35" w:rsidRDefault="00AA2EC9" w:rsidP="00557224">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182E2AC9" w14:textId="7BEF7647" w:rsidR="00AA2EC9" w:rsidRPr="004B7E6E" w:rsidRDefault="00557224" w:rsidP="00557224">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5.1</w:t>
            </w:r>
          </w:p>
        </w:tc>
        <w:tc>
          <w:tcPr>
            <w:tcW w:w="6134" w:type="dxa"/>
          </w:tcPr>
          <w:p w14:paraId="3E2C24FB" w14:textId="3D332A82" w:rsidR="00AA2EC9" w:rsidRPr="00641A81" w:rsidRDefault="00AA2EC9" w:rsidP="00F25F2D">
            <w:pPr>
              <w:pStyle w:val="Normalgrey"/>
              <w:spacing w:after="0"/>
              <w:cnfStyle w:val="000000100000" w:firstRow="0" w:lastRow="0" w:firstColumn="0" w:lastColumn="0" w:oddVBand="0" w:evenVBand="0" w:oddHBand="1" w:evenHBand="0" w:firstRowFirstColumn="0" w:firstRowLastColumn="0" w:lastRowFirstColumn="0" w:lastRowLastColumn="0"/>
            </w:pPr>
            <w:r w:rsidRPr="00557224">
              <w:rPr>
                <w:b/>
                <w:iCs/>
              </w:rPr>
              <w:t>Public road</w:t>
            </w:r>
            <w:r w:rsidR="00557224">
              <w:rPr>
                <w:b/>
                <w:i/>
              </w:rPr>
              <w:t xml:space="preserve"> </w:t>
            </w:r>
            <w:r w:rsidR="00557224">
              <w:t>–</w:t>
            </w:r>
            <w:r w:rsidRPr="00641A81">
              <w:rPr>
                <w:b/>
                <w:i/>
              </w:rPr>
              <w:t xml:space="preserve"> </w:t>
            </w:r>
            <w:r w:rsidRPr="00641A81">
              <w:t>for the purposes of this FRD</w:t>
            </w:r>
            <w:r w:rsidR="00557224">
              <w:t>:</w:t>
            </w:r>
          </w:p>
          <w:p w14:paraId="3E93815B" w14:textId="77777777" w:rsidR="00AA2EC9" w:rsidRPr="00641A81" w:rsidRDefault="00AA2EC9" w:rsidP="00557224">
            <w:pPr>
              <w:pStyle w:val="Bullet1grey"/>
              <w:cnfStyle w:val="000000100000" w:firstRow="0" w:lastRow="0" w:firstColumn="0" w:lastColumn="0" w:oddVBand="0" w:evenVBand="0" w:oddHBand="1" w:evenHBand="0" w:firstRowFirstColumn="0" w:firstRowLastColumn="0" w:lastRowFirstColumn="0" w:lastRowLastColumn="0"/>
            </w:pPr>
            <w:r w:rsidRPr="00641A81">
              <w:t>includes roads declared under:</w:t>
            </w:r>
          </w:p>
          <w:p w14:paraId="3BD66789" w14:textId="77777777" w:rsidR="00AA2EC9" w:rsidRPr="00641A81" w:rsidRDefault="00AA2EC9" w:rsidP="00557224">
            <w:pPr>
              <w:pStyle w:val="Bullet2grey"/>
              <w:cnfStyle w:val="000000100000" w:firstRow="0" w:lastRow="0" w:firstColumn="0" w:lastColumn="0" w:oddVBand="0" w:evenVBand="0" w:oddHBand="1" w:evenHBand="0" w:firstRowFirstColumn="0" w:firstRowLastColumn="0" w:lastRowFirstColumn="0" w:lastRowLastColumn="0"/>
            </w:pPr>
            <w:r w:rsidRPr="00641A81">
              <w:t>Section 14 of the Road Management Act 2004; and/or</w:t>
            </w:r>
          </w:p>
          <w:p w14:paraId="2B4EC6B1" w14:textId="77777777" w:rsidR="00AA2EC9" w:rsidRPr="00641A81" w:rsidRDefault="00AA2EC9" w:rsidP="00F25F2D">
            <w:pPr>
              <w:pStyle w:val="Bullet2grey"/>
              <w:cnfStyle w:val="000000100000" w:firstRow="0" w:lastRow="0" w:firstColumn="0" w:lastColumn="0" w:oddVBand="0" w:evenVBand="0" w:oddHBand="1" w:evenHBand="0" w:firstRowFirstColumn="0" w:firstRowLastColumn="0" w:lastRowFirstColumn="0" w:lastRowLastColumn="0"/>
            </w:pPr>
            <w:r w:rsidRPr="00641A81">
              <w:t>Section 205 of the Local Government Act 1989.</w:t>
            </w:r>
          </w:p>
          <w:p w14:paraId="08293890" w14:textId="77777777" w:rsidR="00AA2EC9" w:rsidRDefault="00AA2EC9" w:rsidP="00F25F2D">
            <w:pPr>
              <w:pStyle w:val="Bullet1grey"/>
              <w:cnfStyle w:val="000000100000" w:firstRow="0" w:lastRow="0" w:firstColumn="0" w:lastColumn="0" w:oddVBand="0" w:evenVBand="0" w:oddHBand="1" w:evenHBand="0" w:firstRowFirstColumn="0" w:firstRowLastColumn="0" w:lastRowFirstColumn="0" w:lastRowLastColumn="0"/>
            </w:pPr>
            <w:r w:rsidRPr="00641A81">
              <w:t>includes public toll roads; and</w:t>
            </w:r>
          </w:p>
          <w:p w14:paraId="2A0B4BD2" w14:textId="67FEEA06" w:rsidR="00AA2EC9" w:rsidRPr="00557224" w:rsidRDefault="00AA2EC9" w:rsidP="00A16757">
            <w:pPr>
              <w:pStyle w:val="Bullet1grey"/>
              <w:cnfStyle w:val="000000100000" w:firstRow="0" w:lastRow="0" w:firstColumn="0" w:lastColumn="0" w:oddVBand="0" w:evenVBand="0" w:oddHBand="1" w:evenHBand="0" w:firstRowFirstColumn="0" w:firstRowLastColumn="0" w:lastRowFirstColumn="0" w:lastRowLastColumn="0"/>
            </w:pPr>
            <w:r w:rsidRPr="00641A81">
              <w:t xml:space="preserve">excludes roads controlled by Local Councils under Section 17 of the </w:t>
            </w:r>
            <w:r w:rsidRPr="00641A81">
              <w:rPr>
                <w:i/>
              </w:rPr>
              <w:t>Road Management Act 2004</w:t>
            </w:r>
            <w:r w:rsidRPr="00641A81">
              <w:t>.</w:t>
            </w:r>
          </w:p>
        </w:tc>
      </w:tr>
      <w:tr w:rsidR="00557224" w:rsidRPr="00E10ADB" w14:paraId="706751FD"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CDD9E13" w14:textId="77777777" w:rsidR="00557224" w:rsidRPr="00E2009B" w:rsidRDefault="00557224" w:rsidP="008F349B">
            <w:pPr>
              <w:pStyle w:val="Normalgrey"/>
            </w:pPr>
          </w:p>
        </w:tc>
        <w:tc>
          <w:tcPr>
            <w:tcW w:w="270" w:type="dxa"/>
          </w:tcPr>
          <w:p w14:paraId="5D0637B9" w14:textId="77777777" w:rsidR="00557224" w:rsidRPr="00317D35" w:rsidRDefault="00557224" w:rsidP="00557224">
            <w:pPr>
              <w:pStyle w:val="Refnum1"/>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tcPr>
          <w:p w14:paraId="52949D55" w14:textId="20D19132" w:rsidR="00557224" w:rsidRDefault="00557224" w:rsidP="00557224">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5.2</w:t>
            </w:r>
          </w:p>
        </w:tc>
        <w:tc>
          <w:tcPr>
            <w:tcW w:w="6134" w:type="dxa"/>
          </w:tcPr>
          <w:p w14:paraId="2A6499A6" w14:textId="6EF2A526" w:rsidR="00557224" w:rsidRPr="00557224" w:rsidRDefault="00557224" w:rsidP="00557224">
            <w:pPr>
              <w:pStyle w:val="Normalgrey"/>
              <w:cnfStyle w:val="000000010000" w:firstRow="0" w:lastRow="0" w:firstColumn="0" w:lastColumn="0" w:oddVBand="0" w:evenVBand="0" w:oddHBand="0" w:evenHBand="1" w:firstRowFirstColumn="0" w:firstRowLastColumn="0" w:lastRowFirstColumn="0" w:lastRowLastColumn="0"/>
            </w:pPr>
            <w:r w:rsidRPr="00557224">
              <w:rPr>
                <w:b/>
                <w:iCs/>
              </w:rPr>
              <w:t xml:space="preserve">Land </w:t>
            </w:r>
            <w:r w:rsidRPr="00875B6B">
              <w:rPr>
                <w:b/>
                <w:iCs/>
              </w:rPr>
              <w:t xml:space="preserve">under declared roads </w:t>
            </w:r>
            <w:r w:rsidRPr="00875B6B">
              <w:rPr>
                <w:iCs/>
              </w:rPr>
              <w:t>–</w:t>
            </w:r>
            <w:r w:rsidRPr="00875B6B">
              <w:rPr>
                <w:b/>
                <w:iCs/>
              </w:rPr>
              <w:t xml:space="preserve"> </w:t>
            </w:r>
            <w:r w:rsidRPr="00875B6B">
              <w:rPr>
                <w:iCs/>
              </w:rPr>
              <w:t>encompasses</w:t>
            </w:r>
            <w:r>
              <w:t xml:space="preserve"> land under the road, road reserves, including land under footpaths, nature strips and median strips.</w:t>
            </w:r>
          </w:p>
        </w:tc>
      </w:tr>
      <w:tr w:rsidR="00557224" w:rsidRPr="00E10ADB" w14:paraId="1266FD74"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CE815CC" w14:textId="77777777" w:rsidR="00557224" w:rsidRPr="00E2009B" w:rsidRDefault="00557224" w:rsidP="008F349B">
            <w:pPr>
              <w:pStyle w:val="Normalgrey"/>
            </w:pPr>
          </w:p>
        </w:tc>
        <w:tc>
          <w:tcPr>
            <w:tcW w:w="270" w:type="dxa"/>
          </w:tcPr>
          <w:p w14:paraId="7E991C3B" w14:textId="77777777" w:rsidR="00557224" w:rsidRPr="00317D35" w:rsidRDefault="00557224" w:rsidP="00557224">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52DCFD91" w14:textId="52CCE4C3" w:rsidR="00557224" w:rsidRDefault="00557224" w:rsidP="00557224">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5.3</w:t>
            </w:r>
          </w:p>
        </w:tc>
        <w:tc>
          <w:tcPr>
            <w:tcW w:w="6134" w:type="dxa"/>
          </w:tcPr>
          <w:p w14:paraId="02F88084" w14:textId="6DB6A088" w:rsidR="00557224" w:rsidRPr="00557224" w:rsidRDefault="00557224" w:rsidP="00F25F2D">
            <w:pPr>
              <w:pStyle w:val="Normalgrey"/>
              <w:spacing w:after="0"/>
              <w:cnfStyle w:val="000000100000" w:firstRow="0" w:lastRow="0" w:firstColumn="0" w:lastColumn="0" w:oddVBand="0" w:evenVBand="0" w:oddHBand="1" w:evenHBand="0" w:firstRowFirstColumn="0" w:firstRowLastColumn="0" w:lastRowFirstColumn="0" w:lastRowLastColumn="0"/>
              <w:rPr>
                <w:bCs/>
                <w:iCs/>
              </w:rPr>
            </w:pPr>
            <w:r w:rsidRPr="00875B6B">
              <w:rPr>
                <w:b/>
                <w:iCs/>
              </w:rPr>
              <w:t xml:space="preserve">Property acquired for road </w:t>
            </w:r>
            <w:r w:rsidRPr="00875B6B">
              <w:rPr>
                <w:iCs/>
              </w:rPr>
              <w:t>–</w:t>
            </w:r>
            <w:r w:rsidRPr="00875B6B">
              <w:rPr>
                <w:b/>
                <w:iCs/>
              </w:rPr>
              <w:t xml:space="preserve"> </w:t>
            </w:r>
            <w:r w:rsidRPr="00875B6B">
              <w:rPr>
                <w:iCs/>
              </w:rPr>
              <w:t>property</w:t>
            </w:r>
            <w:r>
              <w:t xml:space="preserve"> which has been acquired, directly or indirectly as a result of an intention to construct a road within the vicinity of the property, and which has not been transferred for an alternate use.</w:t>
            </w:r>
          </w:p>
        </w:tc>
      </w:tr>
      <w:tr w:rsidR="00557224" w:rsidRPr="00E10ADB" w14:paraId="71C76FDC"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06F2A68" w14:textId="77777777" w:rsidR="00557224" w:rsidRPr="00E2009B" w:rsidRDefault="00557224" w:rsidP="008F349B">
            <w:pPr>
              <w:pStyle w:val="Normalgrey"/>
            </w:pPr>
          </w:p>
        </w:tc>
        <w:tc>
          <w:tcPr>
            <w:tcW w:w="270" w:type="dxa"/>
          </w:tcPr>
          <w:p w14:paraId="73BAC732" w14:textId="77777777" w:rsidR="00557224" w:rsidRPr="00317D35" w:rsidRDefault="00557224" w:rsidP="00557224">
            <w:pPr>
              <w:pStyle w:val="Refnum1"/>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tcPr>
          <w:p w14:paraId="5F78CD43" w14:textId="755AB1D3" w:rsidR="00557224" w:rsidRDefault="00557224" w:rsidP="00557224">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5.4</w:t>
            </w:r>
          </w:p>
        </w:tc>
        <w:tc>
          <w:tcPr>
            <w:tcW w:w="6134" w:type="dxa"/>
          </w:tcPr>
          <w:p w14:paraId="3867662C" w14:textId="42031CDE" w:rsidR="00557224" w:rsidRPr="00557224" w:rsidRDefault="00557224" w:rsidP="00F25F2D">
            <w:pPr>
              <w:pStyle w:val="Normalgrey"/>
              <w:spacing w:after="0"/>
              <w:cnfStyle w:val="000000010000" w:firstRow="0" w:lastRow="0" w:firstColumn="0" w:lastColumn="0" w:oddVBand="0" w:evenVBand="0" w:oddHBand="0" w:evenHBand="1" w:firstRowFirstColumn="0" w:firstRowLastColumn="0" w:lastRowFirstColumn="0" w:lastRowLastColumn="0"/>
              <w:rPr>
                <w:b/>
                <w:iCs/>
              </w:rPr>
            </w:pPr>
            <w:r w:rsidRPr="00557224">
              <w:rPr>
                <w:b/>
                <w:iCs/>
              </w:rPr>
              <w:t xml:space="preserve">Unused </w:t>
            </w:r>
            <w:r w:rsidRPr="00875B6B">
              <w:rPr>
                <w:b/>
                <w:iCs/>
              </w:rPr>
              <w:t xml:space="preserve">road </w:t>
            </w:r>
            <w:r w:rsidRPr="00875B6B">
              <w:rPr>
                <w:iCs/>
              </w:rPr>
              <w:t>– land reserved for a Government road</w:t>
            </w:r>
            <w:r>
              <w:t xml:space="preserve"> which is declared under Section 400 of the </w:t>
            </w:r>
            <w:r w:rsidRPr="00EE5250">
              <w:rPr>
                <w:i/>
              </w:rPr>
              <w:t>Land Act 1958</w:t>
            </w:r>
            <w:r>
              <w:t xml:space="preserve"> as not required for public traffic.</w:t>
            </w:r>
          </w:p>
        </w:tc>
      </w:tr>
      <w:tr w:rsidR="00AA2EC9" w:rsidRPr="00E10ADB" w14:paraId="5D220F2E"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8B4BD47" w14:textId="77777777" w:rsidR="00AA2EC9" w:rsidRPr="008F349B" w:rsidRDefault="00AA2EC9" w:rsidP="008F349B">
            <w:pPr>
              <w:pStyle w:val="Normalgrey"/>
            </w:pPr>
            <w:r w:rsidRPr="008F349B">
              <w:t>Guidance</w:t>
            </w:r>
          </w:p>
        </w:tc>
        <w:tc>
          <w:tcPr>
            <w:tcW w:w="270" w:type="dxa"/>
          </w:tcPr>
          <w:p w14:paraId="28CE2882" w14:textId="77777777" w:rsidR="00AA2EC9" w:rsidRPr="00317D35" w:rsidRDefault="00AA2EC9" w:rsidP="00557224">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07F4C34B" w14:textId="648DD2B6" w:rsidR="00AA2EC9" w:rsidRPr="004B7E6E" w:rsidRDefault="00557224" w:rsidP="00557224">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pPr>
            <w:r>
              <w:t>6.1</w:t>
            </w:r>
          </w:p>
        </w:tc>
        <w:tc>
          <w:tcPr>
            <w:tcW w:w="6134" w:type="dxa"/>
          </w:tcPr>
          <w:p w14:paraId="53F4D356" w14:textId="0C77579A" w:rsidR="00AA2EC9" w:rsidRDefault="00AA2EC9" w:rsidP="00F25F2D">
            <w:pPr>
              <w:pStyle w:val="Normalgreybold"/>
              <w:spacing w:after="0"/>
              <w:cnfStyle w:val="000000100000" w:firstRow="0" w:lastRow="0" w:firstColumn="0" w:lastColumn="0" w:oddVBand="0" w:evenVBand="0" w:oddHBand="1" w:evenHBand="0" w:firstRowFirstColumn="0" w:firstRowLastColumn="0" w:lastRowFirstColumn="0" w:lastRowLastColumn="0"/>
            </w:pPr>
            <w:r w:rsidRPr="008F349B">
              <w:t>Depreciation</w:t>
            </w:r>
          </w:p>
          <w:p w14:paraId="725C61D5" w14:textId="77777777" w:rsidR="00AA2EC9" w:rsidRPr="00224C1B" w:rsidRDefault="00AA2EC9" w:rsidP="00F25F2D">
            <w:pPr>
              <w:pStyle w:val="Normalgrey"/>
              <w:spacing w:after="0"/>
              <w:cnfStyle w:val="000000100000" w:firstRow="0" w:lastRow="0" w:firstColumn="0" w:lastColumn="0" w:oddVBand="0" w:evenVBand="0" w:oddHBand="1" w:evenHBand="0" w:firstRowFirstColumn="0" w:firstRowLastColumn="0" w:lastRowFirstColumn="0" w:lastRowLastColumn="0"/>
              <w:rPr>
                <w:b/>
              </w:rPr>
            </w:pPr>
            <w:r w:rsidRPr="00641A81">
              <w:t>Land under a declared road is not depreciated.</w:t>
            </w:r>
          </w:p>
        </w:tc>
      </w:tr>
      <w:tr w:rsidR="00AA2EC9" w:rsidRPr="00E10ADB" w14:paraId="60A93AEA"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EAD39A4" w14:textId="77777777" w:rsidR="00AA2EC9" w:rsidRPr="008F349B" w:rsidRDefault="00AA2EC9" w:rsidP="008F349B">
            <w:pPr>
              <w:pStyle w:val="Normalgrey"/>
            </w:pPr>
          </w:p>
        </w:tc>
        <w:tc>
          <w:tcPr>
            <w:tcW w:w="270" w:type="dxa"/>
          </w:tcPr>
          <w:p w14:paraId="568931ED" w14:textId="77777777" w:rsidR="00AA2EC9" w:rsidRPr="004B7E6E" w:rsidRDefault="00AA2EC9" w:rsidP="008F349B">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684D39EC" w14:textId="2F705C49" w:rsidR="00AA2EC9" w:rsidRPr="0052384E" w:rsidRDefault="00557224" w:rsidP="00557224">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pPr>
            <w:r>
              <w:t>6.2</w:t>
            </w:r>
          </w:p>
        </w:tc>
        <w:tc>
          <w:tcPr>
            <w:tcW w:w="6134" w:type="dxa"/>
          </w:tcPr>
          <w:p w14:paraId="75B3F0FE" w14:textId="59687873" w:rsidR="00AA2EC9" w:rsidRDefault="00AA2EC9" w:rsidP="00F25F2D">
            <w:pPr>
              <w:pStyle w:val="Normalgrey"/>
              <w:spacing w:after="0"/>
              <w:cnfStyle w:val="000000010000" w:firstRow="0" w:lastRow="0" w:firstColumn="0" w:lastColumn="0" w:oddVBand="0" w:evenVBand="0" w:oddHBand="0" w:evenHBand="1" w:firstRowFirstColumn="0" w:firstRowLastColumn="0" w:lastRowFirstColumn="0" w:lastRowLastColumn="0"/>
              <w:rPr>
                <w:b/>
              </w:rPr>
            </w:pPr>
            <w:r w:rsidRPr="00641A81">
              <w:rPr>
                <w:b/>
              </w:rPr>
              <w:t>Valuation</w:t>
            </w:r>
          </w:p>
          <w:p w14:paraId="0E1C142B" w14:textId="694DE1BE" w:rsidR="00875B6B" w:rsidRDefault="00AA2EC9" w:rsidP="00B84BE4">
            <w:pPr>
              <w:pStyle w:val="Normalgrey"/>
              <w:cnfStyle w:val="000000010000" w:firstRow="0" w:lastRow="0" w:firstColumn="0" w:lastColumn="0" w:oddVBand="0" w:evenVBand="0" w:oddHBand="0" w:evenHBand="1" w:firstRowFirstColumn="0" w:firstRowLastColumn="0" w:lastRowFirstColumn="0" w:lastRowLastColumn="0"/>
            </w:pPr>
            <w:r w:rsidRPr="00641A81">
              <w:t>In 2009, all State Valuers</w:t>
            </w:r>
            <w:r>
              <w:noBreakHyphen/>
            </w:r>
            <w:r w:rsidRPr="00641A81">
              <w:t xml:space="preserve">General concluded </w:t>
            </w:r>
            <w:r w:rsidR="00D61E86" w:rsidRPr="00D61E86">
              <w:t>that a ‘statutory land value’ is the most feasible and efficient base for</w:t>
            </w:r>
            <w:r w:rsidRPr="00641A81">
              <w:t xml:space="preserve"> valuing land under declared roads</w:t>
            </w:r>
            <w:r w:rsidR="00875B6B">
              <w:t>.</w:t>
            </w:r>
          </w:p>
          <w:p w14:paraId="13312D72" w14:textId="5503115A" w:rsidR="00AA2EC9" w:rsidRPr="0052384E" w:rsidRDefault="00875B6B" w:rsidP="00B84BE4">
            <w:pPr>
              <w:pStyle w:val="Normalgrey"/>
              <w:cnfStyle w:val="000000010000" w:firstRow="0" w:lastRow="0" w:firstColumn="0" w:lastColumn="0" w:oddVBand="0" w:evenVBand="0" w:oddHBand="0" w:evenHBand="1" w:firstRowFirstColumn="0" w:firstRowLastColumn="0" w:lastRowFirstColumn="0" w:lastRowLastColumn="0"/>
            </w:pPr>
            <w:r w:rsidRPr="00641A81">
              <w:t xml:space="preserve">They agreed that the following resolution </w:t>
            </w:r>
            <w:r w:rsidRPr="00641A81">
              <w:rPr>
                <w:i/>
              </w:rPr>
              <w:t>‘jurisdictions may apply different discounts to best estimate a reasonable englobo value for particular road localities for financial reporting purposes’</w:t>
            </w:r>
            <w:r w:rsidRPr="00641A81">
              <w:t xml:space="preserve"> would be the most appropriate way to value land under declared roads to reflect differences in the reported statutory values and would assist in consistent reporting across all jurisdictions.</w:t>
            </w:r>
          </w:p>
        </w:tc>
      </w:tr>
      <w:tr w:rsidR="00AA2EC9" w:rsidRPr="00E10ADB" w14:paraId="50D80D9B"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8674B19" w14:textId="77777777" w:rsidR="00AA2EC9" w:rsidRPr="008F349B" w:rsidRDefault="00AA2EC9" w:rsidP="008F349B">
            <w:pPr>
              <w:pStyle w:val="Normalgrey"/>
            </w:pPr>
          </w:p>
        </w:tc>
        <w:tc>
          <w:tcPr>
            <w:tcW w:w="270" w:type="dxa"/>
          </w:tcPr>
          <w:p w14:paraId="5DB8ED80" w14:textId="77777777" w:rsidR="00AA2EC9" w:rsidRPr="004B7E6E" w:rsidRDefault="00AA2EC9" w:rsidP="008F349B">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1A7C252A" w14:textId="51ECD9BE" w:rsidR="00AA2EC9" w:rsidRPr="004B7E6E" w:rsidRDefault="00557224" w:rsidP="00557224">
            <w:pPr>
              <w:pStyle w:val="Refnum2"/>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w:t>
            </w:r>
            <w:r w:rsidR="00875B6B">
              <w:rPr>
                <w:color w:val="595959" w:themeColor="text1" w:themeTint="A6"/>
              </w:rPr>
              <w:t>3</w:t>
            </w:r>
          </w:p>
        </w:tc>
        <w:tc>
          <w:tcPr>
            <w:tcW w:w="6134" w:type="dxa"/>
          </w:tcPr>
          <w:p w14:paraId="27AA71AF" w14:textId="77777777" w:rsidR="00AA2EC9" w:rsidRPr="00641A81" w:rsidRDefault="00AA2EC9" w:rsidP="00C315A8">
            <w:pPr>
              <w:pStyle w:val="Normalgrey"/>
              <w:cnfStyle w:val="000000100000" w:firstRow="0" w:lastRow="0" w:firstColumn="0" w:lastColumn="0" w:oddVBand="0" w:evenVBand="0" w:oddHBand="1" w:evenHBand="0" w:firstRowFirstColumn="0" w:firstRowLastColumn="0" w:lastRowFirstColumn="0" w:lastRowLastColumn="0"/>
            </w:pPr>
            <w:r w:rsidRPr="00641A81">
              <w:t xml:space="preserve">Statutory land value, in Victoria, is the ‘site value’ for council rating purposes as defined in the </w:t>
            </w:r>
            <w:r w:rsidRPr="00641A81">
              <w:rPr>
                <w:i/>
              </w:rPr>
              <w:t>Valuation of Land Act</w:t>
            </w:r>
            <w:r w:rsidRPr="00641A81">
              <w:t xml:space="preserve"> 1960.</w:t>
            </w:r>
          </w:p>
        </w:tc>
      </w:tr>
      <w:tr w:rsidR="00AA2EC9" w:rsidRPr="00E10ADB" w14:paraId="4EB5B80A"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B8ED4A5" w14:textId="77777777" w:rsidR="00AA2EC9" w:rsidRPr="008F349B" w:rsidRDefault="00AA2EC9" w:rsidP="00D85378">
            <w:pPr>
              <w:pStyle w:val="Normalgrey"/>
            </w:pPr>
          </w:p>
        </w:tc>
        <w:tc>
          <w:tcPr>
            <w:tcW w:w="270" w:type="dxa"/>
          </w:tcPr>
          <w:p w14:paraId="01806F8C" w14:textId="77777777" w:rsidR="00AA2EC9" w:rsidRPr="004B7E6E" w:rsidRDefault="00AA2EC9" w:rsidP="00D85378">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37440AC7" w14:textId="027EF9D5" w:rsidR="00AA2EC9" w:rsidRPr="004B7E6E" w:rsidRDefault="00557224" w:rsidP="00557224">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6.</w:t>
            </w:r>
            <w:r w:rsidR="00875B6B">
              <w:rPr>
                <w:color w:val="595959" w:themeColor="text1" w:themeTint="A6"/>
              </w:rPr>
              <w:t>4</w:t>
            </w:r>
          </w:p>
        </w:tc>
        <w:tc>
          <w:tcPr>
            <w:tcW w:w="6134" w:type="dxa"/>
          </w:tcPr>
          <w:p w14:paraId="485E419F" w14:textId="17E1B4E3" w:rsidR="00AA2EC9" w:rsidRDefault="00AA2EC9" w:rsidP="00F25F2D">
            <w:pPr>
              <w:pStyle w:val="Normalgreybold"/>
              <w:spacing w:after="0"/>
              <w:cnfStyle w:val="000000010000" w:firstRow="0" w:lastRow="0" w:firstColumn="0" w:lastColumn="0" w:oddVBand="0" w:evenVBand="0" w:oddHBand="0" w:evenHBand="1" w:firstRowFirstColumn="0" w:firstRowLastColumn="0" w:lastRowFirstColumn="0" w:lastRowLastColumn="0"/>
            </w:pPr>
            <w:r w:rsidRPr="00641A81">
              <w:t>Disclosure</w:t>
            </w:r>
          </w:p>
          <w:p w14:paraId="63084115" w14:textId="48E52B87" w:rsidR="00AA2EC9" w:rsidRPr="00641A81" w:rsidRDefault="00AA2EC9" w:rsidP="00D85378">
            <w:pPr>
              <w:pStyle w:val="Normalgrey"/>
              <w:cnfStyle w:val="000000010000" w:firstRow="0" w:lastRow="0" w:firstColumn="0" w:lastColumn="0" w:oddVBand="0" w:evenVBand="0" w:oddHBand="0" w:evenHBand="1" w:firstRowFirstColumn="0" w:firstRowLastColumn="0" w:lastRowFirstColumn="0" w:lastRowLastColumn="0"/>
              <w:rPr>
                <w:b/>
              </w:rPr>
            </w:pPr>
            <w:r w:rsidRPr="00641A81">
              <w:t xml:space="preserve">For the purposes of disclosure in the notes of an entity’s financial statements, land under declared roads </w:t>
            </w:r>
            <w:r>
              <w:t>shall</w:t>
            </w:r>
            <w:r w:rsidRPr="00641A81">
              <w:t xml:space="preserve"> be disclosed as a separate sub</w:t>
            </w:r>
            <w:r>
              <w:noBreakHyphen/>
            </w:r>
            <w:r w:rsidRPr="00641A81">
              <w:t>class of land. Separate note disclosure is appropriate because of the different valuation methodology and significant value of land under declared roads.</w:t>
            </w:r>
          </w:p>
        </w:tc>
      </w:tr>
      <w:tr w:rsidR="00AA2EC9" w:rsidRPr="00E10ADB" w14:paraId="42DD08CE" w14:textId="77777777" w:rsidTr="00C50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C6249AD" w14:textId="77777777" w:rsidR="00AA2EC9" w:rsidRPr="008F349B" w:rsidRDefault="00AA2EC9" w:rsidP="007170D9">
            <w:pPr>
              <w:pStyle w:val="Normalgrey"/>
            </w:pPr>
          </w:p>
        </w:tc>
        <w:tc>
          <w:tcPr>
            <w:tcW w:w="270" w:type="dxa"/>
          </w:tcPr>
          <w:p w14:paraId="51B136DB" w14:textId="77777777" w:rsidR="00AA2EC9" w:rsidRPr="00521483" w:rsidRDefault="00AA2EC9" w:rsidP="007170D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16925491" w14:textId="347FFE0C" w:rsidR="00AA2EC9" w:rsidRPr="004B7E6E" w:rsidRDefault="00557224" w:rsidP="00557224">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w:t>
            </w:r>
            <w:r w:rsidR="00875B6B">
              <w:rPr>
                <w:color w:val="595959" w:themeColor="text1" w:themeTint="A6"/>
              </w:rPr>
              <w:t>5</w:t>
            </w:r>
          </w:p>
        </w:tc>
        <w:tc>
          <w:tcPr>
            <w:tcW w:w="6134" w:type="dxa"/>
          </w:tcPr>
          <w:p w14:paraId="06C2EC76" w14:textId="1AC3A353" w:rsidR="00AA2EC9" w:rsidRDefault="00AA2EC9" w:rsidP="00F25F2D">
            <w:pPr>
              <w:pStyle w:val="Normalgreybold"/>
              <w:spacing w:after="0"/>
              <w:cnfStyle w:val="000000100000" w:firstRow="0" w:lastRow="0" w:firstColumn="0" w:lastColumn="0" w:oddVBand="0" w:evenVBand="0" w:oddHBand="1" w:evenHBand="0" w:firstRowFirstColumn="0" w:firstRowLastColumn="0" w:lastRowFirstColumn="0" w:lastRowLastColumn="0"/>
            </w:pPr>
            <w:r w:rsidRPr="00641A81">
              <w:t>Property acquired for roads</w:t>
            </w:r>
          </w:p>
          <w:p w14:paraId="7EF61DAA" w14:textId="77777777" w:rsidR="00AA2EC9" w:rsidRPr="00641A81" w:rsidRDefault="00AA2EC9" w:rsidP="007170D9">
            <w:pPr>
              <w:pStyle w:val="Normalgrey"/>
              <w:cnfStyle w:val="000000100000" w:firstRow="0" w:lastRow="0" w:firstColumn="0" w:lastColumn="0" w:oddVBand="0" w:evenVBand="0" w:oddHBand="1" w:evenHBand="0" w:firstRowFirstColumn="0" w:firstRowLastColumn="0" w:lastRowFirstColumn="0" w:lastRowLastColumn="0"/>
              <w:rPr>
                <w:b/>
              </w:rPr>
            </w:pPr>
            <w:r w:rsidRPr="00641A81">
              <w:t>The methodology applied for the valuation of assets classified as ‘property acquired for roads’ is not the same as that applied to ‘land under declared roads’. ‘Property acquired for roads’ is instead valued consistent with other non</w:t>
            </w:r>
            <w:r>
              <w:noBreakHyphen/>
              <w:t>financial</w:t>
            </w:r>
            <w:r w:rsidRPr="00641A81">
              <w:t xml:space="preserve"> physical assets.</w:t>
            </w:r>
          </w:p>
        </w:tc>
      </w:tr>
      <w:tr w:rsidR="00AA2EC9" w:rsidRPr="00E10ADB" w14:paraId="7E6CE249" w14:textId="77777777" w:rsidTr="00C50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4A79F07" w14:textId="77777777" w:rsidR="00AA2EC9" w:rsidRPr="008F349B" w:rsidRDefault="00AA2EC9" w:rsidP="008F349B">
            <w:pPr>
              <w:pStyle w:val="Normalgrey"/>
            </w:pPr>
            <w:r w:rsidRPr="008F349B">
              <w:t>Relevant pronouncements</w:t>
            </w:r>
          </w:p>
        </w:tc>
        <w:tc>
          <w:tcPr>
            <w:tcW w:w="270" w:type="dxa"/>
          </w:tcPr>
          <w:p w14:paraId="1D8CA15E" w14:textId="77777777" w:rsidR="00AA2EC9" w:rsidRPr="00521483" w:rsidRDefault="00AA2EC9" w:rsidP="004B7E6E">
            <w:pPr>
              <w:pStyle w:val="Refnum1"/>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tcPr>
          <w:p w14:paraId="3717541D" w14:textId="309F6A1E" w:rsidR="00AA2EC9" w:rsidRPr="00E2009B" w:rsidRDefault="00875B6B" w:rsidP="004B7E6E">
            <w:pPr>
              <w:pStyle w:val="Refnum2"/>
              <w:numPr>
                <w:ilvl w:val="0"/>
                <w:numId w:val="0"/>
              </w:numPr>
              <w:cnfStyle w:val="000000010000" w:firstRow="0" w:lastRow="0" w:firstColumn="0" w:lastColumn="0" w:oddVBand="0" w:evenVBand="0" w:oddHBand="0" w:evenHBand="1" w:firstRowFirstColumn="0" w:firstRowLastColumn="0" w:lastRowFirstColumn="0" w:lastRowLastColumn="0"/>
            </w:pPr>
            <w:r>
              <w:t>7.1</w:t>
            </w:r>
          </w:p>
        </w:tc>
        <w:tc>
          <w:tcPr>
            <w:tcW w:w="6134" w:type="dxa"/>
          </w:tcPr>
          <w:p w14:paraId="1502A285" w14:textId="5E5D735A" w:rsidR="00AA2EC9" w:rsidRDefault="00AA2EC9" w:rsidP="008F349B">
            <w:pPr>
              <w:pStyle w:val="Bullet1grey"/>
              <w:contextualSpacing w:val="0"/>
              <w:cnfStyle w:val="000000010000" w:firstRow="0" w:lastRow="0" w:firstColumn="0" w:lastColumn="0" w:oddVBand="0" w:evenVBand="0" w:oddHBand="0" w:evenHBand="1" w:firstRowFirstColumn="0" w:firstRowLastColumn="0" w:lastRowFirstColumn="0" w:lastRowLastColumn="0"/>
            </w:pPr>
            <w:r>
              <w:t xml:space="preserve">AASB 116 </w:t>
            </w:r>
            <w:r w:rsidRPr="000B6D1E">
              <w:rPr>
                <w:i/>
              </w:rPr>
              <w:t>Property, Plant and Equipment</w:t>
            </w:r>
            <w:r>
              <w:t xml:space="preserve"> </w:t>
            </w:r>
          </w:p>
          <w:p w14:paraId="212194D2" w14:textId="42ED1234" w:rsidR="00AA2EC9" w:rsidRPr="004B7E6E" w:rsidRDefault="00AA2EC9" w:rsidP="00217878">
            <w:pPr>
              <w:pStyle w:val="Bullet1grey"/>
              <w:cnfStyle w:val="000000010000" w:firstRow="0" w:lastRow="0" w:firstColumn="0" w:lastColumn="0" w:oddVBand="0" w:evenVBand="0" w:oddHBand="0" w:evenHBand="1" w:firstRowFirstColumn="0" w:firstRowLastColumn="0" w:lastRowFirstColumn="0" w:lastRowLastColumn="0"/>
              <w:rPr>
                <w:i/>
              </w:rPr>
            </w:pPr>
            <w:r w:rsidRPr="00A21939">
              <w:t>AASB 1049</w:t>
            </w:r>
            <w:r>
              <w:t xml:space="preserve"> </w:t>
            </w:r>
            <w:r w:rsidRPr="004B7E6E">
              <w:rPr>
                <w:i/>
              </w:rPr>
              <w:t>Whole of Government and General Government Sector Financial Reporting</w:t>
            </w:r>
          </w:p>
          <w:p w14:paraId="2057013A" w14:textId="1BE02BA9" w:rsidR="00AA2EC9" w:rsidRDefault="00AA2EC9" w:rsidP="00217878">
            <w:pPr>
              <w:pStyle w:val="Bullet1grey"/>
              <w:cnfStyle w:val="000000010000" w:firstRow="0" w:lastRow="0" w:firstColumn="0" w:lastColumn="0" w:oddVBand="0" w:evenVBand="0" w:oddHBand="0" w:evenHBand="1" w:firstRowFirstColumn="0" w:firstRowLastColumn="0" w:lastRowFirstColumn="0" w:lastRowLastColumn="0"/>
            </w:pPr>
            <w:r w:rsidRPr="00A21939">
              <w:t>AASB 1051</w:t>
            </w:r>
            <w:r>
              <w:t xml:space="preserve"> </w:t>
            </w:r>
            <w:r w:rsidRPr="004B7E6E">
              <w:rPr>
                <w:i/>
              </w:rPr>
              <w:t>Land Under Roads</w:t>
            </w:r>
            <w:r>
              <w:rPr>
                <w:i/>
              </w:rPr>
              <w:t xml:space="preserve"> </w:t>
            </w:r>
          </w:p>
          <w:p w14:paraId="44D6C5BE" w14:textId="1697572F" w:rsidR="00AA2EC9" w:rsidRPr="00E2009B" w:rsidRDefault="00AA2EC9" w:rsidP="001D54F3">
            <w:pPr>
              <w:pStyle w:val="Bullet1grey"/>
              <w:cnfStyle w:val="000000010000" w:firstRow="0" w:lastRow="0" w:firstColumn="0" w:lastColumn="0" w:oddVBand="0" w:evenVBand="0" w:oddHBand="0" w:evenHBand="1" w:firstRowFirstColumn="0" w:firstRowLastColumn="0" w:lastRowFirstColumn="0" w:lastRowLastColumn="0"/>
            </w:pPr>
            <w:r w:rsidRPr="00760463">
              <w:t>FRD 103</w:t>
            </w:r>
            <w:r>
              <w:t xml:space="preserve"> </w:t>
            </w:r>
            <w:r w:rsidRPr="004B7E6E">
              <w:rPr>
                <w:i/>
              </w:rPr>
              <w:t>Non</w:t>
            </w:r>
            <w:r>
              <w:rPr>
                <w:i/>
              </w:rPr>
              <w:noBreakHyphen/>
            </w:r>
            <w:r w:rsidRPr="004B7E6E">
              <w:rPr>
                <w:i/>
              </w:rPr>
              <w:t>financial physical asset</w:t>
            </w:r>
            <w:r>
              <w:rPr>
                <w:i/>
              </w:rPr>
              <w:t>s</w:t>
            </w:r>
          </w:p>
        </w:tc>
      </w:tr>
      <w:tr w:rsidR="00AA2EC9" w:rsidRPr="00E10ADB" w14:paraId="680C1222" w14:textId="77777777" w:rsidTr="008F349B">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93" w:type="dxa"/>
          </w:tcPr>
          <w:p w14:paraId="323209AD" w14:textId="77777777" w:rsidR="00AA2EC9" w:rsidRPr="00E2009B" w:rsidRDefault="00AA2EC9" w:rsidP="008F349B">
            <w:pPr>
              <w:pStyle w:val="Normalgrey"/>
            </w:pPr>
            <w:r w:rsidRPr="00E2009B">
              <w:t>Background</w:t>
            </w:r>
          </w:p>
        </w:tc>
        <w:tc>
          <w:tcPr>
            <w:tcW w:w="270" w:type="dxa"/>
          </w:tcPr>
          <w:p w14:paraId="44A9EEC4" w14:textId="77777777" w:rsidR="00AA2EC9" w:rsidRPr="00521483" w:rsidRDefault="00AA2EC9" w:rsidP="004B7E6E">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4639A287" w14:textId="5E467174" w:rsidR="00AA2EC9" w:rsidRPr="00472918" w:rsidRDefault="00875B6B" w:rsidP="004B7E6E">
            <w:pPr>
              <w:pStyle w:val="Refnum2"/>
              <w:numPr>
                <w:ilvl w:val="0"/>
                <w:numId w:val="0"/>
              </w:numPr>
              <w:cnfStyle w:val="000000100000" w:firstRow="0" w:lastRow="0" w:firstColumn="0" w:lastColumn="0" w:oddVBand="0" w:evenVBand="0" w:oddHBand="1" w:evenHBand="0" w:firstRowFirstColumn="0" w:firstRowLastColumn="0" w:lastRowFirstColumn="0" w:lastRowLastColumn="0"/>
            </w:pPr>
            <w:r>
              <w:t>8.1</w:t>
            </w:r>
          </w:p>
        </w:tc>
        <w:tc>
          <w:tcPr>
            <w:tcW w:w="6134" w:type="dxa"/>
          </w:tcPr>
          <w:p w14:paraId="5E869C7E" w14:textId="6B614F1D" w:rsidR="00AA2EC9" w:rsidRPr="00217878" w:rsidRDefault="00AA2EC9" w:rsidP="00F25F2D">
            <w:pPr>
              <w:pStyle w:val="Normalgrey"/>
              <w:cnfStyle w:val="000000100000" w:firstRow="0" w:lastRow="0" w:firstColumn="0" w:lastColumn="0" w:oddVBand="0" w:evenVBand="0" w:oddHBand="1" w:evenHBand="0" w:firstRowFirstColumn="0" w:firstRowLastColumn="0" w:lastRowFirstColumn="0" w:lastRowLastColumn="0"/>
            </w:pPr>
            <w:r w:rsidRPr="00217878">
              <w:t xml:space="preserve">Land under declared roads had been exempt from valuation since the inception of AAS 27, </w:t>
            </w:r>
            <w:r w:rsidR="00875B6B">
              <w:t xml:space="preserve">AAS </w:t>
            </w:r>
            <w:r w:rsidRPr="00217878">
              <w:t xml:space="preserve">29 and </w:t>
            </w:r>
            <w:r w:rsidR="00875B6B">
              <w:t xml:space="preserve">AAS </w:t>
            </w:r>
            <w:r w:rsidRPr="00217878">
              <w:t>31.</w:t>
            </w:r>
            <w:r w:rsidR="00F25F2D">
              <w:t xml:space="preserve"> </w:t>
            </w:r>
            <w:r w:rsidRPr="00217878">
              <w:t>Consequently, the policy adopted for the State of Victoria had been not to recognise land under declared roads.</w:t>
            </w:r>
          </w:p>
          <w:p w14:paraId="6D2E66F0" w14:textId="0F24E933" w:rsidR="00AA2EC9" w:rsidRPr="00217878" w:rsidRDefault="00AA2EC9" w:rsidP="00F25F2D">
            <w:pPr>
              <w:pStyle w:val="Normalgrey"/>
              <w:spacing w:after="0"/>
              <w:cnfStyle w:val="000000100000" w:firstRow="0" w:lastRow="0" w:firstColumn="0" w:lastColumn="0" w:oddVBand="0" w:evenVBand="0" w:oddHBand="1" w:evenHBand="0" w:firstRowFirstColumn="0" w:firstRowLastColumn="0" w:lastRowFirstColumn="0" w:lastRowLastColumn="0"/>
            </w:pPr>
            <w:r w:rsidRPr="00217878">
              <w:t xml:space="preserve">In </w:t>
            </w:r>
            <w:r w:rsidRPr="00F25F2D">
              <w:t>December</w:t>
            </w:r>
            <w:r w:rsidRPr="00217878">
              <w:t xml:space="preserve"> 2007, AASB 1051 </w:t>
            </w:r>
            <w:r w:rsidRPr="00217878">
              <w:rPr>
                <w:i/>
              </w:rPr>
              <w:t>Land Under Roads</w:t>
            </w:r>
            <w:r w:rsidRPr="00217878">
              <w:t xml:space="preserve"> </w:t>
            </w:r>
            <w:r w:rsidR="00F25F2D">
              <w:t xml:space="preserve">was issued, </w:t>
            </w:r>
            <w:r w:rsidRPr="00217878">
              <w:t>which provides for entities:</w:t>
            </w:r>
          </w:p>
          <w:p w14:paraId="282FE4DF" w14:textId="77777777" w:rsidR="00AA2EC9" w:rsidRPr="00217878" w:rsidRDefault="00AA2EC9" w:rsidP="00F25F2D">
            <w:pPr>
              <w:pStyle w:val="Bullet1grey"/>
              <w:spacing w:before="0"/>
              <w:cnfStyle w:val="000000100000" w:firstRow="0" w:lastRow="0" w:firstColumn="0" w:lastColumn="0" w:oddVBand="0" w:evenVBand="0" w:oddHBand="1" w:evenHBand="0" w:firstRowFirstColumn="0" w:firstRowLastColumn="0" w:lastRowFirstColumn="0" w:lastRowLastColumn="0"/>
            </w:pPr>
            <w:r w:rsidRPr="00217878">
              <w:t>to elect to recognise (including continue to recognise or to recognise for the first time), subject to satisfaction of the asset recognition criteria, or not to recognise (including continue not to recognise or to derecognise) as an asset, land under roads acquired before the end of the first reporting period ending on, or after, 31 December 2007; and</w:t>
            </w:r>
          </w:p>
          <w:p w14:paraId="506C1734" w14:textId="77777777" w:rsidR="00AA2EC9" w:rsidRPr="00217878" w:rsidRDefault="00AA2EC9" w:rsidP="00F25F2D">
            <w:pPr>
              <w:pStyle w:val="Bullet1grey"/>
              <w:cnfStyle w:val="000000100000" w:firstRow="0" w:lastRow="0" w:firstColumn="0" w:lastColumn="0" w:oddVBand="0" w:evenVBand="0" w:oddHBand="1" w:evenHBand="0" w:firstRowFirstColumn="0" w:firstRowLastColumn="0" w:lastRowFirstColumn="0" w:lastRowLastColumn="0"/>
            </w:pPr>
            <w:r w:rsidRPr="00217878">
              <w:t>to make an election regarding (a) above, effective as at the first day of the next reporting period following the end of the first reporting period ending on, or after, 31 December 2007.</w:t>
            </w:r>
          </w:p>
          <w:p w14:paraId="5DC2F7B6" w14:textId="07F9849A" w:rsidR="00AA2EC9" w:rsidRPr="00217878" w:rsidRDefault="00AA2EC9" w:rsidP="00F25F2D">
            <w:pPr>
              <w:pStyle w:val="Normalgrey"/>
              <w:spacing w:after="0"/>
              <w:cnfStyle w:val="000000100000" w:firstRow="0" w:lastRow="0" w:firstColumn="0" w:lastColumn="0" w:oddVBand="0" w:evenVBand="0" w:oddHBand="1" w:evenHBand="0" w:firstRowFirstColumn="0" w:firstRowLastColumn="0" w:lastRowFirstColumn="0" w:lastRowLastColumn="0"/>
            </w:pPr>
            <w:r w:rsidRPr="00217878">
              <w:t xml:space="preserve">Initially the </w:t>
            </w:r>
            <w:r w:rsidR="00F25F2D" w:rsidRPr="00217878">
              <w:t>pre</w:t>
            </w:r>
            <w:r w:rsidR="00F25F2D">
              <w:t>-</w:t>
            </w:r>
            <w:r w:rsidRPr="00217878">
              <w:t>June 2008 land under declared roads was not recognised for the reasons outlined above</w:t>
            </w:r>
            <w:r w:rsidR="00F25F2D">
              <w:t xml:space="preserve"> and</w:t>
            </w:r>
            <w:r w:rsidRPr="00217878">
              <w:t xml:space="preserve"> land under declared roads acquired on, or after, 1 July 2008 was recognised at cost. FRD 118 was issued to reflect this policy. </w:t>
            </w:r>
          </w:p>
          <w:p w14:paraId="39114EE2" w14:textId="168FEA7A" w:rsidR="00AA2EC9" w:rsidRPr="00F67063" w:rsidRDefault="00F25F2D" w:rsidP="008F349B">
            <w:pPr>
              <w:pStyle w:val="Normalgrey"/>
              <w:cnfStyle w:val="000000100000" w:firstRow="0" w:lastRow="0" w:firstColumn="0" w:lastColumn="0" w:oddVBand="0" w:evenVBand="0" w:oddHBand="1" w:evenHBand="0" w:firstRowFirstColumn="0" w:firstRowLastColumn="0" w:lastRowFirstColumn="0" w:lastRowLastColumn="0"/>
            </w:pPr>
            <w:r>
              <w:t xml:space="preserve">Following the </w:t>
            </w:r>
            <w:r w:rsidR="00AA2EC9" w:rsidRPr="00217878">
              <w:t>implement</w:t>
            </w:r>
            <w:r>
              <w:t>ation</w:t>
            </w:r>
            <w:r w:rsidR="00AA2EC9" w:rsidRPr="00217878">
              <w:t xml:space="preserve"> AASB 1049</w:t>
            </w:r>
            <w:r>
              <w:t>,</w:t>
            </w:r>
            <w:r w:rsidR="00AA2EC9" w:rsidRPr="00217878">
              <w:t xml:space="preserve"> land under declared roads was recognised and measured at fair value in the whole</w:t>
            </w:r>
            <w:r w:rsidR="00AA2EC9">
              <w:noBreakHyphen/>
            </w:r>
            <w:r w:rsidR="00AA2EC9" w:rsidRPr="00217878">
              <w:t>of</w:t>
            </w:r>
            <w:r w:rsidR="00AA2EC9">
              <w:noBreakHyphen/>
            </w:r>
            <w:r w:rsidR="00AA2EC9" w:rsidRPr="00217878">
              <w:t xml:space="preserve">government and </w:t>
            </w:r>
            <w:r w:rsidR="001A18BE">
              <w:t>general government sector</w:t>
            </w:r>
            <w:r w:rsidR="00AA2EC9" w:rsidRPr="00217878">
              <w:t>.</w:t>
            </w:r>
            <w:r>
              <w:t xml:space="preserve"> This was reflected in </w:t>
            </w:r>
            <w:r w:rsidRPr="00217878">
              <w:t>the 2008</w:t>
            </w:r>
            <w:r>
              <w:noBreakHyphen/>
            </w:r>
            <w:r w:rsidRPr="00217878">
              <w:t xml:space="preserve">09 </w:t>
            </w:r>
            <w:r w:rsidRPr="003F3AE1">
              <w:rPr>
                <w:i/>
              </w:rPr>
              <w:t>Financial Report for the State of Victoria</w:t>
            </w:r>
            <w:r>
              <w:t>.</w:t>
            </w:r>
          </w:p>
        </w:tc>
      </w:tr>
      <w:tr w:rsidR="00875B6B" w:rsidRPr="00E10ADB" w14:paraId="7A7153DF" w14:textId="77777777" w:rsidTr="008F349B">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93" w:type="dxa"/>
          </w:tcPr>
          <w:p w14:paraId="460BF158" w14:textId="77777777" w:rsidR="00875B6B" w:rsidRPr="00E2009B" w:rsidRDefault="00875B6B" w:rsidP="008F349B">
            <w:pPr>
              <w:pStyle w:val="Normalgrey"/>
            </w:pPr>
          </w:p>
        </w:tc>
        <w:tc>
          <w:tcPr>
            <w:tcW w:w="270" w:type="dxa"/>
          </w:tcPr>
          <w:p w14:paraId="53369037" w14:textId="77777777" w:rsidR="00875B6B" w:rsidRPr="00521483" w:rsidRDefault="00875B6B" w:rsidP="004B7E6E">
            <w:pPr>
              <w:pStyle w:val="Refnum1"/>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tcPr>
          <w:p w14:paraId="6F476040" w14:textId="1D04C0BE" w:rsidR="00875B6B" w:rsidRDefault="00E8150D" w:rsidP="004B7E6E">
            <w:pPr>
              <w:pStyle w:val="Refnum2"/>
              <w:numPr>
                <w:ilvl w:val="0"/>
                <w:numId w:val="0"/>
              </w:numPr>
              <w:cnfStyle w:val="000000010000" w:firstRow="0" w:lastRow="0" w:firstColumn="0" w:lastColumn="0" w:oddVBand="0" w:evenVBand="0" w:oddHBand="0" w:evenHBand="1" w:firstRowFirstColumn="0" w:firstRowLastColumn="0" w:lastRowFirstColumn="0" w:lastRowLastColumn="0"/>
            </w:pPr>
            <w:r>
              <w:t>8.2</w:t>
            </w:r>
          </w:p>
        </w:tc>
        <w:tc>
          <w:tcPr>
            <w:tcW w:w="6134" w:type="dxa"/>
          </w:tcPr>
          <w:p w14:paraId="3BB3F457" w14:textId="77777777" w:rsidR="00E8150D" w:rsidRDefault="00E8150D" w:rsidP="00E8150D">
            <w:pPr>
              <w:pStyle w:val="Normalgrey"/>
              <w:cnfStyle w:val="000000010000" w:firstRow="0" w:lastRow="0" w:firstColumn="0" w:lastColumn="0" w:oddVBand="0" w:evenVBand="0" w:oddHBand="0" w:evenHBand="1" w:firstRowFirstColumn="0" w:firstRowLastColumn="0" w:lastRowFirstColumn="0" w:lastRowLastColumn="0"/>
            </w:pPr>
            <w:r>
              <w:t>This FRD was revised in:</w:t>
            </w:r>
          </w:p>
          <w:p w14:paraId="1535EC84" w14:textId="7B159266" w:rsidR="00E8150D" w:rsidRPr="00217878" w:rsidRDefault="00E8150D" w:rsidP="00E8150D">
            <w:pPr>
              <w:pStyle w:val="Bullet1grey"/>
              <w:cnfStyle w:val="000000010000" w:firstRow="0" w:lastRow="0" w:firstColumn="0" w:lastColumn="0" w:oddVBand="0" w:evenVBand="0" w:oddHBand="0" w:evenHBand="1" w:firstRowFirstColumn="0" w:firstRowLastColumn="0" w:lastRowFirstColumn="0" w:lastRowLastColumn="0"/>
            </w:pPr>
            <w:r>
              <w:t xml:space="preserve">2009 </w:t>
            </w:r>
            <w:r w:rsidRPr="00217878">
              <w:t xml:space="preserve">to </w:t>
            </w:r>
            <w:r>
              <w:t>limit</w:t>
            </w:r>
            <w:r w:rsidRPr="00217878">
              <w:t xml:space="preserve"> </w:t>
            </w:r>
            <w:r>
              <w:t xml:space="preserve">its </w:t>
            </w:r>
            <w:r w:rsidRPr="00217878">
              <w:t>application to the consolidated financial statements of the whole</w:t>
            </w:r>
            <w:r>
              <w:noBreakHyphen/>
            </w:r>
            <w:r w:rsidRPr="00217878">
              <w:t>of</w:t>
            </w:r>
            <w:r>
              <w:noBreakHyphen/>
            </w:r>
            <w:r w:rsidRPr="00217878">
              <w:t xml:space="preserve">government and general government sector. </w:t>
            </w:r>
            <w:r>
              <w:t>Note that</w:t>
            </w:r>
            <w:r w:rsidRPr="00217878">
              <w:t xml:space="preserve"> land under declared roads acquired before 1 July 2008 was not recognised in the 2008</w:t>
            </w:r>
            <w:r>
              <w:noBreakHyphen/>
            </w:r>
            <w:r w:rsidRPr="00217878">
              <w:t>09 financial statements of VicRoads.</w:t>
            </w:r>
          </w:p>
          <w:p w14:paraId="50BF3482" w14:textId="2703B01B" w:rsidR="00E8150D" w:rsidRPr="00F67063" w:rsidRDefault="00E8150D" w:rsidP="00E8150D">
            <w:pPr>
              <w:pStyle w:val="Bullet1grey"/>
              <w:cnfStyle w:val="000000010000" w:firstRow="0" w:lastRow="0" w:firstColumn="0" w:lastColumn="0" w:oddVBand="0" w:evenVBand="0" w:oddHBand="0" w:evenHBand="1" w:firstRowFirstColumn="0" w:firstRowLastColumn="0" w:lastRowFirstColumn="0" w:lastRowLastColumn="0"/>
              <w:rPr>
                <w:b/>
              </w:rPr>
            </w:pPr>
            <w:r w:rsidRPr="00217878">
              <w:t>2010 to clarify the position from an entity</w:t>
            </w:r>
            <w:r>
              <w:noBreakHyphen/>
            </w:r>
            <w:r w:rsidRPr="00217878">
              <w:t>level and whole</w:t>
            </w:r>
            <w:r>
              <w:noBreakHyphen/>
            </w:r>
            <w:r w:rsidRPr="00217878">
              <w:t>of</w:t>
            </w:r>
            <w:r>
              <w:noBreakHyphen/>
            </w:r>
            <w:r w:rsidRPr="00217878">
              <w:t>government basis, on a longer</w:t>
            </w:r>
            <w:r>
              <w:t>-</w:t>
            </w:r>
            <w:r w:rsidRPr="00217878">
              <w:t>term basis.</w:t>
            </w:r>
          </w:p>
          <w:p w14:paraId="20446206" w14:textId="5387C516" w:rsidR="00875B6B" w:rsidRPr="00217878" w:rsidRDefault="00E8150D" w:rsidP="00E8150D">
            <w:pPr>
              <w:pStyle w:val="Bullet1grey"/>
              <w:cnfStyle w:val="000000010000" w:firstRow="0" w:lastRow="0" w:firstColumn="0" w:lastColumn="0" w:oddVBand="0" w:evenVBand="0" w:oddHBand="0" w:evenHBand="1" w:firstRowFirstColumn="0" w:firstRowLastColumn="0" w:lastRowFirstColumn="0" w:lastRowLastColumn="0"/>
            </w:pPr>
            <w:r>
              <w:lastRenderedPageBreak/>
              <w:t>June 2016 to remove guidance relating to transitional application as it is no longer required.</w:t>
            </w:r>
          </w:p>
        </w:tc>
      </w:tr>
    </w:tbl>
    <w:p w14:paraId="28CC95FA" w14:textId="77777777" w:rsidR="00C67777" w:rsidRPr="00C67777" w:rsidRDefault="00C67777" w:rsidP="00F25F2D"/>
    <w:sectPr w:rsidR="00C67777" w:rsidRPr="00C67777" w:rsidSect="006A3F5B">
      <w:footerReference w:type="default" r:id="rId9"/>
      <w:headerReference w:type="first" r:id="rId10"/>
      <w:footerReference w:type="first" r:id="rId11"/>
      <w:pgSz w:w="11906" w:h="16838" w:code="9"/>
      <w:pgMar w:top="1800" w:right="1440" w:bottom="1354" w:left="1440" w:header="44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84DF" w14:textId="77777777" w:rsidR="00E74BE7" w:rsidRDefault="00E74BE7" w:rsidP="00493B55">
      <w:pPr>
        <w:spacing w:before="0" w:after="0"/>
      </w:pPr>
      <w:r>
        <w:separator/>
      </w:r>
    </w:p>
  </w:endnote>
  <w:endnote w:type="continuationSeparator" w:id="0">
    <w:p w14:paraId="3377F5FA" w14:textId="77777777" w:rsidR="00E74BE7" w:rsidRDefault="00E74BE7"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3F3" w14:textId="6C87E98D" w:rsidR="00266067" w:rsidRDefault="008807DB" w:rsidP="00266067">
    <w:pPr>
      <w:pStyle w:val="Spacer"/>
    </w:pPr>
    <w:r>
      <w:rPr>
        <w:noProof/>
      </w:rPr>
      <mc:AlternateContent>
        <mc:Choice Requires="wps">
          <w:drawing>
            <wp:anchor distT="0" distB="0" distL="114300" distR="114300" simplePos="0" relativeHeight="251657216" behindDoc="0" locked="0" layoutInCell="0" allowOverlap="1" wp14:anchorId="3517B006" wp14:editId="6DD44D8E">
              <wp:simplePos x="0" y="0"/>
              <wp:positionH relativeFrom="page">
                <wp:posOffset>0</wp:posOffset>
              </wp:positionH>
              <wp:positionV relativeFrom="page">
                <wp:posOffset>10227945</wp:posOffset>
              </wp:positionV>
              <wp:extent cx="7560310" cy="273050"/>
              <wp:effectExtent l="0" t="0" r="0" b="12700"/>
              <wp:wrapNone/>
              <wp:docPr id="2" name="MSIPCMc75843c5b18da95578d2fd5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03727" w14:textId="57CFD577" w:rsidR="008807DB" w:rsidRPr="008807DB" w:rsidRDefault="008807DB" w:rsidP="008807DB">
                          <w:pPr>
                            <w:spacing w:before="0" w:after="0"/>
                            <w:rPr>
                              <w:rFonts w:ascii="Calibri" w:hAnsi="Calibri" w:cs="Calibri"/>
                              <w:color w:val="000000"/>
                              <w:sz w:val="22"/>
                            </w:rPr>
                          </w:pPr>
                          <w:r w:rsidRPr="008807D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17B006" id="_x0000_t202" coordsize="21600,21600" o:spt="202" path="m,l,21600r21600,l21600,xe">
              <v:stroke joinstyle="miter"/>
              <v:path gradientshapeok="t" o:connecttype="rect"/>
            </v:shapetype>
            <v:shape id="MSIPCMc75843c5b18da95578d2fd5e"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Q7BITtAIAAEgF&#10;AAAOAAAAAAAAAAAAAAAAAC4CAABkcnMvZTJvRG9jLnhtbFBLAQItABQABgAIAAAAIQB8dgjh3wAA&#10;AAsBAAAPAAAAAAAAAAAAAAAAAA4FAABkcnMvZG93bnJldi54bWxQSwUGAAAAAAQABADzAAAAGgYA&#10;AAAA&#10;" o:allowincell="f" filled="f" stroked="f" strokeweight=".5pt">
              <v:textbox inset="20pt,0,,0">
                <w:txbxContent>
                  <w:p w14:paraId="0E503727" w14:textId="57CFD577" w:rsidR="008807DB" w:rsidRPr="008807DB" w:rsidRDefault="008807DB" w:rsidP="008807DB">
                    <w:pPr>
                      <w:spacing w:before="0" w:after="0"/>
                      <w:rPr>
                        <w:rFonts w:ascii="Calibri" w:hAnsi="Calibri" w:cs="Calibri"/>
                        <w:color w:val="000000"/>
                        <w:sz w:val="22"/>
                      </w:rPr>
                    </w:pPr>
                    <w:r w:rsidRPr="008807DB">
                      <w:rPr>
                        <w:rFonts w:ascii="Calibri" w:hAnsi="Calibri" w:cs="Calibri"/>
                        <w:color w:val="000000"/>
                        <w:sz w:val="22"/>
                      </w:rPr>
                      <w:t>OFFICIAL</w:t>
                    </w:r>
                  </w:p>
                </w:txbxContent>
              </v:textbox>
              <w10:wrap anchorx="page" anchory="page"/>
            </v:shape>
          </w:pict>
        </mc:Fallback>
      </mc:AlternateContent>
    </w:r>
  </w:p>
  <w:p w14:paraId="1CA91037" w14:textId="13CAC831" w:rsidR="00266067" w:rsidRPr="00CB18DA" w:rsidRDefault="00266067" w:rsidP="00266067">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710AFC">
      <w:rPr>
        <w:b/>
      </w:rPr>
      <w:t>FRD 118</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710AFC">
      <w:t>Land under declared roads (April 2022)</w:t>
    </w:r>
    <w:r w:rsidRPr="006C78FB">
      <w:fldChar w:fldCharType="end"/>
    </w:r>
    <w:r w:rsidRPr="00C022F9">
      <w:tab/>
    </w:r>
    <w:r w:rsidRPr="005828FE">
      <w:t xml:space="preserve">Page </w:t>
    </w:r>
    <w:r w:rsidRPr="00CB18DA">
      <w:rPr>
        <w:rStyle w:val="PageNumber"/>
        <w:color w:val="auto"/>
      </w:rPr>
      <w:fldChar w:fldCharType="begin"/>
    </w:r>
    <w:r w:rsidRPr="00CB18DA">
      <w:rPr>
        <w:rStyle w:val="PageNumber"/>
        <w:color w:val="auto"/>
      </w:rPr>
      <w:instrText xml:space="preserve"> Page </w:instrText>
    </w:r>
    <w:r w:rsidRPr="00CB18DA">
      <w:rPr>
        <w:rStyle w:val="PageNumber"/>
        <w:color w:val="auto"/>
      </w:rPr>
      <w:fldChar w:fldCharType="separate"/>
    </w:r>
    <w:r w:rsidR="00D94EC7">
      <w:rPr>
        <w:rStyle w:val="PageNumber"/>
        <w:color w:val="auto"/>
      </w:rPr>
      <w:t>4</w:t>
    </w:r>
    <w:r w:rsidRPr="00CB18DA">
      <w:rPr>
        <w:rStyle w:val="PageNumbe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0D6A" w14:textId="22AE2A88" w:rsidR="00266067" w:rsidRDefault="008807DB" w:rsidP="00266067">
    <w:pPr>
      <w:pStyle w:val="Spacer"/>
    </w:pPr>
    <w:r>
      <w:rPr>
        <w:noProof/>
      </w:rPr>
      <mc:AlternateContent>
        <mc:Choice Requires="wps">
          <w:drawing>
            <wp:anchor distT="0" distB="0" distL="114300" distR="114300" simplePos="0" relativeHeight="251659264" behindDoc="0" locked="0" layoutInCell="0" allowOverlap="1" wp14:anchorId="0EA26413" wp14:editId="65D9C002">
              <wp:simplePos x="0" y="0"/>
              <wp:positionH relativeFrom="page">
                <wp:posOffset>0</wp:posOffset>
              </wp:positionH>
              <wp:positionV relativeFrom="page">
                <wp:posOffset>10227945</wp:posOffset>
              </wp:positionV>
              <wp:extent cx="7560310" cy="273050"/>
              <wp:effectExtent l="0" t="0" r="0" b="12700"/>
              <wp:wrapNone/>
              <wp:docPr id="3" name="MSIPCM014e4847b9d52f6ef9e34de3"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40D7F" w14:textId="4EDC6660" w:rsidR="008807DB" w:rsidRPr="008807DB" w:rsidRDefault="008807DB" w:rsidP="008807DB">
                          <w:pPr>
                            <w:spacing w:before="0" w:after="0"/>
                            <w:rPr>
                              <w:rFonts w:ascii="Calibri" w:hAnsi="Calibri" w:cs="Calibri"/>
                              <w:color w:val="000000"/>
                              <w:sz w:val="22"/>
                            </w:rPr>
                          </w:pPr>
                          <w:r w:rsidRPr="008807D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A26413" id="_x0000_t202" coordsize="21600,21600" o:spt="202" path="m,l,21600r21600,l21600,xe">
              <v:stroke joinstyle="miter"/>
              <v:path gradientshapeok="t" o:connecttype="rect"/>
            </v:shapetype>
            <v:shape id="MSIPCM014e4847b9d52f6ef9e34de3"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JGK0AtAIAAFEF&#10;AAAOAAAAAAAAAAAAAAAAAC4CAABkcnMvZTJvRG9jLnhtbFBLAQItABQABgAIAAAAIQB8dgjh3wAA&#10;AAsBAAAPAAAAAAAAAAAAAAAAAA4FAABkcnMvZG93bnJldi54bWxQSwUGAAAAAAQABADzAAAAGgYA&#10;AAAA&#10;" o:allowincell="f" filled="f" stroked="f" strokeweight=".5pt">
              <v:textbox inset="20pt,0,,0">
                <w:txbxContent>
                  <w:p w14:paraId="74D40D7F" w14:textId="4EDC6660" w:rsidR="008807DB" w:rsidRPr="008807DB" w:rsidRDefault="008807DB" w:rsidP="008807DB">
                    <w:pPr>
                      <w:spacing w:before="0" w:after="0"/>
                      <w:rPr>
                        <w:rFonts w:ascii="Calibri" w:hAnsi="Calibri" w:cs="Calibri"/>
                        <w:color w:val="000000"/>
                        <w:sz w:val="22"/>
                      </w:rPr>
                    </w:pPr>
                    <w:r w:rsidRPr="008807DB">
                      <w:rPr>
                        <w:rFonts w:ascii="Calibri" w:hAnsi="Calibri" w:cs="Calibri"/>
                        <w:color w:val="000000"/>
                        <w:sz w:val="22"/>
                      </w:rPr>
                      <w:t>OFFICIAL</w:t>
                    </w:r>
                  </w:p>
                </w:txbxContent>
              </v:textbox>
              <w10:wrap anchorx="page" anchory="page"/>
            </v:shape>
          </w:pict>
        </mc:Fallback>
      </mc:AlternateContent>
    </w:r>
  </w:p>
  <w:p w14:paraId="317688AE" w14:textId="129C37B2" w:rsidR="00266067" w:rsidRPr="005828FE" w:rsidRDefault="00266067" w:rsidP="00266067">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710AFC">
      <w:rPr>
        <w:b/>
      </w:rPr>
      <w:t>FRD 118</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710AFC">
      <w:t>Land under declared roads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94EC7">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54A9" w14:textId="77777777" w:rsidR="00E74BE7" w:rsidRDefault="00E74BE7" w:rsidP="00493B55">
      <w:pPr>
        <w:spacing w:before="0" w:after="0"/>
      </w:pPr>
      <w:r>
        <w:separator/>
      </w:r>
    </w:p>
  </w:footnote>
  <w:footnote w:type="continuationSeparator" w:id="0">
    <w:p w14:paraId="0BEE7BE2" w14:textId="77777777" w:rsidR="00E74BE7" w:rsidRDefault="00E74BE7"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8DFE" w14:textId="77777777" w:rsidR="000B6D1E" w:rsidRPr="0041689E" w:rsidRDefault="000B6D1E" w:rsidP="000B6D1E">
    <w:pPr>
      <w:pStyle w:val="Header"/>
      <w:tabs>
        <w:tab w:val="clear" w:pos="9026"/>
      </w:tabs>
      <w:ind w:right="-694"/>
      <w:jc w:val="right"/>
    </w:pPr>
    <w:r>
      <w:rPr>
        <w:noProof/>
      </w:rPr>
      <w:drawing>
        <wp:inline distT="0" distB="0" distL="0" distR="0" wp14:anchorId="7EB54C8A" wp14:editId="0C4648C4">
          <wp:extent cx="813816" cy="4663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82930F9" w14:textId="77777777" w:rsidR="000B6D1E" w:rsidRDefault="000B6D1E" w:rsidP="000B6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FFC"/>
    <w:multiLevelType w:val="multilevel"/>
    <w:tmpl w:val="2320E16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6D30F2"/>
    <w:multiLevelType w:val="hybridMultilevel"/>
    <w:tmpl w:val="EA7C28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CB3AEC"/>
    <w:multiLevelType w:val="hybridMultilevel"/>
    <w:tmpl w:val="484E34AE"/>
    <w:lvl w:ilvl="0" w:tplc="0C090017">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5" w15:restartNumberingAfterBreak="0">
    <w:nsid w:val="1904630B"/>
    <w:multiLevelType w:val="hybridMultilevel"/>
    <w:tmpl w:val="B1442424"/>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B180F6F"/>
    <w:multiLevelType w:val="hybridMultilevel"/>
    <w:tmpl w:val="B10816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A0BBF"/>
    <w:multiLevelType w:val="hybridMultilevel"/>
    <w:tmpl w:val="9486622C"/>
    <w:lvl w:ilvl="0" w:tplc="F73C7DCA">
      <w:start w:val="1"/>
      <w:numFmt w:val="bullet"/>
      <w:lvlText w:val="­"/>
      <w:lvlJc w:val="left"/>
      <w:pPr>
        <w:tabs>
          <w:tab w:val="num" w:pos="1080"/>
        </w:tabs>
        <w:ind w:left="1080" w:hanging="360"/>
      </w:pPr>
      <w:rPr>
        <w:rFonts w:ascii="Courier New" w:hAnsi="Courier New" w:hint="default"/>
      </w:rPr>
    </w:lvl>
    <w:lvl w:ilvl="1" w:tplc="F73C7DCA">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D74A7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AA00136"/>
    <w:multiLevelType w:val="hybridMultilevel"/>
    <w:tmpl w:val="586C9DD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C550F8"/>
    <w:multiLevelType w:val="multilevel"/>
    <w:tmpl w:val="65CA5EC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6C0124D7"/>
    <w:multiLevelType w:val="multilevel"/>
    <w:tmpl w:val="577CB59E"/>
    <w:lvl w:ilvl="0">
      <w:start w:val="1"/>
      <w:numFmt w:val="decimal"/>
      <w:pStyle w:val="Refnum1"/>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FD44514"/>
    <w:multiLevelType w:val="multilevel"/>
    <w:tmpl w:val="75B657FC"/>
    <w:lvl w:ilvl="0">
      <w:start w:val="1"/>
      <w:numFmt w:val="lowerLetter"/>
      <w:pStyle w:val="Listnum"/>
      <w:lvlText w:val="(%1)"/>
      <w:lvlJc w:val="left"/>
      <w:pPr>
        <w:tabs>
          <w:tab w:val="num" w:pos="504"/>
        </w:tabs>
        <w:ind w:left="504" w:hanging="504"/>
      </w:pPr>
      <w:rPr>
        <w:rFonts w:hint="default"/>
        <w:b/>
        <w:bCs/>
      </w:rPr>
    </w:lvl>
    <w:lvl w:ilvl="1">
      <w:start w:val="1"/>
      <w:numFmt w:val="lowerRoman"/>
      <w:pStyle w:val="Listnum2"/>
      <w:lvlText w:val="(%2)"/>
      <w:lvlJc w:val="left"/>
      <w:pPr>
        <w:tabs>
          <w:tab w:val="num" w:pos="1008"/>
        </w:tabs>
        <w:ind w:left="1008" w:hanging="504"/>
      </w:pPr>
      <w:rPr>
        <w:rFonts w:hint="default"/>
        <w:b/>
        <w:bCs w:val="0"/>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9"/>
  </w:num>
  <w:num w:numId="2">
    <w:abstractNumId w:val="13"/>
  </w:num>
  <w:num w:numId="3">
    <w:abstractNumId w:val="18"/>
  </w:num>
  <w:num w:numId="4">
    <w:abstractNumId w:val="10"/>
  </w:num>
  <w:num w:numId="5">
    <w:abstractNumId w:val="3"/>
  </w:num>
  <w:num w:numId="6">
    <w:abstractNumId w:val="16"/>
  </w:num>
  <w:num w:numId="7">
    <w:abstractNumId w:val="7"/>
  </w:num>
  <w:num w:numId="8">
    <w:abstractNumId w:val="4"/>
  </w:num>
  <w:num w:numId="9">
    <w:abstractNumId w:val="11"/>
  </w:num>
  <w:num w:numId="10">
    <w:abstractNumId w:val="14"/>
  </w:num>
  <w:num w:numId="11">
    <w:abstractNumId w:val="0"/>
  </w:num>
  <w:num w:numId="12">
    <w:abstractNumId w:val="6"/>
  </w:num>
  <w:num w:numId="13">
    <w:abstractNumId w:val="5"/>
  </w:num>
  <w:num w:numId="14">
    <w:abstractNumId w:val="1"/>
  </w:num>
  <w:num w:numId="15">
    <w:abstractNumId w:val="15"/>
  </w:num>
  <w:num w:numId="16">
    <w:abstractNumId w:val="2"/>
  </w:num>
  <w:num w:numId="17">
    <w:abstractNumId w:val="12"/>
  </w:num>
  <w:num w:numId="18">
    <w:abstractNumId w:val="19"/>
  </w:num>
  <w:num w:numId="19">
    <w:abstractNumId w:val="8"/>
  </w:num>
  <w:num w:numId="20">
    <w:abstractNumId w:val="17"/>
  </w:num>
  <w:num w:numId="21">
    <w:abstractNumId w:val="17"/>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2">
    <w:abstractNumId w:val="17"/>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1F3"/>
    <w:rsid w:val="0000060C"/>
    <w:rsid w:val="00051888"/>
    <w:rsid w:val="00053F67"/>
    <w:rsid w:val="0006158A"/>
    <w:rsid w:val="00065CB0"/>
    <w:rsid w:val="0007418B"/>
    <w:rsid w:val="0008069A"/>
    <w:rsid w:val="00083CF0"/>
    <w:rsid w:val="00087CA2"/>
    <w:rsid w:val="00094E0A"/>
    <w:rsid w:val="000B2B10"/>
    <w:rsid w:val="000B6D1E"/>
    <w:rsid w:val="000B6E22"/>
    <w:rsid w:val="000C050C"/>
    <w:rsid w:val="000E3C93"/>
    <w:rsid w:val="000F4639"/>
    <w:rsid w:val="00106332"/>
    <w:rsid w:val="001134D2"/>
    <w:rsid w:val="0011683D"/>
    <w:rsid w:val="00135F8F"/>
    <w:rsid w:val="001376D2"/>
    <w:rsid w:val="00154BCA"/>
    <w:rsid w:val="00176AAF"/>
    <w:rsid w:val="00177A24"/>
    <w:rsid w:val="00180AA6"/>
    <w:rsid w:val="0018455D"/>
    <w:rsid w:val="0018626F"/>
    <w:rsid w:val="0019063F"/>
    <w:rsid w:val="001A18BE"/>
    <w:rsid w:val="001D54F3"/>
    <w:rsid w:val="00217878"/>
    <w:rsid w:val="00224C1B"/>
    <w:rsid w:val="00231A10"/>
    <w:rsid w:val="0023575D"/>
    <w:rsid w:val="00266067"/>
    <w:rsid w:val="00315EA7"/>
    <w:rsid w:val="00317D35"/>
    <w:rsid w:val="00355FA3"/>
    <w:rsid w:val="00363A40"/>
    <w:rsid w:val="00376C4B"/>
    <w:rsid w:val="00397331"/>
    <w:rsid w:val="003A3FB2"/>
    <w:rsid w:val="003B08E4"/>
    <w:rsid w:val="003B0B80"/>
    <w:rsid w:val="003B0F23"/>
    <w:rsid w:val="003B2046"/>
    <w:rsid w:val="003F3AE1"/>
    <w:rsid w:val="00404BA2"/>
    <w:rsid w:val="004409A0"/>
    <w:rsid w:val="00474946"/>
    <w:rsid w:val="00485BD7"/>
    <w:rsid w:val="00486D52"/>
    <w:rsid w:val="00493B55"/>
    <w:rsid w:val="004B7E6E"/>
    <w:rsid w:val="004C52A6"/>
    <w:rsid w:val="004D34D8"/>
    <w:rsid w:val="004D650A"/>
    <w:rsid w:val="004E1E96"/>
    <w:rsid w:val="004E624D"/>
    <w:rsid w:val="0052384E"/>
    <w:rsid w:val="00557224"/>
    <w:rsid w:val="0059001A"/>
    <w:rsid w:val="005D7B86"/>
    <w:rsid w:val="005E149B"/>
    <w:rsid w:val="00604DCF"/>
    <w:rsid w:val="00641A81"/>
    <w:rsid w:val="00645860"/>
    <w:rsid w:val="00692A02"/>
    <w:rsid w:val="006A3F5B"/>
    <w:rsid w:val="006A7C6B"/>
    <w:rsid w:val="00705B3A"/>
    <w:rsid w:val="00710AFC"/>
    <w:rsid w:val="007120DF"/>
    <w:rsid w:val="00750372"/>
    <w:rsid w:val="0075535C"/>
    <w:rsid w:val="00761B16"/>
    <w:rsid w:val="00765193"/>
    <w:rsid w:val="00773000"/>
    <w:rsid w:val="00780026"/>
    <w:rsid w:val="007926F4"/>
    <w:rsid w:val="007941C0"/>
    <w:rsid w:val="007C578B"/>
    <w:rsid w:val="00810B92"/>
    <w:rsid w:val="008155E0"/>
    <w:rsid w:val="00845688"/>
    <w:rsid w:val="00875B6B"/>
    <w:rsid w:val="008807DB"/>
    <w:rsid w:val="008E683E"/>
    <w:rsid w:val="008F349B"/>
    <w:rsid w:val="00937598"/>
    <w:rsid w:val="009A6843"/>
    <w:rsid w:val="009C644E"/>
    <w:rsid w:val="009E40F8"/>
    <w:rsid w:val="009F4346"/>
    <w:rsid w:val="00A03739"/>
    <w:rsid w:val="00A05B3B"/>
    <w:rsid w:val="00A14548"/>
    <w:rsid w:val="00A16757"/>
    <w:rsid w:val="00A33C5A"/>
    <w:rsid w:val="00A47DEA"/>
    <w:rsid w:val="00A56FC6"/>
    <w:rsid w:val="00A631BD"/>
    <w:rsid w:val="00A6470C"/>
    <w:rsid w:val="00A6696B"/>
    <w:rsid w:val="00A743AA"/>
    <w:rsid w:val="00AA2EC9"/>
    <w:rsid w:val="00AB36C4"/>
    <w:rsid w:val="00AB48BD"/>
    <w:rsid w:val="00AC06E6"/>
    <w:rsid w:val="00AC41F3"/>
    <w:rsid w:val="00AC4CE3"/>
    <w:rsid w:val="00AF1352"/>
    <w:rsid w:val="00AF1B84"/>
    <w:rsid w:val="00B17502"/>
    <w:rsid w:val="00B267A4"/>
    <w:rsid w:val="00B27E72"/>
    <w:rsid w:val="00B825F7"/>
    <w:rsid w:val="00B84BE4"/>
    <w:rsid w:val="00BA2325"/>
    <w:rsid w:val="00BA43D8"/>
    <w:rsid w:val="00BA5FC6"/>
    <w:rsid w:val="00BB5C35"/>
    <w:rsid w:val="00C16F9A"/>
    <w:rsid w:val="00C5014E"/>
    <w:rsid w:val="00C67777"/>
    <w:rsid w:val="00C83D96"/>
    <w:rsid w:val="00C94EFF"/>
    <w:rsid w:val="00CB18DA"/>
    <w:rsid w:val="00CB53D2"/>
    <w:rsid w:val="00CC1412"/>
    <w:rsid w:val="00CD1A5D"/>
    <w:rsid w:val="00CE39CB"/>
    <w:rsid w:val="00D61E86"/>
    <w:rsid w:val="00D74F30"/>
    <w:rsid w:val="00D935C4"/>
    <w:rsid w:val="00D94EC7"/>
    <w:rsid w:val="00DA098B"/>
    <w:rsid w:val="00DB3B96"/>
    <w:rsid w:val="00DB47F7"/>
    <w:rsid w:val="00DC37AD"/>
    <w:rsid w:val="00DE61CE"/>
    <w:rsid w:val="00E30394"/>
    <w:rsid w:val="00E444AA"/>
    <w:rsid w:val="00E61120"/>
    <w:rsid w:val="00E63787"/>
    <w:rsid w:val="00E7271B"/>
    <w:rsid w:val="00E74BE7"/>
    <w:rsid w:val="00E8129D"/>
    <w:rsid w:val="00E8150D"/>
    <w:rsid w:val="00E92714"/>
    <w:rsid w:val="00E96A3E"/>
    <w:rsid w:val="00EC3E3F"/>
    <w:rsid w:val="00F06E38"/>
    <w:rsid w:val="00F11192"/>
    <w:rsid w:val="00F160DD"/>
    <w:rsid w:val="00F21ACC"/>
    <w:rsid w:val="00F25F2D"/>
    <w:rsid w:val="00F326FC"/>
    <w:rsid w:val="00F56EDE"/>
    <w:rsid w:val="00F67063"/>
    <w:rsid w:val="00F74FA7"/>
    <w:rsid w:val="00FE61C8"/>
    <w:rsid w:val="00FF0B2D"/>
    <w:rsid w:val="00FF7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F786F"/>
  <w15:docId w15:val="{CA004F85-2057-4253-85CF-E74A5A24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DE"/>
    <w:pPr>
      <w:spacing w:before="160" w:after="100"/>
    </w:pPr>
    <w:rPr>
      <w:rFonts w:eastAsiaTheme="minorEastAsia"/>
      <w:spacing w:val="2"/>
      <w:sz w:val="20"/>
      <w:szCs w:val="20"/>
      <w:lang w:eastAsia="en-AU"/>
    </w:rPr>
  </w:style>
  <w:style w:type="paragraph" w:styleId="Heading1">
    <w:name w:val="heading 1"/>
    <w:next w:val="Normal"/>
    <w:link w:val="Heading1Char"/>
    <w:uiPriority w:val="99"/>
    <w:rsid w:val="00F56EDE"/>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F56EDE"/>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F56EDE"/>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F56EDE"/>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EDE"/>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F56EDE"/>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F56EDE"/>
    <w:pPr>
      <w:spacing w:before="0" w:after="0" w:line="120" w:lineRule="atLeast"/>
    </w:pPr>
    <w:rPr>
      <w:rFonts w:eastAsia="Times New Roman" w:cs="Calibri"/>
      <w:spacing w:val="0"/>
      <w:sz w:val="10"/>
      <w:szCs w:val="22"/>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F56EDE"/>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table" w:styleId="TableGrid">
    <w:name w:val="Table Grid"/>
    <w:basedOn w:val="TableNormal"/>
    <w:uiPriority w:val="59"/>
    <w:rsid w:val="00F56EDE"/>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F56EDE"/>
    <w:pPr>
      <w:numPr>
        <w:numId w:val="23"/>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F56EDE"/>
    <w:pPr>
      <w:numPr>
        <w:ilvl w:val="2"/>
      </w:numPr>
    </w:pPr>
    <w:rPr>
      <w:color w:val="auto"/>
    </w:rPr>
  </w:style>
  <w:style w:type="paragraph" w:styleId="Header">
    <w:name w:val="header"/>
    <w:basedOn w:val="Normal"/>
    <w:link w:val="HeaderChar"/>
    <w:uiPriority w:val="99"/>
    <w:semiHidden/>
    <w:rsid w:val="00F56EDE"/>
    <w:pPr>
      <w:tabs>
        <w:tab w:val="center" w:pos="4513"/>
        <w:tab w:val="right" w:pos="9026"/>
      </w:tabs>
      <w:spacing w:after="0" w:line="240" w:lineRule="auto"/>
    </w:pPr>
  </w:style>
  <w:style w:type="paragraph" w:customStyle="1" w:styleId="Tabletext">
    <w:name w:val="Table text"/>
    <w:basedOn w:val="Normal"/>
    <w:uiPriority w:val="9"/>
    <w:qFormat/>
    <w:rsid w:val="00F56EDE"/>
    <w:pPr>
      <w:spacing w:before="60" w:after="60" w:line="264" w:lineRule="auto"/>
    </w:pPr>
    <w:rPr>
      <w:sz w:val="17"/>
    </w:rPr>
  </w:style>
  <w:style w:type="paragraph" w:customStyle="1" w:styleId="FRDHeader">
    <w:name w:val="FRD Header"/>
    <w:basedOn w:val="Normal"/>
    <w:semiHidden/>
    <w:rsid w:val="00F56EDE"/>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F56EDE"/>
    <w:rPr>
      <w:rFonts w:eastAsiaTheme="minorEastAsia"/>
      <w:spacing w:val="2"/>
      <w:sz w:val="20"/>
      <w:szCs w:val="20"/>
      <w:lang w:eastAsia="en-AU"/>
    </w:rPr>
  </w:style>
  <w:style w:type="paragraph" w:customStyle="1" w:styleId="FRDNumber">
    <w:name w:val="FRD Number"/>
    <w:basedOn w:val="FRDHeader"/>
    <w:semiHidden/>
    <w:rsid w:val="00F56EDE"/>
  </w:style>
  <w:style w:type="paragraph" w:customStyle="1" w:styleId="Normalgrey">
    <w:name w:val="Normal grey"/>
    <w:basedOn w:val="Normal"/>
    <w:uiPriority w:val="2"/>
    <w:unhideWhenUsed/>
    <w:qFormat/>
    <w:rsid w:val="00F56EDE"/>
    <w:pPr>
      <w:spacing w:line="264" w:lineRule="auto"/>
    </w:pPr>
    <w:rPr>
      <w:rFonts w:eastAsiaTheme="minorHAnsi"/>
      <w:color w:val="4D4D4D"/>
      <w:sz w:val="18"/>
      <w:szCs w:val="18"/>
      <w:lang w:eastAsia="en-US"/>
    </w:rPr>
  </w:style>
  <w:style w:type="paragraph" w:styleId="NormalIndent">
    <w:name w:val="Normal Indent"/>
    <w:basedOn w:val="Normal"/>
    <w:qFormat/>
    <w:rsid w:val="00F56EDE"/>
    <w:pPr>
      <w:spacing w:line="252" w:lineRule="auto"/>
      <w:ind w:left="792"/>
    </w:pPr>
  </w:style>
  <w:style w:type="paragraph" w:customStyle="1" w:styleId="Bullet1grey">
    <w:name w:val="Bullet 1 grey"/>
    <w:basedOn w:val="Bullet1"/>
    <w:uiPriority w:val="3"/>
    <w:unhideWhenUsed/>
    <w:qFormat/>
    <w:rsid w:val="00F56EDE"/>
    <w:rPr>
      <w:color w:val="4D4D4D"/>
      <w:sz w:val="18"/>
      <w:szCs w:val="18"/>
      <w:lang w:eastAsia="en-US"/>
    </w:rPr>
  </w:style>
  <w:style w:type="paragraph" w:customStyle="1" w:styleId="Bullet2grey">
    <w:name w:val="Bullet 2 grey"/>
    <w:basedOn w:val="Bullet2"/>
    <w:uiPriority w:val="3"/>
    <w:qFormat/>
    <w:rsid w:val="00F56EDE"/>
    <w:rPr>
      <w:color w:val="4D4D4D"/>
      <w:sz w:val="18"/>
      <w:szCs w:val="21"/>
      <w:lang w:eastAsia="en-US"/>
    </w:rPr>
  </w:style>
  <w:style w:type="paragraph" w:styleId="Footer">
    <w:name w:val="footer"/>
    <w:basedOn w:val="Normal"/>
    <w:link w:val="FooterChar"/>
    <w:uiPriority w:val="24"/>
    <w:rsid w:val="00F56EDE"/>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F56EDE"/>
    <w:rPr>
      <w:rFonts w:eastAsiaTheme="minorEastAsia"/>
      <w:noProof/>
      <w:spacing w:val="2"/>
      <w:sz w:val="18"/>
      <w:szCs w:val="18"/>
      <w:lang w:eastAsia="en-AU"/>
    </w:rPr>
  </w:style>
  <w:style w:type="paragraph" w:styleId="BalloonText">
    <w:name w:val="Balloon Text"/>
    <w:basedOn w:val="Normal"/>
    <w:link w:val="BalloonTextChar"/>
    <w:uiPriority w:val="99"/>
    <w:semiHidden/>
    <w:rsid w:val="00F56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DE"/>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355FA3"/>
    <w:pPr>
      <w:numPr>
        <w:ilvl w:val="3"/>
        <w:numId w:val="6"/>
      </w:numPr>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styleId="BodyTextIndent3">
    <w:name w:val="Body Text Indent 3"/>
    <w:basedOn w:val="Normal"/>
    <w:link w:val="BodyTextIndent3Char"/>
    <w:semiHidden/>
    <w:rsid w:val="00AC41F3"/>
    <w:pPr>
      <w:spacing w:before="0" w:after="240" w:line="240" w:lineRule="atLeast"/>
      <w:ind w:left="851" w:hanging="851"/>
      <w:jc w:val="both"/>
    </w:pPr>
    <w:rPr>
      <w:rFonts w:ascii="Times New Roman" w:eastAsia="Times New Roman" w:hAnsi="Times New Roman"/>
    </w:rPr>
  </w:style>
  <w:style w:type="character" w:customStyle="1" w:styleId="BodyTextIndent3Char">
    <w:name w:val="Body Text Indent 3 Char"/>
    <w:basedOn w:val="DefaultParagraphFont"/>
    <w:link w:val="BodyTextIndent3"/>
    <w:semiHidden/>
    <w:rsid w:val="004E1E96"/>
    <w:rPr>
      <w:rFonts w:ascii="Times New Roman" w:eastAsia="Times New Roman" w:hAnsi="Times New Roman"/>
      <w:spacing w:val="2"/>
      <w:sz w:val="20"/>
      <w:szCs w:val="20"/>
      <w:lang w:eastAsia="en-AU"/>
    </w:rPr>
  </w:style>
  <w:style w:type="paragraph" w:customStyle="1" w:styleId="Bullet">
    <w:name w:val="Bullet"/>
    <w:basedOn w:val="Normal"/>
    <w:unhideWhenUsed/>
    <w:rsid w:val="00AC41F3"/>
    <w:pPr>
      <w:tabs>
        <w:tab w:val="num" w:pos="360"/>
      </w:tabs>
      <w:jc w:val="both"/>
    </w:pPr>
    <w:rPr>
      <w:rFonts w:ascii="Arial" w:eastAsia="Times New Roman" w:hAnsi="Arial" w:cs="Arial"/>
    </w:rPr>
  </w:style>
  <w:style w:type="paragraph" w:styleId="BodyText">
    <w:name w:val="Body Text"/>
    <w:basedOn w:val="Normal"/>
    <w:link w:val="BodyTextChar"/>
    <w:uiPriority w:val="49"/>
    <w:semiHidden/>
    <w:rsid w:val="00F56ED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F56EDE"/>
    <w:rPr>
      <w:rFonts w:ascii="Calibri" w:eastAsia="Times New Roman" w:hAnsi="Calibri" w:cs="Calibri"/>
      <w:lang w:eastAsia="en-AU"/>
    </w:rPr>
  </w:style>
  <w:style w:type="character" w:styleId="CommentReference">
    <w:name w:val="annotation reference"/>
    <w:basedOn w:val="DefaultParagraphFont"/>
    <w:uiPriority w:val="99"/>
    <w:semiHidden/>
    <w:rsid w:val="001D54F3"/>
    <w:rPr>
      <w:sz w:val="16"/>
      <w:szCs w:val="16"/>
    </w:rPr>
  </w:style>
  <w:style w:type="paragraph" w:styleId="CommentText">
    <w:name w:val="annotation text"/>
    <w:basedOn w:val="Normal"/>
    <w:link w:val="CommentTextChar"/>
    <w:uiPriority w:val="99"/>
    <w:semiHidden/>
    <w:rsid w:val="001D54F3"/>
  </w:style>
  <w:style w:type="character" w:customStyle="1" w:styleId="CommentTextChar">
    <w:name w:val="Comment Text Char"/>
    <w:basedOn w:val="DefaultParagraphFont"/>
    <w:link w:val="CommentText"/>
    <w:uiPriority w:val="99"/>
    <w:semiHidden/>
    <w:rsid w:val="001D54F3"/>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1D54F3"/>
    <w:rPr>
      <w:b/>
      <w:bCs/>
    </w:rPr>
  </w:style>
  <w:style w:type="character" w:customStyle="1" w:styleId="CommentSubjectChar">
    <w:name w:val="Comment Subject Char"/>
    <w:basedOn w:val="CommentTextChar"/>
    <w:link w:val="CommentSubject"/>
    <w:uiPriority w:val="99"/>
    <w:semiHidden/>
    <w:rsid w:val="001D54F3"/>
    <w:rPr>
      <w:rFonts w:ascii="Calibri" w:eastAsia="Calibri" w:hAnsi="Calibri" w:cs="Times New Roman"/>
      <w:b/>
      <w:bCs/>
      <w:color w:val="000000" w:themeColor="text1"/>
      <w:sz w:val="20"/>
      <w:szCs w:val="20"/>
    </w:rPr>
  </w:style>
  <w:style w:type="paragraph" w:customStyle="1" w:styleId="Bulletindent">
    <w:name w:val="Bullet indent"/>
    <w:basedOn w:val="Bullet2"/>
    <w:uiPriority w:val="7"/>
    <w:qFormat/>
    <w:rsid w:val="00F56EDE"/>
    <w:pPr>
      <w:numPr>
        <w:ilvl w:val="2"/>
      </w:numPr>
    </w:pPr>
  </w:style>
  <w:style w:type="paragraph" w:customStyle="1" w:styleId="Bulletindent2">
    <w:name w:val="Bullet indent 2"/>
    <w:basedOn w:val="Normal"/>
    <w:uiPriority w:val="7"/>
    <w:qFormat/>
    <w:rsid w:val="00F56EDE"/>
    <w:pPr>
      <w:numPr>
        <w:ilvl w:val="3"/>
        <w:numId w:val="17"/>
      </w:numPr>
      <w:spacing w:before="100"/>
      <w:contextualSpacing/>
    </w:pPr>
  </w:style>
  <w:style w:type="character" w:styleId="PageNumber">
    <w:name w:val="page number"/>
    <w:uiPriority w:val="49"/>
    <w:semiHidden/>
    <w:rsid w:val="00F56EDE"/>
    <w:rPr>
      <w:b w:val="0"/>
      <w:color w:val="000000" w:themeColor="text1"/>
    </w:rPr>
  </w:style>
  <w:style w:type="character" w:customStyle="1" w:styleId="Heading4Char">
    <w:name w:val="Heading 4 Char"/>
    <w:basedOn w:val="DefaultParagraphFont"/>
    <w:link w:val="Heading4"/>
    <w:semiHidden/>
    <w:rsid w:val="00F56EDE"/>
    <w:rPr>
      <w:rFonts w:asciiTheme="majorHAnsi" w:eastAsiaTheme="majorEastAsia" w:hAnsiTheme="majorHAnsi" w:cstheme="majorBidi"/>
      <w:b/>
      <w:bCs/>
      <w:iCs/>
      <w:color w:val="53565A"/>
      <w:spacing w:val="2"/>
      <w:sz w:val="20"/>
      <w:szCs w:val="20"/>
      <w:lang w:eastAsia="en-AU"/>
    </w:rPr>
  </w:style>
  <w:style w:type="table" w:styleId="LightShading">
    <w:name w:val="Light Shading"/>
    <w:basedOn w:val="TableNormal"/>
    <w:uiPriority w:val="60"/>
    <w:rsid w:val="00F56EDE"/>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F56EDE"/>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F56EDE"/>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F56EDE"/>
    <w:pPr>
      <w:tabs>
        <w:tab w:val="right" w:leader="dot" w:pos="9000"/>
      </w:tabs>
      <w:ind w:right="432"/>
    </w:pPr>
    <w:rPr>
      <w:sz w:val="24"/>
      <w:szCs w:val="24"/>
    </w:rPr>
  </w:style>
  <w:style w:type="paragraph" w:styleId="TOC2">
    <w:name w:val="toc 2"/>
    <w:next w:val="Normal"/>
    <w:uiPriority w:val="39"/>
    <w:rsid w:val="00F56EDE"/>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F56ED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F56EDE"/>
    <w:pPr>
      <w:spacing w:after="60" w:line="240" w:lineRule="auto"/>
    </w:pPr>
    <w:rPr>
      <w:sz w:val="16"/>
    </w:rPr>
  </w:style>
  <w:style w:type="paragraph" w:styleId="Index2">
    <w:name w:val="index 2"/>
    <w:basedOn w:val="Normal"/>
    <w:next w:val="Normal"/>
    <w:uiPriority w:val="99"/>
    <w:semiHidden/>
    <w:rsid w:val="00F56EDE"/>
    <w:pPr>
      <w:spacing w:after="0" w:line="240" w:lineRule="auto"/>
      <w:ind w:left="216"/>
    </w:pPr>
    <w:rPr>
      <w:sz w:val="16"/>
      <w:szCs w:val="16"/>
    </w:rPr>
  </w:style>
  <w:style w:type="character" w:styleId="Hyperlink">
    <w:name w:val="Hyperlink"/>
    <w:basedOn w:val="DefaultParagraphFont"/>
    <w:uiPriority w:val="99"/>
    <w:rsid w:val="00F56EDE"/>
    <w:rPr>
      <w:color w:val="0000FF" w:themeColor="hyperlink"/>
      <w:u w:val="none"/>
    </w:rPr>
  </w:style>
  <w:style w:type="paragraph" w:customStyle="1" w:styleId="Heading1numbered">
    <w:name w:val="Heading 1 numbered"/>
    <w:basedOn w:val="Heading1"/>
    <w:next w:val="NormalIndent"/>
    <w:uiPriority w:val="4"/>
    <w:semiHidden/>
    <w:qFormat/>
    <w:rsid w:val="00F56EDE"/>
    <w:pPr>
      <w:numPr>
        <w:ilvl w:val="2"/>
        <w:numId w:val="18"/>
      </w:numPr>
    </w:pPr>
  </w:style>
  <w:style w:type="paragraph" w:customStyle="1" w:styleId="Heading2numbered">
    <w:name w:val="Heading 2 numbered"/>
    <w:basedOn w:val="Heading2"/>
    <w:next w:val="NormalIndent"/>
    <w:uiPriority w:val="4"/>
    <w:semiHidden/>
    <w:qFormat/>
    <w:rsid w:val="00F56EDE"/>
    <w:pPr>
      <w:numPr>
        <w:ilvl w:val="3"/>
        <w:numId w:val="18"/>
      </w:numPr>
    </w:pPr>
  </w:style>
  <w:style w:type="paragraph" w:customStyle="1" w:styleId="Heading3numbered">
    <w:name w:val="Heading 3 numbered"/>
    <w:basedOn w:val="Heading3"/>
    <w:next w:val="NormalIndent"/>
    <w:uiPriority w:val="4"/>
    <w:semiHidden/>
    <w:qFormat/>
    <w:rsid w:val="00F56EDE"/>
    <w:pPr>
      <w:numPr>
        <w:ilvl w:val="4"/>
        <w:numId w:val="18"/>
      </w:numPr>
    </w:pPr>
  </w:style>
  <w:style w:type="paragraph" w:customStyle="1" w:styleId="Heading4numbered">
    <w:name w:val="Heading 4 numbered"/>
    <w:basedOn w:val="Heading4"/>
    <w:next w:val="NormalIndent"/>
    <w:uiPriority w:val="4"/>
    <w:semiHidden/>
    <w:qFormat/>
    <w:rsid w:val="00F56EDE"/>
    <w:pPr>
      <w:numPr>
        <w:ilvl w:val="5"/>
        <w:numId w:val="18"/>
      </w:numPr>
    </w:pPr>
  </w:style>
  <w:style w:type="paragraph" w:customStyle="1" w:styleId="NoteNormal">
    <w:name w:val="Note Normal"/>
    <w:basedOn w:val="Normal"/>
    <w:uiPriority w:val="49"/>
    <w:rsid w:val="00F56EDE"/>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F56EDE"/>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F56EDE"/>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F56EDE"/>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F56EDE"/>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F56EDE"/>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F56EDE"/>
    <w:rPr>
      <w:rFonts w:asciiTheme="majorHAnsi" w:eastAsiaTheme="majorEastAsia" w:hAnsiTheme="majorHAnsi" w:cstheme="majorBidi"/>
      <w:b/>
      <w:bCs/>
    </w:rPr>
  </w:style>
  <w:style w:type="paragraph" w:styleId="TOCHeading">
    <w:name w:val="TOC Heading"/>
    <w:basedOn w:val="Heading1"/>
    <w:next w:val="Normal"/>
    <w:uiPriority w:val="39"/>
    <w:semiHidden/>
    <w:rsid w:val="00F56EDE"/>
    <w:pPr>
      <w:spacing w:before="480" w:after="720"/>
      <w:outlineLvl w:val="9"/>
    </w:pPr>
    <w:rPr>
      <w:spacing w:val="2"/>
    </w:rPr>
  </w:style>
  <w:style w:type="paragraph" w:customStyle="1" w:styleId="NormalTight">
    <w:name w:val="Normal Tight"/>
    <w:uiPriority w:val="99"/>
    <w:semiHidden/>
    <w:rsid w:val="00F56EDE"/>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F56EDE"/>
    <w:pPr>
      <w:spacing w:before="5800"/>
      <w:ind w:right="1382"/>
    </w:pPr>
  </w:style>
  <w:style w:type="paragraph" w:styleId="TOC4">
    <w:name w:val="toc 4"/>
    <w:basedOn w:val="TOC1"/>
    <w:next w:val="Normal"/>
    <w:uiPriority w:val="39"/>
    <w:semiHidden/>
    <w:rsid w:val="00F56EDE"/>
    <w:pPr>
      <w:ind w:left="450" w:hanging="450"/>
    </w:pPr>
    <w:rPr>
      <w:noProof/>
      <w:lang w:eastAsia="en-US"/>
    </w:rPr>
  </w:style>
  <w:style w:type="paragraph" w:styleId="TOC5">
    <w:name w:val="toc 5"/>
    <w:basedOn w:val="TOC2"/>
    <w:next w:val="Normal"/>
    <w:uiPriority w:val="39"/>
    <w:semiHidden/>
    <w:rsid w:val="00F56EDE"/>
    <w:pPr>
      <w:ind w:left="1080" w:hanging="634"/>
    </w:pPr>
    <w:rPr>
      <w:lang w:eastAsia="en-US"/>
    </w:rPr>
  </w:style>
  <w:style w:type="paragraph" w:styleId="TOC6">
    <w:name w:val="toc 6"/>
    <w:basedOn w:val="TOC3"/>
    <w:next w:val="Normal"/>
    <w:uiPriority w:val="39"/>
    <w:semiHidden/>
    <w:rsid w:val="00F56EDE"/>
    <w:pPr>
      <w:ind w:left="1800" w:hanging="720"/>
    </w:pPr>
    <w:rPr>
      <w:lang w:eastAsia="en-US"/>
    </w:rPr>
  </w:style>
  <w:style w:type="table" w:customStyle="1" w:styleId="DTFtexttable">
    <w:name w:val="DTF text table"/>
    <w:basedOn w:val="TableGrid"/>
    <w:uiPriority w:val="99"/>
    <w:rsid w:val="00F56EDE"/>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F56EDE"/>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F56EDE"/>
    <w:pPr>
      <w:jc w:val="right"/>
    </w:pPr>
  </w:style>
  <w:style w:type="paragraph" w:customStyle="1" w:styleId="Listnumindent2">
    <w:name w:val="List num indent 2"/>
    <w:basedOn w:val="Normal"/>
    <w:uiPriority w:val="7"/>
    <w:qFormat/>
    <w:rsid w:val="00F56EDE"/>
    <w:pPr>
      <w:numPr>
        <w:ilvl w:val="7"/>
        <w:numId w:val="18"/>
      </w:numPr>
      <w:spacing w:before="100"/>
      <w:contextualSpacing/>
    </w:pPr>
  </w:style>
  <w:style w:type="paragraph" w:customStyle="1" w:styleId="Listnumindent">
    <w:name w:val="List num indent"/>
    <w:basedOn w:val="Normal"/>
    <w:uiPriority w:val="7"/>
    <w:qFormat/>
    <w:rsid w:val="00F56EDE"/>
    <w:pPr>
      <w:numPr>
        <w:ilvl w:val="6"/>
        <w:numId w:val="18"/>
      </w:numPr>
      <w:spacing w:before="100"/>
    </w:pPr>
  </w:style>
  <w:style w:type="paragraph" w:customStyle="1" w:styleId="Listnum">
    <w:name w:val="List num"/>
    <w:basedOn w:val="Normal"/>
    <w:uiPriority w:val="1"/>
    <w:qFormat/>
    <w:rsid w:val="00F56EDE"/>
    <w:pPr>
      <w:numPr>
        <w:numId w:val="18"/>
      </w:numPr>
      <w:contextualSpacing/>
    </w:pPr>
    <w:rPr>
      <w:sz w:val="18"/>
    </w:rPr>
  </w:style>
  <w:style w:type="paragraph" w:customStyle="1" w:styleId="Listnum2">
    <w:name w:val="List num 2"/>
    <w:basedOn w:val="Normal"/>
    <w:uiPriority w:val="1"/>
    <w:qFormat/>
    <w:rsid w:val="00C16F9A"/>
    <w:pPr>
      <w:numPr>
        <w:ilvl w:val="1"/>
        <w:numId w:val="18"/>
      </w:numPr>
      <w:spacing w:line="264" w:lineRule="auto"/>
      <w:contextualSpacing/>
    </w:pPr>
    <w:rPr>
      <w:sz w:val="18"/>
    </w:rPr>
  </w:style>
  <w:style w:type="paragraph" w:customStyle="1" w:styleId="Tabletextcentred">
    <w:name w:val="Table text centred"/>
    <w:basedOn w:val="Tabletext"/>
    <w:uiPriority w:val="8"/>
    <w:qFormat/>
    <w:rsid w:val="00F56EDE"/>
    <w:pPr>
      <w:jc w:val="center"/>
    </w:pPr>
  </w:style>
  <w:style w:type="paragraph" w:customStyle="1" w:styleId="Tableheader">
    <w:name w:val="Table header"/>
    <w:basedOn w:val="Tabletext"/>
    <w:uiPriority w:val="8"/>
    <w:qFormat/>
    <w:rsid w:val="00F56EDE"/>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F56EDE"/>
    <w:pPr>
      <w:numPr>
        <w:numId w:val="19"/>
      </w:numPr>
    </w:pPr>
  </w:style>
  <w:style w:type="paragraph" w:customStyle="1" w:styleId="Tabledash">
    <w:name w:val="Table dash"/>
    <w:basedOn w:val="Tablebullet"/>
    <w:uiPriority w:val="9"/>
    <w:rsid w:val="00F56EDE"/>
    <w:pPr>
      <w:numPr>
        <w:ilvl w:val="1"/>
      </w:numPr>
    </w:pPr>
  </w:style>
  <w:style w:type="paragraph" w:customStyle="1" w:styleId="Tabletextindent">
    <w:name w:val="Table text indent"/>
    <w:basedOn w:val="Tabletext"/>
    <w:uiPriority w:val="8"/>
    <w:qFormat/>
    <w:rsid w:val="00F56EDE"/>
    <w:pPr>
      <w:ind w:left="288"/>
    </w:pPr>
  </w:style>
  <w:style w:type="paragraph" w:customStyle="1" w:styleId="Normalbold">
    <w:name w:val="Normal bold"/>
    <w:basedOn w:val="Normal"/>
    <w:qFormat/>
    <w:rsid w:val="00F56EDE"/>
    <w:pPr>
      <w:spacing w:line="264" w:lineRule="auto"/>
    </w:pPr>
    <w:rPr>
      <w:rFonts w:eastAsiaTheme="minorHAnsi"/>
      <w:b/>
      <w:sz w:val="18"/>
      <w:szCs w:val="18"/>
      <w:lang w:eastAsia="en-US"/>
    </w:rPr>
  </w:style>
  <w:style w:type="paragraph" w:customStyle="1" w:styleId="Listnumgrey">
    <w:name w:val="List num grey"/>
    <w:basedOn w:val="Listnum"/>
    <w:uiPriority w:val="3"/>
    <w:qFormat/>
    <w:rsid w:val="00F56EDE"/>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F56EDE"/>
    <w:rPr>
      <w:rFonts w:eastAsiaTheme="minorHAnsi"/>
      <w:color w:val="4D4D4D"/>
      <w:szCs w:val="21"/>
      <w:lang w:eastAsia="en-US"/>
    </w:rPr>
  </w:style>
  <w:style w:type="paragraph" w:customStyle="1" w:styleId="Refnum1grey">
    <w:name w:val="Ref num 1 grey"/>
    <w:basedOn w:val="Refnum1"/>
    <w:uiPriority w:val="7"/>
    <w:qFormat/>
    <w:rsid w:val="00F56EDE"/>
    <w:rPr>
      <w:color w:val="F2F2F2" w:themeColor="background1" w:themeShade="F2"/>
    </w:rPr>
  </w:style>
  <w:style w:type="paragraph" w:customStyle="1" w:styleId="Refnum2grey">
    <w:name w:val="Ref num 2 grey"/>
    <w:basedOn w:val="Normal"/>
    <w:rsid w:val="00F56EDE"/>
    <w:pPr>
      <w:numPr>
        <w:ilvl w:val="1"/>
        <w:numId w:val="23"/>
      </w:numPr>
    </w:pPr>
  </w:style>
  <w:style w:type="paragraph" w:customStyle="1" w:styleId="Normalgreybold">
    <w:name w:val="Normal grey bold"/>
    <w:basedOn w:val="Normalgrey"/>
    <w:qFormat/>
    <w:rsid w:val="00F56EDE"/>
    <w:rPr>
      <w:b/>
    </w:rPr>
  </w:style>
  <w:style w:type="paragraph" w:customStyle="1" w:styleId="Bullet1">
    <w:name w:val="Bullet 1"/>
    <w:uiPriority w:val="2"/>
    <w:qFormat/>
    <w:rsid w:val="00F56EDE"/>
    <w:pPr>
      <w:numPr>
        <w:numId w:val="17"/>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F56EDE"/>
    <w:pPr>
      <w:numPr>
        <w:ilvl w:val="1"/>
      </w:numPr>
      <w:spacing w:before="0"/>
    </w:pPr>
  </w:style>
  <w:style w:type="paragraph" w:styleId="Revision">
    <w:name w:val="Revision"/>
    <w:hidden/>
    <w:uiPriority w:val="99"/>
    <w:semiHidden/>
    <w:rsid w:val="008807DB"/>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E5B455C-85C2-4ABB-B899-B762FF8C9FF3}">
  <ds:schemaRefs>
    <ds:schemaRef ds:uri="http://schemas.openxmlformats.org/officeDocument/2006/bibliography"/>
  </ds:schemaRefs>
</ds:datastoreItem>
</file>

<file path=customXml/itemProps2.xml><?xml version="1.0" encoding="utf-8"?>
<ds:datastoreItem xmlns:ds="http://schemas.openxmlformats.org/officeDocument/2006/customXml" ds:itemID="{179D2C58-7E3E-43BD-BD8D-6BA8D8B7E3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4</Pages>
  <Words>1042</Words>
  <Characters>5945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2016-06-07T06:14:00Z</cp:lastPrinted>
  <dcterms:created xsi:type="dcterms:W3CDTF">2022-04-28T02:51:00Z</dcterms:created>
  <dcterms:modified xsi:type="dcterms:W3CDTF">2022-04-28T02:51:00Z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2022-04-28T02:51:45Z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76998f98-b886-4993-afc8-d6102b132f91</vt:lpwstr>
  </property>
  <property fmtid="{D5CDD505-2E9C-101B-9397-08002B2CF9AE}" pid="10" name="MSIP_Label_7158ebbd-6c5e-441f-bfc9-4eb8c11e3978_ContentBits">
    <vt:lpwstr>2</vt:lpwstr>
  </property>
</Properties>
</file>