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23" w:type="dxa"/>
        <w:tblLayout w:type="fixed"/>
        <w:tblLook w:val="04A0" w:firstRow="1" w:lastRow="0" w:firstColumn="1" w:lastColumn="0" w:noHBand="0" w:noVBand="1"/>
      </w:tblPr>
      <w:tblGrid>
        <w:gridCol w:w="2293"/>
        <w:gridCol w:w="270"/>
        <w:gridCol w:w="540"/>
        <w:gridCol w:w="6120"/>
      </w:tblGrid>
      <w:tr w:rsidR="00493B55" w:rsidRPr="003C5E9F" w14:paraId="0755CE13" w14:textId="77777777" w:rsidTr="008148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3" w:type="dxa"/>
          </w:tcPr>
          <w:p w14:paraId="3AF66EBC" w14:textId="2C523D65" w:rsidR="00845688" w:rsidRPr="003C5E9F" w:rsidRDefault="00845688" w:rsidP="00DE779D">
            <w:pPr>
              <w:pStyle w:val="FRDNumber"/>
            </w:pPr>
            <w:r w:rsidRPr="002E50A4">
              <w:t>FRD</w:t>
            </w:r>
            <w:r w:rsidRPr="003C5E9F">
              <w:t xml:space="preserve"> </w:t>
            </w:r>
            <w:r w:rsidR="00701F46">
              <w:t>110</w:t>
            </w:r>
          </w:p>
        </w:tc>
        <w:tc>
          <w:tcPr>
            <w:tcW w:w="270" w:type="dxa"/>
          </w:tcPr>
          <w:p w14:paraId="1B03013C"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540" w:type="dxa"/>
          </w:tcPr>
          <w:p w14:paraId="5D531397" w14:textId="77777777" w:rsidR="00845688" w:rsidRPr="00E43EFA" w:rsidRDefault="00845688" w:rsidP="00DE779D">
            <w:pPr>
              <w:cnfStyle w:val="100000000000" w:firstRow="1" w:lastRow="0" w:firstColumn="0" w:lastColumn="0" w:oddVBand="0" w:evenVBand="0" w:oddHBand="0" w:evenHBand="0" w:firstRowFirstColumn="0" w:firstRowLastColumn="0" w:lastRowFirstColumn="0" w:lastRowLastColumn="0"/>
            </w:pPr>
          </w:p>
        </w:tc>
        <w:tc>
          <w:tcPr>
            <w:tcW w:w="6120" w:type="dxa"/>
          </w:tcPr>
          <w:p w14:paraId="57237BEB" w14:textId="75898779" w:rsidR="00845688" w:rsidRPr="002E50A4" w:rsidRDefault="00701F46" w:rsidP="001B6159">
            <w:pPr>
              <w:pStyle w:val="FRDHeader"/>
              <w:cnfStyle w:val="100000000000" w:firstRow="1" w:lastRow="0" w:firstColumn="0" w:lastColumn="0" w:oddVBand="0" w:evenVBand="0" w:oddHBand="0" w:evenHBand="0" w:firstRowFirstColumn="0" w:firstRowLastColumn="0" w:lastRowFirstColumn="0" w:lastRowLastColumn="0"/>
            </w:pPr>
            <w:r>
              <w:t xml:space="preserve">Cash </w:t>
            </w:r>
            <w:r w:rsidR="00E2131A">
              <w:t xml:space="preserve">flow statements </w:t>
            </w:r>
            <w:r w:rsidR="00143799">
              <w:t>(</w:t>
            </w:r>
            <w:r w:rsidR="00F3175A">
              <w:t>April</w:t>
            </w:r>
            <w:r w:rsidR="00143799">
              <w:t xml:space="preserve"> 20</w:t>
            </w:r>
            <w:r w:rsidR="00F3175A">
              <w:t>22</w:t>
            </w:r>
            <w:r w:rsidR="00143799">
              <w:t xml:space="preserve">) </w:t>
            </w:r>
            <w:r>
              <w:t xml:space="preserve"> </w:t>
            </w:r>
          </w:p>
        </w:tc>
      </w:tr>
      <w:tr w:rsidR="00493B55" w:rsidRPr="00E10ADB" w14:paraId="50F360FC" w14:textId="77777777" w:rsidTr="0081485A">
        <w:trPr>
          <w:cnfStyle w:val="000000100000" w:firstRow="0" w:lastRow="0" w:firstColumn="0" w:lastColumn="0" w:oddVBand="0" w:evenVBand="0" w:oddHBand="1" w:evenHBand="0" w:firstRowFirstColumn="0" w:firstRowLastColumn="0" w:lastRowFirstColumn="0" w:lastRowLastColumn="0"/>
          <w:trHeight w:hRule="exact" w:val="120"/>
        </w:trPr>
        <w:tc>
          <w:tcPr>
            <w:cnfStyle w:val="001000000000" w:firstRow="0" w:lastRow="0" w:firstColumn="1" w:lastColumn="0" w:oddVBand="0" w:evenVBand="0" w:oddHBand="0" w:evenHBand="0" w:firstRowFirstColumn="0" w:firstRowLastColumn="0" w:lastRowFirstColumn="0" w:lastRowLastColumn="0"/>
            <w:tcW w:w="2293" w:type="dxa"/>
          </w:tcPr>
          <w:p w14:paraId="01CF715E" w14:textId="77777777" w:rsidR="00845688" w:rsidRPr="008A601F" w:rsidRDefault="00845688" w:rsidP="00DE779D">
            <w:pPr>
              <w:pStyle w:val="Tabletext"/>
            </w:pPr>
          </w:p>
        </w:tc>
        <w:tc>
          <w:tcPr>
            <w:tcW w:w="270" w:type="dxa"/>
          </w:tcPr>
          <w:p w14:paraId="0E3CDB0C"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540" w:type="dxa"/>
          </w:tcPr>
          <w:p w14:paraId="4FAC222B"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c>
          <w:tcPr>
            <w:tcW w:w="6120" w:type="dxa"/>
          </w:tcPr>
          <w:p w14:paraId="19A7AF0E" w14:textId="77777777" w:rsidR="00845688" w:rsidRPr="008A601F" w:rsidRDefault="00845688" w:rsidP="00DE779D">
            <w:pPr>
              <w:cnfStyle w:val="000000100000" w:firstRow="0" w:lastRow="0" w:firstColumn="0" w:lastColumn="0" w:oddVBand="0" w:evenVBand="0" w:oddHBand="1" w:evenHBand="0" w:firstRowFirstColumn="0" w:firstRowLastColumn="0" w:lastRowFirstColumn="0" w:lastRowLastColumn="0"/>
            </w:pPr>
          </w:p>
        </w:tc>
      </w:tr>
      <w:tr w:rsidR="00493B55" w:rsidRPr="00E10ADB" w14:paraId="5996A03E" w14:textId="77777777" w:rsidTr="0081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3DC8687" w14:textId="77777777" w:rsidR="00845688" w:rsidRPr="008A601F" w:rsidRDefault="00845688" w:rsidP="0081485A">
            <w:pPr>
              <w:pStyle w:val="Normalgrey"/>
            </w:pPr>
            <w:r w:rsidRPr="0081485A">
              <w:t>Purpose</w:t>
            </w:r>
          </w:p>
        </w:tc>
        <w:tc>
          <w:tcPr>
            <w:tcW w:w="270" w:type="dxa"/>
          </w:tcPr>
          <w:p w14:paraId="5E21C0DB" w14:textId="77777777" w:rsidR="00845688" w:rsidRPr="00477115" w:rsidRDefault="00845688" w:rsidP="00AF53C2">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4FF08D44" w14:textId="77777777" w:rsidR="00845688" w:rsidRPr="00477115" w:rsidRDefault="00845688" w:rsidP="003E427A">
            <w:pPr>
              <w:pStyle w:val="Refnum2"/>
              <w:cnfStyle w:val="000000010000" w:firstRow="0" w:lastRow="0" w:firstColumn="0" w:lastColumn="0" w:oddVBand="0" w:evenVBand="0" w:oddHBand="0" w:evenHBand="1" w:firstRowFirstColumn="0" w:firstRowLastColumn="0" w:lastRowFirstColumn="0" w:lastRowLastColumn="0"/>
              <w:rPr>
                <w:color w:val="595959" w:themeColor="text1" w:themeTint="A6"/>
              </w:rPr>
            </w:pPr>
          </w:p>
        </w:tc>
        <w:tc>
          <w:tcPr>
            <w:tcW w:w="6120" w:type="dxa"/>
          </w:tcPr>
          <w:p w14:paraId="5A683F45" w14:textId="77777777" w:rsidR="00143799" w:rsidRPr="00143799" w:rsidRDefault="00701F46" w:rsidP="0081485A">
            <w:pPr>
              <w:pStyle w:val="Normalgrey"/>
              <w:cnfStyle w:val="000000010000" w:firstRow="0" w:lastRow="0" w:firstColumn="0" w:lastColumn="0" w:oddVBand="0" w:evenVBand="0" w:oddHBand="0" w:evenHBand="1" w:firstRowFirstColumn="0" w:firstRowLastColumn="0" w:lastRowFirstColumn="0" w:lastRowLastColumn="0"/>
            </w:pPr>
            <w:r w:rsidRPr="00701F46">
              <w:t>To</w:t>
            </w:r>
            <w:r w:rsidR="002029A2">
              <w:t xml:space="preserve"> </w:t>
            </w:r>
            <w:r w:rsidR="00143799" w:rsidRPr="00143799">
              <w:t xml:space="preserve">prescribe the requirements for the classification of interest paid, interest and dividends received, capital grants and which cash flows </w:t>
            </w:r>
            <w:r w:rsidR="00A67F6A">
              <w:t>shall</w:t>
            </w:r>
            <w:r w:rsidR="00143799" w:rsidRPr="00143799">
              <w:t xml:space="preserve"> be reported </w:t>
            </w:r>
            <w:r w:rsidR="001B6159">
              <w:t xml:space="preserve">on a </w:t>
            </w:r>
            <w:r w:rsidR="00143799" w:rsidRPr="00143799">
              <w:t>net</w:t>
            </w:r>
            <w:r w:rsidR="001B6159">
              <w:t xml:space="preserve"> basis</w:t>
            </w:r>
            <w:r w:rsidR="00143799" w:rsidRPr="00143799">
              <w:t xml:space="preserve">; and </w:t>
            </w:r>
          </w:p>
          <w:p w14:paraId="6C50248A" w14:textId="77777777" w:rsidR="00845688" w:rsidRPr="00E43EFA" w:rsidRDefault="006C0086" w:rsidP="0081485A">
            <w:pPr>
              <w:pStyle w:val="Normalgrey"/>
              <w:cnfStyle w:val="000000010000" w:firstRow="0" w:lastRow="0" w:firstColumn="0" w:lastColumn="0" w:oddVBand="0" w:evenVBand="0" w:oddHBand="0" w:evenHBand="1" w:firstRowFirstColumn="0" w:firstRowLastColumn="0" w:lastRowFirstColumn="0" w:lastRowLastColumn="0"/>
            </w:pPr>
            <w:r>
              <w:t xml:space="preserve">To </w:t>
            </w:r>
            <w:r w:rsidR="00143799" w:rsidRPr="00143799">
              <w:t>provide guidance on the treatment of goods and services tax in cash flow statements.</w:t>
            </w:r>
          </w:p>
        </w:tc>
      </w:tr>
      <w:tr w:rsidR="00493B55" w:rsidRPr="00E10ADB" w14:paraId="46CA947D" w14:textId="77777777" w:rsidTr="0081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028E49C3" w14:textId="77777777" w:rsidR="00845688" w:rsidRPr="00E10ADB" w:rsidRDefault="00845688" w:rsidP="0081485A">
            <w:pPr>
              <w:pStyle w:val="Normalbold"/>
            </w:pPr>
            <w:r>
              <w:t>Application</w:t>
            </w:r>
          </w:p>
        </w:tc>
        <w:tc>
          <w:tcPr>
            <w:tcW w:w="270" w:type="dxa"/>
            <w:shd w:val="clear" w:color="auto" w:fill="F2F2F2" w:themeFill="background1" w:themeFillShade="F2"/>
          </w:tcPr>
          <w:p w14:paraId="27B06C26" w14:textId="77777777" w:rsidR="00845688" w:rsidRPr="00493B55" w:rsidRDefault="00845688" w:rsidP="00AF53C2">
            <w:pPr>
              <w:pStyle w:val="Refnum1grey"/>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3631AB06" w14:textId="77777777" w:rsidR="00845688" w:rsidRPr="00131312" w:rsidRDefault="00845688" w:rsidP="003E427A">
            <w:pPr>
              <w:pStyle w:val="Refnum2"/>
              <w:cnfStyle w:val="000000100000" w:firstRow="0" w:lastRow="0" w:firstColumn="0" w:lastColumn="0" w:oddVBand="0" w:evenVBand="0" w:oddHBand="1" w:evenHBand="0" w:firstRowFirstColumn="0" w:firstRowLastColumn="0" w:lastRowFirstColumn="0" w:lastRowLastColumn="0"/>
              <w:rPr>
                <w:b/>
                <w:bCs/>
              </w:rPr>
            </w:pPr>
          </w:p>
        </w:tc>
        <w:tc>
          <w:tcPr>
            <w:tcW w:w="6120" w:type="dxa"/>
            <w:shd w:val="clear" w:color="auto" w:fill="F2F2F2" w:themeFill="background1" w:themeFillShade="F2"/>
          </w:tcPr>
          <w:p w14:paraId="2A7ADF05" w14:textId="77777777" w:rsidR="00845688" w:rsidRPr="00701F46" w:rsidRDefault="00701F46" w:rsidP="0081485A">
            <w:pPr>
              <w:pStyle w:val="Normalbold"/>
              <w:cnfStyle w:val="000000100000" w:firstRow="0" w:lastRow="0" w:firstColumn="0" w:lastColumn="0" w:oddVBand="0" w:evenVBand="0" w:oddHBand="1" w:evenHBand="0" w:firstRowFirstColumn="0" w:firstRowLastColumn="0" w:lastRowFirstColumn="0" w:lastRowLastColumn="0"/>
            </w:pPr>
            <w:r w:rsidRPr="00701F46">
              <w:t xml:space="preserve">Applies to all entities defined as either a public body or a department under section 3 of the </w:t>
            </w:r>
            <w:r w:rsidRPr="00701F46">
              <w:rPr>
                <w:i/>
                <w:iCs/>
              </w:rPr>
              <w:t>Financial Management Act</w:t>
            </w:r>
            <w:r w:rsidRPr="00701F46">
              <w:t xml:space="preserve"> </w:t>
            </w:r>
            <w:r w:rsidRPr="003E427A">
              <w:rPr>
                <w:i/>
              </w:rPr>
              <w:t>1994.</w:t>
            </w:r>
            <w:r w:rsidRPr="00701F46">
              <w:t xml:space="preserve">  Application by State owned corporations is encouraged.</w:t>
            </w:r>
          </w:p>
        </w:tc>
      </w:tr>
      <w:tr w:rsidR="00A75AF0" w:rsidRPr="00E10ADB" w14:paraId="009FDFBD" w14:textId="77777777" w:rsidTr="0081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64AF58CC" w14:textId="77777777" w:rsidR="00A75AF0" w:rsidRDefault="00A75AF0" w:rsidP="0081485A">
            <w:pPr>
              <w:pStyle w:val="Normalbold"/>
            </w:pPr>
            <w:r>
              <w:t>Operative d</w:t>
            </w:r>
            <w:r w:rsidRPr="00E2009B">
              <w:t>ate</w:t>
            </w:r>
          </w:p>
        </w:tc>
        <w:tc>
          <w:tcPr>
            <w:tcW w:w="270" w:type="dxa"/>
            <w:shd w:val="clear" w:color="auto" w:fill="F2F2F2" w:themeFill="background1" w:themeFillShade="F2"/>
          </w:tcPr>
          <w:p w14:paraId="35EE7EB3" w14:textId="77777777" w:rsidR="00A75AF0" w:rsidRPr="00493B55" w:rsidRDefault="00A75AF0" w:rsidP="00AF53C2">
            <w:pPr>
              <w:pStyle w:val="Refnum1grey"/>
              <w:cnfStyle w:val="000000010000" w:firstRow="0" w:lastRow="0" w:firstColumn="0" w:lastColumn="0" w:oddVBand="0" w:evenVBand="0" w:oddHBand="0" w:evenHBand="1" w:firstRowFirstColumn="0" w:firstRowLastColumn="0" w:lastRowFirstColumn="0" w:lastRowLastColumn="0"/>
            </w:pPr>
          </w:p>
        </w:tc>
        <w:tc>
          <w:tcPr>
            <w:tcW w:w="540" w:type="dxa"/>
            <w:shd w:val="clear" w:color="auto" w:fill="F2F2F2" w:themeFill="background1" w:themeFillShade="F2"/>
          </w:tcPr>
          <w:p w14:paraId="197F64C8" w14:textId="77777777" w:rsidR="00A75AF0" w:rsidRPr="00131312" w:rsidRDefault="00A75AF0" w:rsidP="003E427A">
            <w:pPr>
              <w:pStyle w:val="Refnum2"/>
              <w:cnfStyle w:val="000000010000" w:firstRow="0" w:lastRow="0" w:firstColumn="0" w:lastColumn="0" w:oddVBand="0" w:evenVBand="0" w:oddHBand="0" w:evenHBand="1" w:firstRowFirstColumn="0" w:firstRowLastColumn="0" w:lastRowFirstColumn="0" w:lastRowLastColumn="0"/>
              <w:rPr>
                <w:b/>
                <w:bCs/>
              </w:rPr>
            </w:pPr>
          </w:p>
        </w:tc>
        <w:tc>
          <w:tcPr>
            <w:tcW w:w="6120" w:type="dxa"/>
            <w:shd w:val="clear" w:color="auto" w:fill="F2F2F2" w:themeFill="background1" w:themeFillShade="F2"/>
          </w:tcPr>
          <w:p w14:paraId="474A18A2" w14:textId="77777777" w:rsidR="00BD0399" w:rsidRPr="00BD0399" w:rsidRDefault="00A75AF0" w:rsidP="0081485A">
            <w:pPr>
              <w:pStyle w:val="Normalbold"/>
              <w:cnfStyle w:val="000000010000" w:firstRow="0" w:lastRow="0" w:firstColumn="0" w:lastColumn="0" w:oddVBand="0" w:evenVBand="0" w:oddHBand="0" w:evenHBand="1" w:firstRowFirstColumn="0" w:firstRowLastColumn="0" w:lastRowFirstColumn="0" w:lastRowLastColumn="0"/>
            </w:pPr>
            <w:r w:rsidRPr="00701F46">
              <w:t>Annual reporting periods commencing on or after 1 J</w:t>
            </w:r>
            <w:r w:rsidR="003070F7">
              <w:t>uly</w:t>
            </w:r>
            <w:r w:rsidRPr="00701F46">
              <w:t> 20</w:t>
            </w:r>
            <w:r w:rsidR="001B6159">
              <w:t>1</w:t>
            </w:r>
            <w:r w:rsidRPr="00701F46">
              <w:t xml:space="preserve">5.  </w:t>
            </w:r>
          </w:p>
        </w:tc>
      </w:tr>
      <w:tr w:rsidR="00BD0399" w:rsidRPr="00E10ADB" w14:paraId="428E0C3A" w14:textId="77777777" w:rsidTr="0081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105703D2" w14:textId="77777777" w:rsidR="00BD0399" w:rsidRDefault="00BD0399" w:rsidP="0081485A">
            <w:pPr>
              <w:pStyle w:val="Normalbold"/>
            </w:pPr>
          </w:p>
        </w:tc>
        <w:tc>
          <w:tcPr>
            <w:tcW w:w="270" w:type="dxa"/>
            <w:shd w:val="clear" w:color="auto" w:fill="F2F2F2" w:themeFill="background1" w:themeFillShade="F2"/>
          </w:tcPr>
          <w:p w14:paraId="753A3E91" w14:textId="77777777" w:rsidR="00BD0399" w:rsidRPr="00493B55" w:rsidRDefault="00BD0399" w:rsidP="00705DED">
            <w:pPr>
              <w:cnfStyle w:val="000000100000" w:firstRow="0" w:lastRow="0" w:firstColumn="0" w:lastColumn="0" w:oddVBand="0" w:evenVBand="0" w:oddHBand="1" w:evenHBand="0" w:firstRowFirstColumn="0" w:firstRowLastColumn="0" w:lastRowFirstColumn="0" w:lastRowLastColumn="0"/>
            </w:pPr>
          </w:p>
        </w:tc>
        <w:tc>
          <w:tcPr>
            <w:tcW w:w="540" w:type="dxa"/>
            <w:shd w:val="clear" w:color="auto" w:fill="F2F2F2" w:themeFill="background1" w:themeFillShade="F2"/>
          </w:tcPr>
          <w:p w14:paraId="567F3D9E" w14:textId="77777777" w:rsidR="00BD0399" w:rsidRPr="00131312" w:rsidRDefault="00BD0399" w:rsidP="00BD0399">
            <w:pPr>
              <w:pStyle w:val="Refnum2"/>
              <w:numPr>
                <w:ilvl w:val="0"/>
                <w:numId w:val="0"/>
              </w:numPr>
              <w:cnfStyle w:val="000000100000" w:firstRow="0" w:lastRow="0" w:firstColumn="0" w:lastColumn="0" w:oddVBand="0" w:evenVBand="0" w:oddHBand="1" w:evenHBand="0" w:firstRowFirstColumn="0" w:firstRowLastColumn="0" w:lastRowFirstColumn="0" w:lastRowLastColumn="0"/>
              <w:rPr>
                <w:b/>
                <w:bCs/>
              </w:rPr>
            </w:pPr>
            <w:r w:rsidRPr="00131312">
              <w:rPr>
                <w:b/>
                <w:bCs/>
              </w:rPr>
              <w:t>3.2</w:t>
            </w:r>
          </w:p>
        </w:tc>
        <w:tc>
          <w:tcPr>
            <w:tcW w:w="6120" w:type="dxa"/>
            <w:shd w:val="clear" w:color="auto" w:fill="F2F2F2" w:themeFill="background1" w:themeFillShade="F2"/>
          </w:tcPr>
          <w:p w14:paraId="6A6BBF12" w14:textId="02B91AD1" w:rsidR="00131312" w:rsidRPr="00131312" w:rsidRDefault="00131312" w:rsidP="0081485A">
            <w:pPr>
              <w:pStyle w:val="Normalbold"/>
              <w:cnfStyle w:val="000000100000" w:firstRow="0" w:lastRow="0" w:firstColumn="0" w:lastColumn="0" w:oddVBand="0" w:evenVBand="0" w:oddHBand="1" w:evenHBand="0" w:firstRowFirstColumn="0" w:firstRowLastColumn="0" w:lastRowFirstColumn="0" w:lastRowLastColumn="0"/>
            </w:pPr>
            <w:r>
              <w:t xml:space="preserve">FRD 110A </w:t>
            </w:r>
            <w:r>
              <w:rPr>
                <w:i/>
                <w:iCs/>
              </w:rPr>
              <w:t xml:space="preserve">Cash flow statements </w:t>
            </w:r>
            <w:r>
              <w:t xml:space="preserve">is renamed to FRD 110 </w:t>
            </w:r>
            <w:r>
              <w:rPr>
                <w:i/>
                <w:iCs/>
              </w:rPr>
              <w:t xml:space="preserve">Cash flow statements </w:t>
            </w:r>
            <w:r>
              <w:t>effective 1 April 2022.</w:t>
            </w:r>
          </w:p>
        </w:tc>
      </w:tr>
      <w:tr w:rsidR="00143799" w:rsidRPr="0081485A" w14:paraId="567D0864" w14:textId="77777777" w:rsidTr="0081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1C8342F" w14:textId="1A9748FE" w:rsidR="00143799" w:rsidRPr="00131312" w:rsidRDefault="00131312" w:rsidP="00DE779D">
            <w:pPr>
              <w:rPr>
                <w:b/>
                <w:bCs/>
              </w:rPr>
            </w:pPr>
            <w:r w:rsidRPr="00131312">
              <w:rPr>
                <w:b/>
                <w:bCs/>
              </w:rPr>
              <w:t>Requirements</w:t>
            </w:r>
          </w:p>
        </w:tc>
        <w:tc>
          <w:tcPr>
            <w:tcW w:w="270" w:type="dxa"/>
            <w:shd w:val="clear" w:color="auto" w:fill="F2F2F2" w:themeFill="background1" w:themeFillShade="F2"/>
          </w:tcPr>
          <w:p w14:paraId="3886CEE9" w14:textId="77777777" w:rsidR="00143799" w:rsidRPr="00131312" w:rsidRDefault="00143799" w:rsidP="00143799">
            <w:pPr>
              <w:pStyle w:val="Normalgrey"/>
              <w:cnfStyle w:val="000000010000" w:firstRow="0" w:lastRow="0" w:firstColumn="0" w:lastColumn="0" w:oddVBand="0" w:evenVBand="0" w:oddHBand="0" w:evenHBand="1" w:firstRowFirstColumn="0" w:firstRowLastColumn="0" w:lastRowFirstColumn="0" w:lastRowLastColumn="0"/>
              <w:rPr>
                <w:b/>
                <w:bCs/>
              </w:rPr>
            </w:pPr>
          </w:p>
        </w:tc>
        <w:tc>
          <w:tcPr>
            <w:tcW w:w="540" w:type="dxa"/>
            <w:shd w:val="clear" w:color="auto" w:fill="F2F2F2" w:themeFill="background1" w:themeFillShade="F2"/>
          </w:tcPr>
          <w:p w14:paraId="5B74776C" w14:textId="77777777" w:rsidR="00131312" w:rsidRPr="00131312" w:rsidRDefault="00131312" w:rsidP="00131312">
            <w:pPr>
              <w:pStyle w:val="ListParagraph"/>
              <w:numPr>
                <w:ilvl w:val="0"/>
                <w:numId w:val="17"/>
              </w:numPr>
              <w:spacing w:line="240" w:lineRule="auto"/>
              <w:contextualSpacing w:val="0"/>
              <w:cnfStyle w:val="000000010000" w:firstRow="0" w:lastRow="0" w:firstColumn="0" w:lastColumn="0" w:oddVBand="0" w:evenVBand="0" w:oddHBand="0" w:evenHBand="1" w:firstRowFirstColumn="0" w:firstRowLastColumn="0" w:lastRowFirstColumn="0" w:lastRowLastColumn="0"/>
              <w:rPr>
                <w:rFonts w:eastAsia="Calibri" w:cs="Times New Roman"/>
                <w:b/>
                <w:bCs/>
                <w:vanish/>
                <w:color w:val="FFFFFF" w:themeColor="background1"/>
                <w:spacing w:val="0"/>
                <w:szCs w:val="21"/>
                <w:lang w:eastAsia="en-US"/>
              </w:rPr>
            </w:pPr>
          </w:p>
          <w:p w14:paraId="2C183A86" w14:textId="77777777" w:rsidR="00131312" w:rsidRPr="00131312" w:rsidRDefault="00131312" w:rsidP="00131312">
            <w:pPr>
              <w:pStyle w:val="ListParagraph"/>
              <w:numPr>
                <w:ilvl w:val="1"/>
                <w:numId w:val="17"/>
              </w:numPr>
              <w:contextualSpacing w:val="0"/>
              <w:cnfStyle w:val="000000010000" w:firstRow="0" w:lastRow="0" w:firstColumn="0" w:lastColumn="0" w:oddVBand="0" w:evenVBand="0" w:oddHBand="0" w:evenHBand="1" w:firstRowFirstColumn="0" w:firstRowLastColumn="0" w:lastRowFirstColumn="0" w:lastRowLastColumn="0"/>
              <w:rPr>
                <w:b/>
                <w:bCs/>
                <w:vanish/>
              </w:rPr>
            </w:pPr>
          </w:p>
          <w:p w14:paraId="26BC8056" w14:textId="33610561" w:rsidR="00143799" w:rsidRPr="00131312" w:rsidRDefault="00143799" w:rsidP="00131312">
            <w:pPr>
              <w:pStyle w:val="Refnum2"/>
              <w:cnfStyle w:val="000000010000" w:firstRow="0" w:lastRow="0" w:firstColumn="0" w:lastColumn="0" w:oddVBand="0" w:evenVBand="0" w:oddHBand="0" w:evenHBand="1" w:firstRowFirstColumn="0" w:firstRowLastColumn="0" w:lastRowFirstColumn="0" w:lastRowLastColumn="0"/>
              <w:rPr>
                <w:b/>
                <w:bCs/>
              </w:rPr>
            </w:pPr>
          </w:p>
        </w:tc>
        <w:tc>
          <w:tcPr>
            <w:tcW w:w="6120" w:type="dxa"/>
            <w:shd w:val="clear" w:color="auto" w:fill="F2F2F2" w:themeFill="background1" w:themeFillShade="F2"/>
          </w:tcPr>
          <w:p w14:paraId="0FBCE411" w14:textId="77777777" w:rsidR="00131312" w:rsidRDefault="00131312" w:rsidP="0081485A">
            <w:pPr>
              <w:pStyle w:val="Normalbold"/>
              <w:cnfStyle w:val="000000010000" w:firstRow="0" w:lastRow="0" w:firstColumn="0" w:lastColumn="0" w:oddVBand="0" w:evenVBand="0" w:oddHBand="0" w:evenHBand="1" w:firstRowFirstColumn="0" w:firstRowLastColumn="0" w:lastRowFirstColumn="0" w:lastRowLastColumn="0"/>
            </w:pPr>
            <w:r w:rsidRPr="0081485A">
              <w:rPr>
                <w:bCs/>
              </w:rPr>
              <w:t>Classification of interest paid and interest and dividends received</w:t>
            </w:r>
            <w:r w:rsidRPr="0081485A">
              <w:t xml:space="preserve"> </w:t>
            </w:r>
          </w:p>
          <w:p w14:paraId="289425DB" w14:textId="16B3EDF7" w:rsidR="00143799" w:rsidRPr="0081485A" w:rsidRDefault="00143799" w:rsidP="0081485A">
            <w:pPr>
              <w:pStyle w:val="Normalbold"/>
              <w:cnfStyle w:val="000000010000" w:firstRow="0" w:lastRow="0" w:firstColumn="0" w:lastColumn="0" w:oddVBand="0" w:evenVBand="0" w:oddHBand="0" w:evenHBand="1" w:firstRowFirstColumn="0" w:firstRowLastColumn="0" w:lastRowFirstColumn="0" w:lastRowLastColumn="0"/>
              <w:rPr>
                <w:bCs/>
              </w:rPr>
            </w:pPr>
            <w:r w:rsidRPr="0081485A">
              <w:t xml:space="preserve">An entity </w:t>
            </w:r>
            <w:r w:rsidR="00F5715B" w:rsidRPr="0081485A">
              <w:t>shall</w:t>
            </w:r>
            <w:r w:rsidRPr="0081485A">
              <w:t xml:space="preserve"> classify interest paid and interest and dividends received as operating cash flows.  </w:t>
            </w:r>
          </w:p>
        </w:tc>
      </w:tr>
      <w:tr w:rsidR="00143799" w:rsidRPr="0081485A" w14:paraId="58E77890" w14:textId="77777777" w:rsidTr="0081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6F77450A" w14:textId="77777777" w:rsidR="00143799" w:rsidRPr="0081485A" w:rsidRDefault="00143799" w:rsidP="00DE779D">
            <w:pPr>
              <w:rPr>
                <w:b/>
              </w:rPr>
            </w:pPr>
          </w:p>
        </w:tc>
        <w:tc>
          <w:tcPr>
            <w:tcW w:w="270" w:type="dxa"/>
            <w:shd w:val="clear" w:color="auto" w:fill="F2F2F2" w:themeFill="background1" w:themeFillShade="F2"/>
          </w:tcPr>
          <w:p w14:paraId="4DA0812D" w14:textId="77777777" w:rsidR="00143799" w:rsidRPr="0081485A" w:rsidRDefault="00143799" w:rsidP="00DE779D">
            <w:pPr>
              <w:pStyle w:val="Normalgrey"/>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218879FC" w14:textId="77777777" w:rsidR="00143799" w:rsidRPr="0081485A" w:rsidRDefault="00143799" w:rsidP="003E427A">
            <w:pPr>
              <w:pStyle w:val="Refnum2"/>
              <w:cnfStyle w:val="000000100000" w:firstRow="0" w:lastRow="0" w:firstColumn="0" w:lastColumn="0" w:oddVBand="0" w:evenVBand="0" w:oddHBand="1" w:evenHBand="0" w:firstRowFirstColumn="0" w:firstRowLastColumn="0" w:lastRowFirstColumn="0" w:lastRowLastColumn="0"/>
              <w:rPr>
                <w:b/>
              </w:rPr>
            </w:pPr>
          </w:p>
        </w:tc>
        <w:tc>
          <w:tcPr>
            <w:tcW w:w="6120" w:type="dxa"/>
            <w:shd w:val="clear" w:color="auto" w:fill="F2F2F2" w:themeFill="background1" w:themeFillShade="F2"/>
          </w:tcPr>
          <w:p w14:paraId="1A6A3149" w14:textId="77777777" w:rsidR="00131312" w:rsidRDefault="00131312" w:rsidP="0081485A">
            <w:pPr>
              <w:pStyle w:val="Normalbold"/>
              <w:cnfStyle w:val="000000100000" w:firstRow="0" w:lastRow="0" w:firstColumn="0" w:lastColumn="0" w:oddVBand="0" w:evenVBand="0" w:oddHBand="1" w:evenHBand="0" w:firstRowFirstColumn="0" w:firstRowLastColumn="0" w:lastRowFirstColumn="0" w:lastRowLastColumn="0"/>
            </w:pPr>
            <w:r w:rsidRPr="0081485A">
              <w:rPr>
                <w:bCs/>
              </w:rPr>
              <w:t>Classification of capital grants</w:t>
            </w:r>
            <w:r w:rsidRPr="0081485A">
              <w:t xml:space="preserve"> </w:t>
            </w:r>
          </w:p>
          <w:p w14:paraId="0BBC7BD6" w14:textId="2E5BFF9F" w:rsidR="00143799" w:rsidRPr="0081485A" w:rsidRDefault="00143799" w:rsidP="0081485A">
            <w:pPr>
              <w:pStyle w:val="Normalbold"/>
              <w:cnfStyle w:val="000000100000" w:firstRow="0" w:lastRow="0" w:firstColumn="0" w:lastColumn="0" w:oddVBand="0" w:evenVBand="0" w:oddHBand="1" w:evenHBand="0" w:firstRowFirstColumn="0" w:firstRowLastColumn="0" w:lastRowFirstColumn="0" w:lastRowLastColumn="0"/>
            </w:pPr>
            <w:r w:rsidRPr="0081485A">
              <w:t xml:space="preserve">The payment of a capital grant </w:t>
            </w:r>
            <w:r w:rsidR="00F5715B" w:rsidRPr="0081485A">
              <w:t>shall</w:t>
            </w:r>
            <w:r w:rsidRPr="0081485A">
              <w:t xml:space="preserve"> be classified as cash flows from operating activities, unless the grant is designated as contributed capital, in which case it </w:t>
            </w:r>
            <w:r w:rsidR="00F5715B" w:rsidRPr="0081485A">
              <w:t>shall</w:t>
            </w:r>
            <w:r w:rsidRPr="0081485A">
              <w:t xml:space="preserve"> be classified as cash flows from investing activities.</w:t>
            </w:r>
          </w:p>
        </w:tc>
      </w:tr>
      <w:tr w:rsidR="00143799" w:rsidRPr="0081485A" w14:paraId="4236D56C" w14:textId="77777777" w:rsidTr="0081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3091284" w14:textId="77777777" w:rsidR="00143799" w:rsidRPr="0081485A" w:rsidRDefault="00143799" w:rsidP="00DE779D">
            <w:pPr>
              <w:rPr>
                <w:b/>
              </w:rPr>
            </w:pPr>
          </w:p>
        </w:tc>
        <w:tc>
          <w:tcPr>
            <w:tcW w:w="270" w:type="dxa"/>
            <w:shd w:val="clear" w:color="auto" w:fill="F2F2F2" w:themeFill="background1" w:themeFillShade="F2"/>
          </w:tcPr>
          <w:p w14:paraId="4E182280" w14:textId="77777777" w:rsidR="00143799" w:rsidRPr="0081485A" w:rsidRDefault="00143799" w:rsidP="00DE779D">
            <w:pPr>
              <w:pStyle w:val="Normalgrey"/>
              <w:cnfStyle w:val="000000010000" w:firstRow="0" w:lastRow="0" w:firstColumn="0" w:lastColumn="0" w:oddVBand="0" w:evenVBand="0" w:oddHBand="0" w:evenHBand="1" w:firstRowFirstColumn="0" w:firstRowLastColumn="0" w:lastRowFirstColumn="0" w:lastRowLastColumn="0"/>
              <w:rPr>
                <w:b/>
              </w:rPr>
            </w:pPr>
          </w:p>
        </w:tc>
        <w:tc>
          <w:tcPr>
            <w:tcW w:w="540" w:type="dxa"/>
            <w:shd w:val="clear" w:color="auto" w:fill="F2F2F2" w:themeFill="background1" w:themeFillShade="F2"/>
          </w:tcPr>
          <w:p w14:paraId="0EF06C75" w14:textId="77777777" w:rsidR="00143799" w:rsidRPr="0081485A" w:rsidRDefault="00143799" w:rsidP="003E427A">
            <w:pPr>
              <w:pStyle w:val="Refnum2"/>
              <w:cnfStyle w:val="000000010000" w:firstRow="0" w:lastRow="0" w:firstColumn="0" w:lastColumn="0" w:oddVBand="0" w:evenVBand="0" w:oddHBand="0" w:evenHBand="1" w:firstRowFirstColumn="0" w:firstRowLastColumn="0" w:lastRowFirstColumn="0" w:lastRowLastColumn="0"/>
              <w:rPr>
                <w:b/>
              </w:rPr>
            </w:pPr>
          </w:p>
        </w:tc>
        <w:tc>
          <w:tcPr>
            <w:tcW w:w="6120" w:type="dxa"/>
            <w:shd w:val="clear" w:color="auto" w:fill="F2F2F2" w:themeFill="background1" w:themeFillShade="F2"/>
          </w:tcPr>
          <w:p w14:paraId="387D83D2" w14:textId="77777777" w:rsidR="00143799" w:rsidRPr="0081485A" w:rsidRDefault="00143799" w:rsidP="0081485A">
            <w:pPr>
              <w:pStyle w:val="Normalbold"/>
              <w:cnfStyle w:val="000000010000" w:firstRow="0" w:lastRow="0" w:firstColumn="0" w:lastColumn="0" w:oddVBand="0" w:evenVBand="0" w:oddHBand="0" w:evenHBand="1" w:firstRowFirstColumn="0" w:firstRowLastColumn="0" w:lastRowFirstColumn="0" w:lastRowLastColumn="0"/>
              <w:rPr>
                <w:bCs/>
              </w:rPr>
            </w:pPr>
            <w:r w:rsidRPr="0081485A">
              <w:t xml:space="preserve">The receipt of a capital grant </w:t>
            </w:r>
            <w:r w:rsidR="00F5715B" w:rsidRPr="0081485A">
              <w:t>shall</w:t>
            </w:r>
            <w:r w:rsidRPr="0081485A">
              <w:t xml:space="preserve"> be classified as cash flows from operating activities, unless the grant is designated as contributed capital, in which case it </w:t>
            </w:r>
            <w:r w:rsidR="00F5715B" w:rsidRPr="0081485A">
              <w:t>shall</w:t>
            </w:r>
            <w:r w:rsidRPr="0081485A">
              <w:t xml:space="preserve"> be classified as cash flows from financing activities.</w:t>
            </w:r>
          </w:p>
        </w:tc>
      </w:tr>
      <w:tr w:rsidR="00A75AF0" w:rsidRPr="0081485A" w14:paraId="46947BBE" w14:textId="77777777" w:rsidTr="0081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386E33D9" w14:textId="77777777" w:rsidR="00A75AF0" w:rsidRPr="0081485A" w:rsidRDefault="00A75AF0" w:rsidP="00DE779D">
            <w:pPr>
              <w:rPr>
                <w:b/>
              </w:rPr>
            </w:pPr>
          </w:p>
        </w:tc>
        <w:tc>
          <w:tcPr>
            <w:tcW w:w="270" w:type="dxa"/>
            <w:shd w:val="clear" w:color="auto" w:fill="F2F2F2" w:themeFill="background1" w:themeFillShade="F2"/>
          </w:tcPr>
          <w:p w14:paraId="76C7D57C" w14:textId="77777777" w:rsidR="00A75AF0" w:rsidRPr="0081485A" w:rsidRDefault="00A75AF0" w:rsidP="00DE779D">
            <w:pPr>
              <w:pStyle w:val="Normalgrey"/>
              <w:cnfStyle w:val="000000100000" w:firstRow="0" w:lastRow="0" w:firstColumn="0" w:lastColumn="0" w:oddVBand="0" w:evenVBand="0" w:oddHBand="1" w:evenHBand="0" w:firstRowFirstColumn="0" w:firstRowLastColumn="0" w:lastRowFirstColumn="0" w:lastRowLastColumn="0"/>
              <w:rPr>
                <w:b/>
              </w:rPr>
            </w:pPr>
          </w:p>
        </w:tc>
        <w:tc>
          <w:tcPr>
            <w:tcW w:w="540" w:type="dxa"/>
            <w:shd w:val="clear" w:color="auto" w:fill="F2F2F2" w:themeFill="background1" w:themeFillShade="F2"/>
          </w:tcPr>
          <w:p w14:paraId="6B55E517" w14:textId="77777777" w:rsidR="00A75AF0" w:rsidRPr="0081485A" w:rsidRDefault="00A75AF0" w:rsidP="003E427A">
            <w:pPr>
              <w:pStyle w:val="Refnum2"/>
              <w:cnfStyle w:val="000000100000" w:firstRow="0" w:lastRow="0" w:firstColumn="0" w:lastColumn="0" w:oddVBand="0" w:evenVBand="0" w:oddHBand="1" w:evenHBand="0" w:firstRowFirstColumn="0" w:firstRowLastColumn="0" w:lastRowFirstColumn="0" w:lastRowLastColumn="0"/>
              <w:rPr>
                <w:b/>
              </w:rPr>
            </w:pPr>
          </w:p>
        </w:tc>
        <w:tc>
          <w:tcPr>
            <w:tcW w:w="6120" w:type="dxa"/>
            <w:shd w:val="clear" w:color="auto" w:fill="F2F2F2" w:themeFill="background1" w:themeFillShade="F2"/>
          </w:tcPr>
          <w:p w14:paraId="703BE35B" w14:textId="77777777" w:rsidR="00131312" w:rsidRDefault="00131312" w:rsidP="0081485A">
            <w:pPr>
              <w:pStyle w:val="Normalbold"/>
              <w:cnfStyle w:val="000000100000" w:firstRow="0" w:lastRow="0" w:firstColumn="0" w:lastColumn="0" w:oddVBand="0" w:evenVBand="0" w:oddHBand="1" w:evenHBand="0" w:firstRowFirstColumn="0" w:firstRowLastColumn="0" w:lastRowFirstColumn="0" w:lastRowLastColumn="0"/>
            </w:pPr>
            <w:r w:rsidRPr="0081485A">
              <w:rPr>
                <w:bCs/>
              </w:rPr>
              <w:t>Reporting cash flows on a net basis</w:t>
            </w:r>
            <w:r w:rsidRPr="0081485A">
              <w:t xml:space="preserve"> </w:t>
            </w:r>
          </w:p>
          <w:p w14:paraId="594284B0" w14:textId="32047652" w:rsidR="00A75AF0" w:rsidRPr="0081485A" w:rsidRDefault="00A75AF0" w:rsidP="0081485A">
            <w:pPr>
              <w:pStyle w:val="Normalbold"/>
              <w:cnfStyle w:val="000000100000" w:firstRow="0" w:lastRow="0" w:firstColumn="0" w:lastColumn="0" w:oddVBand="0" w:evenVBand="0" w:oddHBand="1" w:evenHBand="0" w:firstRowFirstColumn="0" w:firstRowLastColumn="0" w:lastRowFirstColumn="0" w:lastRowLastColumn="0"/>
            </w:pPr>
            <w:r w:rsidRPr="0081485A">
              <w:t xml:space="preserve">Cash flows arising from the following operating, investing or financing activities </w:t>
            </w:r>
            <w:r w:rsidR="004643DD" w:rsidRPr="0081485A">
              <w:t>shall</w:t>
            </w:r>
            <w:r w:rsidRPr="0081485A">
              <w:t xml:space="preserve"> be reported on a net basis:</w:t>
            </w:r>
          </w:p>
          <w:p w14:paraId="67E92BFA" w14:textId="77777777" w:rsidR="00A75AF0" w:rsidRPr="0081485A" w:rsidRDefault="00A75AF0" w:rsidP="0081485A">
            <w:pPr>
              <w:pStyle w:val="Listnum"/>
              <w:cnfStyle w:val="000000100000" w:firstRow="0" w:lastRow="0" w:firstColumn="0" w:lastColumn="0" w:oddVBand="0" w:evenVBand="0" w:oddHBand="1" w:evenHBand="0" w:firstRowFirstColumn="0" w:firstRowLastColumn="0" w:lastRowFirstColumn="0" w:lastRowLastColumn="0"/>
              <w:rPr>
                <w:b/>
              </w:rPr>
            </w:pPr>
            <w:r w:rsidRPr="0081485A">
              <w:rPr>
                <w:b/>
              </w:rPr>
              <w:t>cash receipts and payments on behalf of customers when the cash flows reflect the activities of the customer rather than those of the entity; and</w:t>
            </w:r>
          </w:p>
          <w:p w14:paraId="77490011" w14:textId="77777777" w:rsidR="00A75AF0" w:rsidRPr="0081485A" w:rsidRDefault="00A75AF0" w:rsidP="0081485A">
            <w:pPr>
              <w:pStyle w:val="Listnum"/>
              <w:cnfStyle w:val="000000100000" w:firstRow="0" w:lastRow="0" w:firstColumn="0" w:lastColumn="0" w:oddVBand="0" w:evenVBand="0" w:oddHBand="1" w:evenHBand="0" w:firstRowFirstColumn="0" w:firstRowLastColumn="0" w:lastRowFirstColumn="0" w:lastRowLastColumn="0"/>
              <w:rPr>
                <w:b/>
              </w:rPr>
            </w:pPr>
            <w:r w:rsidRPr="0081485A">
              <w:rPr>
                <w:b/>
              </w:rPr>
              <w:t>cash receipts and payments for items in which the turnover is quick, the amounts are large, and the maturities are short.</w:t>
            </w:r>
          </w:p>
        </w:tc>
      </w:tr>
      <w:tr w:rsidR="00143799" w:rsidRPr="0081485A" w14:paraId="65C3229A" w14:textId="77777777" w:rsidTr="0081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shd w:val="clear" w:color="auto" w:fill="F2F2F2" w:themeFill="background1" w:themeFillShade="F2"/>
          </w:tcPr>
          <w:p w14:paraId="495C13B2" w14:textId="77777777" w:rsidR="00143799" w:rsidRPr="0081485A" w:rsidRDefault="00143799" w:rsidP="00DE779D">
            <w:pPr>
              <w:rPr>
                <w:b/>
              </w:rPr>
            </w:pPr>
          </w:p>
        </w:tc>
        <w:tc>
          <w:tcPr>
            <w:tcW w:w="270" w:type="dxa"/>
            <w:shd w:val="clear" w:color="auto" w:fill="F2F2F2" w:themeFill="background1" w:themeFillShade="F2"/>
          </w:tcPr>
          <w:p w14:paraId="6C6C6E2D" w14:textId="77777777" w:rsidR="00143799" w:rsidRPr="0081485A" w:rsidRDefault="00143799" w:rsidP="00DE779D">
            <w:pPr>
              <w:pStyle w:val="Normalgrey"/>
              <w:cnfStyle w:val="000000010000" w:firstRow="0" w:lastRow="0" w:firstColumn="0" w:lastColumn="0" w:oddVBand="0" w:evenVBand="0" w:oddHBand="0" w:evenHBand="1" w:firstRowFirstColumn="0" w:firstRowLastColumn="0" w:lastRowFirstColumn="0" w:lastRowLastColumn="0"/>
              <w:rPr>
                <w:b/>
              </w:rPr>
            </w:pPr>
          </w:p>
        </w:tc>
        <w:tc>
          <w:tcPr>
            <w:tcW w:w="540" w:type="dxa"/>
            <w:shd w:val="clear" w:color="auto" w:fill="F2F2F2" w:themeFill="background1" w:themeFillShade="F2"/>
          </w:tcPr>
          <w:p w14:paraId="16CB9E60" w14:textId="77777777" w:rsidR="00143799" w:rsidRPr="0081485A" w:rsidRDefault="00143799" w:rsidP="003E427A">
            <w:pPr>
              <w:pStyle w:val="Refnum2"/>
              <w:cnfStyle w:val="000000010000" w:firstRow="0" w:lastRow="0" w:firstColumn="0" w:lastColumn="0" w:oddVBand="0" w:evenVBand="0" w:oddHBand="0" w:evenHBand="1" w:firstRowFirstColumn="0" w:firstRowLastColumn="0" w:lastRowFirstColumn="0" w:lastRowLastColumn="0"/>
              <w:rPr>
                <w:b/>
              </w:rPr>
            </w:pPr>
          </w:p>
        </w:tc>
        <w:tc>
          <w:tcPr>
            <w:tcW w:w="6120" w:type="dxa"/>
            <w:shd w:val="clear" w:color="auto" w:fill="F2F2F2" w:themeFill="background1" w:themeFillShade="F2"/>
          </w:tcPr>
          <w:p w14:paraId="1C877D41" w14:textId="77777777" w:rsidR="00143799" w:rsidRPr="0081485A" w:rsidRDefault="00143799" w:rsidP="0081485A">
            <w:pPr>
              <w:pStyle w:val="Normalbold"/>
              <w:cnfStyle w:val="000000010000" w:firstRow="0" w:lastRow="0" w:firstColumn="0" w:lastColumn="0" w:oddVBand="0" w:evenVBand="0" w:oddHBand="0" w:evenHBand="1" w:firstRowFirstColumn="0" w:firstRowLastColumn="0" w:lastRowFirstColumn="0" w:lastRowLastColumn="0"/>
            </w:pPr>
            <w:r w:rsidRPr="0081485A">
              <w:t xml:space="preserve">Cash flows arising from each of the following activities of a financial institution </w:t>
            </w:r>
            <w:r w:rsidR="004643DD" w:rsidRPr="0081485A">
              <w:t>shall</w:t>
            </w:r>
            <w:r w:rsidRPr="0081485A">
              <w:t xml:space="preserve"> be reported on a net basis:</w:t>
            </w:r>
          </w:p>
          <w:p w14:paraId="14DCD8D1" w14:textId="77777777" w:rsidR="00143799" w:rsidRPr="0081485A" w:rsidRDefault="00143799" w:rsidP="0081485A">
            <w:pPr>
              <w:pStyle w:val="Listnum"/>
              <w:numPr>
                <w:ilvl w:val="0"/>
                <w:numId w:val="22"/>
              </w:numPr>
              <w:cnfStyle w:val="000000010000" w:firstRow="0" w:lastRow="0" w:firstColumn="0" w:lastColumn="0" w:oddVBand="0" w:evenVBand="0" w:oddHBand="0" w:evenHBand="1" w:firstRowFirstColumn="0" w:firstRowLastColumn="0" w:lastRowFirstColumn="0" w:lastRowLastColumn="0"/>
              <w:rPr>
                <w:b/>
              </w:rPr>
            </w:pPr>
            <w:r w:rsidRPr="0081485A">
              <w:rPr>
                <w:b/>
              </w:rPr>
              <w:t>cash receipts and payments for the acceptance and repayment of deposits with a fixed maturity date;</w:t>
            </w:r>
          </w:p>
          <w:p w14:paraId="77769839" w14:textId="77777777" w:rsidR="00143799" w:rsidRPr="0081485A" w:rsidRDefault="00143799" w:rsidP="0081485A">
            <w:pPr>
              <w:pStyle w:val="Listnum"/>
              <w:cnfStyle w:val="000000010000" w:firstRow="0" w:lastRow="0" w:firstColumn="0" w:lastColumn="0" w:oddVBand="0" w:evenVBand="0" w:oddHBand="0" w:evenHBand="1" w:firstRowFirstColumn="0" w:firstRowLastColumn="0" w:lastRowFirstColumn="0" w:lastRowLastColumn="0"/>
              <w:rPr>
                <w:b/>
              </w:rPr>
            </w:pPr>
            <w:r w:rsidRPr="0081485A">
              <w:rPr>
                <w:b/>
              </w:rPr>
              <w:t>the placement of deposits with and withdrawal of deposits from other financial institutions; and</w:t>
            </w:r>
          </w:p>
          <w:p w14:paraId="1BBABBCB" w14:textId="77777777" w:rsidR="00143799" w:rsidRPr="0081485A" w:rsidRDefault="00143799" w:rsidP="0081485A">
            <w:pPr>
              <w:pStyle w:val="Listnum"/>
              <w:cnfStyle w:val="000000010000" w:firstRow="0" w:lastRow="0" w:firstColumn="0" w:lastColumn="0" w:oddVBand="0" w:evenVBand="0" w:oddHBand="0" w:evenHBand="1" w:firstRowFirstColumn="0" w:firstRowLastColumn="0" w:lastRowFirstColumn="0" w:lastRowLastColumn="0"/>
              <w:rPr>
                <w:b/>
              </w:rPr>
            </w:pPr>
            <w:r w:rsidRPr="0081485A">
              <w:rPr>
                <w:b/>
              </w:rPr>
              <w:t>cash advances and loans made to customers and the repayment of those advances and loans.</w:t>
            </w:r>
          </w:p>
        </w:tc>
      </w:tr>
      <w:tr w:rsidR="00A75AF0" w:rsidRPr="00E10ADB" w14:paraId="53AF78B3" w14:textId="77777777" w:rsidTr="0081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A134F35" w14:textId="77777777" w:rsidR="00A75AF0" w:rsidRPr="00E2009B" w:rsidRDefault="00A75AF0" w:rsidP="0081485A">
            <w:pPr>
              <w:pStyle w:val="Normalgrey"/>
            </w:pPr>
            <w:r w:rsidRPr="00E2009B">
              <w:lastRenderedPageBreak/>
              <w:t>Definitions</w:t>
            </w:r>
          </w:p>
        </w:tc>
        <w:tc>
          <w:tcPr>
            <w:tcW w:w="270" w:type="dxa"/>
          </w:tcPr>
          <w:p w14:paraId="21D24EE4" w14:textId="77777777" w:rsidR="00A75AF0" w:rsidRPr="00477115" w:rsidRDefault="00A75AF0" w:rsidP="0081485A">
            <w:pPr>
              <w:pStyle w:val="Refnum1"/>
              <w:cnfStyle w:val="000000100000" w:firstRow="0" w:lastRow="0" w:firstColumn="0" w:lastColumn="0" w:oddVBand="0" w:evenVBand="0" w:oddHBand="1" w:evenHBand="0" w:firstRowFirstColumn="0" w:firstRowLastColumn="0" w:lastRowFirstColumn="0" w:lastRowLastColumn="0"/>
            </w:pPr>
          </w:p>
        </w:tc>
        <w:tc>
          <w:tcPr>
            <w:tcW w:w="540" w:type="dxa"/>
          </w:tcPr>
          <w:p w14:paraId="1C2941DE" w14:textId="77777777" w:rsidR="00A75AF0" w:rsidRPr="00477115" w:rsidRDefault="00A75AF0" w:rsidP="003E427A">
            <w:pPr>
              <w:pStyle w:val="Refnum2"/>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6120" w:type="dxa"/>
          </w:tcPr>
          <w:p w14:paraId="75D0AE99" w14:textId="77777777" w:rsidR="00A75AF0" w:rsidRPr="00701F46" w:rsidRDefault="00A75AF0" w:rsidP="00701F46">
            <w:pPr>
              <w:pStyle w:val="Normalgrey"/>
              <w:cnfStyle w:val="000000100000" w:firstRow="0" w:lastRow="0" w:firstColumn="0" w:lastColumn="0" w:oddVBand="0" w:evenVBand="0" w:oddHBand="1" w:evenHBand="0" w:firstRowFirstColumn="0" w:firstRowLastColumn="0" w:lastRowFirstColumn="0" w:lastRowLastColumn="0"/>
            </w:pPr>
            <w:r w:rsidRPr="00131312">
              <w:rPr>
                <w:b/>
                <w:bCs/>
              </w:rPr>
              <w:t>Financial Institution:</w:t>
            </w:r>
            <w:r w:rsidRPr="00701F46">
              <w:t xml:space="preserve"> an institution (public or private) that collects funds (from the public or other institutions) and invests them in financial assets.</w:t>
            </w:r>
          </w:p>
          <w:p w14:paraId="61C71253" w14:textId="77777777" w:rsidR="00A75AF0" w:rsidRPr="00701F46" w:rsidRDefault="00A75AF0" w:rsidP="00701F46">
            <w:pPr>
              <w:pStyle w:val="Normalgrey"/>
              <w:cnfStyle w:val="000000100000" w:firstRow="0" w:lastRow="0" w:firstColumn="0" w:lastColumn="0" w:oddVBand="0" w:evenVBand="0" w:oddHBand="1" w:evenHBand="0" w:firstRowFirstColumn="0" w:firstRowLastColumn="0" w:lastRowFirstColumn="0" w:lastRowLastColumn="0"/>
            </w:pPr>
            <w:r w:rsidRPr="00701F46">
              <w:t>Refer to paragraph 6 of AASB 107 for the following definitions:</w:t>
            </w:r>
          </w:p>
          <w:p w14:paraId="2D16E5FA" w14:textId="77777777" w:rsidR="00A75AF0" w:rsidRPr="0081485A" w:rsidRDefault="00A75AF0" w:rsidP="0081485A">
            <w:pPr>
              <w:pStyle w:val="Bullet1grey"/>
              <w:cnfStyle w:val="000000100000" w:firstRow="0" w:lastRow="0" w:firstColumn="0" w:lastColumn="0" w:oddVBand="0" w:evenVBand="0" w:oddHBand="1" w:evenHBand="0" w:firstRowFirstColumn="0" w:firstRowLastColumn="0" w:lastRowFirstColumn="0" w:lastRowLastColumn="0"/>
            </w:pPr>
            <w:r w:rsidRPr="0081485A">
              <w:t>Cash equivalents;</w:t>
            </w:r>
          </w:p>
          <w:p w14:paraId="628169E8" w14:textId="77777777" w:rsidR="00A75AF0" w:rsidRPr="0081485A" w:rsidRDefault="00A75AF0" w:rsidP="0081485A">
            <w:pPr>
              <w:pStyle w:val="Bullet1grey"/>
              <w:cnfStyle w:val="000000100000" w:firstRow="0" w:lastRow="0" w:firstColumn="0" w:lastColumn="0" w:oddVBand="0" w:evenVBand="0" w:oddHBand="1" w:evenHBand="0" w:firstRowFirstColumn="0" w:firstRowLastColumn="0" w:lastRowFirstColumn="0" w:lastRowLastColumn="0"/>
            </w:pPr>
            <w:r w:rsidRPr="0081485A">
              <w:t>Cash flows;</w:t>
            </w:r>
          </w:p>
          <w:p w14:paraId="19C8CB11" w14:textId="77777777" w:rsidR="00A75AF0" w:rsidRPr="0081485A" w:rsidRDefault="00A75AF0" w:rsidP="0081485A">
            <w:pPr>
              <w:pStyle w:val="Bullet1grey"/>
              <w:cnfStyle w:val="000000100000" w:firstRow="0" w:lastRow="0" w:firstColumn="0" w:lastColumn="0" w:oddVBand="0" w:evenVBand="0" w:oddHBand="1" w:evenHBand="0" w:firstRowFirstColumn="0" w:firstRowLastColumn="0" w:lastRowFirstColumn="0" w:lastRowLastColumn="0"/>
            </w:pPr>
            <w:r w:rsidRPr="0081485A">
              <w:t>Financing activities;</w:t>
            </w:r>
          </w:p>
          <w:p w14:paraId="4723003A" w14:textId="77777777" w:rsidR="00A75AF0" w:rsidRPr="0081485A" w:rsidRDefault="00A75AF0" w:rsidP="0081485A">
            <w:pPr>
              <w:pStyle w:val="Bullet1grey"/>
              <w:cnfStyle w:val="000000100000" w:firstRow="0" w:lastRow="0" w:firstColumn="0" w:lastColumn="0" w:oddVBand="0" w:evenVBand="0" w:oddHBand="1" w:evenHBand="0" w:firstRowFirstColumn="0" w:firstRowLastColumn="0" w:lastRowFirstColumn="0" w:lastRowLastColumn="0"/>
            </w:pPr>
            <w:r w:rsidRPr="0081485A">
              <w:t>Investing activities; and</w:t>
            </w:r>
          </w:p>
          <w:p w14:paraId="24CC7BA0" w14:textId="77777777" w:rsidR="00A75AF0" w:rsidRPr="00822CF3" w:rsidRDefault="00A75AF0" w:rsidP="0081485A">
            <w:pPr>
              <w:pStyle w:val="Bullet1grey"/>
              <w:spacing w:after="160"/>
              <w:cnfStyle w:val="000000100000" w:firstRow="0" w:lastRow="0" w:firstColumn="0" w:lastColumn="0" w:oddVBand="0" w:evenVBand="0" w:oddHBand="1" w:evenHBand="0" w:firstRowFirstColumn="0" w:firstRowLastColumn="0" w:lastRowFirstColumn="0" w:lastRowLastColumn="0"/>
            </w:pPr>
            <w:r w:rsidRPr="0081485A">
              <w:t>Operating activities</w:t>
            </w:r>
            <w:r w:rsidRPr="00704E8A">
              <w:t>.</w:t>
            </w:r>
          </w:p>
        </w:tc>
      </w:tr>
      <w:tr w:rsidR="00A75AF0" w:rsidRPr="00E10ADB" w14:paraId="7297AD34" w14:textId="77777777" w:rsidTr="0081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DB64120" w14:textId="77777777" w:rsidR="00A75AF0" w:rsidRPr="00E2009B" w:rsidRDefault="00A75AF0" w:rsidP="0081485A">
            <w:pPr>
              <w:pStyle w:val="Normalgrey"/>
            </w:pPr>
            <w:r w:rsidRPr="00E2009B">
              <w:t>Guidance</w:t>
            </w:r>
          </w:p>
        </w:tc>
        <w:tc>
          <w:tcPr>
            <w:tcW w:w="270" w:type="dxa"/>
          </w:tcPr>
          <w:p w14:paraId="23ED10CA" w14:textId="77777777" w:rsidR="00A75AF0" w:rsidRPr="00521483" w:rsidRDefault="00A75AF0" w:rsidP="0081485A">
            <w:pPr>
              <w:pStyle w:val="Refnum1"/>
              <w:cnfStyle w:val="000000010000" w:firstRow="0" w:lastRow="0" w:firstColumn="0" w:lastColumn="0" w:oddVBand="0" w:evenVBand="0" w:oddHBand="0" w:evenHBand="1" w:firstRowFirstColumn="0" w:firstRowLastColumn="0" w:lastRowFirstColumn="0" w:lastRowLastColumn="0"/>
            </w:pPr>
          </w:p>
        </w:tc>
        <w:tc>
          <w:tcPr>
            <w:tcW w:w="540" w:type="dxa"/>
          </w:tcPr>
          <w:p w14:paraId="58A9D6A5" w14:textId="77777777" w:rsidR="00A75AF0" w:rsidRPr="00472918" w:rsidRDefault="00A75AF0" w:rsidP="0081485A">
            <w:pPr>
              <w:pStyle w:val="Refnum2"/>
              <w:cnfStyle w:val="000000010000" w:firstRow="0" w:lastRow="0" w:firstColumn="0" w:lastColumn="0" w:oddVBand="0" w:evenVBand="0" w:oddHBand="0" w:evenHBand="1" w:firstRowFirstColumn="0" w:firstRowLastColumn="0" w:lastRowFirstColumn="0" w:lastRowLastColumn="0"/>
            </w:pPr>
          </w:p>
        </w:tc>
        <w:tc>
          <w:tcPr>
            <w:tcW w:w="6120" w:type="dxa"/>
          </w:tcPr>
          <w:p w14:paraId="069C59CD" w14:textId="77777777" w:rsidR="00A75AF0" w:rsidRDefault="00A75AF0" w:rsidP="00143799">
            <w:pPr>
              <w:pStyle w:val="Normalgrey"/>
              <w:cnfStyle w:val="000000010000" w:firstRow="0" w:lastRow="0" w:firstColumn="0" w:lastColumn="0" w:oddVBand="0" w:evenVBand="0" w:oddHBand="0" w:evenHBand="1" w:firstRowFirstColumn="0" w:firstRowLastColumn="0" w:lastRowFirstColumn="0" w:lastRowLastColumn="0"/>
              <w:rPr>
                <w:b/>
              </w:rPr>
            </w:pPr>
            <w:r w:rsidRPr="003E427A">
              <w:rPr>
                <w:b/>
              </w:rPr>
              <w:t xml:space="preserve">Capital </w:t>
            </w:r>
            <w:r w:rsidR="0081485A" w:rsidRPr="003E427A">
              <w:rPr>
                <w:b/>
              </w:rPr>
              <w:t>grant</w:t>
            </w:r>
          </w:p>
          <w:p w14:paraId="372DC97E" w14:textId="77777777" w:rsidR="0081485A" w:rsidRPr="003E427A" w:rsidRDefault="0081485A" w:rsidP="00143799">
            <w:pPr>
              <w:pStyle w:val="Normalgrey"/>
              <w:cnfStyle w:val="000000010000" w:firstRow="0" w:lastRow="0" w:firstColumn="0" w:lastColumn="0" w:oddVBand="0" w:evenVBand="0" w:oddHBand="0" w:evenHBand="1" w:firstRowFirstColumn="0" w:firstRowLastColumn="0" w:lastRowFirstColumn="0" w:lastRowLastColumn="0"/>
              <w:rPr>
                <w:b/>
              </w:rPr>
            </w:pPr>
            <w:r>
              <w:t>Cash flows from capital grants may be presented on a separate line to distinguish such transactions from other cash flows in the same category.</w:t>
            </w:r>
          </w:p>
        </w:tc>
      </w:tr>
      <w:tr w:rsidR="00143799" w:rsidRPr="00E10ADB" w14:paraId="73A47BA3" w14:textId="77777777" w:rsidTr="0081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757D6F1" w14:textId="77777777" w:rsidR="00143799" w:rsidRPr="00E2009B" w:rsidRDefault="00143799" w:rsidP="0081485A">
            <w:pPr>
              <w:pStyle w:val="Normalgrey"/>
            </w:pPr>
          </w:p>
        </w:tc>
        <w:tc>
          <w:tcPr>
            <w:tcW w:w="270" w:type="dxa"/>
          </w:tcPr>
          <w:p w14:paraId="5FDDBD2E" w14:textId="77777777" w:rsidR="00143799" w:rsidRPr="00521483" w:rsidRDefault="00143799" w:rsidP="0081485A">
            <w:pPr>
              <w:cnfStyle w:val="000000100000" w:firstRow="0" w:lastRow="0" w:firstColumn="0" w:lastColumn="0" w:oddVBand="0" w:evenVBand="0" w:oddHBand="1" w:evenHBand="0" w:firstRowFirstColumn="0" w:firstRowLastColumn="0" w:lastRowFirstColumn="0" w:lastRowLastColumn="0"/>
            </w:pPr>
          </w:p>
        </w:tc>
        <w:tc>
          <w:tcPr>
            <w:tcW w:w="540" w:type="dxa"/>
          </w:tcPr>
          <w:p w14:paraId="58AF818D" w14:textId="77777777" w:rsidR="00143799" w:rsidRPr="00472918" w:rsidRDefault="00143799" w:rsidP="003E427A">
            <w:pPr>
              <w:pStyle w:val="Refnum2"/>
              <w:cnfStyle w:val="000000100000" w:firstRow="0" w:lastRow="0" w:firstColumn="0" w:lastColumn="0" w:oddVBand="0" w:evenVBand="0" w:oddHBand="1" w:evenHBand="0" w:firstRowFirstColumn="0" w:firstRowLastColumn="0" w:lastRowFirstColumn="0" w:lastRowLastColumn="0"/>
            </w:pPr>
          </w:p>
        </w:tc>
        <w:tc>
          <w:tcPr>
            <w:tcW w:w="6120" w:type="dxa"/>
          </w:tcPr>
          <w:p w14:paraId="03A626C2" w14:textId="77777777" w:rsidR="00131312" w:rsidRDefault="00131312" w:rsidP="0081485A">
            <w:pPr>
              <w:pStyle w:val="Normalgrey"/>
              <w:cnfStyle w:val="000000100000" w:firstRow="0" w:lastRow="0" w:firstColumn="0" w:lastColumn="0" w:oddVBand="0" w:evenVBand="0" w:oddHBand="1" w:evenHBand="0" w:firstRowFirstColumn="0" w:firstRowLastColumn="0" w:lastRowFirstColumn="0" w:lastRowLastColumn="0"/>
            </w:pPr>
            <w:r w:rsidRPr="003E427A">
              <w:rPr>
                <w:b/>
              </w:rPr>
              <w:t>Goods and Services Tax</w:t>
            </w:r>
            <w:r>
              <w:t xml:space="preserve"> </w:t>
            </w:r>
          </w:p>
          <w:p w14:paraId="6009D104" w14:textId="7AAE169B" w:rsidR="00143799" w:rsidRDefault="00143799" w:rsidP="0081485A">
            <w:pPr>
              <w:pStyle w:val="Normalgrey"/>
              <w:cnfStyle w:val="000000100000" w:firstRow="0" w:lastRow="0" w:firstColumn="0" w:lastColumn="0" w:oddVBand="0" w:evenVBand="0" w:oddHBand="1" w:evenHBand="0" w:firstRowFirstColumn="0" w:firstRowLastColumn="0" w:lastRowFirstColumn="0" w:lastRowLastColumn="0"/>
            </w:pPr>
            <w:r>
              <w:t xml:space="preserve">UIG Interpretation 1031 </w:t>
            </w:r>
            <w:r>
              <w:rPr>
                <w:i/>
                <w:iCs/>
              </w:rPr>
              <w:t>Accounting for the Goods and Services Tax</w:t>
            </w:r>
            <w:r>
              <w:t xml:space="preserve"> requires cash flows, other than investing and financing cash flows where the goods and </w:t>
            </w:r>
            <w:r w:rsidRPr="0081485A">
              <w:t>services</w:t>
            </w:r>
            <w:r>
              <w:t xml:space="preserve"> tax (GST) is recoverable from, or payable to, the taxation authority, to be presented on a gross basis in the cash flow statement.  </w:t>
            </w:r>
          </w:p>
        </w:tc>
      </w:tr>
      <w:tr w:rsidR="00143799" w:rsidRPr="00E10ADB" w14:paraId="5E53E37E" w14:textId="77777777" w:rsidTr="0081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08281FB8" w14:textId="77777777" w:rsidR="00143799" w:rsidRPr="00E2009B" w:rsidRDefault="00143799" w:rsidP="0081485A">
            <w:pPr>
              <w:pStyle w:val="Normalgrey"/>
            </w:pPr>
          </w:p>
        </w:tc>
        <w:tc>
          <w:tcPr>
            <w:tcW w:w="270" w:type="dxa"/>
          </w:tcPr>
          <w:p w14:paraId="065580EE" w14:textId="77777777" w:rsidR="00143799" w:rsidRPr="00521483" w:rsidRDefault="00143799" w:rsidP="0081485A">
            <w:pPr>
              <w:cnfStyle w:val="000000010000" w:firstRow="0" w:lastRow="0" w:firstColumn="0" w:lastColumn="0" w:oddVBand="0" w:evenVBand="0" w:oddHBand="0" w:evenHBand="1" w:firstRowFirstColumn="0" w:firstRowLastColumn="0" w:lastRowFirstColumn="0" w:lastRowLastColumn="0"/>
            </w:pPr>
          </w:p>
        </w:tc>
        <w:tc>
          <w:tcPr>
            <w:tcW w:w="540" w:type="dxa"/>
          </w:tcPr>
          <w:p w14:paraId="193FEEF3" w14:textId="77777777" w:rsidR="00143799" w:rsidRPr="00477115" w:rsidRDefault="00143799" w:rsidP="003E427A">
            <w:pPr>
              <w:pStyle w:val="Refnum2"/>
              <w:cnfStyle w:val="000000010000" w:firstRow="0" w:lastRow="0" w:firstColumn="0" w:lastColumn="0" w:oddVBand="0" w:evenVBand="0" w:oddHBand="0" w:evenHBand="1" w:firstRowFirstColumn="0" w:firstRowLastColumn="0" w:lastRowFirstColumn="0" w:lastRowLastColumn="0"/>
            </w:pPr>
          </w:p>
        </w:tc>
        <w:tc>
          <w:tcPr>
            <w:tcW w:w="6120" w:type="dxa"/>
          </w:tcPr>
          <w:p w14:paraId="44BE9481" w14:textId="77777777" w:rsidR="00143799" w:rsidRDefault="00143799" w:rsidP="0081485A">
            <w:pPr>
              <w:pStyle w:val="Normalgrey"/>
              <w:cnfStyle w:val="000000010000" w:firstRow="0" w:lastRow="0" w:firstColumn="0" w:lastColumn="0" w:oddVBand="0" w:evenVBand="0" w:oddHBand="0" w:evenHBand="1" w:firstRowFirstColumn="0" w:firstRowLastColumn="0" w:lastRowFirstColumn="0" w:lastRowLastColumn="0"/>
            </w:pPr>
            <w:r>
              <w:t xml:space="preserve">Investing and financing cash flows are presented net of the GST where the GST is recoverable from, or payable to, the taxation authority.  The GST component of such cash flows </w:t>
            </w:r>
            <w:r w:rsidR="00F5715B">
              <w:t>shall</w:t>
            </w:r>
            <w:r>
              <w:t xml:space="preserve"> be classified as operating cash flows.</w:t>
            </w:r>
          </w:p>
        </w:tc>
      </w:tr>
      <w:tr w:rsidR="00A75AF0" w:rsidRPr="00E10ADB" w14:paraId="05479C79" w14:textId="77777777" w:rsidTr="0081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534B2F51" w14:textId="77777777" w:rsidR="00A75AF0" w:rsidRPr="00E2009B" w:rsidRDefault="00A75AF0" w:rsidP="0081485A">
            <w:pPr>
              <w:pStyle w:val="Normalgrey"/>
            </w:pPr>
            <w:r w:rsidRPr="00E2009B">
              <w:t xml:space="preserve">Relevant </w:t>
            </w:r>
            <w:r>
              <w:t>p</w:t>
            </w:r>
            <w:r w:rsidRPr="00E2009B">
              <w:t>ronouncements</w:t>
            </w:r>
          </w:p>
        </w:tc>
        <w:tc>
          <w:tcPr>
            <w:tcW w:w="270" w:type="dxa"/>
          </w:tcPr>
          <w:p w14:paraId="06630867" w14:textId="77777777" w:rsidR="00A75AF0" w:rsidRPr="00521483" w:rsidRDefault="00A75AF0" w:rsidP="00493B55">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2045FFF5" w14:textId="4268EC1F" w:rsidR="00A75AF0" w:rsidRPr="00E2009B" w:rsidRDefault="00131312" w:rsidP="00493B55">
            <w:pPr>
              <w:cnfStyle w:val="000000100000" w:firstRow="0" w:lastRow="0" w:firstColumn="0" w:lastColumn="0" w:oddVBand="0" w:evenVBand="0" w:oddHBand="1" w:evenHBand="0" w:firstRowFirstColumn="0" w:firstRowLastColumn="0" w:lastRowFirstColumn="0" w:lastRowLastColumn="0"/>
            </w:pPr>
            <w:r>
              <w:t>7.1</w:t>
            </w:r>
          </w:p>
        </w:tc>
        <w:tc>
          <w:tcPr>
            <w:tcW w:w="6120" w:type="dxa"/>
          </w:tcPr>
          <w:p w14:paraId="387917BF" w14:textId="77777777" w:rsidR="00A75AF0" w:rsidRDefault="00A75AF0" w:rsidP="0081485A">
            <w:pPr>
              <w:pStyle w:val="Bullet1grey"/>
              <w:contextualSpacing w:val="0"/>
              <w:cnfStyle w:val="000000100000" w:firstRow="0" w:lastRow="0" w:firstColumn="0" w:lastColumn="0" w:oddVBand="0" w:evenVBand="0" w:oddHBand="1" w:evenHBand="0" w:firstRowFirstColumn="0" w:firstRowLastColumn="0" w:lastRowFirstColumn="0" w:lastRowLastColumn="0"/>
            </w:pPr>
            <w:r>
              <w:t xml:space="preserve">AASB 107 </w:t>
            </w:r>
            <w:r>
              <w:rPr>
                <w:i/>
                <w:iCs/>
              </w:rPr>
              <w:t>Cash Flow Statements</w:t>
            </w:r>
            <w:r>
              <w:t xml:space="preserve"> (</w:t>
            </w:r>
            <w:r w:rsidR="00A701CB">
              <w:t>January</w:t>
            </w:r>
            <w:r w:rsidR="00BD0399">
              <w:t> </w:t>
            </w:r>
            <w:r>
              <w:t>20</w:t>
            </w:r>
            <w:r w:rsidR="00BD0399">
              <w:t>15</w:t>
            </w:r>
            <w:r>
              <w:t>)</w:t>
            </w:r>
          </w:p>
          <w:p w14:paraId="1890C7A4" w14:textId="77777777" w:rsidR="00A75AF0" w:rsidRPr="00E2009B" w:rsidRDefault="00A75AF0" w:rsidP="0081485A">
            <w:pPr>
              <w:pStyle w:val="Bullet1grey"/>
              <w:spacing w:after="160"/>
              <w:cnfStyle w:val="000000100000" w:firstRow="0" w:lastRow="0" w:firstColumn="0" w:lastColumn="0" w:oddVBand="0" w:evenVBand="0" w:oddHBand="1" w:evenHBand="0" w:firstRowFirstColumn="0" w:firstRowLastColumn="0" w:lastRowFirstColumn="0" w:lastRowLastColumn="0"/>
            </w:pPr>
            <w:r w:rsidRPr="00BC221A">
              <w:t xml:space="preserve">UIG Interpretation 1031 </w:t>
            </w:r>
            <w:r w:rsidRPr="00BC221A">
              <w:rPr>
                <w:i/>
              </w:rPr>
              <w:t>Accounting for the Goods and Services Tax (GST)</w:t>
            </w:r>
            <w:r w:rsidRPr="00BC221A">
              <w:t xml:space="preserve"> (</w:t>
            </w:r>
            <w:r w:rsidR="0027264A" w:rsidRPr="00BC221A">
              <w:t xml:space="preserve">December </w:t>
            </w:r>
            <w:r w:rsidRPr="00BC221A">
              <w:t>20</w:t>
            </w:r>
            <w:r w:rsidR="0027264A" w:rsidRPr="00BC221A">
              <w:t>13</w:t>
            </w:r>
            <w:r w:rsidRPr="00BC221A">
              <w:t>)</w:t>
            </w:r>
            <w:r>
              <w:t xml:space="preserve"> </w:t>
            </w:r>
          </w:p>
        </w:tc>
      </w:tr>
      <w:tr w:rsidR="00A75AF0" w:rsidRPr="00E10ADB" w14:paraId="658048CB" w14:textId="77777777" w:rsidTr="008148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274A82C9" w14:textId="77777777" w:rsidR="00A75AF0" w:rsidRPr="00E2009B" w:rsidRDefault="00A75AF0" w:rsidP="0081485A">
            <w:pPr>
              <w:pStyle w:val="Normalgrey"/>
            </w:pPr>
            <w:r w:rsidRPr="00E2009B">
              <w:t>Background</w:t>
            </w:r>
          </w:p>
        </w:tc>
        <w:tc>
          <w:tcPr>
            <w:tcW w:w="270" w:type="dxa"/>
          </w:tcPr>
          <w:p w14:paraId="70880EAA" w14:textId="77777777" w:rsidR="00A75AF0" w:rsidRPr="00521483" w:rsidRDefault="00A75AF0" w:rsidP="00493B55">
            <w:pPr>
              <w:pStyle w:val="Normalgrey"/>
              <w:cnfStyle w:val="000000010000" w:firstRow="0" w:lastRow="0" w:firstColumn="0" w:lastColumn="0" w:oddVBand="0" w:evenVBand="0" w:oddHBand="0" w:evenHBand="1" w:firstRowFirstColumn="0" w:firstRowLastColumn="0" w:lastRowFirstColumn="0" w:lastRowLastColumn="0"/>
            </w:pPr>
          </w:p>
        </w:tc>
        <w:tc>
          <w:tcPr>
            <w:tcW w:w="540" w:type="dxa"/>
          </w:tcPr>
          <w:p w14:paraId="2EA7920F" w14:textId="25C0B0E1" w:rsidR="00A75AF0" w:rsidRPr="00472918" w:rsidRDefault="00131312" w:rsidP="00493B55">
            <w:pPr>
              <w:cnfStyle w:val="000000010000" w:firstRow="0" w:lastRow="0" w:firstColumn="0" w:lastColumn="0" w:oddVBand="0" w:evenVBand="0" w:oddHBand="0" w:evenHBand="1" w:firstRowFirstColumn="0" w:firstRowLastColumn="0" w:lastRowFirstColumn="0" w:lastRowLastColumn="0"/>
            </w:pPr>
            <w:r>
              <w:t>8.1</w:t>
            </w:r>
          </w:p>
        </w:tc>
        <w:tc>
          <w:tcPr>
            <w:tcW w:w="6120" w:type="dxa"/>
          </w:tcPr>
          <w:p w14:paraId="6D9B1E7E" w14:textId="12466F2A" w:rsidR="00A75AF0" w:rsidRDefault="00A75AF0" w:rsidP="00131312">
            <w:pPr>
              <w:pStyle w:val="Normalgrey"/>
              <w:cnfStyle w:val="000000010000" w:firstRow="0" w:lastRow="0" w:firstColumn="0" w:lastColumn="0" w:oddVBand="0" w:evenVBand="0" w:oddHBand="0" w:evenHBand="1" w:firstRowFirstColumn="0" w:firstRowLastColumn="0" w:lastRowFirstColumn="0" w:lastRowLastColumn="0"/>
            </w:pPr>
            <w:r>
              <w:t>AASB 107 allows interest paid and interest and dividends received to be classified as operating cash flows because they enter into the determination of net profit or loss. Alternatively, interest paid and interest and dividends received may be classified as financing cash flows and investing cash flows respectively, because they are costs of obtaining financial resources or returns on investments.</w:t>
            </w:r>
          </w:p>
          <w:p w14:paraId="72EDA7D4" w14:textId="77777777" w:rsidR="00A75AF0" w:rsidRDefault="00A75AF0" w:rsidP="00131312">
            <w:pPr>
              <w:pStyle w:val="Normalgrey"/>
              <w:cnfStyle w:val="000000010000" w:firstRow="0" w:lastRow="0" w:firstColumn="0" w:lastColumn="0" w:oddVBand="0" w:evenVBand="0" w:oddHBand="0" w:evenHBand="1" w:firstRowFirstColumn="0" w:firstRowLastColumn="0" w:lastRowFirstColumn="0" w:lastRowLastColumn="0"/>
            </w:pPr>
            <w:r>
              <w:t>This FRD limits the choice available under AASB 107 to improve the consistency and comparability of Victorian public sector entity financial reporting and to improve convergence with the Government Finance Statistics framework, which requires interest paid and interest and dividends received to be presented as operating cash flows.</w:t>
            </w:r>
          </w:p>
          <w:p w14:paraId="39C8C026" w14:textId="30ECD2DE" w:rsidR="0027264A" w:rsidRPr="00E2009B" w:rsidRDefault="00A75AF0" w:rsidP="00131312">
            <w:pPr>
              <w:pStyle w:val="Normalgrey"/>
              <w:cnfStyle w:val="000000010000" w:firstRow="0" w:lastRow="0" w:firstColumn="0" w:lastColumn="0" w:oddVBand="0" w:evenVBand="0" w:oddHBand="0" w:evenHBand="1" w:firstRowFirstColumn="0" w:firstRowLastColumn="0" w:lastRowFirstColumn="0" w:lastRowLastColumn="0"/>
            </w:pPr>
            <w:r>
              <w:t>This FRD also clarifies the classification of capital grants and GST on the cash flow statement.</w:t>
            </w:r>
          </w:p>
        </w:tc>
      </w:tr>
      <w:tr w:rsidR="00131312" w:rsidRPr="00E10ADB" w14:paraId="34006622" w14:textId="77777777" w:rsidTr="00814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3" w:type="dxa"/>
          </w:tcPr>
          <w:p w14:paraId="4D21F828" w14:textId="77777777" w:rsidR="00131312" w:rsidRPr="00E2009B" w:rsidRDefault="00131312" w:rsidP="0081485A">
            <w:pPr>
              <w:pStyle w:val="Normalgrey"/>
            </w:pPr>
          </w:p>
        </w:tc>
        <w:tc>
          <w:tcPr>
            <w:tcW w:w="270" w:type="dxa"/>
          </w:tcPr>
          <w:p w14:paraId="2B39EBD7" w14:textId="77777777" w:rsidR="00131312" w:rsidRPr="00521483" w:rsidRDefault="00131312" w:rsidP="00493B55">
            <w:pPr>
              <w:pStyle w:val="Normalgrey"/>
              <w:cnfStyle w:val="000000100000" w:firstRow="0" w:lastRow="0" w:firstColumn="0" w:lastColumn="0" w:oddVBand="0" w:evenVBand="0" w:oddHBand="1" w:evenHBand="0" w:firstRowFirstColumn="0" w:firstRowLastColumn="0" w:lastRowFirstColumn="0" w:lastRowLastColumn="0"/>
            </w:pPr>
          </w:p>
        </w:tc>
        <w:tc>
          <w:tcPr>
            <w:tcW w:w="540" w:type="dxa"/>
          </w:tcPr>
          <w:p w14:paraId="6819560B" w14:textId="08134DBD" w:rsidR="00131312" w:rsidRPr="00472918" w:rsidRDefault="00131312" w:rsidP="00493B55">
            <w:pPr>
              <w:cnfStyle w:val="000000100000" w:firstRow="0" w:lastRow="0" w:firstColumn="0" w:lastColumn="0" w:oddVBand="0" w:evenVBand="0" w:oddHBand="1" w:evenHBand="0" w:firstRowFirstColumn="0" w:firstRowLastColumn="0" w:lastRowFirstColumn="0" w:lastRowLastColumn="0"/>
            </w:pPr>
            <w:r>
              <w:t>8.2</w:t>
            </w:r>
          </w:p>
        </w:tc>
        <w:tc>
          <w:tcPr>
            <w:tcW w:w="6120" w:type="dxa"/>
          </w:tcPr>
          <w:p w14:paraId="2C696750" w14:textId="33234A52" w:rsidR="00131312" w:rsidRDefault="00131312" w:rsidP="00131312">
            <w:pPr>
              <w:pStyle w:val="Normalgrey"/>
              <w:cnfStyle w:val="000000100000" w:firstRow="0" w:lastRow="0" w:firstColumn="0" w:lastColumn="0" w:oddVBand="0" w:evenVBand="0" w:oddHBand="1" w:evenHBand="0" w:firstRowFirstColumn="0" w:firstRowLastColumn="0" w:lastRowFirstColumn="0" w:lastRowLastColumn="0"/>
            </w:pPr>
            <w:r>
              <w:t>This FRD was originally issued in December 2004. It was revised in:</w:t>
            </w:r>
          </w:p>
          <w:p w14:paraId="3509123A" w14:textId="15630A9C" w:rsidR="00131312" w:rsidRPr="00794104" w:rsidRDefault="00131312" w:rsidP="00794104">
            <w:pPr>
              <w:pStyle w:val="Bullet1grey"/>
              <w:cnfStyle w:val="000000100000" w:firstRow="0" w:lastRow="0" w:firstColumn="0" w:lastColumn="0" w:oddVBand="0" w:evenVBand="0" w:oddHBand="1" w:evenHBand="0" w:firstRowFirstColumn="0" w:firstRowLastColumn="0" w:lastRowFirstColumn="0" w:lastRowLastColumn="0"/>
            </w:pPr>
            <w:r w:rsidRPr="00794104">
              <w:t>February 2005 to enhance the included guidance.</w:t>
            </w:r>
          </w:p>
          <w:p w14:paraId="2F06D404" w14:textId="139AACB6" w:rsidR="00131312" w:rsidRDefault="00131312" w:rsidP="00794104">
            <w:pPr>
              <w:pStyle w:val="Bullet1grey"/>
              <w:cnfStyle w:val="000000100000" w:firstRow="0" w:lastRow="0" w:firstColumn="0" w:lastColumn="0" w:oddVBand="0" w:evenVBand="0" w:oddHBand="1" w:evenHBand="0" w:firstRowFirstColumn="0" w:firstRowLastColumn="0" w:lastRowFirstColumn="0" w:lastRowLastColumn="0"/>
            </w:pPr>
            <w:r w:rsidRPr="00794104">
              <w:t>June 2016 to remove the first-time adoption requirements as they are no longer required.</w:t>
            </w:r>
          </w:p>
        </w:tc>
      </w:tr>
    </w:tbl>
    <w:p w14:paraId="05758F88" w14:textId="77777777" w:rsidR="00B17502" w:rsidRDefault="00B17502" w:rsidP="006D3922"/>
    <w:sectPr w:rsidR="00B17502" w:rsidSect="0081485A">
      <w:headerReference w:type="default" r:id="rId9"/>
      <w:footerReference w:type="default" r:id="rId10"/>
      <w:footerReference w:type="first" r:id="rId11"/>
      <w:pgSz w:w="11906" w:h="16838" w:code="9"/>
      <w:pgMar w:top="1800" w:right="1440" w:bottom="1354" w:left="1440" w:header="461"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F57D" w14:textId="77777777" w:rsidR="00E95639" w:rsidRDefault="00E95639" w:rsidP="00493B55">
      <w:pPr>
        <w:spacing w:before="0" w:after="0"/>
      </w:pPr>
      <w:r>
        <w:separator/>
      </w:r>
    </w:p>
  </w:endnote>
  <w:endnote w:type="continuationSeparator" w:id="0">
    <w:p w14:paraId="2D2072E1" w14:textId="77777777" w:rsidR="00E95639" w:rsidRDefault="00E95639" w:rsidP="00493B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0C70" w14:textId="232544ED" w:rsidR="0081485A" w:rsidRDefault="00BE554C" w:rsidP="0081485A">
    <w:pPr>
      <w:pStyle w:val="Spacer"/>
    </w:pPr>
    <w:r>
      <w:rPr>
        <w:noProof/>
      </w:rPr>
      <mc:AlternateContent>
        <mc:Choice Requires="wps">
          <w:drawing>
            <wp:anchor distT="0" distB="0" distL="114300" distR="114300" simplePos="0" relativeHeight="251658240" behindDoc="0" locked="0" layoutInCell="0" allowOverlap="1" wp14:anchorId="67D2093E" wp14:editId="0816E590">
              <wp:simplePos x="0" y="0"/>
              <wp:positionH relativeFrom="page">
                <wp:posOffset>0</wp:posOffset>
              </wp:positionH>
              <wp:positionV relativeFrom="page">
                <wp:posOffset>10227945</wp:posOffset>
              </wp:positionV>
              <wp:extent cx="7560310" cy="273050"/>
              <wp:effectExtent l="0" t="0" r="0" b="12700"/>
              <wp:wrapNone/>
              <wp:docPr id="1" name="MSIPCMe2d34dc69a9a8f84a70138b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5A315" w14:textId="7A37AD3C" w:rsidR="00BE554C" w:rsidRPr="00BE554C" w:rsidRDefault="00BE554C" w:rsidP="00BE554C">
                          <w:pPr>
                            <w:spacing w:before="0" w:after="0"/>
                            <w:rPr>
                              <w:rFonts w:ascii="Calibri" w:hAnsi="Calibri" w:cs="Calibri"/>
                              <w:color w:val="000000"/>
                              <w:sz w:val="22"/>
                            </w:rPr>
                          </w:pPr>
                          <w:r w:rsidRPr="00BE554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D2093E" id="_x0000_t202" coordsize="21600,21600" o:spt="202" path="m,l,21600r21600,l21600,xe">
              <v:stroke joinstyle="miter"/>
              <v:path gradientshapeok="t" o:connecttype="rect"/>
            </v:shapetype>
            <v:shape id="MSIPCMe2d34dc69a9a8f84a70138b2"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JDyG2sQIAAEgFAAAO&#10;AAAAAAAAAAAAAAAAAC4CAABkcnMvZTJvRG9jLnhtbFBLAQItABQABgAIAAAAIQB8dgjh3wAAAAsB&#10;AAAPAAAAAAAAAAAAAAAAAAsFAABkcnMvZG93bnJldi54bWxQSwUGAAAAAAQABADzAAAAFwYAAAAA&#10;" o:allowincell="f" filled="f" stroked="f" strokeweight=".5pt">
              <v:textbox inset="20pt,0,,0">
                <w:txbxContent>
                  <w:p w14:paraId="2645A315" w14:textId="7A37AD3C" w:rsidR="00BE554C" w:rsidRPr="00BE554C" w:rsidRDefault="00BE554C" w:rsidP="00BE554C">
                    <w:pPr>
                      <w:spacing w:before="0" w:after="0"/>
                      <w:rPr>
                        <w:rFonts w:ascii="Calibri" w:hAnsi="Calibri" w:cs="Calibri"/>
                        <w:color w:val="000000"/>
                        <w:sz w:val="22"/>
                      </w:rPr>
                    </w:pPr>
                    <w:r w:rsidRPr="00BE554C">
                      <w:rPr>
                        <w:rFonts w:ascii="Calibri" w:hAnsi="Calibri" w:cs="Calibri"/>
                        <w:color w:val="000000"/>
                        <w:sz w:val="22"/>
                      </w:rPr>
                      <w:t>OFFICIAL</w:t>
                    </w:r>
                  </w:p>
                </w:txbxContent>
              </v:textbox>
              <w10:wrap anchorx="page" anchory="page"/>
            </v:shape>
          </w:pict>
        </mc:Fallback>
      </mc:AlternateContent>
    </w:r>
  </w:p>
  <w:p w14:paraId="6059F3BC" w14:textId="46622590" w:rsidR="0081485A" w:rsidRPr="005828FE" w:rsidRDefault="0081485A" w:rsidP="0081485A">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101369">
      <w:rPr>
        <w:b/>
      </w:rPr>
      <w:t>FRD 110</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101369">
      <w:t>Cash flow statements (April 2022)</w:t>
    </w:r>
    <w:r w:rsidRPr="006C78FB">
      <w:fldChar w:fldCharType="end"/>
    </w:r>
    <w:r w:rsidRPr="00C022F9">
      <w:tab/>
    </w:r>
    <w:r w:rsidRPr="005828FE">
      <w:t xml:space="preserve">Page </w:t>
    </w:r>
    <w:r w:rsidRPr="005828FE">
      <w:rPr>
        <w:rStyle w:val="PageNumber"/>
      </w:rPr>
      <w:fldChar w:fldCharType="begin"/>
    </w:r>
    <w:r w:rsidRPr="005828FE">
      <w:rPr>
        <w:rStyle w:val="PageNumber"/>
      </w:rPr>
      <w:instrText xml:space="preserve"> Page </w:instrText>
    </w:r>
    <w:r w:rsidRPr="005828FE">
      <w:rPr>
        <w:rStyle w:val="PageNumber"/>
      </w:rPr>
      <w:fldChar w:fldCharType="separate"/>
    </w:r>
    <w:r w:rsidR="003F6EAC">
      <w:rPr>
        <w:rStyle w:val="PageNumber"/>
      </w:rPr>
      <w:t>1</w:t>
    </w:r>
    <w:r w:rsidRPr="005828F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18" w:type="dxa"/>
      <w:tblBorders>
        <w:bottom w:val="none" w:sz="0" w:space="0" w:color="auto"/>
      </w:tblBorders>
      <w:tblLayout w:type="fixed"/>
      <w:tblCellMar>
        <w:left w:w="58" w:type="dxa"/>
        <w:right w:w="58" w:type="dxa"/>
      </w:tblCellMar>
      <w:tblLook w:val="04A0" w:firstRow="1" w:lastRow="0" w:firstColumn="1" w:lastColumn="0" w:noHBand="0" w:noVBand="1"/>
    </w:tblPr>
    <w:tblGrid>
      <w:gridCol w:w="1548"/>
      <w:gridCol w:w="6700"/>
      <w:gridCol w:w="1570"/>
    </w:tblGrid>
    <w:tr w:rsidR="00493B55" w14:paraId="3A79A5A1" w14:textId="77777777" w:rsidTr="00493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011F26BA" w14:textId="77777777" w:rsidR="00493B55" w:rsidRDefault="0020605E" w:rsidP="00493B55">
          <w:pPr>
            <w:pStyle w:val="Footer"/>
            <w:tabs>
              <w:tab w:val="clear" w:pos="9026"/>
            </w:tabs>
          </w:pPr>
          <w:r>
            <w:drawing>
              <wp:inline distT="0" distB="0" distL="0" distR="0" wp14:anchorId="69D70B5D" wp14:editId="79DBD0F0">
                <wp:extent cx="822960" cy="466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_black_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2960" cy="466344"/>
                        </a:xfrm>
                        <a:prstGeom prst="rect">
                          <a:avLst/>
                        </a:prstGeom>
                        <a:noFill/>
                        <a:ln>
                          <a:noFill/>
                        </a:ln>
                      </pic:spPr>
                    </pic:pic>
                  </a:graphicData>
                </a:graphic>
              </wp:inline>
            </w:drawing>
          </w:r>
        </w:p>
      </w:tc>
      <w:tc>
        <w:tcPr>
          <w:tcW w:w="6700" w:type="dxa"/>
        </w:tcPr>
        <w:p w14:paraId="231D6339"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fldChar w:fldCharType="begin"/>
          </w:r>
          <w:r>
            <w:instrText xml:space="preserve"> </w:instrText>
          </w:r>
          <w:r w:rsidRPr="00743D1A">
            <w:instrText>STYLEREF  "FRD Number"  \* MERGEFORMAT</w:instrText>
          </w:r>
          <w:r>
            <w:instrText xml:space="preserve"> </w:instrText>
          </w:r>
          <w:r>
            <w:fldChar w:fldCharType="separate"/>
          </w:r>
          <w:r w:rsidR="00BA1693">
            <w:t>FRD 110A</w:t>
          </w:r>
          <w:r>
            <w:fldChar w:fldCharType="end"/>
          </w:r>
          <w:r>
            <w:t xml:space="preserve"> </w:t>
          </w:r>
          <w:r w:rsidR="00AF53C2">
            <w:fldChar w:fldCharType="begin"/>
          </w:r>
          <w:r w:rsidR="00AF53C2">
            <w:instrText xml:space="preserve"> STYLEREF  "FRD Header" </w:instrText>
          </w:r>
          <w:r w:rsidR="00AF53C2">
            <w:fldChar w:fldCharType="separate"/>
          </w:r>
          <w:r w:rsidR="00BA1693">
            <w:t>Cash flow statements (June 2016)</w:t>
          </w:r>
          <w:r w:rsidR="00AF53C2">
            <w:fldChar w:fldCharType="end"/>
          </w:r>
        </w:p>
      </w:tc>
      <w:tc>
        <w:tcPr>
          <w:tcW w:w="1570" w:type="dxa"/>
        </w:tcPr>
        <w:p w14:paraId="39743748" w14:textId="77777777" w:rsidR="00493B55" w:rsidRDefault="00493B55" w:rsidP="00493B55">
          <w:pPr>
            <w:pStyle w:val="Footer"/>
            <w:tabs>
              <w:tab w:val="clear" w:pos="9026"/>
            </w:tabs>
            <w:cnfStyle w:val="100000000000" w:firstRow="1" w:lastRow="0" w:firstColumn="0" w:lastColumn="0" w:oddVBand="0" w:evenVBand="0" w:oddHBand="0" w:evenHBand="0" w:firstRowFirstColumn="0" w:firstRowLastColumn="0" w:lastRowFirstColumn="0" w:lastRowLastColumn="0"/>
          </w:pPr>
          <w:r>
            <w:t xml:space="preserve">Page </w:t>
          </w:r>
          <w:r>
            <w:fldChar w:fldCharType="begin"/>
          </w:r>
          <w:r>
            <w:instrText xml:space="preserve"> page </w:instrText>
          </w:r>
          <w:r>
            <w:fldChar w:fldCharType="separate"/>
          </w:r>
          <w:r w:rsidR="0081485A">
            <w:t>1</w:t>
          </w:r>
          <w:r>
            <w:fldChar w:fldCharType="end"/>
          </w:r>
          <w:r>
            <w:t xml:space="preserve"> of </w:t>
          </w:r>
          <w:r w:rsidR="004D4EC2">
            <w:rPr>
              <w:noProof w:val="0"/>
            </w:rPr>
            <w:fldChar w:fldCharType="begin"/>
          </w:r>
          <w:r w:rsidR="004D4EC2">
            <w:instrText xml:space="preserve"> numpages </w:instrText>
          </w:r>
          <w:r w:rsidR="004D4EC2">
            <w:rPr>
              <w:noProof w:val="0"/>
            </w:rPr>
            <w:fldChar w:fldCharType="separate"/>
          </w:r>
          <w:r w:rsidR="00BA1693">
            <w:t>2</w:t>
          </w:r>
          <w:r w:rsidR="004D4EC2">
            <w:fldChar w:fldCharType="end"/>
          </w:r>
        </w:p>
      </w:tc>
    </w:tr>
  </w:tbl>
  <w:p w14:paraId="67D3D2D3" w14:textId="77777777" w:rsidR="00493B55" w:rsidRDefault="00493B55" w:rsidP="00493B55">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0A95" w14:textId="77777777" w:rsidR="00E95639" w:rsidRDefault="00E95639" w:rsidP="00493B55">
      <w:pPr>
        <w:spacing w:before="0" w:after="0"/>
      </w:pPr>
      <w:r>
        <w:separator/>
      </w:r>
    </w:p>
  </w:footnote>
  <w:footnote w:type="continuationSeparator" w:id="0">
    <w:p w14:paraId="5FC17B62" w14:textId="77777777" w:rsidR="00E95639" w:rsidRDefault="00E95639" w:rsidP="00493B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BA47" w14:textId="77777777" w:rsidR="0081485A" w:rsidRPr="0041689E" w:rsidRDefault="0081485A" w:rsidP="0081485A">
    <w:pPr>
      <w:pStyle w:val="Header"/>
      <w:tabs>
        <w:tab w:val="clear" w:pos="9026"/>
      </w:tabs>
      <w:ind w:right="-694"/>
      <w:jc w:val="right"/>
    </w:pPr>
    <w:r>
      <w:rPr>
        <w:noProof/>
      </w:rPr>
      <w:drawing>
        <wp:inline distT="0" distB="0" distL="0" distR="0" wp14:anchorId="1CEC01F0" wp14:editId="2513209E">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39BF1F25" w14:textId="77777777" w:rsidR="0081485A" w:rsidRDefault="0081485A" w:rsidP="00814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78F"/>
    <w:multiLevelType w:val="hybridMultilevel"/>
    <w:tmpl w:val="EA80E36A"/>
    <w:lvl w:ilvl="0" w:tplc="106EB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 w15:restartNumberingAfterBreak="0">
    <w:nsid w:val="1D2375F0"/>
    <w:multiLevelType w:val="hybridMultilevel"/>
    <w:tmpl w:val="787CB63A"/>
    <w:lvl w:ilvl="0" w:tplc="156072D8">
      <w:start w:val="1"/>
      <w:numFmt w:val="bullet"/>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44792A21"/>
    <w:multiLevelType w:val="hybridMultilevel"/>
    <w:tmpl w:val="2D464580"/>
    <w:lvl w:ilvl="0" w:tplc="0C090001">
      <w:start w:val="1"/>
      <w:numFmt w:val="bullet"/>
      <w:lvlText w:val=""/>
      <w:lvlJc w:val="left"/>
      <w:pPr>
        <w:ind w:left="376" w:hanging="360"/>
      </w:pPr>
      <w:rPr>
        <w:rFonts w:ascii="Symbol" w:hAnsi="Symbol" w:hint="default"/>
      </w:rPr>
    </w:lvl>
    <w:lvl w:ilvl="1" w:tplc="0C090003" w:tentative="1">
      <w:start w:val="1"/>
      <w:numFmt w:val="bullet"/>
      <w:lvlText w:val="o"/>
      <w:lvlJc w:val="left"/>
      <w:pPr>
        <w:ind w:left="1096" w:hanging="360"/>
      </w:pPr>
      <w:rPr>
        <w:rFonts w:ascii="Courier New" w:hAnsi="Courier New" w:cs="Courier New" w:hint="default"/>
      </w:rPr>
    </w:lvl>
    <w:lvl w:ilvl="2" w:tplc="0C090005" w:tentative="1">
      <w:start w:val="1"/>
      <w:numFmt w:val="bullet"/>
      <w:lvlText w:val=""/>
      <w:lvlJc w:val="left"/>
      <w:pPr>
        <w:ind w:left="1816" w:hanging="360"/>
      </w:pPr>
      <w:rPr>
        <w:rFonts w:ascii="Wingdings" w:hAnsi="Wingdings" w:hint="default"/>
      </w:rPr>
    </w:lvl>
    <w:lvl w:ilvl="3" w:tplc="0C090001" w:tentative="1">
      <w:start w:val="1"/>
      <w:numFmt w:val="bullet"/>
      <w:lvlText w:val=""/>
      <w:lvlJc w:val="left"/>
      <w:pPr>
        <w:ind w:left="2536" w:hanging="360"/>
      </w:pPr>
      <w:rPr>
        <w:rFonts w:ascii="Symbol" w:hAnsi="Symbol" w:hint="default"/>
      </w:rPr>
    </w:lvl>
    <w:lvl w:ilvl="4" w:tplc="0C090003" w:tentative="1">
      <w:start w:val="1"/>
      <w:numFmt w:val="bullet"/>
      <w:lvlText w:val="o"/>
      <w:lvlJc w:val="left"/>
      <w:pPr>
        <w:ind w:left="3256" w:hanging="360"/>
      </w:pPr>
      <w:rPr>
        <w:rFonts w:ascii="Courier New" w:hAnsi="Courier New" w:cs="Courier New" w:hint="default"/>
      </w:rPr>
    </w:lvl>
    <w:lvl w:ilvl="5" w:tplc="0C090005" w:tentative="1">
      <w:start w:val="1"/>
      <w:numFmt w:val="bullet"/>
      <w:lvlText w:val=""/>
      <w:lvlJc w:val="left"/>
      <w:pPr>
        <w:ind w:left="3976" w:hanging="360"/>
      </w:pPr>
      <w:rPr>
        <w:rFonts w:ascii="Wingdings" w:hAnsi="Wingdings" w:hint="default"/>
      </w:rPr>
    </w:lvl>
    <w:lvl w:ilvl="6" w:tplc="0C090001" w:tentative="1">
      <w:start w:val="1"/>
      <w:numFmt w:val="bullet"/>
      <w:lvlText w:val=""/>
      <w:lvlJc w:val="left"/>
      <w:pPr>
        <w:ind w:left="4696" w:hanging="360"/>
      </w:pPr>
      <w:rPr>
        <w:rFonts w:ascii="Symbol" w:hAnsi="Symbol" w:hint="default"/>
      </w:rPr>
    </w:lvl>
    <w:lvl w:ilvl="7" w:tplc="0C090003" w:tentative="1">
      <w:start w:val="1"/>
      <w:numFmt w:val="bullet"/>
      <w:lvlText w:val="o"/>
      <w:lvlJc w:val="left"/>
      <w:pPr>
        <w:ind w:left="5416" w:hanging="360"/>
      </w:pPr>
      <w:rPr>
        <w:rFonts w:ascii="Courier New" w:hAnsi="Courier New" w:cs="Courier New" w:hint="default"/>
      </w:rPr>
    </w:lvl>
    <w:lvl w:ilvl="8" w:tplc="0C090005" w:tentative="1">
      <w:start w:val="1"/>
      <w:numFmt w:val="bullet"/>
      <w:lvlText w:val=""/>
      <w:lvlJc w:val="left"/>
      <w:pPr>
        <w:ind w:left="6136" w:hanging="360"/>
      </w:pPr>
      <w:rPr>
        <w:rFonts w:ascii="Wingdings" w:hAnsi="Wingdings" w:hint="default"/>
      </w:rPr>
    </w:lvl>
  </w:abstractNum>
  <w:abstractNum w:abstractNumId="8"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pStyle w:val="Bullet3"/>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D80DCD"/>
    <w:multiLevelType w:val="multilevel"/>
    <w:tmpl w:val="45E4BFDC"/>
    <w:lvl w:ilvl="0">
      <w:start w:val="1"/>
      <w:numFmt w:val="bullet"/>
      <w:pStyle w:val="Bullet"/>
      <w:lvlText w:val=""/>
      <w:lvlJc w:val="left"/>
      <w:pPr>
        <w:tabs>
          <w:tab w:val="num" w:pos="360"/>
        </w:tabs>
        <w:ind w:left="360" w:hanging="360"/>
      </w:pPr>
      <w:rPr>
        <w:rFonts w:ascii="Symbol" w:hAnsi="Symbol" w:hint="default"/>
        <w:b w:val="0"/>
        <w:i w:val="0"/>
        <w:sz w:val="18"/>
      </w:rPr>
    </w:lvl>
    <w:lvl w:ilvl="1">
      <w:start w:val="1"/>
      <w:numFmt w:val="bullet"/>
      <w:lvlText w:val=""/>
      <w:lvlJc w:val="left"/>
      <w:pPr>
        <w:tabs>
          <w:tab w:val="num" w:pos="720"/>
        </w:tabs>
        <w:ind w:left="720" w:hanging="360"/>
      </w:pPr>
      <w:rPr>
        <w:rFonts w:ascii="Symbol" w:hAnsi="Symbol" w:hint="default"/>
        <w:b w:val="0"/>
        <w:i w:val="0"/>
        <w:sz w:val="20"/>
      </w:rPr>
    </w:lvl>
    <w:lvl w:ilvl="2">
      <w:start w:val="1"/>
      <w:numFmt w:val="lowerRoman"/>
      <w:lvlText w:val="(%3)"/>
      <w:lvlJc w:val="left"/>
      <w:pPr>
        <w:tabs>
          <w:tab w:val="num" w:pos="1440"/>
        </w:tabs>
        <w:ind w:left="1080" w:hanging="360"/>
      </w:pPr>
      <w:rPr>
        <w:b w:val="0"/>
        <w:i w:val="0"/>
        <w:sz w:val="18"/>
      </w:rPr>
    </w:lvl>
    <w:lvl w:ilvl="3">
      <w:start w:val="1"/>
      <w:numFmt w:val="lowerLetter"/>
      <w:lvlText w:val="(%4)"/>
      <w:lvlJc w:val="left"/>
      <w:pPr>
        <w:tabs>
          <w:tab w:val="num" w:pos="1800"/>
        </w:tabs>
        <w:ind w:left="1440" w:hanging="360"/>
      </w:pPr>
    </w:lvl>
    <w:lvl w:ilvl="4">
      <w:start w:val="1"/>
      <w:numFmt w:val="decimal"/>
      <w:lvlText w:val="(%5)"/>
      <w:lvlJc w:val="left"/>
      <w:pPr>
        <w:tabs>
          <w:tab w:val="num" w:pos="0"/>
        </w:tabs>
        <w:ind w:left="3577" w:hanging="708"/>
      </w:pPr>
    </w:lvl>
    <w:lvl w:ilvl="5">
      <w:start w:val="1"/>
      <w:numFmt w:val="lowerLetter"/>
      <w:lvlText w:val="(%6)"/>
      <w:lvlJc w:val="left"/>
      <w:pPr>
        <w:tabs>
          <w:tab w:val="num" w:pos="0"/>
        </w:tabs>
        <w:ind w:left="4286" w:hanging="709"/>
      </w:pPr>
    </w:lvl>
    <w:lvl w:ilvl="6">
      <w:start w:val="1"/>
      <w:numFmt w:val="lowerRoman"/>
      <w:lvlText w:val="(%7)"/>
      <w:lvlJc w:val="left"/>
      <w:pPr>
        <w:tabs>
          <w:tab w:val="num" w:pos="0"/>
        </w:tabs>
        <w:ind w:left="4989" w:hanging="703"/>
      </w:pPr>
    </w:lvl>
    <w:lvl w:ilvl="7">
      <w:start w:val="1"/>
      <w:numFmt w:val="lowerLetter"/>
      <w:lvlText w:val="(%8)"/>
      <w:lvlJc w:val="left"/>
      <w:pPr>
        <w:tabs>
          <w:tab w:val="num" w:pos="0"/>
        </w:tabs>
        <w:ind w:left="5698" w:hanging="709"/>
      </w:pPr>
    </w:lvl>
    <w:lvl w:ilvl="8">
      <w:start w:val="1"/>
      <w:numFmt w:val="lowerRoman"/>
      <w:lvlText w:val="(%9)"/>
      <w:lvlJc w:val="left"/>
      <w:pPr>
        <w:tabs>
          <w:tab w:val="num" w:pos="0"/>
        </w:tabs>
        <w:ind w:left="6406" w:hanging="708"/>
      </w:pPr>
    </w:lvl>
  </w:abstractNum>
  <w:abstractNum w:abstractNumId="10" w15:restartNumberingAfterBreak="0">
    <w:nsid w:val="5FC550F8"/>
    <w:multiLevelType w:val="multilevel"/>
    <w:tmpl w:val="65CA5EC4"/>
    <w:lvl w:ilvl="0">
      <w:start w:val="1"/>
      <w:numFmt w:val="lowerLetter"/>
      <w:pStyle w:val="List1"/>
      <w:lvlText w:val="(%1)"/>
      <w:lvlJc w:val="left"/>
      <w:pPr>
        <w:ind w:left="360" w:hanging="360"/>
      </w:pPr>
      <w:rPr>
        <w:rFonts w:hint="default"/>
      </w:rPr>
    </w:lvl>
    <w:lvl w:ilvl="1">
      <w:start w:val="1"/>
      <w:numFmt w:val="lowerRoman"/>
      <w:pStyle w:val="List2"/>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List3"/>
      <w:lvlText w:val="·"/>
      <w:lvlJc w:val="left"/>
      <w:pPr>
        <w:ind w:left="1080" w:hanging="360"/>
      </w:pPr>
      <w:rPr>
        <w:rFonts w:ascii="Symbol" w:hAnsi="Symbol" w:hint="default"/>
      </w:rPr>
    </w:lvl>
    <w:lvl w:ilvl="3">
      <w:start w:val="1"/>
      <w:numFmt w:val="lowerLetter"/>
      <w:lvlRestart w:val="1"/>
      <w:pStyle w:val="List1grey"/>
      <w:lvlText w:val="(%4)"/>
      <w:lvlJc w:val="left"/>
      <w:pPr>
        <w:ind w:left="360" w:hanging="360"/>
      </w:pPr>
      <w:rPr>
        <w:rFonts w:hint="default"/>
        <w:color w:val="5E5E5E"/>
      </w:rPr>
    </w:lvl>
    <w:lvl w:ilvl="4">
      <w:start w:val="1"/>
      <w:numFmt w:val="lowerRoman"/>
      <w:pStyle w:val="List2grey"/>
      <w:lvlText w:val="(%5)"/>
      <w:lvlJc w:val="left"/>
      <w:pPr>
        <w:ind w:left="720" w:hanging="360"/>
      </w:pPr>
      <w:rPr>
        <w:rFonts w:hint="default"/>
        <w:color w:val="5E5E5E"/>
      </w:rPr>
    </w:lvl>
    <w:lvl w:ilvl="5">
      <w:start w:val="1"/>
      <w:numFmt w:val="bullet"/>
      <w:pStyle w:val="List3grey"/>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FD44514"/>
    <w:multiLevelType w:val="multilevel"/>
    <w:tmpl w:val="0562CB6E"/>
    <w:lvl w:ilvl="0">
      <w:start w:val="1"/>
      <w:numFmt w:val="lowerLetter"/>
      <w:pStyle w:val="Listnum"/>
      <w:lvlText w:val="(%1)"/>
      <w:lvlJc w:val="left"/>
      <w:pPr>
        <w:tabs>
          <w:tab w:val="num" w:pos="504"/>
        </w:tabs>
        <w:ind w:left="504" w:hanging="504"/>
      </w:pPr>
      <w:rPr>
        <w:rFonts w:hint="default"/>
      </w:rPr>
    </w:lvl>
    <w:lvl w:ilvl="1">
      <w:start w:val="1"/>
      <w:numFmt w:val="lowerRoman"/>
      <w:pStyle w:val="Listnum2"/>
      <w:lvlText w:val="(%2)"/>
      <w:lvlJc w:val="left"/>
      <w:pPr>
        <w:tabs>
          <w:tab w:val="num" w:pos="1008"/>
        </w:tabs>
        <w:ind w:left="1008" w:hanging="504"/>
      </w:pPr>
      <w:rPr>
        <w:rFonts w:hint="default"/>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4"/>
  </w:num>
  <w:num w:numId="2">
    <w:abstractNumId w:val="8"/>
  </w:num>
  <w:num w:numId="3">
    <w:abstractNumId w:val="12"/>
  </w:num>
  <w:num w:numId="4">
    <w:abstractNumId w:val="5"/>
  </w:num>
  <w:num w:numId="5">
    <w:abstractNumId w:val="0"/>
  </w:num>
  <w:num w:numId="6">
    <w:abstractNumId w:val="10"/>
  </w:num>
  <w:num w:numId="7">
    <w:abstractNumId w:val="2"/>
  </w:num>
  <w:num w:numId="8">
    <w:abstractNumId w:val="1"/>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3"/>
  </w:num>
  <w:num w:numId="16">
    <w:abstractNumId w:val="3"/>
  </w:num>
  <w:num w:numId="17">
    <w:abstractNumId w:val="11"/>
  </w:num>
  <w:num w:numId="18">
    <w:abstractNumId w:val="11"/>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9">
    <w:abstractNumId w:val="11"/>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F46"/>
    <w:rsid w:val="0000060C"/>
    <w:rsid w:val="000405DE"/>
    <w:rsid w:val="000577A7"/>
    <w:rsid w:val="00083CF0"/>
    <w:rsid w:val="00087CA2"/>
    <w:rsid w:val="0009036F"/>
    <w:rsid w:val="000B2B10"/>
    <w:rsid w:val="000D1AD9"/>
    <w:rsid w:val="000E37E7"/>
    <w:rsid w:val="00101369"/>
    <w:rsid w:val="00131312"/>
    <w:rsid w:val="00143799"/>
    <w:rsid w:val="001B6159"/>
    <w:rsid w:val="001F762C"/>
    <w:rsid w:val="002029A2"/>
    <w:rsid w:val="0020605E"/>
    <w:rsid w:val="00207C65"/>
    <w:rsid w:val="00231A10"/>
    <w:rsid w:val="00261B96"/>
    <w:rsid w:val="0027264A"/>
    <w:rsid w:val="002B2503"/>
    <w:rsid w:val="002C76EC"/>
    <w:rsid w:val="002F7392"/>
    <w:rsid w:val="003070F7"/>
    <w:rsid w:val="00317C3A"/>
    <w:rsid w:val="00352336"/>
    <w:rsid w:val="00355FA3"/>
    <w:rsid w:val="00376C4B"/>
    <w:rsid w:val="003859F8"/>
    <w:rsid w:val="003A3FB2"/>
    <w:rsid w:val="003B0F23"/>
    <w:rsid w:val="003B380C"/>
    <w:rsid w:val="003E427A"/>
    <w:rsid w:val="003F6EAC"/>
    <w:rsid w:val="003F7970"/>
    <w:rsid w:val="004643DD"/>
    <w:rsid w:val="00465086"/>
    <w:rsid w:val="00477115"/>
    <w:rsid w:val="00485BD7"/>
    <w:rsid w:val="00493B55"/>
    <w:rsid w:val="004A0F56"/>
    <w:rsid w:val="004C52A6"/>
    <w:rsid w:val="004D34D8"/>
    <w:rsid w:val="004D4EC2"/>
    <w:rsid w:val="00522CD7"/>
    <w:rsid w:val="005827BD"/>
    <w:rsid w:val="005C12A9"/>
    <w:rsid w:val="005D7B86"/>
    <w:rsid w:val="005E149B"/>
    <w:rsid w:val="005E5C5B"/>
    <w:rsid w:val="005F3AFC"/>
    <w:rsid w:val="00624E7C"/>
    <w:rsid w:val="00631703"/>
    <w:rsid w:val="00645860"/>
    <w:rsid w:val="0065680C"/>
    <w:rsid w:val="006A7AD7"/>
    <w:rsid w:val="006C0086"/>
    <w:rsid w:val="006D3922"/>
    <w:rsid w:val="00701F46"/>
    <w:rsid w:val="00704E8A"/>
    <w:rsid w:val="00705DED"/>
    <w:rsid w:val="0072543C"/>
    <w:rsid w:val="00765193"/>
    <w:rsid w:val="00794104"/>
    <w:rsid w:val="0080148D"/>
    <w:rsid w:val="00810B92"/>
    <w:rsid w:val="0081485A"/>
    <w:rsid w:val="00845688"/>
    <w:rsid w:val="008D2C5F"/>
    <w:rsid w:val="009019F6"/>
    <w:rsid w:val="00A33C5A"/>
    <w:rsid w:val="00A6470C"/>
    <w:rsid w:val="00A67F6A"/>
    <w:rsid w:val="00A701CB"/>
    <w:rsid w:val="00A743AA"/>
    <w:rsid w:val="00A75AF0"/>
    <w:rsid w:val="00AC4CE3"/>
    <w:rsid w:val="00AF53C2"/>
    <w:rsid w:val="00B16629"/>
    <w:rsid w:val="00B17502"/>
    <w:rsid w:val="00B27E72"/>
    <w:rsid w:val="00BA1693"/>
    <w:rsid w:val="00BA43D8"/>
    <w:rsid w:val="00BC221A"/>
    <w:rsid w:val="00BD0399"/>
    <w:rsid w:val="00BE554C"/>
    <w:rsid w:val="00BE6E47"/>
    <w:rsid w:val="00C63CD7"/>
    <w:rsid w:val="00C67777"/>
    <w:rsid w:val="00C74F65"/>
    <w:rsid w:val="00C94EFF"/>
    <w:rsid w:val="00CD1A5D"/>
    <w:rsid w:val="00CD2292"/>
    <w:rsid w:val="00D74F30"/>
    <w:rsid w:val="00D808EB"/>
    <w:rsid w:val="00DB47F7"/>
    <w:rsid w:val="00E2131A"/>
    <w:rsid w:val="00E70F79"/>
    <w:rsid w:val="00E95639"/>
    <w:rsid w:val="00EC3E3F"/>
    <w:rsid w:val="00ED72C6"/>
    <w:rsid w:val="00F06E38"/>
    <w:rsid w:val="00F2716B"/>
    <w:rsid w:val="00F3175A"/>
    <w:rsid w:val="00F3443A"/>
    <w:rsid w:val="00F5235A"/>
    <w:rsid w:val="00F5715B"/>
    <w:rsid w:val="00F67604"/>
    <w:rsid w:val="00F74FA7"/>
    <w:rsid w:val="00FF0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6B1C6F"/>
  <w15:docId w15:val="{50EAB704-1CA1-466C-AA41-FF2AA631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iPriority="6"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5A"/>
    <w:pPr>
      <w:spacing w:before="160" w:after="100"/>
    </w:pPr>
    <w:rPr>
      <w:rFonts w:eastAsiaTheme="minorEastAsia"/>
      <w:spacing w:val="2"/>
      <w:sz w:val="18"/>
      <w:szCs w:val="20"/>
      <w:lang w:eastAsia="en-AU"/>
    </w:rPr>
  </w:style>
  <w:style w:type="paragraph" w:styleId="Heading1">
    <w:name w:val="heading 1"/>
    <w:next w:val="Normal"/>
    <w:link w:val="Heading1Char"/>
    <w:uiPriority w:val="99"/>
    <w:rsid w:val="0081485A"/>
    <w:pPr>
      <w:keepNext/>
      <w:keepLines/>
      <w:spacing w:before="600" w:after="600"/>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uiPriority w:val="99"/>
    <w:rsid w:val="0081485A"/>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qFormat/>
    <w:rsid w:val="0081485A"/>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qFormat/>
    <w:rsid w:val="0081485A"/>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485A"/>
    <w:rPr>
      <w:rFonts w:asciiTheme="majorHAnsi" w:eastAsiaTheme="majorEastAsia" w:hAnsiTheme="majorHAnsi" w:cstheme="majorBidi"/>
      <w:b/>
      <w:bCs/>
      <w:color w:val="000000" w:themeColor="text1"/>
      <w:spacing w:val="-1"/>
      <w:sz w:val="36"/>
      <w:szCs w:val="28"/>
      <w:lang w:eastAsia="en-AU"/>
    </w:rPr>
  </w:style>
  <w:style w:type="character" w:customStyle="1" w:styleId="Heading2Char">
    <w:name w:val="Heading 2 Char"/>
    <w:basedOn w:val="DefaultParagraphFont"/>
    <w:link w:val="Heading2"/>
    <w:uiPriority w:val="99"/>
    <w:rsid w:val="0081485A"/>
    <w:rPr>
      <w:rFonts w:asciiTheme="majorHAnsi" w:eastAsiaTheme="majorEastAsia" w:hAnsiTheme="majorHAnsi" w:cstheme="majorBidi"/>
      <w:b/>
      <w:bCs/>
      <w:color w:val="7F7F7F" w:themeColor="text1" w:themeTint="80"/>
      <w:spacing w:val="2"/>
      <w:sz w:val="28"/>
      <w:szCs w:val="26"/>
      <w:lang w:eastAsia="en-AU"/>
    </w:rPr>
  </w:style>
  <w:style w:type="paragraph" w:customStyle="1" w:styleId="Spacer">
    <w:name w:val="Spacer"/>
    <w:basedOn w:val="Normal"/>
    <w:uiPriority w:val="13"/>
    <w:qFormat/>
    <w:rsid w:val="0081485A"/>
    <w:pPr>
      <w:spacing w:before="0" w:after="0" w:line="120" w:lineRule="atLeast"/>
    </w:pPr>
    <w:rPr>
      <w:rFonts w:eastAsia="Times New Roman" w:cs="Calibri"/>
      <w:spacing w:val="0"/>
      <w:sz w:val="10"/>
      <w:szCs w:val="22"/>
    </w:rPr>
  </w:style>
  <w:style w:type="paragraph" w:customStyle="1" w:styleId="million">
    <w:name w:val="$million"/>
    <w:basedOn w:val="Normal"/>
    <w:uiPriority w:val="5"/>
    <w:rsid w:val="00B27E72"/>
    <w:pPr>
      <w:jc w:val="center"/>
    </w:pPr>
    <w:rPr>
      <w:i/>
    </w:rPr>
  </w:style>
  <w:style w:type="paragraph" w:customStyle="1" w:styleId="Tabletextheading">
    <w:name w:val="Table text heading"/>
    <w:basedOn w:val="Normal"/>
    <w:link w:val="TabletextheadingChar"/>
    <w:uiPriority w:val="6"/>
    <w:qFormat/>
    <w:rsid w:val="00B27E72"/>
    <w:pPr>
      <w:jc w:val="right"/>
    </w:pPr>
    <w:rPr>
      <w:color w:val="F2F2F2" w:themeColor="background1" w:themeShade="F2"/>
    </w:rPr>
  </w:style>
  <w:style w:type="character" w:customStyle="1" w:styleId="TabletextheadingChar">
    <w:name w:val="Table text heading Char"/>
    <w:link w:val="Tabletextheading"/>
    <w:uiPriority w:val="6"/>
    <w:rsid w:val="00810B92"/>
    <w:rPr>
      <w:rFonts w:ascii="Calibri" w:eastAsia="Calibri" w:hAnsi="Calibri" w:cs="Times New Roman"/>
      <w:color w:val="F2F2F2" w:themeColor="background1" w:themeShade="F2"/>
      <w:szCs w:val="21"/>
    </w:rPr>
  </w:style>
  <w:style w:type="character" w:customStyle="1" w:styleId="Heading3Char">
    <w:name w:val="Heading 3 Char"/>
    <w:basedOn w:val="DefaultParagraphFont"/>
    <w:link w:val="Heading3"/>
    <w:rsid w:val="0081485A"/>
    <w:rPr>
      <w:rFonts w:asciiTheme="majorHAnsi" w:eastAsiaTheme="majorEastAsia" w:hAnsiTheme="majorHAnsi" w:cstheme="majorBidi"/>
      <w:b/>
      <w:bCs/>
      <w:color w:val="4F81BD" w:themeColor="accent1"/>
      <w:spacing w:val="2"/>
      <w:lang w:eastAsia="en-AU"/>
    </w:rPr>
  </w:style>
  <w:style w:type="paragraph" w:styleId="ListParagraph">
    <w:name w:val="List Paragraph"/>
    <w:basedOn w:val="Normal"/>
    <w:uiPriority w:val="34"/>
    <w:semiHidden/>
    <w:qFormat/>
    <w:rsid w:val="00A743AA"/>
    <w:pPr>
      <w:ind w:left="720"/>
      <w:contextualSpacing/>
    </w:pPr>
  </w:style>
  <w:style w:type="paragraph" w:customStyle="1" w:styleId="Bullet1">
    <w:name w:val="Bullet 1"/>
    <w:uiPriority w:val="2"/>
    <w:qFormat/>
    <w:rsid w:val="0081485A"/>
    <w:pPr>
      <w:numPr>
        <w:numId w:val="14"/>
      </w:numPr>
      <w:spacing w:before="160" w:after="0" w:line="240" w:lineRule="auto"/>
      <w:contextualSpacing/>
    </w:pPr>
    <w:rPr>
      <w:rFonts w:eastAsia="Times New Roman" w:cs="Calibri"/>
      <w:spacing w:val="2"/>
      <w:sz w:val="20"/>
      <w:szCs w:val="20"/>
      <w:lang w:eastAsia="en-AU"/>
    </w:rPr>
  </w:style>
  <w:style w:type="paragraph" w:customStyle="1" w:styleId="Bullet2">
    <w:name w:val="Bullet 2"/>
    <w:basedOn w:val="Bullet1"/>
    <w:uiPriority w:val="2"/>
    <w:qFormat/>
    <w:rsid w:val="0081485A"/>
    <w:pPr>
      <w:numPr>
        <w:ilvl w:val="1"/>
      </w:numPr>
      <w:spacing w:before="0"/>
    </w:pPr>
  </w:style>
  <w:style w:type="paragraph" w:customStyle="1" w:styleId="Bullet3">
    <w:name w:val="Bullet 3"/>
    <w:basedOn w:val="Normal"/>
    <w:uiPriority w:val="2"/>
    <w:qFormat/>
    <w:rsid w:val="00A743AA"/>
    <w:pPr>
      <w:numPr>
        <w:ilvl w:val="2"/>
        <w:numId w:val="2"/>
      </w:numPr>
    </w:pPr>
  </w:style>
  <w:style w:type="table" w:styleId="TableGrid">
    <w:name w:val="Table Grid"/>
    <w:basedOn w:val="TableNormal"/>
    <w:uiPriority w:val="59"/>
    <w:rsid w:val="0081485A"/>
    <w:pPr>
      <w:spacing w:before="20" w:after="20" w:line="240" w:lineRule="auto"/>
      <w:jc w:val="right"/>
    </w:pPr>
    <w:rPr>
      <w:spacing w:val="2"/>
      <w:sz w:val="17"/>
      <w:szCs w:val="21"/>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Refnum1">
    <w:name w:val="Ref num 1"/>
    <w:basedOn w:val="Normal"/>
    <w:uiPriority w:val="7"/>
    <w:rsid w:val="0081485A"/>
    <w:pPr>
      <w:numPr>
        <w:numId w:val="17"/>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81485A"/>
    <w:pPr>
      <w:numPr>
        <w:ilvl w:val="2"/>
      </w:numPr>
    </w:pPr>
    <w:rPr>
      <w:color w:val="auto"/>
    </w:rPr>
  </w:style>
  <w:style w:type="paragraph" w:customStyle="1" w:styleId="List1">
    <w:name w:val="List 1"/>
    <w:basedOn w:val="Normal"/>
    <w:uiPriority w:val="2"/>
    <w:qFormat/>
    <w:rsid w:val="00485BD7"/>
    <w:pPr>
      <w:numPr>
        <w:numId w:val="6"/>
      </w:numPr>
    </w:pPr>
  </w:style>
  <w:style w:type="paragraph" w:styleId="List2">
    <w:name w:val="List 2"/>
    <w:basedOn w:val="List1"/>
    <w:uiPriority w:val="2"/>
    <w:rsid w:val="00485BD7"/>
    <w:pPr>
      <w:numPr>
        <w:ilvl w:val="1"/>
      </w:numPr>
    </w:pPr>
  </w:style>
  <w:style w:type="paragraph" w:styleId="Header">
    <w:name w:val="header"/>
    <w:basedOn w:val="Normal"/>
    <w:link w:val="HeaderChar"/>
    <w:uiPriority w:val="99"/>
    <w:semiHidden/>
    <w:rsid w:val="0081485A"/>
    <w:pPr>
      <w:tabs>
        <w:tab w:val="center" w:pos="4513"/>
        <w:tab w:val="right" w:pos="9026"/>
      </w:tabs>
      <w:spacing w:after="0" w:line="240" w:lineRule="auto"/>
    </w:pPr>
  </w:style>
  <w:style w:type="paragraph" w:customStyle="1" w:styleId="Tabletext">
    <w:name w:val="Table text"/>
    <w:basedOn w:val="Normal"/>
    <w:uiPriority w:val="9"/>
    <w:qFormat/>
    <w:rsid w:val="0081485A"/>
    <w:pPr>
      <w:spacing w:before="60" w:after="60" w:line="264" w:lineRule="auto"/>
    </w:pPr>
    <w:rPr>
      <w:sz w:val="17"/>
    </w:rPr>
  </w:style>
  <w:style w:type="paragraph" w:customStyle="1" w:styleId="FRDHeader">
    <w:name w:val="FRD Header"/>
    <w:basedOn w:val="Normal"/>
    <w:semiHidden/>
    <w:rsid w:val="0081485A"/>
    <w:pPr>
      <w:spacing w:before="40" w:after="40" w:line="240" w:lineRule="auto"/>
    </w:pPr>
    <w:rPr>
      <w:rFonts w:eastAsia="Calibri" w:cs="Times New Roman"/>
      <w:color w:val="FFFFFF" w:themeColor="background1"/>
      <w:spacing w:val="0"/>
      <w:sz w:val="30"/>
      <w:szCs w:val="36"/>
      <w:lang w:eastAsia="en-US"/>
    </w:rPr>
  </w:style>
  <w:style w:type="character" w:customStyle="1" w:styleId="HeaderChar">
    <w:name w:val="Header Char"/>
    <w:basedOn w:val="DefaultParagraphFont"/>
    <w:link w:val="Header"/>
    <w:uiPriority w:val="99"/>
    <w:semiHidden/>
    <w:rsid w:val="0081485A"/>
    <w:rPr>
      <w:rFonts w:eastAsiaTheme="minorEastAsia"/>
      <w:spacing w:val="2"/>
      <w:sz w:val="18"/>
      <w:szCs w:val="20"/>
      <w:lang w:eastAsia="en-AU"/>
    </w:rPr>
  </w:style>
  <w:style w:type="paragraph" w:customStyle="1" w:styleId="FRDNumber">
    <w:name w:val="FRD Number"/>
    <w:basedOn w:val="FRDHeader"/>
    <w:semiHidden/>
    <w:rsid w:val="0081485A"/>
  </w:style>
  <w:style w:type="paragraph" w:customStyle="1" w:styleId="Normalgrey">
    <w:name w:val="Normal grey"/>
    <w:basedOn w:val="Normal"/>
    <w:uiPriority w:val="2"/>
    <w:qFormat/>
    <w:rsid w:val="0081485A"/>
    <w:pPr>
      <w:spacing w:line="264" w:lineRule="auto"/>
    </w:pPr>
    <w:rPr>
      <w:rFonts w:eastAsiaTheme="minorHAnsi"/>
      <w:color w:val="4D4D4D"/>
      <w:szCs w:val="18"/>
      <w:lang w:eastAsia="en-US"/>
    </w:rPr>
  </w:style>
  <w:style w:type="paragraph" w:styleId="TableofFigures">
    <w:name w:val="table of figures"/>
    <w:next w:val="Normal"/>
    <w:uiPriority w:val="8"/>
    <w:qFormat/>
    <w:rsid w:val="00B27E72"/>
    <w:pPr>
      <w:spacing w:after="0" w:line="240" w:lineRule="auto"/>
      <w:jc w:val="right"/>
    </w:pPr>
    <w:rPr>
      <w:rFonts w:ascii="Calibri" w:eastAsia="Calibri" w:hAnsi="Calibri" w:cs="Times New Roman"/>
      <w:color w:val="5E5E56"/>
      <w:sz w:val="20"/>
      <w:szCs w:val="20"/>
    </w:rPr>
  </w:style>
  <w:style w:type="paragraph" w:styleId="NormalIndent">
    <w:name w:val="Normal Indent"/>
    <w:basedOn w:val="Normal"/>
    <w:qFormat/>
    <w:rsid w:val="0081485A"/>
    <w:pPr>
      <w:spacing w:line="252" w:lineRule="auto"/>
      <w:ind w:left="504"/>
    </w:pPr>
  </w:style>
  <w:style w:type="paragraph" w:customStyle="1" w:styleId="Bullet1grey">
    <w:name w:val="Bullet 1 grey"/>
    <w:basedOn w:val="Bullet1"/>
    <w:uiPriority w:val="3"/>
    <w:qFormat/>
    <w:rsid w:val="0081485A"/>
    <w:rPr>
      <w:color w:val="4D4D4D"/>
      <w:sz w:val="18"/>
      <w:szCs w:val="18"/>
      <w:lang w:eastAsia="en-US"/>
    </w:rPr>
  </w:style>
  <w:style w:type="paragraph" w:customStyle="1" w:styleId="Bullet2grey">
    <w:name w:val="Bullet 2 grey"/>
    <w:basedOn w:val="Bullet2"/>
    <w:uiPriority w:val="3"/>
    <w:qFormat/>
    <w:rsid w:val="0081485A"/>
    <w:rPr>
      <w:color w:val="4D4D4D"/>
      <w:sz w:val="18"/>
      <w:szCs w:val="21"/>
      <w:lang w:eastAsia="en-US"/>
    </w:rPr>
  </w:style>
  <w:style w:type="paragraph" w:customStyle="1" w:styleId="Bullet3grey">
    <w:name w:val="Bullet 3 grey"/>
    <w:basedOn w:val="Bullet3"/>
    <w:uiPriority w:val="3"/>
    <w:unhideWhenUsed/>
    <w:qFormat/>
    <w:rsid w:val="00C67777"/>
    <w:rPr>
      <w:color w:val="5E5E5E"/>
    </w:rPr>
  </w:style>
  <w:style w:type="paragraph" w:styleId="List3">
    <w:name w:val="List 3"/>
    <w:basedOn w:val="List2"/>
    <w:uiPriority w:val="2"/>
    <w:rsid w:val="00A6470C"/>
    <w:pPr>
      <w:numPr>
        <w:ilvl w:val="2"/>
      </w:numPr>
    </w:pPr>
  </w:style>
  <w:style w:type="paragraph" w:styleId="Footer">
    <w:name w:val="footer"/>
    <w:basedOn w:val="Normal"/>
    <w:link w:val="FooterChar"/>
    <w:uiPriority w:val="24"/>
    <w:rsid w:val="0081485A"/>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81485A"/>
    <w:rPr>
      <w:rFonts w:eastAsiaTheme="minorEastAsia"/>
      <w:noProof/>
      <w:spacing w:val="2"/>
      <w:sz w:val="18"/>
      <w:szCs w:val="18"/>
      <w:lang w:eastAsia="en-AU"/>
    </w:rPr>
  </w:style>
  <w:style w:type="paragraph" w:styleId="BalloonText">
    <w:name w:val="Balloon Text"/>
    <w:basedOn w:val="Normal"/>
    <w:link w:val="BalloonTextChar"/>
    <w:uiPriority w:val="99"/>
    <w:semiHidden/>
    <w:rsid w:val="00814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5A"/>
    <w:rPr>
      <w:rFonts w:ascii="Tahoma" w:eastAsiaTheme="minorEastAsia" w:hAnsi="Tahoma" w:cs="Tahoma"/>
      <w:spacing w:val="2"/>
      <w:sz w:val="16"/>
      <w:szCs w:val="16"/>
      <w:lang w:eastAsia="en-AU"/>
    </w:rPr>
  </w:style>
  <w:style w:type="paragraph" w:customStyle="1" w:styleId="Normalindentgrey">
    <w:name w:val="Normal indent grey"/>
    <w:basedOn w:val="Normalgrey"/>
    <w:uiPriority w:val="3"/>
    <w:unhideWhenUsed/>
    <w:qFormat/>
    <w:rsid w:val="003A3FB2"/>
    <w:pPr>
      <w:ind w:left="360"/>
    </w:pPr>
  </w:style>
  <w:style w:type="paragraph" w:customStyle="1" w:styleId="List1grey">
    <w:name w:val="List 1 grey"/>
    <w:basedOn w:val="Normal"/>
    <w:uiPriority w:val="3"/>
    <w:unhideWhenUsed/>
    <w:rsid w:val="00355FA3"/>
    <w:pPr>
      <w:numPr>
        <w:ilvl w:val="3"/>
        <w:numId w:val="6"/>
      </w:numPr>
    </w:pPr>
    <w:rPr>
      <w:color w:val="5E5E5E"/>
    </w:rPr>
  </w:style>
  <w:style w:type="paragraph" w:customStyle="1" w:styleId="List2grey">
    <w:name w:val="List 2 grey"/>
    <w:basedOn w:val="Normal"/>
    <w:uiPriority w:val="3"/>
    <w:unhideWhenUsed/>
    <w:rsid w:val="00355FA3"/>
    <w:pPr>
      <w:numPr>
        <w:ilvl w:val="4"/>
        <w:numId w:val="6"/>
      </w:numPr>
    </w:pPr>
    <w:rPr>
      <w:color w:val="5E5E5E"/>
    </w:rPr>
  </w:style>
  <w:style w:type="paragraph" w:customStyle="1" w:styleId="List3grey">
    <w:name w:val="List 3 grey"/>
    <w:basedOn w:val="Normal"/>
    <w:uiPriority w:val="3"/>
    <w:unhideWhenUsed/>
    <w:rsid w:val="00355FA3"/>
    <w:pPr>
      <w:numPr>
        <w:ilvl w:val="5"/>
        <w:numId w:val="6"/>
      </w:numPr>
    </w:pPr>
    <w:rPr>
      <w:color w:val="5E5E5E"/>
    </w:rPr>
  </w:style>
  <w:style w:type="character" w:customStyle="1" w:styleId="Heading4Char">
    <w:name w:val="Heading 4 Char"/>
    <w:basedOn w:val="DefaultParagraphFont"/>
    <w:link w:val="Heading4"/>
    <w:semiHidden/>
    <w:rsid w:val="0081485A"/>
    <w:rPr>
      <w:rFonts w:asciiTheme="majorHAnsi" w:eastAsiaTheme="majorEastAsia" w:hAnsiTheme="majorHAnsi" w:cstheme="majorBidi"/>
      <w:b/>
      <w:bCs/>
      <w:iCs/>
      <w:color w:val="53565A"/>
      <w:spacing w:val="2"/>
      <w:sz w:val="18"/>
      <w:szCs w:val="20"/>
      <w:lang w:eastAsia="en-AU"/>
    </w:rPr>
  </w:style>
  <w:style w:type="paragraph" w:customStyle="1" w:styleId="Bullet">
    <w:name w:val="Bullet"/>
    <w:basedOn w:val="Normal"/>
    <w:rsid w:val="00701F46"/>
    <w:pPr>
      <w:numPr>
        <w:numId w:val="9"/>
      </w:numPr>
      <w:jc w:val="both"/>
    </w:pPr>
    <w:rPr>
      <w:rFonts w:ascii="Arial" w:eastAsia="Times New Roman" w:hAnsi="Arial" w:cs="Arial"/>
    </w:rPr>
  </w:style>
  <w:style w:type="paragraph" w:customStyle="1" w:styleId="Bulletindent">
    <w:name w:val="Bullet indent"/>
    <w:basedOn w:val="Bullet2"/>
    <w:uiPriority w:val="7"/>
    <w:qFormat/>
    <w:rsid w:val="0081485A"/>
    <w:pPr>
      <w:numPr>
        <w:ilvl w:val="2"/>
      </w:numPr>
    </w:pPr>
  </w:style>
  <w:style w:type="paragraph" w:customStyle="1" w:styleId="Bulletindent2">
    <w:name w:val="Bullet indent 2"/>
    <w:basedOn w:val="Normal"/>
    <w:uiPriority w:val="7"/>
    <w:qFormat/>
    <w:rsid w:val="0081485A"/>
    <w:pPr>
      <w:numPr>
        <w:ilvl w:val="3"/>
        <w:numId w:val="14"/>
      </w:numPr>
      <w:spacing w:before="100"/>
      <w:contextualSpacing/>
    </w:pPr>
  </w:style>
  <w:style w:type="table" w:customStyle="1" w:styleId="DTFtexttable">
    <w:name w:val="DTF text table"/>
    <w:basedOn w:val="TableGrid"/>
    <w:uiPriority w:val="99"/>
    <w:rsid w:val="0081485A"/>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ormalbold">
    <w:name w:val="Normal bold"/>
    <w:basedOn w:val="Normal"/>
    <w:qFormat/>
    <w:rsid w:val="0081485A"/>
    <w:pPr>
      <w:spacing w:line="264" w:lineRule="auto"/>
    </w:pPr>
    <w:rPr>
      <w:rFonts w:eastAsiaTheme="minorHAnsi"/>
      <w:b/>
      <w:szCs w:val="18"/>
      <w:lang w:eastAsia="en-US"/>
    </w:rPr>
  </w:style>
  <w:style w:type="character" w:styleId="PageNumber">
    <w:name w:val="page number"/>
    <w:uiPriority w:val="49"/>
    <w:semiHidden/>
    <w:rsid w:val="0081485A"/>
    <w:rPr>
      <w:b w:val="0"/>
      <w:color w:val="000000" w:themeColor="text1"/>
    </w:rPr>
  </w:style>
  <w:style w:type="table" w:styleId="LightShading">
    <w:name w:val="Light Shading"/>
    <w:basedOn w:val="TableNormal"/>
    <w:uiPriority w:val="60"/>
    <w:rsid w:val="0081485A"/>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81485A"/>
    <w:pPr>
      <w:spacing w:after="0" w:line="240" w:lineRule="auto"/>
    </w:pPr>
    <w:rPr>
      <w:rFonts w:eastAsiaTheme="minorEastAsia"/>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81485A"/>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81485A"/>
    <w:pPr>
      <w:tabs>
        <w:tab w:val="right" w:leader="dot" w:pos="9000"/>
      </w:tabs>
      <w:ind w:right="432"/>
    </w:pPr>
    <w:rPr>
      <w:sz w:val="24"/>
      <w:szCs w:val="24"/>
    </w:rPr>
  </w:style>
  <w:style w:type="paragraph" w:styleId="TOC2">
    <w:name w:val="toc 2"/>
    <w:next w:val="Normal"/>
    <w:uiPriority w:val="39"/>
    <w:rsid w:val="0081485A"/>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81485A"/>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81485A"/>
    <w:pPr>
      <w:spacing w:after="60" w:line="240" w:lineRule="auto"/>
    </w:pPr>
    <w:rPr>
      <w:sz w:val="16"/>
    </w:rPr>
  </w:style>
  <w:style w:type="paragraph" w:styleId="Index2">
    <w:name w:val="index 2"/>
    <w:basedOn w:val="Normal"/>
    <w:next w:val="Normal"/>
    <w:uiPriority w:val="99"/>
    <w:semiHidden/>
    <w:rsid w:val="0081485A"/>
    <w:pPr>
      <w:spacing w:after="0" w:line="240" w:lineRule="auto"/>
      <w:ind w:left="216"/>
    </w:pPr>
    <w:rPr>
      <w:sz w:val="16"/>
      <w:szCs w:val="16"/>
    </w:rPr>
  </w:style>
  <w:style w:type="character" w:styleId="Hyperlink">
    <w:name w:val="Hyperlink"/>
    <w:basedOn w:val="DefaultParagraphFont"/>
    <w:uiPriority w:val="99"/>
    <w:rsid w:val="0081485A"/>
    <w:rPr>
      <w:color w:val="0000FF" w:themeColor="hyperlink"/>
      <w:u w:val="none"/>
    </w:rPr>
  </w:style>
  <w:style w:type="paragraph" w:customStyle="1" w:styleId="Heading1numbered">
    <w:name w:val="Heading 1 numbered"/>
    <w:basedOn w:val="Heading1"/>
    <w:next w:val="NormalIndent"/>
    <w:uiPriority w:val="4"/>
    <w:semiHidden/>
    <w:qFormat/>
    <w:rsid w:val="0081485A"/>
  </w:style>
  <w:style w:type="paragraph" w:customStyle="1" w:styleId="Heading2numbered">
    <w:name w:val="Heading 2 numbered"/>
    <w:basedOn w:val="Heading2"/>
    <w:next w:val="NormalIndent"/>
    <w:uiPriority w:val="4"/>
    <w:semiHidden/>
    <w:qFormat/>
    <w:rsid w:val="0081485A"/>
  </w:style>
  <w:style w:type="paragraph" w:customStyle="1" w:styleId="Heading3numbered">
    <w:name w:val="Heading 3 numbered"/>
    <w:basedOn w:val="Heading3"/>
    <w:next w:val="NormalIndent"/>
    <w:uiPriority w:val="4"/>
    <w:semiHidden/>
    <w:qFormat/>
    <w:rsid w:val="0081485A"/>
    <w:pPr>
      <w:numPr>
        <w:ilvl w:val="4"/>
        <w:numId w:val="15"/>
      </w:numPr>
    </w:pPr>
  </w:style>
  <w:style w:type="paragraph" w:customStyle="1" w:styleId="Heading4numbered">
    <w:name w:val="Heading 4 numbered"/>
    <w:basedOn w:val="Heading4"/>
    <w:next w:val="NormalIndent"/>
    <w:uiPriority w:val="4"/>
    <w:semiHidden/>
    <w:qFormat/>
    <w:rsid w:val="0081485A"/>
    <w:pPr>
      <w:numPr>
        <w:ilvl w:val="5"/>
        <w:numId w:val="15"/>
      </w:numPr>
    </w:pPr>
  </w:style>
  <w:style w:type="paragraph" w:customStyle="1" w:styleId="NoteNormal">
    <w:name w:val="Note Normal"/>
    <w:basedOn w:val="Normal"/>
    <w:uiPriority w:val="49"/>
    <w:rsid w:val="0081485A"/>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81485A"/>
    <w:pPr>
      <w:spacing w:after="0" w:line="440" w:lineRule="exact"/>
    </w:pPr>
    <w:rPr>
      <w:rFonts w:asciiTheme="majorHAnsi" w:eastAsia="Times New Roman" w:hAnsiTheme="majorHAnsi" w:cstheme="majorHAnsi"/>
      <w:color w:val="4F81BD" w:themeColor="accent1"/>
      <w:spacing w:val="-2"/>
      <w:sz w:val="40"/>
      <w:szCs w:val="24"/>
      <w:lang w:eastAsia="en-AU"/>
    </w:rPr>
  </w:style>
  <w:style w:type="character" w:customStyle="1" w:styleId="SubtitleChar">
    <w:name w:val="Subtitle Char"/>
    <w:basedOn w:val="DefaultParagraphFont"/>
    <w:link w:val="Subtitle"/>
    <w:uiPriority w:val="99"/>
    <w:semiHidden/>
    <w:rsid w:val="0081485A"/>
    <w:rPr>
      <w:rFonts w:asciiTheme="majorHAnsi" w:eastAsia="Times New Roman" w:hAnsiTheme="majorHAnsi" w:cstheme="majorHAnsi"/>
      <w:color w:val="4F81BD" w:themeColor="accent1"/>
      <w:spacing w:val="-2"/>
      <w:sz w:val="40"/>
      <w:szCs w:val="24"/>
      <w:lang w:eastAsia="en-AU"/>
    </w:rPr>
  </w:style>
  <w:style w:type="paragraph" w:customStyle="1" w:styleId="TertiaryTitle">
    <w:name w:val="Tertiary Title"/>
    <w:next w:val="Normal"/>
    <w:uiPriority w:val="99"/>
    <w:semiHidden/>
    <w:rsid w:val="0081485A"/>
    <w:pPr>
      <w:spacing w:after="0" w:line="440" w:lineRule="exact"/>
    </w:pPr>
    <w:rPr>
      <w:rFonts w:asciiTheme="majorHAnsi" w:eastAsia="Times New Roman" w:hAnsiTheme="majorHAnsi" w:cstheme="majorHAnsi"/>
      <w:color w:val="4F81BD" w:themeColor="accent1"/>
      <w:spacing w:val="-2"/>
      <w:sz w:val="36"/>
      <w:szCs w:val="40"/>
    </w:rPr>
  </w:style>
  <w:style w:type="paragraph" w:styleId="Title">
    <w:name w:val="Title"/>
    <w:link w:val="TitleChar"/>
    <w:uiPriority w:val="99"/>
    <w:semiHidden/>
    <w:rsid w:val="0081485A"/>
    <w:pPr>
      <w:spacing w:after="300" w:line="252" w:lineRule="auto"/>
    </w:pPr>
    <w:rPr>
      <w:rFonts w:asciiTheme="majorHAnsi" w:eastAsia="Times New Roman" w:hAnsiTheme="majorHAnsi" w:cstheme="majorHAnsi"/>
      <w:b/>
      <w:color w:val="4F81BD" w:themeColor="accent1"/>
      <w:spacing w:val="-2"/>
      <w:sz w:val="60"/>
      <w:lang w:eastAsia="en-AU"/>
    </w:rPr>
  </w:style>
  <w:style w:type="character" w:customStyle="1" w:styleId="TitleChar">
    <w:name w:val="Title Char"/>
    <w:basedOn w:val="DefaultParagraphFont"/>
    <w:link w:val="Title"/>
    <w:uiPriority w:val="99"/>
    <w:semiHidden/>
    <w:rsid w:val="0081485A"/>
    <w:rPr>
      <w:rFonts w:asciiTheme="majorHAnsi" w:eastAsia="Times New Roman" w:hAnsiTheme="majorHAnsi" w:cstheme="majorHAnsi"/>
      <w:b/>
      <w:color w:val="4F81BD" w:themeColor="accent1"/>
      <w:spacing w:val="-2"/>
      <w:sz w:val="60"/>
      <w:lang w:eastAsia="en-AU"/>
    </w:rPr>
  </w:style>
  <w:style w:type="paragraph" w:styleId="IndexHeading">
    <w:name w:val="index heading"/>
    <w:basedOn w:val="Normal"/>
    <w:next w:val="Index1"/>
    <w:uiPriority w:val="99"/>
    <w:semiHidden/>
    <w:rsid w:val="0081485A"/>
    <w:rPr>
      <w:rFonts w:asciiTheme="majorHAnsi" w:eastAsiaTheme="majorEastAsia" w:hAnsiTheme="majorHAnsi" w:cstheme="majorBidi"/>
      <w:b/>
      <w:bCs/>
    </w:rPr>
  </w:style>
  <w:style w:type="paragraph" w:styleId="TOCHeading">
    <w:name w:val="TOC Heading"/>
    <w:basedOn w:val="Heading1"/>
    <w:next w:val="Normal"/>
    <w:uiPriority w:val="39"/>
    <w:semiHidden/>
    <w:rsid w:val="0081485A"/>
    <w:pPr>
      <w:spacing w:before="480" w:after="720"/>
      <w:outlineLvl w:val="9"/>
    </w:pPr>
    <w:rPr>
      <w:spacing w:val="2"/>
    </w:rPr>
  </w:style>
  <w:style w:type="paragraph" w:customStyle="1" w:styleId="NormalTight">
    <w:name w:val="Normal Tight"/>
    <w:uiPriority w:val="99"/>
    <w:semiHidden/>
    <w:rsid w:val="0081485A"/>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81485A"/>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81485A"/>
    <w:rPr>
      <w:rFonts w:ascii="Calibri" w:eastAsia="Times New Roman" w:hAnsi="Calibri" w:cs="Calibri"/>
      <w:lang w:eastAsia="en-AU"/>
    </w:rPr>
  </w:style>
  <w:style w:type="paragraph" w:customStyle="1" w:styleId="Insidecoverspacer">
    <w:name w:val="Inside cover spacer"/>
    <w:basedOn w:val="NormalTight"/>
    <w:uiPriority w:val="99"/>
    <w:semiHidden/>
    <w:qFormat/>
    <w:rsid w:val="0081485A"/>
    <w:pPr>
      <w:spacing w:before="5800"/>
      <w:ind w:right="1382"/>
    </w:pPr>
  </w:style>
  <w:style w:type="paragraph" w:styleId="TOC4">
    <w:name w:val="toc 4"/>
    <w:basedOn w:val="TOC1"/>
    <w:next w:val="Normal"/>
    <w:uiPriority w:val="39"/>
    <w:semiHidden/>
    <w:rsid w:val="0081485A"/>
    <w:pPr>
      <w:ind w:left="450" w:hanging="450"/>
    </w:pPr>
    <w:rPr>
      <w:noProof/>
      <w:lang w:eastAsia="en-US"/>
    </w:rPr>
  </w:style>
  <w:style w:type="paragraph" w:styleId="TOC5">
    <w:name w:val="toc 5"/>
    <w:basedOn w:val="TOC2"/>
    <w:next w:val="Normal"/>
    <w:uiPriority w:val="39"/>
    <w:semiHidden/>
    <w:rsid w:val="0081485A"/>
    <w:pPr>
      <w:ind w:left="1080" w:hanging="634"/>
    </w:pPr>
    <w:rPr>
      <w:lang w:eastAsia="en-US"/>
    </w:rPr>
  </w:style>
  <w:style w:type="paragraph" w:styleId="TOC6">
    <w:name w:val="toc 6"/>
    <w:basedOn w:val="TOC3"/>
    <w:next w:val="Normal"/>
    <w:uiPriority w:val="39"/>
    <w:semiHidden/>
    <w:rsid w:val="0081485A"/>
    <w:pPr>
      <w:ind w:left="1800" w:hanging="720"/>
    </w:pPr>
    <w:rPr>
      <w:lang w:eastAsia="en-US"/>
    </w:rPr>
  </w:style>
  <w:style w:type="table" w:customStyle="1" w:styleId="DTFfinancialtable">
    <w:name w:val="DTF financial table"/>
    <w:basedOn w:val="TableGrid"/>
    <w:uiPriority w:val="99"/>
    <w:rsid w:val="0081485A"/>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81485A"/>
    <w:pPr>
      <w:jc w:val="right"/>
    </w:pPr>
  </w:style>
  <w:style w:type="paragraph" w:customStyle="1" w:styleId="Listnumindent2">
    <w:name w:val="List num indent 2"/>
    <w:basedOn w:val="Normal"/>
    <w:uiPriority w:val="7"/>
    <w:qFormat/>
    <w:rsid w:val="0081485A"/>
    <w:pPr>
      <w:numPr>
        <w:ilvl w:val="7"/>
        <w:numId w:val="15"/>
      </w:numPr>
      <w:spacing w:before="100"/>
      <w:contextualSpacing/>
    </w:pPr>
  </w:style>
  <w:style w:type="paragraph" w:customStyle="1" w:styleId="Listnumindent">
    <w:name w:val="List num indent"/>
    <w:basedOn w:val="Normal"/>
    <w:uiPriority w:val="7"/>
    <w:qFormat/>
    <w:rsid w:val="0081485A"/>
    <w:pPr>
      <w:numPr>
        <w:ilvl w:val="6"/>
        <w:numId w:val="15"/>
      </w:numPr>
      <w:spacing w:before="100"/>
    </w:pPr>
  </w:style>
  <w:style w:type="paragraph" w:customStyle="1" w:styleId="Listnum">
    <w:name w:val="List num"/>
    <w:basedOn w:val="Normal"/>
    <w:uiPriority w:val="1"/>
    <w:qFormat/>
    <w:rsid w:val="0081485A"/>
    <w:pPr>
      <w:numPr>
        <w:numId w:val="15"/>
      </w:numPr>
      <w:contextualSpacing/>
    </w:pPr>
  </w:style>
  <w:style w:type="paragraph" w:customStyle="1" w:styleId="Listnum2">
    <w:name w:val="List num 2"/>
    <w:basedOn w:val="Normal"/>
    <w:uiPriority w:val="1"/>
    <w:qFormat/>
    <w:rsid w:val="0081485A"/>
    <w:pPr>
      <w:numPr>
        <w:ilvl w:val="1"/>
        <w:numId w:val="15"/>
      </w:numPr>
      <w:contextualSpacing/>
    </w:pPr>
  </w:style>
  <w:style w:type="paragraph" w:customStyle="1" w:styleId="Tabletextcentred">
    <w:name w:val="Table text centred"/>
    <w:basedOn w:val="Tabletext"/>
    <w:uiPriority w:val="8"/>
    <w:qFormat/>
    <w:rsid w:val="0081485A"/>
    <w:pPr>
      <w:jc w:val="center"/>
    </w:pPr>
  </w:style>
  <w:style w:type="paragraph" w:customStyle="1" w:styleId="Tableheader">
    <w:name w:val="Table header"/>
    <w:basedOn w:val="Tabletext"/>
    <w:uiPriority w:val="8"/>
    <w:qFormat/>
    <w:rsid w:val="0081485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81485A"/>
    <w:pPr>
      <w:numPr>
        <w:numId w:val="16"/>
      </w:numPr>
    </w:pPr>
  </w:style>
  <w:style w:type="paragraph" w:customStyle="1" w:styleId="Tabledash">
    <w:name w:val="Table dash"/>
    <w:basedOn w:val="Tablebullet"/>
    <w:uiPriority w:val="9"/>
    <w:rsid w:val="0081485A"/>
    <w:pPr>
      <w:numPr>
        <w:ilvl w:val="1"/>
      </w:numPr>
    </w:pPr>
  </w:style>
  <w:style w:type="paragraph" w:customStyle="1" w:styleId="Tabletextindent">
    <w:name w:val="Table text indent"/>
    <w:basedOn w:val="Tabletext"/>
    <w:uiPriority w:val="8"/>
    <w:qFormat/>
    <w:rsid w:val="0081485A"/>
    <w:pPr>
      <w:ind w:left="288"/>
    </w:pPr>
  </w:style>
  <w:style w:type="paragraph" w:customStyle="1" w:styleId="Listnumgrey">
    <w:name w:val="List num grey"/>
    <w:uiPriority w:val="3"/>
    <w:qFormat/>
    <w:rsid w:val="0081485A"/>
    <w:pPr>
      <w:numPr>
        <w:ilvl w:val="2"/>
        <w:numId w:val="15"/>
      </w:numPr>
      <w:spacing w:line="264" w:lineRule="auto"/>
    </w:pPr>
    <w:rPr>
      <w:color w:val="4D4D4D"/>
      <w:spacing w:val="2"/>
      <w:sz w:val="18"/>
      <w:szCs w:val="21"/>
    </w:rPr>
  </w:style>
  <w:style w:type="paragraph" w:customStyle="1" w:styleId="Listnum2grey">
    <w:name w:val="List num 2 grey"/>
    <w:uiPriority w:val="4"/>
    <w:qFormat/>
    <w:rsid w:val="0081485A"/>
    <w:pPr>
      <w:numPr>
        <w:ilvl w:val="3"/>
        <w:numId w:val="15"/>
      </w:numPr>
      <w:spacing w:line="264" w:lineRule="auto"/>
    </w:pPr>
    <w:rPr>
      <w:color w:val="4D4D4D"/>
      <w:spacing w:val="2"/>
      <w:sz w:val="18"/>
      <w:szCs w:val="21"/>
    </w:rPr>
  </w:style>
  <w:style w:type="paragraph" w:customStyle="1" w:styleId="Refnum1grey">
    <w:name w:val="Ref num 1 grey"/>
    <w:basedOn w:val="Refnum1"/>
    <w:uiPriority w:val="7"/>
    <w:qFormat/>
    <w:rsid w:val="0081485A"/>
    <w:rPr>
      <w:color w:val="F2F2F2" w:themeColor="background1" w:themeShade="F2"/>
    </w:rPr>
  </w:style>
  <w:style w:type="paragraph" w:customStyle="1" w:styleId="Refnum2grey">
    <w:name w:val="Ref num 2 grey"/>
    <w:basedOn w:val="Normal"/>
    <w:rsid w:val="0081485A"/>
    <w:pPr>
      <w:numPr>
        <w:ilvl w:val="1"/>
        <w:numId w:val="17"/>
      </w:numPr>
    </w:pPr>
  </w:style>
  <w:style w:type="paragraph" w:customStyle="1" w:styleId="Normalgreybold">
    <w:name w:val="Normal grey bold"/>
    <w:basedOn w:val="Normalgrey"/>
    <w:qFormat/>
    <w:rsid w:val="0081485A"/>
    <w:rPr>
      <w:b/>
    </w:rPr>
  </w:style>
  <w:style w:type="paragraph" w:customStyle="1" w:styleId="NormalIndentgrey0">
    <w:name w:val="Normal Indent grey"/>
    <w:basedOn w:val="NormalIndent"/>
    <w:qFormat/>
    <w:rsid w:val="0081485A"/>
    <w:rPr>
      <w:color w:val="4D4D4D"/>
      <w:szCs w:val="21"/>
    </w:rPr>
  </w:style>
  <w:style w:type="paragraph" w:styleId="Caption">
    <w:name w:val="caption"/>
    <w:basedOn w:val="Normal"/>
    <w:next w:val="Normal"/>
    <w:uiPriority w:val="99"/>
    <w:rsid w:val="0081485A"/>
    <w:pPr>
      <w:spacing w:before="0" w:after="200" w:line="240" w:lineRule="auto"/>
    </w:pPr>
    <w:rPr>
      <w:b/>
      <w:bCs/>
      <w:szCs w:val="18"/>
    </w:rPr>
  </w:style>
  <w:style w:type="paragraph" w:customStyle="1" w:styleId="Tablechartdiagramheading">
    <w:name w:val="Table/chart/diagram heading"/>
    <w:uiPriority w:val="99"/>
    <w:qFormat/>
    <w:rsid w:val="0081485A"/>
    <w:pPr>
      <w:tabs>
        <w:tab w:val="left" w:pos="1080"/>
      </w:tabs>
      <w:spacing w:before="160" w:after="100"/>
    </w:pPr>
    <w:rPr>
      <w:rFonts w:eastAsiaTheme="minorEastAsia"/>
      <w:b/>
      <w:bCs/>
      <w:color w:val="404040" w:themeColor="text1" w:themeTint="BF"/>
      <w:spacing w:val="2"/>
      <w:sz w:val="18"/>
      <w:szCs w:val="18"/>
      <w:lang w:eastAsia="en-AU"/>
    </w:rPr>
  </w:style>
  <w:style w:type="paragraph" w:styleId="Revision">
    <w:name w:val="Revision"/>
    <w:hidden/>
    <w:uiPriority w:val="99"/>
    <w:semiHidden/>
    <w:rsid w:val="00BE554C"/>
    <w:pPr>
      <w:spacing w:after="0" w:line="240" w:lineRule="auto"/>
    </w:pPr>
    <w:rPr>
      <w:rFonts w:eastAsiaTheme="minorEastAsia"/>
      <w:spacing w:val="2"/>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5272">
      <w:bodyDiv w:val="1"/>
      <w:marLeft w:val="0"/>
      <w:marRight w:val="0"/>
      <w:marTop w:val="0"/>
      <w:marBottom w:val="0"/>
      <w:divBdr>
        <w:top w:val="none" w:sz="0" w:space="0" w:color="auto"/>
        <w:left w:val="none" w:sz="0" w:space="0" w:color="auto"/>
        <w:bottom w:val="none" w:sz="0" w:space="0" w:color="auto"/>
        <w:right w:val="none" w:sz="0" w:space="0" w:color="auto"/>
      </w:divBdr>
    </w:div>
    <w:div w:id="54278089">
      <w:bodyDiv w:val="1"/>
      <w:marLeft w:val="0"/>
      <w:marRight w:val="0"/>
      <w:marTop w:val="0"/>
      <w:marBottom w:val="0"/>
      <w:divBdr>
        <w:top w:val="none" w:sz="0" w:space="0" w:color="auto"/>
        <w:left w:val="none" w:sz="0" w:space="0" w:color="auto"/>
        <w:bottom w:val="none" w:sz="0" w:space="0" w:color="auto"/>
        <w:right w:val="none" w:sz="0" w:space="0" w:color="auto"/>
      </w:divBdr>
    </w:div>
    <w:div w:id="317147927">
      <w:bodyDiv w:val="1"/>
      <w:marLeft w:val="0"/>
      <w:marRight w:val="0"/>
      <w:marTop w:val="0"/>
      <w:marBottom w:val="0"/>
      <w:divBdr>
        <w:top w:val="none" w:sz="0" w:space="0" w:color="auto"/>
        <w:left w:val="none" w:sz="0" w:space="0" w:color="auto"/>
        <w:bottom w:val="none" w:sz="0" w:space="0" w:color="auto"/>
        <w:right w:val="none" w:sz="0" w:space="0" w:color="auto"/>
      </w:divBdr>
    </w:div>
    <w:div w:id="352340024">
      <w:bodyDiv w:val="1"/>
      <w:marLeft w:val="0"/>
      <w:marRight w:val="0"/>
      <w:marTop w:val="0"/>
      <w:marBottom w:val="0"/>
      <w:divBdr>
        <w:top w:val="none" w:sz="0" w:space="0" w:color="auto"/>
        <w:left w:val="none" w:sz="0" w:space="0" w:color="auto"/>
        <w:bottom w:val="none" w:sz="0" w:space="0" w:color="auto"/>
        <w:right w:val="none" w:sz="0" w:space="0" w:color="auto"/>
      </w:divBdr>
    </w:div>
    <w:div w:id="1259607549">
      <w:bodyDiv w:val="1"/>
      <w:marLeft w:val="0"/>
      <w:marRight w:val="0"/>
      <w:marTop w:val="0"/>
      <w:marBottom w:val="0"/>
      <w:divBdr>
        <w:top w:val="none" w:sz="0" w:space="0" w:color="auto"/>
        <w:left w:val="none" w:sz="0" w:space="0" w:color="auto"/>
        <w:bottom w:val="none" w:sz="0" w:space="0" w:color="auto"/>
        <w:right w:val="none" w:sz="0" w:space="0" w:color="auto"/>
      </w:divBdr>
    </w:div>
    <w:div w:id="1561943182">
      <w:bodyDiv w:val="1"/>
      <w:marLeft w:val="0"/>
      <w:marRight w:val="0"/>
      <w:marTop w:val="0"/>
      <w:marBottom w:val="0"/>
      <w:divBdr>
        <w:top w:val="none" w:sz="0" w:space="0" w:color="auto"/>
        <w:left w:val="none" w:sz="0" w:space="0" w:color="auto"/>
        <w:bottom w:val="none" w:sz="0" w:space="0" w:color="auto"/>
        <w:right w:val="none" w:sz="0" w:space="0" w:color="auto"/>
      </w:divBdr>
    </w:div>
    <w:div w:id="1571887480">
      <w:bodyDiv w:val="1"/>
      <w:marLeft w:val="0"/>
      <w:marRight w:val="0"/>
      <w:marTop w:val="0"/>
      <w:marBottom w:val="0"/>
      <w:divBdr>
        <w:top w:val="none" w:sz="0" w:space="0" w:color="auto"/>
        <w:left w:val="none" w:sz="0" w:space="0" w:color="auto"/>
        <w:bottom w:val="none" w:sz="0" w:space="0" w:color="auto"/>
        <w:right w:val="none" w:sz="0" w:space="0" w:color="auto"/>
      </w:divBdr>
    </w:div>
    <w:div w:id="1840389396">
      <w:bodyDiv w:val="1"/>
      <w:marLeft w:val="0"/>
      <w:marRight w:val="0"/>
      <w:marTop w:val="0"/>
      <w:marBottom w:val="0"/>
      <w:divBdr>
        <w:top w:val="none" w:sz="0" w:space="0" w:color="auto"/>
        <w:left w:val="none" w:sz="0" w:space="0" w:color="auto"/>
        <w:bottom w:val="none" w:sz="0" w:space="0" w:color="auto"/>
        <w:right w:val="none" w:sz="0" w:space="0" w:color="auto"/>
      </w:divBdr>
    </w:div>
    <w:div w:id="18790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7FC722E-FDEE-4136-A3E5-98FDFF030F5B}">
  <ds:schemaRefs>
    <ds:schemaRef ds:uri="http://schemas.openxmlformats.org/officeDocument/2006/bibliography"/>
  </ds:schemaRefs>
</ds:datastoreItem>
</file>

<file path=customXml/itemProps2.xml><?xml version="1.0" encoding="utf-8"?>
<ds:datastoreItem xmlns:ds="http://schemas.openxmlformats.org/officeDocument/2006/customXml" ds:itemID="{6A5CCE6E-0DD5-4038-8EDB-63BAB07ABA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0</TotalTime>
  <Pages>2</Pages>
  <Words>672</Words>
  <Characters>3834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Lam</dc:creator>
  <cp:lastModifiedBy>Natalie Maroki (DTF)</cp:lastModifiedBy>
  <cp:revision>2</cp:revision>
  <cp:lastPrinted>2016-06-07T06:13:00Z</cp:lastPrinted>
  <dcterms:created xsi:type="dcterms:W3CDTF">2022-04-28T02:48:00Z</dcterms:created>
  <dcterms:modified xsi:type="dcterms:W3CDTF">2022-04-28T02:48:00Z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0745118c-3b5b-4d59-9d85-6e3daa054494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2022-04-28T02:48:40Z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b559e17f-d3e5-4655-8ba0-b47ba8960083</vt:lpwstr>
  </property>
  <property fmtid="{D5CDD505-2E9C-101B-9397-08002B2CF9AE}" pid="10" name="MSIP_Label_7158ebbd-6c5e-441f-bfc9-4eb8c11e3978_ContentBits">
    <vt:lpwstr>2</vt:lpwstr>
  </property>
</Properties>
</file>