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DTFtexttable"/>
        <w:tblW w:w="9237" w:type="dxa"/>
        <w:tblLook w:val="04A0" w:firstRow="1" w:lastRow="0" w:firstColumn="1" w:lastColumn="0" w:noHBand="0" w:noVBand="1"/>
      </w:tblPr>
      <w:tblGrid>
        <w:gridCol w:w="2307"/>
        <w:gridCol w:w="270"/>
        <w:gridCol w:w="583"/>
        <w:gridCol w:w="6077"/>
      </w:tblGrid>
      <w:tr w:rsidR="0002609C" w:rsidRPr="00546DE5" w14:paraId="5E675AF8" w14:textId="77777777" w:rsidTr="0002609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07" w:type="dxa"/>
          </w:tcPr>
          <w:p w14:paraId="105E8FFD" w14:textId="6C902D10" w:rsidR="0002609C" w:rsidRPr="00546DE5" w:rsidRDefault="0002609C" w:rsidP="0083306E">
            <w:pPr>
              <w:pStyle w:val="FRDNumber"/>
            </w:pPr>
            <w:r w:rsidRPr="00546DE5">
              <w:t>FRD 107</w:t>
            </w:r>
          </w:p>
        </w:tc>
        <w:tc>
          <w:tcPr>
            <w:tcW w:w="270" w:type="dxa"/>
          </w:tcPr>
          <w:p w14:paraId="16C68693" w14:textId="77777777" w:rsidR="0002609C" w:rsidRPr="00546DE5" w:rsidRDefault="0002609C" w:rsidP="0083306E">
            <w:pPr>
              <w:cnfStyle w:val="100000000000" w:firstRow="1" w:lastRow="0" w:firstColumn="0" w:lastColumn="0" w:oddVBand="0" w:evenVBand="0" w:oddHBand="0" w:evenHBand="0" w:firstRowFirstColumn="0" w:firstRowLastColumn="0" w:lastRowFirstColumn="0" w:lastRowLastColumn="0"/>
            </w:pPr>
          </w:p>
        </w:tc>
        <w:tc>
          <w:tcPr>
            <w:tcW w:w="583" w:type="dxa"/>
          </w:tcPr>
          <w:p w14:paraId="59256894" w14:textId="77777777" w:rsidR="0002609C" w:rsidRPr="00546DE5" w:rsidRDefault="0002609C" w:rsidP="0083306E">
            <w:pPr>
              <w:cnfStyle w:val="100000000000" w:firstRow="1" w:lastRow="0" w:firstColumn="0" w:lastColumn="0" w:oddVBand="0" w:evenVBand="0" w:oddHBand="0" w:evenHBand="0" w:firstRowFirstColumn="0" w:firstRowLastColumn="0" w:lastRowFirstColumn="0" w:lastRowLastColumn="0"/>
            </w:pPr>
          </w:p>
        </w:tc>
        <w:tc>
          <w:tcPr>
            <w:tcW w:w="6077" w:type="dxa"/>
          </w:tcPr>
          <w:p w14:paraId="0B29D1EE" w14:textId="78DCDDB7" w:rsidR="0002609C" w:rsidRPr="00546DE5" w:rsidRDefault="0002609C" w:rsidP="00EC31D3">
            <w:pPr>
              <w:pStyle w:val="FRDHeader"/>
              <w:cnfStyle w:val="100000000000" w:firstRow="1" w:lastRow="0" w:firstColumn="0" w:lastColumn="0" w:oddVBand="0" w:evenVBand="0" w:oddHBand="0" w:evenHBand="0" w:firstRowFirstColumn="0" w:firstRowLastColumn="0" w:lastRowFirstColumn="0" w:lastRowLastColumn="0"/>
            </w:pPr>
            <w:r w:rsidRPr="00546DE5">
              <w:t xml:space="preserve">Investment </w:t>
            </w:r>
            <w:r w:rsidR="002E0893" w:rsidRPr="00546DE5">
              <w:t>p</w:t>
            </w:r>
            <w:r w:rsidRPr="00546DE5">
              <w:t>roperties (</w:t>
            </w:r>
            <w:r w:rsidR="00A25E84">
              <w:t>April</w:t>
            </w:r>
            <w:r w:rsidRPr="00546DE5">
              <w:t xml:space="preserve"> 20</w:t>
            </w:r>
            <w:r w:rsidR="00A25E84">
              <w:t>22</w:t>
            </w:r>
            <w:r w:rsidRPr="00546DE5">
              <w:t>)</w:t>
            </w:r>
          </w:p>
        </w:tc>
      </w:tr>
      <w:tr w:rsidR="0002609C" w:rsidRPr="00546DE5" w14:paraId="02A642EA" w14:textId="77777777" w:rsidTr="0002609C">
        <w:trPr>
          <w:cnfStyle w:val="000000100000" w:firstRow="0" w:lastRow="0" w:firstColumn="0" w:lastColumn="0" w:oddVBand="0" w:evenVBand="0" w:oddHBand="1" w:evenHBand="0" w:firstRowFirstColumn="0" w:firstRowLastColumn="0" w:lastRowFirstColumn="0" w:lastRowLastColumn="0"/>
          <w:trHeight w:hRule="exact" w:val="120"/>
        </w:trPr>
        <w:tc>
          <w:tcPr>
            <w:cnfStyle w:val="001000000000" w:firstRow="0" w:lastRow="0" w:firstColumn="1" w:lastColumn="0" w:oddVBand="0" w:evenVBand="0" w:oddHBand="0" w:evenHBand="0" w:firstRowFirstColumn="0" w:firstRowLastColumn="0" w:lastRowFirstColumn="0" w:lastRowLastColumn="0"/>
            <w:tcW w:w="2307" w:type="dxa"/>
          </w:tcPr>
          <w:p w14:paraId="3E19CF2F" w14:textId="77777777" w:rsidR="0002609C" w:rsidRPr="00546DE5" w:rsidRDefault="0002609C" w:rsidP="00807437">
            <w:pPr>
              <w:pStyle w:val="Tabletext"/>
            </w:pPr>
          </w:p>
        </w:tc>
        <w:tc>
          <w:tcPr>
            <w:tcW w:w="270" w:type="dxa"/>
          </w:tcPr>
          <w:p w14:paraId="7F2E17E9" w14:textId="77777777" w:rsidR="0002609C" w:rsidRPr="00546DE5" w:rsidRDefault="0002609C" w:rsidP="0083306E">
            <w:pPr>
              <w:cnfStyle w:val="000000100000" w:firstRow="0" w:lastRow="0" w:firstColumn="0" w:lastColumn="0" w:oddVBand="0" w:evenVBand="0" w:oddHBand="1" w:evenHBand="0" w:firstRowFirstColumn="0" w:firstRowLastColumn="0" w:lastRowFirstColumn="0" w:lastRowLastColumn="0"/>
            </w:pPr>
          </w:p>
        </w:tc>
        <w:tc>
          <w:tcPr>
            <w:tcW w:w="583" w:type="dxa"/>
          </w:tcPr>
          <w:p w14:paraId="26583DAE" w14:textId="77777777" w:rsidR="0002609C" w:rsidRPr="00546DE5" w:rsidRDefault="0002609C" w:rsidP="0083306E">
            <w:pPr>
              <w:cnfStyle w:val="000000100000" w:firstRow="0" w:lastRow="0" w:firstColumn="0" w:lastColumn="0" w:oddVBand="0" w:evenVBand="0" w:oddHBand="1" w:evenHBand="0" w:firstRowFirstColumn="0" w:firstRowLastColumn="0" w:lastRowFirstColumn="0" w:lastRowLastColumn="0"/>
            </w:pPr>
          </w:p>
        </w:tc>
        <w:tc>
          <w:tcPr>
            <w:tcW w:w="6077" w:type="dxa"/>
          </w:tcPr>
          <w:p w14:paraId="224315C1" w14:textId="77777777" w:rsidR="0002609C" w:rsidRPr="00546DE5" w:rsidRDefault="0002609C" w:rsidP="0083306E">
            <w:pPr>
              <w:cnfStyle w:val="000000100000" w:firstRow="0" w:lastRow="0" w:firstColumn="0" w:lastColumn="0" w:oddVBand="0" w:evenVBand="0" w:oddHBand="1" w:evenHBand="0" w:firstRowFirstColumn="0" w:firstRowLastColumn="0" w:lastRowFirstColumn="0" w:lastRowLastColumn="0"/>
            </w:pPr>
          </w:p>
        </w:tc>
      </w:tr>
      <w:tr w:rsidR="0002609C" w:rsidRPr="00546DE5" w14:paraId="2929BB68" w14:textId="77777777" w:rsidTr="0002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7" w:type="dxa"/>
          </w:tcPr>
          <w:p w14:paraId="3F61CE85" w14:textId="77777777" w:rsidR="0002609C" w:rsidRPr="00546DE5" w:rsidRDefault="0002609C" w:rsidP="0002609C">
            <w:pPr>
              <w:pStyle w:val="Normalgrey"/>
            </w:pPr>
            <w:r w:rsidRPr="0002609C">
              <w:t>Purpose</w:t>
            </w:r>
          </w:p>
        </w:tc>
        <w:tc>
          <w:tcPr>
            <w:tcW w:w="270" w:type="dxa"/>
          </w:tcPr>
          <w:p w14:paraId="263C910C" w14:textId="77777777" w:rsidR="0002609C" w:rsidRPr="00546DE5" w:rsidRDefault="0002609C" w:rsidP="0002609C">
            <w:pPr>
              <w:pStyle w:val="Refnum1"/>
              <w:cnfStyle w:val="000000010000" w:firstRow="0" w:lastRow="0" w:firstColumn="0" w:lastColumn="0" w:oddVBand="0" w:evenVBand="0" w:oddHBand="0" w:evenHBand="1" w:firstRowFirstColumn="0" w:firstRowLastColumn="0" w:lastRowFirstColumn="0" w:lastRowLastColumn="0"/>
            </w:pPr>
          </w:p>
        </w:tc>
        <w:tc>
          <w:tcPr>
            <w:tcW w:w="583" w:type="dxa"/>
          </w:tcPr>
          <w:p w14:paraId="7C9543D6" w14:textId="77777777" w:rsidR="0002609C" w:rsidRPr="00546DE5" w:rsidRDefault="0002609C" w:rsidP="0002609C">
            <w:pPr>
              <w:pStyle w:val="Refnum2"/>
              <w:cnfStyle w:val="000000010000" w:firstRow="0" w:lastRow="0" w:firstColumn="0" w:lastColumn="0" w:oddVBand="0" w:evenVBand="0" w:oddHBand="0" w:evenHBand="1" w:firstRowFirstColumn="0" w:firstRowLastColumn="0" w:lastRowFirstColumn="0" w:lastRowLastColumn="0"/>
            </w:pPr>
          </w:p>
        </w:tc>
        <w:tc>
          <w:tcPr>
            <w:tcW w:w="6077" w:type="dxa"/>
          </w:tcPr>
          <w:p w14:paraId="055857B7" w14:textId="77777777" w:rsidR="0002609C" w:rsidRPr="00546DE5" w:rsidRDefault="0002609C" w:rsidP="0002609C">
            <w:pPr>
              <w:pStyle w:val="Normalgrey"/>
              <w:cnfStyle w:val="000000010000" w:firstRow="0" w:lastRow="0" w:firstColumn="0" w:lastColumn="0" w:oddVBand="0" w:evenVBand="0" w:oddHBand="0" w:evenHBand="1" w:firstRowFirstColumn="0" w:firstRowLastColumn="0" w:lastRowFirstColumn="0" w:lastRowLastColumn="0"/>
            </w:pPr>
            <w:r w:rsidRPr="00546DE5">
              <w:t>To prescribe requirements for the measurement of investment properties subsequent to recognition and to provide guidance on identifying assets held for service delivery objectives.</w:t>
            </w:r>
          </w:p>
        </w:tc>
      </w:tr>
      <w:tr w:rsidR="0002609C" w:rsidRPr="00546DE5" w14:paraId="18358743" w14:textId="77777777" w:rsidTr="00F439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7" w:type="dxa"/>
            <w:shd w:val="clear" w:color="auto" w:fill="F2F2F2" w:themeFill="background1" w:themeFillShade="F2"/>
          </w:tcPr>
          <w:p w14:paraId="410759E6" w14:textId="77777777" w:rsidR="0002609C" w:rsidRPr="0089184F" w:rsidRDefault="0002609C" w:rsidP="0002609C">
            <w:pPr>
              <w:pStyle w:val="Normalbold"/>
            </w:pPr>
            <w:r w:rsidRPr="0089184F">
              <w:t xml:space="preserve">Application </w:t>
            </w:r>
          </w:p>
        </w:tc>
        <w:tc>
          <w:tcPr>
            <w:tcW w:w="270" w:type="dxa"/>
            <w:shd w:val="clear" w:color="auto" w:fill="F2F2F2" w:themeFill="background1" w:themeFillShade="F2"/>
          </w:tcPr>
          <w:p w14:paraId="5210B395" w14:textId="77777777" w:rsidR="0002609C" w:rsidRPr="0089184F" w:rsidRDefault="0002609C" w:rsidP="0002609C">
            <w:pPr>
              <w:pStyle w:val="Refnum1grey"/>
              <w:cnfStyle w:val="000000100000" w:firstRow="0" w:lastRow="0" w:firstColumn="0" w:lastColumn="0" w:oddVBand="0" w:evenVBand="0" w:oddHBand="1" w:evenHBand="0" w:firstRowFirstColumn="0" w:firstRowLastColumn="0" w:lastRowFirstColumn="0" w:lastRowLastColumn="0"/>
              <w:rPr>
                <w:b/>
              </w:rPr>
            </w:pPr>
          </w:p>
        </w:tc>
        <w:tc>
          <w:tcPr>
            <w:tcW w:w="583" w:type="dxa"/>
            <w:shd w:val="clear" w:color="auto" w:fill="F2F2F2" w:themeFill="background1" w:themeFillShade="F2"/>
          </w:tcPr>
          <w:p w14:paraId="65C62B9A" w14:textId="77777777" w:rsidR="0002609C" w:rsidRPr="0089184F" w:rsidRDefault="0002609C" w:rsidP="0002609C">
            <w:pPr>
              <w:pStyle w:val="Refnum2"/>
              <w:cnfStyle w:val="000000100000" w:firstRow="0" w:lastRow="0" w:firstColumn="0" w:lastColumn="0" w:oddVBand="0" w:evenVBand="0" w:oddHBand="1" w:evenHBand="0" w:firstRowFirstColumn="0" w:firstRowLastColumn="0" w:lastRowFirstColumn="0" w:lastRowLastColumn="0"/>
              <w:rPr>
                <w:b/>
              </w:rPr>
            </w:pPr>
          </w:p>
        </w:tc>
        <w:tc>
          <w:tcPr>
            <w:tcW w:w="6077" w:type="dxa"/>
            <w:shd w:val="clear" w:color="auto" w:fill="F2F2F2" w:themeFill="background1" w:themeFillShade="F2"/>
          </w:tcPr>
          <w:p w14:paraId="7E838FEE" w14:textId="77777777" w:rsidR="0002609C" w:rsidRPr="00546DE5" w:rsidRDefault="0002609C" w:rsidP="00F439D0">
            <w:pPr>
              <w:pStyle w:val="Normalbold"/>
              <w:cnfStyle w:val="000000100000" w:firstRow="0" w:lastRow="0" w:firstColumn="0" w:lastColumn="0" w:oddVBand="0" w:evenVBand="0" w:oddHBand="1" w:evenHBand="0" w:firstRowFirstColumn="0" w:firstRowLastColumn="0" w:lastRowFirstColumn="0" w:lastRowLastColumn="0"/>
            </w:pPr>
            <w:r w:rsidRPr="00546DE5">
              <w:t xml:space="preserve">Applies to all entities defined as either a public body or a department under section 3 of the </w:t>
            </w:r>
            <w:r w:rsidRPr="00546DE5">
              <w:rPr>
                <w:i/>
              </w:rPr>
              <w:t>Financial Management Act 1994</w:t>
            </w:r>
            <w:r w:rsidRPr="00546DE5">
              <w:t>.  Application by State owned corporations are encouraged.</w:t>
            </w:r>
          </w:p>
        </w:tc>
      </w:tr>
      <w:tr w:rsidR="0002609C" w:rsidRPr="00546DE5" w14:paraId="6AE39E5C" w14:textId="77777777" w:rsidTr="00F439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7" w:type="dxa"/>
            <w:shd w:val="clear" w:color="auto" w:fill="F2F2F2" w:themeFill="background1" w:themeFillShade="F2"/>
          </w:tcPr>
          <w:p w14:paraId="5892DB19" w14:textId="77777777" w:rsidR="0002609C" w:rsidRPr="0089184F" w:rsidRDefault="0002609C" w:rsidP="0002609C">
            <w:pPr>
              <w:pStyle w:val="Normalbold"/>
            </w:pPr>
            <w:r w:rsidRPr="0089184F">
              <w:t>Operative date</w:t>
            </w:r>
          </w:p>
        </w:tc>
        <w:tc>
          <w:tcPr>
            <w:tcW w:w="270" w:type="dxa"/>
            <w:shd w:val="clear" w:color="auto" w:fill="F2F2F2" w:themeFill="background1" w:themeFillShade="F2"/>
          </w:tcPr>
          <w:p w14:paraId="14EC2C0C" w14:textId="77777777" w:rsidR="0002609C" w:rsidRPr="0089184F" w:rsidRDefault="0002609C" w:rsidP="0002609C">
            <w:pPr>
              <w:pStyle w:val="Refnum1grey"/>
              <w:cnfStyle w:val="000000010000" w:firstRow="0" w:lastRow="0" w:firstColumn="0" w:lastColumn="0" w:oddVBand="0" w:evenVBand="0" w:oddHBand="0" w:evenHBand="1" w:firstRowFirstColumn="0" w:firstRowLastColumn="0" w:lastRowFirstColumn="0" w:lastRowLastColumn="0"/>
              <w:rPr>
                <w:b/>
              </w:rPr>
            </w:pPr>
          </w:p>
        </w:tc>
        <w:tc>
          <w:tcPr>
            <w:tcW w:w="583" w:type="dxa"/>
            <w:shd w:val="clear" w:color="auto" w:fill="F2F2F2" w:themeFill="background1" w:themeFillShade="F2"/>
          </w:tcPr>
          <w:p w14:paraId="4362734B" w14:textId="77777777" w:rsidR="0002609C" w:rsidRPr="0089184F" w:rsidRDefault="0002609C" w:rsidP="0002609C">
            <w:pPr>
              <w:pStyle w:val="Refnum2"/>
              <w:cnfStyle w:val="000000010000" w:firstRow="0" w:lastRow="0" w:firstColumn="0" w:lastColumn="0" w:oddVBand="0" w:evenVBand="0" w:oddHBand="0" w:evenHBand="1" w:firstRowFirstColumn="0" w:firstRowLastColumn="0" w:lastRowFirstColumn="0" w:lastRowLastColumn="0"/>
              <w:rPr>
                <w:b/>
              </w:rPr>
            </w:pPr>
          </w:p>
        </w:tc>
        <w:tc>
          <w:tcPr>
            <w:tcW w:w="6077" w:type="dxa"/>
            <w:shd w:val="clear" w:color="auto" w:fill="F2F2F2" w:themeFill="background1" w:themeFillShade="F2"/>
          </w:tcPr>
          <w:p w14:paraId="32EDE129" w14:textId="77777777" w:rsidR="0002609C" w:rsidRPr="00546DE5" w:rsidRDefault="0002609C" w:rsidP="00F439D0">
            <w:pPr>
              <w:pStyle w:val="Normalbold"/>
              <w:cnfStyle w:val="000000010000" w:firstRow="0" w:lastRow="0" w:firstColumn="0" w:lastColumn="0" w:oddVBand="0" w:evenVBand="0" w:oddHBand="0" w:evenHBand="1" w:firstRowFirstColumn="0" w:firstRowLastColumn="0" w:lastRowFirstColumn="0" w:lastRowLastColumn="0"/>
            </w:pPr>
            <w:r w:rsidRPr="00546DE5">
              <w:t>Annual reporting periods commencing on or after 1 July 2015.</w:t>
            </w:r>
          </w:p>
        </w:tc>
      </w:tr>
      <w:tr w:rsidR="0002609C" w:rsidRPr="00546DE5" w14:paraId="0FD8FF23" w14:textId="77777777" w:rsidTr="00F439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7" w:type="dxa"/>
            <w:shd w:val="clear" w:color="auto" w:fill="F2F2F2" w:themeFill="background1" w:themeFillShade="F2"/>
          </w:tcPr>
          <w:p w14:paraId="393F1FAA" w14:textId="77777777" w:rsidR="0002609C" w:rsidRPr="0089184F" w:rsidRDefault="0002609C" w:rsidP="006F2CFD">
            <w:pPr>
              <w:rPr>
                <w:b/>
              </w:rPr>
            </w:pPr>
          </w:p>
        </w:tc>
        <w:tc>
          <w:tcPr>
            <w:tcW w:w="270" w:type="dxa"/>
            <w:shd w:val="clear" w:color="auto" w:fill="F2F2F2" w:themeFill="background1" w:themeFillShade="F2"/>
          </w:tcPr>
          <w:p w14:paraId="45AE9A7E" w14:textId="77777777" w:rsidR="0002609C" w:rsidRPr="0089184F" w:rsidRDefault="0002609C" w:rsidP="0083306E">
            <w:pPr>
              <w:cnfStyle w:val="000000100000" w:firstRow="0" w:lastRow="0" w:firstColumn="0" w:lastColumn="0" w:oddVBand="0" w:evenVBand="0" w:oddHBand="1" w:evenHBand="0" w:firstRowFirstColumn="0" w:firstRowLastColumn="0" w:lastRowFirstColumn="0" w:lastRowLastColumn="0"/>
              <w:rPr>
                <w:b/>
              </w:rPr>
            </w:pPr>
          </w:p>
        </w:tc>
        <w:tc>
          <w:tcPr>
            <w:tcW w:w="583" w:type="dxa"/>
            <w:shd w:val="clear" w:color="auto" w:fill="F2F2F2" w:themeFill="background1" w:themeFillShade="F2"/>
          </w:tcPr>
          <w:p w14:paraId="5669B687" w14:textId="77777777" w:rsidR="0002609C" w:rsidRPr="0089184F" w:rsidRDefault="0002609C" w:rsidP="0002609C">
            <w:pPr>
              <w:pStyle w:val="Refnum2"/>
              <w:cnfStyle w:val="000000100000" w:firstRow="0" w:lastRow="0" w:firstColumn="0" w:lastColumn="0" w:oddVBand="0" w:evenVBand="0" w:oddHBand="1" w:evenHBand="0" w:firstRowFirstColumn="0" w:firstRowLastColumn="0" w:lastRowFirstColumn="0" w:lastRowLastColumn="0"/>
              <w:rPr>
                <w:b/>
              </w:rPr>
            </w:pPr>
          </w:p>
        </w:tc>
        <w:tc>
          <w:tcPr>
            <w:tcW w:w="6077" w:type="dxa"/>
            <w:shd w:val="clear" w:color="auto" w:fill="F2F2F2" w:themeFill="background1" w:themeFillShade="F2"/>
          </w:tcPr>
          <w:p w14:paraId="308C4252" w14:textId="099B4795" w:rsidR="0044320A" w:rsidRPr="00546DE5" w:rsidRDefault="0044320A" w:rsidP="00F439D0">
            <w:pPr>
              <w:pStyle w:val="Normalbold"/>
              <w:cnfStyle w:val="000000100000" w:firstRow="0" w:lastRow="0" w:firstColumn="0" w:lastColumn="0" w:oddVBand="0" w:evenVBand="0" w:oddHBand="1" w:evenHBand="0" w:firstRowFirstColumn="0" w:firstRowLastColumn="0" w:lastRowFirstColumn="0" w:lastRowLastColumn="0"/>
            </w:pPr>
            <w:r>
              <w:t xml:space="preserve">FRD 107B </w:t>
            </w:r>
            <w:r>
              <w:rPr>
                <w:i/>
                <w:iCs/>
              </w:rPr>
              <w:t xml:space="preserve">Investment properties </w:t>
            </w:r>
            <w:r>
              <w:t xml:space="preserve">is renamed to FRD 107 </w:t>
            </w:r>
            <w:r>
              <w:rPr>
                <w:i/>
                <w:iCs/>
              </w:rPr>
              <w:t xml:space="preserve">Investment properties </w:t>
            </w:r>
            <w:r w:rsidRPr="00D53CCF">
              <w:t>effective 1 April 2022</w:t>
            </w:r>
            <w:r w:rsidR="00772422">
              <w:t>.</w:t>
            </w:r>
          </w:p>
        </w:tc>
      </w:tr>
      <w:tr w:rsidR="0002609C" w:rsidRPr="00546DE5" w14:paraId="24E9255A" w14:textId="77777777" w:rsidTr="00F439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7" w:type="dxa"/>
            <w:shd w:val="clear" w:color="auto" w:fill="F2F2F2" w:themeFill="background1" w:themeFillShade="F2"/>
          </w:tcPr>
          <w:p w14:paraId="12C08FCD" w14:textId="77777777" w:rsidR="0002609C" w:rsidRPr="0089184F" w:rsidRDefault="0002609C" w:rsidP="00F439D0">
            <w:pPr>
              <w:pStyle w:val="Normalbold"/>
            </w:pPr>
            <w:r w:rsidRPr="0089184F">
              <w:t>Requirements</w:t>
            </w:r>
          </w:p>
        </w:tc>
        <w:tc>
          <w:tcPr>
            <w:tcW w:w="270" w:type="dxa"/>
            <w:shd w:val="clear" w:color="auto" w:fill="F2F2F2" w:themeFill="background1" w:themeFillShade="F2"/>
          </w:tcPr>
          <w:p w14:paraId="005953CA" w14:textId="77777777" w:rsidR="0002609C" w:rsidRPr="0089184F" w:rsidRDefault="0002609C" w:rsidP="0002609C">
            <w:pPr>
              <w:pStyle w:val="Refnum1grey"/>
              <w:cnfStyle w:val="000000010000" w:firstRow="0" w:lastRow="0" w:firstColumn="0" w:lastColumn="0" w:oddVBand="0" w:evenVBand="0" w:oddHBand="0" w:evenHBand="1" w:firstRowFirstColumn="0" w:firstRowLastColumn="0" w:lastRowFirstColumn="0" w:lastRowLastColumn="0"/>
              <w:rPr>
                <w:b/>
              </w:rPr>
            </w:pPr>
          </w:p>
        </w:tc>
        <w:tc>
          <w:tcPr>
            <w:tcW w:w="583" w:type="dxa"/>
            <w:shd w:val="clear" w:color="auto" w:fill="F2F2F2" w:themeFill="background1" w:themeFillShade="F2"/>
          </w:tcPr>
          <w:p w14:paraId="7DF01537" w14:textId="77777777" w:rsidR="0002609C" w:rsidRPr="0089184F" w:rsidRDefault="0002609C" w:rsidP="0002609C">
            <w:pPr>
              <w:pStyle w:val="Refnum2"/>
              <w:cnfStyle w:val="000000010000" w:firstRow="0" w:lastRow="0" w:firstColumn="0" w:lastColumn="0" w:oddVBand="0" w:evenVBand="0" w:oddHBand="0" w:evenHBand="1" w:firstRowFirstColumn="0" w:firstRowLastColumn="0" w:lastRowFirstColumn="0" w:lastRowLastColumn="0"/>
              <w:rPr>
                <w:b/>
              </w:rPr>
            </w:pPr>
          </w:p>
        </w:tc>
        <w:tc>
          <w:tcPr>
            <w:tcW w:w="6077" w:type="dxa"/>
            <w:shd w:val="clear" w:color="auto" w:fill="F2F2F2" w:themeFill="background1" w:themeFillShade="F2"/>
          </w:tcPr>
          <w:p w14:paraId="7E6ADEF5" w14:textId="77777777" w:rsidR="0002609C" w:rsidRDefault="0002609C" w:rsidP="00F439D0">
            <w:pPr>
              <w:pStyle w:val="Normalbold"/>
              <w:cnfStyle w:val="000000010000" w:firstRow="0" w:lastRow="0" w:firstColumn="0" w:lastColumn="0" w:oddVBand="0" w:evenVBand="0" w:oddHBand="0" w:evenHBand="1" w:firstRowFirstColumn="0" w:firstRowLastColumn="0" w:lastRowFirstColumn="0" w:lastRowLastColumn="0"/>
            </w:pPr>
            <w:r w:rsidRPr="00546DE5">
              <w:t>Not-for-profit entities – Properties held for service delivery objectives:</w:t>
            </w:r>
          </w:p>
          <w:p w14:paraId="64F84E85" w14:textId="77777777" w:rsidR="0002609C" w:rsidRPr="00546DE5" w:rsidRDefault="0002609C" w:rsidP="0044320A">
            <w:pPr>
              <w:pStyle w:val="Normalbold"/>
              <w:cnfStyle w:val="000000010000" w:firstRow="0" w:lastRow="0" w:firstColumn="0" w:lastColumn="0" w:oddVBand="0" w:evenVBand="0" w:oddHBand="0" w:evenHBand="1" w:firstRowFirstColumn="0" w:firstRowLastColumn="0" w:lastRowFirstColumn="0" w:lastRowLastColumn="0"/>
            </w:pPr>
            <w:r w:rsidRPr="00546DE5">
              <w:t xml:space="preserve">Properties held by not-for-profit entities to meet service delivery objectives are not investment properties and shall be classified as property, plant and equipment.  The reason for classifying a property that would otherwise satisfy the definition of investment property as property, plant and equipment shall be documented and approved by the entity’s </w:t>
            </w:r>
            <w:r w:rsidRPr="00546DE5">
              <w:rPr>
                <w:i/>
                <w:iCs/>
              </w:rPr>
              <w:t>Responsible Body</w:t>
            </w:r>
            <w:r w:rsidRPr="00546DE5">
              <w:t>.</w:t>
            </w:r>
          </w:p>
        </w:tc>
      </w:tr>
      <w:tr w:rsidR="0002609C" w:rsidRPr="00546DE5" w14:paraId="61A788FA" w14:textId="77777777" w:rsidTr="00F439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7" w:type="dxa"/>
            <w:shd w:val="clear" w:color="auto" w:fill="F2F2F2" w:themeFill="background1" w:themeFillShade="F2"/>
          </w:tcPr>
          <w:p w14:paraId="1F4AA9CA" w14:textId="77777777" w:rsidR="0002609C" w:rsidRPr="0089184F" w:rsidRDefault="0002609C" w:rsidP="006F2CFD">
            <w:pPr>
              <w:rPr>
                <w:b/>
              </w:rPr>
            </w:pPr>
          </w:p>
        </w:tc>
        <w:tc>
          <w:tcPr>
            <w:tcW w:w="270" w:type="dxa"/>
            <w:shd w:val="clear" w:color="auto" w:fill="F2F2F2" w:themeFill="background1" w:themeFillShade="F2"/>
          </w:tcPr>
          <w:p w14:paraId="0E6077C9" w14:textId="77777777" w:rsidR="0002609C" w:rsidRPr="0089184F" w:rsidRDefault="0002609C" w:rsidP="0002609C">
            <w:pPr>
              <w:cnfStyle w:val="000000100000" w:firstRow="0" w:lastRow="0" w:firstColumn="0" w:lastColumn="0" w:oddVBand="0" w:evenVBand="0" w:oddHBand="1" w:evenHBand="0" w:firstRowFirstColumn="0" w:firstRowLastColumn="0" w:lastRowFirstColumn="0" w:lastRowLastColumn="0"/>
              <w:rPr>
                <w:b/>
              </w:rPr>
            </w:pPr>
          </w:p>
        </w:tc>
        <w:tc>
          <w:tcPr>
            <w:tcW w:w="583" w:type="dxa"/>
            <w:shd w:val="clear" w:color="auto" w:fill="F2F2F2" w:themeFill="background1" w:themeFillShade="F2"/>
          </w:tcPr>
          <w:p w14:paraId="25E025D9" w14:textId="77777777" w:rsidR="0002609C" w:rsidRPr="0089184F" w:rsidRDefault="0002609C" w:rsidP="0002609C">
            <w:pPr>
              <w:pStyle w:val="Refnum2"/>
              <w:cnfStyle w:val="000000100000" w:firstRow="0" w:lastRow="0" w:firstColumn="0" w:lastColumn="0" w:oddVBand="0" w:evenVBand="0" w:oddHBand="1" w:evenHBand="0" w:firstRowFirstColumn="0" w:firstRowLastColumn="0" w:lastRowFirstColumn="0" w:lastRowLastColumn="0"/>
              <w:rPr>
                <w:b/>
              </w:rPr>
            </w:pPr>
          </w:p>
        </w:tc>
        <w:tc>
          <w:tcPr>
            <w:tcW w:w="6077" w:type="dxa"/>
            <w:shd w:val="clear" w:color="auto" w:fill="F2F2F2" w:themeFill="background1" w:themeFillShade="F2"/>
          </w:tcPr>
          <w:p w14:paraId="2318C8C8" w14:textId="77777777" w:rsidR="0002609C" w:rsidRDefault="0002609C" w:rsidP="0044320A">
            <w:pPr>
              <w:pStyle w:val="Normalbold"/>
              <w:cnfStyle w:val="000000100000" w:firstRow="0" w:lastRow="0" w:firstColumn="0" w:lastColumn="0" w:oddVBand="0" w:evenVBand="0" w:oddHBand="1" w:evenHBand="0" w:firstRowFirstColumn="0" w:firstRowLastColumn="0" w:lastRowFirstColumn="0" w:lastRowLastColumn="0"/>
            </w:pPr>
            <w:r w:rsidRPr="00546DE5">
              <w:t xml:space="preserve">Measurement </w:t>
            </w:r>
            <w:r w:rsidRPr="0044320A">
              <w:t>subsequent</w:t>
            </w:r>
            <w:r w:rsidRPr="00546DE5">
              <w:t xml:space="preserve"> to initial recognition:</w:t>
            </w:r>
          </w:p>
          <w:p w14:paraId="08DB570F" w14:textId="2515E065" w:rsidR="0002609C" w:rsidRPr="0044320A" w:rsidRDefault="0002609C" w:rsidP="0044320A">
            <w:pPr>
              <w:pStyle w:val="Normalbold"/>
              <w:cnfStyle w:val="000000100000" w:firstRow="0" w:lastRow="0" w:firstColumn="0" w:lastColumn="0" w:oddVBand="0" w:evenVBand="0" w:oddHBand="1" w:evenHBand="0" w:firstRowFirstColumn="0" w:firstRowLastColumn="0" w:lastRowFirstColumn="0" w:lastRowLastColumn="0"/>
            </w:pPr>
            <w:r w:rsidRPr="00546DE5">
              <w:t xml:space="preserve">An entity shall measure </w:t>
            </w:r>
            <w:r w:rsidRPr="0044320A">
              <w:t>its</w:t>
            </w:r>
            <w:r w:rsidRPr="00546DE5">
              <w:t xml:space="preserve"> investment property (after recognition) using the fair value model unless the entity has received prior written approval from the </w:t>
            </w:r>
            <w:r w:rsidR="0044320A">
              <w:t xml:space="preserve">Assistant Treasurer </w:t>
            </w:r>
            <w:r w:rsidRPr="00546DE5">
              <w:t>to use the cost model.</w:t>
            </w:r>
          </w:p>
        </w:tc>
      </w:tr>
      <w:tr w:rsidR="0002609C" w:rsidRPr="00546DE5" w14:paraId="39B38F7B" w14:textId="77777777" w:rsidTr="00F439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7" w:type="dxa"/>
            <w:shd w:val="clear" w:color="auto" w:fill="F2F2F2" w:themeFill="background1" w:themeFillShade="F2"/>
          </w:tcPr>
          <w:p w14:paraId="733ED74D" w14:textId="77777777" w:rsidR="0002609C" w:rsidRPr="0089184F" w:rsidRDefault="0002609C" w:rsidP="006F2CFD">
            <w:pPr>
              <w:rPr>
                <w:b/>
              </w:rPr>
            </w:pPr>
          </w:p>
        </w:tc>
        <w:tc>
          <w:tcPr>
            <w:tcW w:w="270" w:type="dxa"/>
            <w:shd w:val="clear" w:color="auto" w:fill="F2F2F2" w:themeFill="background1" w:themeFillShade="F2"/>
          </w:tcPr>
          <w:p w14:paraId="4CD6A82C" w14:textId="77777777" w:rsidR="0002609C" w:rsidRPr="0089184F" w:rsidRDefault="0002609C" w:rsidP="0002609C">
            <w:pPr>
              <w:cnfStyle w:val="000000010000" w:firstRow="0" w:lastRow="0" w:firstColumn="0" w:lastColumn="0" w:oddVBand="0" w:evenVBand="0" w:oddHBand="0" w:evenHBand="1" w:firstRowFirstColumn="0" w:firstRowLastColumn="0" w:lastRowFirstColumn="0" w:lastRowLastColumn="0"/>
              <w:rPr>
                <w:b/>
              </w:rPr>
            </w:pPr>
          </w:p>
        </w:tc>
        <w:tc>
          <w:tcPr>
            <w:tcW w:w="583" w:type="dxa"/>
            <w:shd w:val="clear" w:color="auto" w:fill="F2F2F2" w:themeFill="background1" w:themeFillShade="F2"/>
          </w:tcPr>
          <w:p w14:paraId="61FE7BEB" w14:textId="77777777" w:rsidR="0002609C" w:rsidRPr="0089184F" w:rsidRDefault="0002609C" w:rsidP="0002609C">
            <w:pPr>
              <w:pStyle w:val="Refnum2"/>
              <w:cnfStyle w:val="000000010000" w:firstRow="0" w:lastRow="0" w:firstColumn="0" w:lastColumn="0" w:oddVBand="0" w:evenVBand="0" w:oddHBand="0" w:evenHBand="1" w:firstRowFirstColumn="0" w:firstRowLastColumn="0" w:lastRowFirstColumn="0" w:lastRowLastColumn="0"/>
              <w:rPr>
                <w:b/>
              </w:rPr>
            </w:pPr>
          </w:p>
        </w:tc>
        <w:tc>
          <w:tcPr>
            <w:tcW w:w="6077" w:type="dxa"/>
            <w:shd w:val="clear" w:color="auto" w:fill="F2F2F2" w:themeFill="background1" w:themeFillShade="F2"/>
          </w:tcPr>
          <w:p w14:paraId="7AE4E1B3" w14:textId="77777777" w:rsidR="0002609C" w:rsidRPr="00546DE5" w:rsidRDefault="0002609C" w:rsidP="0044320A">
            <w:pPr>
              <w:pStyle w:val="Normalbold"/>
              <w:cnfStyle w:val="000000010000" w:firstRow="0" w:lastRow="0" w:firstColumn="0" w:lastColumn="0" w:oddVBand="0" w:evenVBand="0" w:oddHBand="0" w:evenHBand="1" w:firstRowFirstColumn="0" w:firstRowLastColumn="0" w:lastRowFirstColumn="0" w:lastRowLastColumn="0"/>
            </w:pPr>
            <w:r w:rsidRPr="00546DE5">
              <w:t xml:space="preserve">The investment </w:t>
            </w:r>
            <w:r w:rsidRPr="0044320A">
              <w:t>properties</w:t>
            </w:r>
            <w:r w:rsidRPr="00546DE5">
              <w:t xml:space="preserve"> shall be measured at fair value with regard to an asset’s highest and best use (HBU) from the perspective of the market participant, taking into account any legal, financial or physical restrictions imposed on the use or sale of the asset.</w:t>
            </w:r>
          </w:p>
        </w:tc>
      </w:tr>
      <w:tr w:rsidR="0002609C" w:rsidRPr="00546DE5" w14:paraId="5C4009EE" w14:textId="77777777" w:rsidTr="00F439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7" w:type="dxa"/>
            <w:shd w:val="clear" w:color="auto" w:fill="F2F2F2" w:themeFill="background1" w:themeFillShade="F2"/>
          </w:tcPr>
          <w:p w14:paraId="38943A79" w14:textId="77777777" w:rsidR="0002609C" w:rsidRPr="0089184F" w:rsidRDefault="0002609C" w:rsidP="006F2CFD">
            <w:pPr>
              <w:rPr>
                <w:b/>
              </w:rPr>
            </w:pPr>
          </w:p>
        </w:tc>
        <w:tc>
          <w:tcPr>
            <w:tcW w:w="270" w:type="dxa"/>
            <w:shd w:val="clear" w:color="auto" w:fill="F2F2F2" w:themeFill="background1" w:themeFillShade="F2"/>
          </w:tcPr>
          <w:p w14:paraId="2994172A" w14:textId="77777777" w:rsidR="0002609C" w:rsidRPr="0089184F" w:rsidRDefault="0002609C" w:rsidP="0002609C">
            <w:pPr>
              <w:cnfStyle w:val="000000100000" w:firstRow="0" w:lastRow="0" w:firstColumn="0" w:lastColumn="0" w:oddVBand="0" w:evenVBand="0" w:oddHBand="1" w:evenHBand="0" w:firstRowFirstColumn="0" w:firstRowLastColumn="0" w:lastRowFirstColumn="0" w:lastRowLastColumn="0"/>
              <w:rPr>
                <w:b/>
              </w:rPr>
            </w:pPr>
          </w:p>
        </w:tc>
        <w:tc>
          <w:tcPr>
            <w:tcW w:w="583" w:type="dxa"/>
            <w:shd w:val="clear" w:color="auto" w:fill="F2F2F2" w:themeFill="background1" w:themeFillShade="F2"/>
          </w:tcPr>
          <w:p w14:paraId="31496C9E" w14:textId="77777777" w:rsidR="0002609C" w:rsidRPr="0089184F" w:rsidRDefault="0002609C" w:rsidP="0002609C">
            <w:pPr>
              <w:pStyle w:val="Refnum2"/>
              <w:cnfStyle w:val="000000100000" w:firstRow="0" w:lastRow="0" w:firstColumn="0" w:lastColumn="0" w:oddVBand="0" w:evenVBand="0" w:oddHBand="1" w:evenHBand="0" w:firstRowFirstColumn="0" w:firstRowLastColumn="0" w:lastRowFirstColumn="0" w:lastRowLastColumn="0"/>
              <w:rPr>
                <w:b/>
              </w:rPr>
            </w:pPr>
          </w:p>
        </w:tc>
        <w:tc>
          <w:tcPr>
            <w:tcW w:w="6077" w:type="dxa"/>
            <w:shd w:val="clear" w:color="auto" w:fill="F2F2F2" w:themeFill="background1" w:themeFillShade="F2"/>
          </w:tcPr>
          <w:p w14:paraId="68D8B260" w14:textId="1B5C6823" w:rsidR="0002609C" w:rsidRPr="00546DE5" w:rsidRDefault="0002609C" w:rsidP="0044320A">
            <w:pPr>
              <w:pStyle w:val="Normalbold"/>
              <w:cnfStyle w:val="000000100000" w:firstRow="0" w:lastRow="0" w:firstColumn="0" w:lastColumn="0" w:oddVBand="0" w:evenVBand="0" w:oddHBand="1" w:evenHBand="0" w:firstRowFirstColumn="0" w:firstRowLastColumn="0" w:lastRowFirstColumn="0" w:lastRowLastColumn="0"/>
            </w:pPr>
            <w:r w:rsidRPr="00546DE5">
              <w:t xml:space="preserve">An entity’s current use of the investment property shall be its HBU unless any HBU indicators suggest that a different use by market participants would maximise the value of the asset. </w:t>
            </w:r>
            <w:r w:rsidR="00772422">
              <w:t xml:space="preserve">For guidance, </w:t>
            </w:r>
            <w:r w:rsidR="00772422" w:rsidRPr="00546DE5">
              <w:t>r</w:t>
            </w:r>
            <w:r w:rsidRPr="00546DE5">
              <w:t xml:space="preserve">efer to </w:t>
            </w:r>
            <w:r w:rsidR="00772422">
              <w:t xml:space="preserve">Guidance on the application of </w:t>
            </w:r>
            <w:r w:rsidRPr="00546DE5">
              <w:t xml:space="preserve">FRD 103 </w:t>
            </w:r>
            <w:r w:rsidRPr="00546DE5">
              <w:rPr>
                <w:i/>
              </w:rPr>
              <w:t>Non-Financial Physical Assets</w:t>
            </w:r>
            <w:r w:rsidRPr="00546DE5">
              <w:t>.</w:t>
            </w:r>
          </w:p>
        </w:tc>
      </w:tr>
      <w:tr w:rsidR="0002609C" w:rsidRPr="00546DE5" w14:paraId="6513C673" w14:textId="77777777" w:rsidTr="00F439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7" w:type="dxa"/>
            <w:shd w:val="clear" w:color="auto" w:fill="F2F2F2" w:themeFill="background1" w:themeFillShade="F2"/>
          </w:tcPr>
          <w:p w14:paraId="1FC9CF5F" w14:textId="77777777" w:rsidR="0002609C" w:rsidRPr="0089184F" w:rsidRDefault="0002609C" w:rsidP="006F2CFD">
            <w:pPr>
              <w:rPr>
                <w:b/>
              </w:rPr>
            </w:pPr>
          </w:p>
        </w:tc>
        <w:tc>
          <w:tcPr>
            <w:tcW w:w="270" w:type="dxa"/>
            <w:shd w:val="clear" w:color="auto" w:fill="F2F2F2" w:themeFill="background1" w:themeFillShade="F2"/>
          </w:tcPr>
          <w:p w14:paraId="1C25362C" w14:textId="77777777" w:rsidR="0002609C" w:rsidRPr="0089184F" w:rsidRDefault="0002609C" w:rsidP="0002609C">
            <w:pPr>
              <w:cnfStyle w:val="000000010000" w:firstRow="0" w:lastRow="0" w:firstColumn="0" w:lastColumn="0" w:oddVBand="0" w:evenVBand="0" w:oddHBand="0" w:evenHBand="1" w:firstRowFirstColumn="0" w:firstRowLastColumn="0" w:lastRowFirstColumn="0" w:lastRowLastColumn="0"/>
              <w:rPr>
                <w:b/>
              </w:rPr>
            </w:pPr>
          </w:p>
        </w:tc>
        <w:tc>
          <w:tcPr>
            <w:tcW w:w="583" w:type="dxa"/>
            <w:shd w:val="clear" w:color="auto" w:fill="F2F2F2" w:themeFill="background1" w:themeFillShade="F2"/>
          </w:tcPr>
          <w:p w14:paraId="5A9BF479" w14:textId="77777777" w:rsidR="0002609C" w:rsidRPr="0089184F" w:rsidRDefault="0002609C" w:rsidP="0002609C">
            <w:pPr>
              <w:pStyle w:val="Refnum2"/>
              <w:cnfStyle w:val="000000010000" w:firstRow="0" w:lastRow="0" w:firstColumn="0" w:lastColumn="0" w:oddVBand="0" w:evenVBand="0" w:oddHBand="0" w:evenHBand="1" w:firstRowFirstColumn="0" w:firstRowLastColumn="0" w:lastRowFirstColumn="0" w:lastRowLastColumn="0"/>
              <w:rPr>
                <w:b/>
              </w:rPr>
            </w:pPr>
          </w:p>
        </w:tc>
        <w:tc>
          <w:tcPr>
            <w:tcW w:w="6077" w:type="dxa"/>
            <w:shd w:val="clear" w:color="auto" w:fill="F2F2F2" w:themeFill="background1" w:themeFillShade="F2"/>
          </w:tcPr>
          <w:p w14:paraId="2BFEB288" w14:textId="77777777" w:rsidR="0002609C" w:rsidRPr="00546DE5" w:rsidRDefault="0002609C" w:rsidP="00F439D0">
            <w:pPr>
              <w:pStyle w:val="Normalbold"/>
              <w:cnfStyle w:val="000000010000" w:firstRow="0" w:lastRow="0" w:firstColumn="0" w:lastColumn="0" w:oddVBand="0" w:evenVBand="0" w:oddHBand="0" w:evenHBand="1" w:firstRowFirstColumn="0" w:firstRowLastColumn="0" w:lastRowFirstColumn="0" w:lastRowLastColumn="0"/>
            </w:pPr>
            <w:r w:rsidRPr="00546DE5">
              <w:t>Fair value assessments shall be conducted annually such that the investment property reflects the fair value at the end of the annual reporting period, after taking into consideration all fair value indicators, which include VGV Land and Building Indices, the HBU and other relevant indicators.</w:t>
            </w:r>
          </w:p>
        </w:tc>
      </w:tr>
      <w:tr w:rsidR="0002609C" w:rsidRPr="00546DE5" w14:paraId="3F2344EE" w14:textId="77777777" w:rsidTr="00026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7" w:type="dxa"/>
          </w:tcPr>
          <w:p w14:paraId="42B108B6" w14:textId="77777777" w:rsidR="0002609C" w:rsidRPr="00546DE5" w:rsidRDefault="0002609C" w:rsidP="0002609C">
            <w:pPr>
              <w:pStyle w:val="Normalgrey"/>
            </w:pPr>
            <w:r w:rsidRPr="00546DE5">
              <w:lastRenderedPageBreak/>
              <w:t>Definitions</w:t>
            </w:r>
          </w:p>
        </w:tc>
        <w:tc>
          <w:tcPr>
            <w:tcW w:w="270" w:type="dxa"/>
          </w:tcPr>
          <w:p w14:paraId="1CA80D47" w14:textId="77777777" w:rsidR="0002609C" w:rsidRPr="00546DE5" w:rsidRDefault="0002609C" w:rsidP="00F439D0">
            <w:pPr>
              <w:pStyle w:val="Refnum1"/>
              <w:cnfStyle w:val="000000100000" w:firstRow="0" w:lastRow="0" w:firstColumn="0" w:lastColumn="0" w:oddVBand="0" w:evenVBand="0" w:oddHBand="1" w:evenHBand="0" w:firstRowFirstColumn="0" w:firstRowLastColumn="0" w:lastRowFirstColumn="0" w:lastRowLastColumn="0"/>
            </w:pPr>
          </w:p>
        </w:tc>
        <w:tc>
          <w:tcPr>
            <w:tcW w:w="583" w:type="dxa"/>
          </w:tcPr>
          <w:p w14:paraId="76122A7E" w14:textId="77777777" w:rsidR="0002609C" w:rsidRPr="00546DE5" w:rsidRDefault="0002609C" w:rsidP="00F439D0">
            <w:pPr>
              <w:pStyle w:val="Refnum2"/>
              <w:cnfStyle w:val="000000100000" w:firstRow="0" w:lastRow="0" w:firstColumn="0" w:lastColumn="0" w:oddVBand="0" w:evenVBand="0" w:oddHBand="1" w:evenHBand="0" w:firstRowFirstColumn="0" w:firstRowLastColumn="0" w:lastRowFirstColumn="0" w:lastRowLastColumn="0"/>
            </w:pPr>
          </w:p>
        </w:tc>
        <w:tc>
          <w:tcPr>
            <w:tcW w:w="6077" w:type="dxa"/>
          </w:tcPr>
          <w:p w14:paraId="31F50B7A" w14:textId="77777777" w:rsidR="0002609C" w:rsidRPr="00546DE5" w:rsidRDefault="0002609C" w:rsidP="00772422">
            <w:pPr>
              <w:pStyle w:val="Normalgrey"/>
              <w:cnfStyle w:val="000000100000" w:firstRow="0" w:lastRow="0" w:firstColumn="0" w:lastColumn="0" w:oddVBand="0" w:evenVBand="0" w:oddHBand="1" w:evenHBand="0" w:firstRowFirstColumn="0" w:firstRowLastColumn="0" w:lastRowFirstColumn="0" w:lastRowLastColumn="0"/>
            </w:pPr>
            <w:r w:rsidRPr="00F439D0">
              <w:t>Responsible</w:t>
            </w:r>
            <w:r w:rsidRPr="00546DE5">
              <w:t xml:space="preserve"> </w:t>
            </w:r>
            <w:r w:rsidRPr="00772422">
              <w:t>Body</w:t>
            </w:r>
            <w:r w:rsidRPr="00546DE5">
              <w:t xml:space="preserve"> means for a:</w:t>
            </w:r>
          </w:p>
          <w:p w14:paraId="20C609C9" w14:textId="77777777" w:rsidR="0002609C" w:rsidRPr="00772422" w:rsidRDefault="0002609C" w:rsidP="00772422">
            <w:pPr>
              <w:pStyle w:val="Bullet1grey"/>
              <w:cnfStyle w:val="000000100000" w:firstRow="0" w:lastRow="0" w:firstColumn="0" w:lastColumn="0" w:oddVBand="0" w:evenVBand="0" w:oddHBand="1" w:evenHBand="0" w:firstRowFirstColumn="0" w:firstRowLastColumn="0" w:lastRowFirstColumn="0" w:lastRowLastColumn="0"/>
            </w:pPr>
            <w:r w:rsidRPr="00772422">
              <w:t>Government Department, the Accountable Officer; and</w:t>
            </w:r>
          </w:p>
          <w:p w14:paraId="68721BEA" w14:textId="77777777" w:rsidR="0002609C" w:rsidRPr="00546DE5" w:rsidRDefault="00F439D0" w:rsidP="00772422">
            <w:pPr>
              <w:pStyle w:val="Bullet1grey"/>
              <w:cnfStyle w:val="000000100000" w:firstRow="0" w:lastRow="0" w:firstColumn="0" w:lastColumn="0" w:oddVBand="0" w:evenVBand="0" w:oddHBand="1" w:evenHBand="0" w:firstRowFirstColumn="0" w:firstRowLastColumn="0" w:lastRowFirstColumn="0" w:lastRowLastColumn="0"/>
            </w:pPr>
            <w:r w:rsidRPr="00772422">
              <w:t xml:space="preserve">every </w:t>
            </w:r>
            <w:r w:rsidR="0002609C" w:rsidRPr="00772422">
              <w:t>other</w:t>
            </w:r>
            <w:r w:rsidR="0002609C" w:rsidRPr="00546DE5">
              <w:t xml:space="preserve"> </w:t>
            </w:r>
            <w:r w:rsidRPr="00546DE5">
              <w:t>public sector agency</w:t>
            </w:r>
            <w:r w:rsidR="0002609C" w:rsidRPr="00546DE5">
              <w:t>, the board.</w:t>
            </w:r>
          </w:p>
          <w:p w14:paraId="7CA5CD2D" w14:textId="77777777" w:rsidR="0002609C" w:rsidRPr="00546DE5" w:rsidRDefault="0002609C" w:rsidP="00772422">
            <w:pPr>
              <w:pStyle w:val="Normalgrey"/>
              <w:cnfStyle w:val="000000100000" w:firstRow="0" w:lastRow="0" w:firstColumn="0" w:lastColumn="0" w:oddVBand="0" w:evenVBand="0" w:oddHBand="1" w:evenHBand="0" w:firstRowFirstColumn="0" w:firstRowLastColumn="0" w:lastRowFirstColumn="0" w:lastRowLastColumn="0"/>
            </w:pPr>
            <w:r w:rsidRPr="00546DE5">
              <w:t xml:space="preserve">Refer </w:t>
            </w:r>
            <w:r w:rsidRPr="00772422">
              <w:t>to</w:t>
            </w:r>
            <w:r w:rsidRPr="00546DE5">
              <w:t xml:space="preserve"> paragraph 5 of AASB 140 </w:t>
            </w:r>
            <w:r w:rsidRPr="00546DE5">
              <w:rPr>
                <w:i/>
              </w:rPr>
              <w:t>Investment Property</w:t>
            </w:r>
            <w:r w:rsidRPr="00546DE5">
              <w:t xml:space="preserve"> for the following definitions:</w:t>
            </w:r>
          </w:p>
          <w:p w14:paraId="7FBD2A22" w14:textId="77777777" w:rsidR="0002609C" w:rsidRPr="00772422" w:rsidRDefault="0002609C" w:rsidP="00772422">
            <w:pPr>
              <w:pStyle w:val="Bullet1grey"/>
              <w:cnfStyle w:val="000000100000" w:firstRow="0" w:lastRow="0" w:firstColumn="0" w:lastColumn="0" w:oddVBand="0" w:evenVBand="0" w:oddHBand="1" w:evenHBand="0" w:firstRowFirstColumn="0" w:firstRowLastColumn="0" w:lastRowFirstColumn="0" w:lastRowLastColumn="0"/>
            </w:pPr>
            <w:r w:rsidRPr="00772422">
              <w:t>Cost;</w:t>
            </w:r>
          </w:p>
          <w:p w14:paraId="1706650C" w14:textId="77777777" w:rsidR="0002609C" w:rsidRPr="00772422" w:rsidRDefault="0002609C" w:rsidP="00772422">
            <w:pPr>
              <w:pStyle w:val="Bullet1grey"/>
              <w:cnfStyle w:val="000000100000" w:firstRow="0" w:lastRow="0" w:firstColumn="0" w:lastColumn="0" w:oddVBand="0" w:evenVBand="0" w:oddHBand="1" w:evenHBand="0" w:firstRowFirstColumn="0" w:firstRowLastColumn="0" w:lastRowFirstColumn="0" w:lastRowLastColumn="0"/>
            </w:pPr>
            <w:r w:rsidRPr="00772422">
              <w:t>Investment property; and</w:t>
            </w:r>
          </w:p>
          <w:p w14:paraId="6B5F393A" w14:textId="77777777" w:rsidR="0002609C" w:rsidRPr="00546DE5" w:rsidRDefault="0002609C" w:rsidP="00772422">
            <w:pPr>
              <w:pStyle w:val="Bullet1grey"/>
              <w:cnfStyle w:val="000000100000" w:firstRow="0" w:lastRow="0" w:firstColumn="0" w:lastColumn="0" w:oddVBand="0" w:evenVBand="0" w:oddHBand="1" w:evenHBand="0" w:firstRowFirstColumn="0" w:firstRowLastColumn="0" w:lastRowFirstColumn="0" w:lastRowLastColumn="0"/>
            </w:pPr>
            <w:r w:rsidRPr="00772422">
              <w:t>Fair value</w:t>
            </w:r>
            <w:r w:rsidRPr="00546DE5">
              <w:t xml:space="preserve">. </w:t>
            </w:r>
          </w:p>
        </w:tc>
      </w:tr>
      <w:tr w:rsidR="0002609C" w:rsidRPr="00546DE5" w14:paraId="4D506D2E" w14:textId="77777777" w:rsidTr="0002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7" w:type="dxa"/>
          </w:tcPr>
          <w:p w14:paraId="471836CD" w14:textId="77777777" w:rsidR="0002609C" w:rsidRPr="00546DE5" w:rsidRDefault="0002609C" w:rsidP="0002609C">
            <w:pPr>
              <w:pStyle w:val="Normalgrey"/>
            </w:pPr>
            <w:r w:rsidRPr="00546DE5">
              <w:t>Guidance</w:t>
            </w:r>
          </w:p>
        </w:tc>
        <w:tc>
          <w:tcPr>
            <w:tcW w:w="270" w:type="dxa"/>
          </w:tcPr>
          <w:p w14:paraId="06FB363C" w14:textId="77777777" w:rsidR="0002609C" w:rsidRPr="00546DE5" w:rsidRDefault="0002609C" w:rsidP="00F439D0">
            <w:pPr>
              <w:pStyle w:val="Refnum1"/>
              <w:cnfStyle w:val="000000010000" w:firstRow="0" w:lastRow="0" w:firstColumn="0" w:lastColumn="0" w:oddVBand="0" w:evenVBand="0" w:oddHBand="0" w:evenHBand="1" w:firstRowFirstColumn="0" w:firstRowLastColumn="0" w:lastRowFirstColumn="0" w:lastRowLastColumn="0"/>
            </w:pPr>
          </w:p>
        </w:tc>
        <w:tc>
          <w:tcPr>
            <w:tcW w:w="583" w:type="dxa"/>
          </w:tcPr>
          <w:p w14:paraId="6E5C5484" w14:textId="77777777" w:rsidR="0002609C" w:rsidRPr="00546DE5" w:rsidRDefault="0002609C" w:rsidP="00F439D0">
            <w:pPr>
              <w:pStyle w:val="Refnum2"/>
              <w:cnfStyle w:val="000000010000" w:firstRow="0" w:lastRow="0" w:firstColumn="0" w:lastColumn="0" w:oddVBand="0" w:evenVBand="0" w:oddHBand="0" w:evenHBand="1" w:firstRowFirstColumn="0" w:firstRowLastColumn="0" w:lastRowFirstColumn="0" w:lastRowLastColumn="0"/>
            </w:pPr>
          </w:p>
        </w:tc>
        <w:tc>
          <w:tcPr>
            <w:tcW w:w="6077" w:type="dxa"/>
          </w:tcPr>
          <w:p w14:paraId="6723390C" w14:textId="77777777" w:rsidR="0002609C" w:rsidRPr="00546DE5" w:rsidRDefault="0002609C" w:rsidP="0002609C">
            <w:pPr>
              <w:pStyle w:val="Normalgrey"/>
              <w:cnfStyle w:val="000000010000" w:firstRow="0" w:lastRow="0" w:firstColumn="0" w:lastColumn="0" w:oddVBand="0" w:evenVBand="0" w:oddHBand="0" w:evenHBand="1" w:firstRowFirstColumn="0" w:firstRowLastColumn="0" w:lastRowFirstColumn="0" w:lastRowLastColumn="0"/>
            </w:pPr>
            <w:r w:rsidRPr="00546DE5">
              <w:t>In December 2000, the Victorian Government issued the policy titled ‘</w:t>
            </w:r>
            <w:hyperlink r:id="rId9" w:history="1">
              <w:r w:rsidRPr="00546DE5">
                <w:rPr>
                  <w:rStyle w:val="Hyperlink"/>
                  <w:i/>
                  <w:iCs/>
                </w:rPr>
                <w:t>Sustaining Our Assets</w:t>
              </w:r>
            </w:hyperlink>
            <w:r w:rsidRPr="00546DE5">
              <w:t>’ which outlines the Government’s direction in meeting the service delivery requirements of present and future Victorians.</w:t>
            </w:r>
          </w:p>
        </w:tc>
      </w:tr>
      <w:tr w:rsidR="0002609C" w:rsidRPr="00546DE5" w14:paraId="434290C4" w14:textId="77777777" w:rsidTr="00026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7" w:type="dxa"/>
          </w:tcPr>
          <w:p w14:paraId="2179662A" w14:textId="77777777" w:rsidR="0002609C" w:rsidRPr="00546DE5" w:rsidRDefault="0002609C" w:rsidP="0002609C">
            <w:pPr>
              <w:pStyle w:val="Normalgrey"/>
            </w:pPr>
          </w:p>
        </w:tc>
        <w:tc>
          <w:tcPr>
            <w:tcW w:w="270" w:type="dxa"/>
          </w:tcPr>
          <w:p w14:paraId="495114AD" w14:textId="77777777" w:rsidR="0002609C" w:rsidRPr="00546DE5" w:rsidRDefault="0002609C" w:rsidP="0083306E">
            <w:pPr>
              <w:pStyle w:val="Normalgrey"/>
              <w:cnfStyle w:val="000000100000" w:firstRow="0" w:lastRow="0" w:firstColumn="0" w:lastColumn="0" w:oddVBand="0" w:evenVBand="0" w:oddHBand="1" w:evenHBand="0" w:firstRowFirstColumn="0" w:firstRowLastColumn="0" w:lastRowFirstColumn="0" w:lastRowLastColumn="0"/>
            </w:pPr>
          </w:p>
        </w:tc>
        <w:tc>
          <w:tcPr>
            <w:tcW w:w="583" w:type="dxa"/>
          </w:tcPr>
          <w:p w14:paraId="46930C43" w14:textId="77777777" w:rsidR="0002609C" w:rsidRPr="00546DE5" w:rsidRDefault="0002609C" w:rsidP="00F439D0">
            <w:pPr>
              <w:pStyle w:val="Refnum2"/>
              <w:cnfStyle w:val="000000100000" w:firstRow="0" w:lastRow="0" w:firstColumn="0" w:lastColumn="0" w:oddVBand="0" w:evenVBand="0" w:oddHBand="1" w:evenHBand="0" w:firstRowFirstColumn="0" w:firstRowLastColumn="0" w:lastRowFirstColumn="0" w:lastRowLastColumn="0"/>
            </w:pPr>
          </w:p>
        </w:tc>
        <w:tc>
          <w:tcPr>
            <w:tcW w:w="6077" w:type="dxa"/>
          </w:tcPr>
          <w:p w14:paraId="124A30E6" w14:textId="77777777" w:rsidR="0002609C" w:rsidRPr="00546DE5" w:rsidRDefault="0002609C" w:rsidP="0002609C">
            <w:pPr>
              <w:pStyle w:val="Normalgrey"/>
              <w:cnfStyle w:val="000000100000" w:firstRow="0" w:lastRow="0" w:firstColumn="0" w:lastColumn="0" w:oddVBand="0" w:evenVBand="0" w:oddHBand="1" w:evenHBand="0" w:firstRowFirstColumn="0" w:firstRowLastColumn="0" w:lastRowFirstColumn="0" w:lastRowLastColumn="0"/>
            </w:pPr>
            <w:r w:rsidRPr="00546DE5">
              <w:t xml:space="preserve">The principles of the </w:t>
            </w:r>
            <w:r w:rsidRPr="00546DE5">
              <w:rPr>
                <w:i/>
              </w:rPr>
              <w:t>‘Sustaining Our Assets’</w:t>
            </w:r>
            <w:r w:rsidRPr="00546DE5">
              <w:t xml:space="preserve"> policy derive from the central principle that service delivery needs form the basis of asset management practices and decisions.  Service delivery needs comprise social, economic and environmental needs across the State of Victoria. These are defined in a variety of documents including legislation (general or specific legislation, establishing act for an entity, etc.), government policy documents (budget papers), ministerial policy directions, entity corporate plans and entity internal policy documents, etc.</w:t>
            </w:r>
          </w:p>
        </w:tc>
      </w:tr>
      <w:tr w:rsidR="0002609C" w:rsidRPr="00546DE5" w14:paraId="34958D3B" w14:textId="77777777" w:rsidTr="0002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7" w:type="dxa"/>
          </w:tcPr>
          <w:p w14:paraId="6BB8854B" w14:textId="77777777" w:rsidR="0002609C" w:rsidRPr="00546DE5" w:rsidRDefault="0002609C" w:rsidP="0002609C">
            <w:pPr>
              <w:pStyle w:val="Normalgrey"/>
            </w:pPr>
          </w:p>
        </w:tc>
        <w:tc>
          <w:tcPr>
            <w:tcW w:w="270" w:type="dxa"/>
          </w:tcPr>
          <w:p w14:paraId="20DE8323" w14:textId="77777777" w:rsidR="0002609C" w:rsidRPr="00546DE5" w:rsidRDefault="0002609C" w:rsidP="0083306E">
            <w:pPr>
              <w:pStyle w:val="Normalgrey"/>
              <w:cnfStyle w:val="000000010000" w:firstRow="0" w:lastRow="0" w:firstColumn="0" w:lastColumn="0" w:oddVBand="0" w:evenVBand="0" w:oddHBand="0" w:evenHBand="1" w:firstRowFirstColumn="0" w:firstRowLastColumn="0" w:lastRowFirstColumn="0" w:lastRowLastColumn="0"/>
            </w:pPr>
          </w:p>
        </w:tc>
        <w:tc>
          <w:tcPr>
            <w:tcW w:w="583" w:type="dxa"/>
          </w:tcPr>
          <w:p w14:paraId="135996FB" w14:textId="77777777" w:rsidR="0002609C" w:rsidRPr="00546DE5" w:rsidRDefault="0002609C" w:rsidP="00F439D0">
            <w:pPr>
              <w:pStyle w:val="Refnum2"/>
              <w:cnfStyle w:val="000000010000" w:firstRow="0" w:lastRow="0" w:firstColumn="0" w:lastColumn="0" w:oddVBand="0" w:evenVBand="0" w:oddHBand="0" w:evenHBand="1" w:firstRowFirstColumn="0" w:firstRowLastColumn="0" w:lastRowFirstColumn="0" w:lastRowLastColumn="0"/>
            </w:pPr>
          </w:p>
        </w:tc>
        <w:tc>
          <w:tcPr>
            <w:tcW w:w="6077" w:type="dxa"/>
          </w:tcPr>
          <w:p w14:paraId="6F01D6AD" w14:textId="77777777" w:rsidR="0002609C" w:rsidRPr="00546DE5" w:rsidRDefault="0002609C" w:rsidP="0002609C">
            <w:pPr>
              <w:pStyle w:val="Normalgrey"/>
              <w:cnfStyle w:val="000000010000" w:firstRow="0" w:lastRow="0" w:firstColumn="0" w:lastColumn="0" w:oddVBand="0" w:evenVBand="0" w:oddHBand="0" w:evenHBand="1" w:firstRowFirstColumn="0" w:firstRowLastColumn="0" w:lastRowFirstColumn="0" w:lastRowLastColumn="0"/>
            </w:pPr>
            <w:r w:rsidRPr="00546DE5">
              <w:t>Property that is held by a not-for-profit entity to meet service delivery objectives of the State of Victoria (whether directly or indirectly) rather than to earn rental or for capital appreciation, does not meet the definition of investment property.  Such property holdings could include those which generate cash inflows where the rental revenue is incidental to the purpose for holding the property.  An example of such holdings is properties held by the Director of Housing as part of its public housing assistance programs.  It is expected that most properties held by government shall be treated as property, plant and equipment.</w:t>
            </w:r>
          </w:p>
        </w:tc>
      </w:tr>
      <w:tr w:rsidR="0002609C" w:rsidRPr="00546DE5" w14:paraId="7D03AEA4" w14:textId="77777777" w:rsidTr="00026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7" w:type="dxa"/>
          </w:tcPr>
          <w:p w14:paraId="6857D6F0" w14:textId="77777777" w:rsidR="0002609C" w:rsidRPr="00546DE5" w:rsidRDefault="0002609C" w:rsidP="0083306E">
            <w:pPr>
              <w:pStyle w:val="Normalgrey"/>
            </w:pPr>
          </w:p>
        </w:tc>
        <w:tc>
          <w:tcPr>
            <w:tcW w:w="270" w:type="dxa"/>
          </w:tcPr>
          <w:p w14:paraId="0CDDB279" w14:textId="77777777" w:rsidR="0002609C" w:rsidRPr="00546DE5" w:rsidRDefault="0002609C" w:rsidP="0083306E">
            <w:pPr>
              <w:pStyle w:val="Normalgrey"/>
              <w:cnfStyle w:val="000000100000" w:firstRow="0" w:lastRow="0" w:firstColumn="0" w:lastColumn="0" w:oddVBand="0" w:evenVBand="0" w:oddHBand="1" w:evenHBand="0" w:firstRowFirstColumn="0" w:firstRowLastColumn="0" w:lastRowFirstColumn="0" w:lastRowLastColumn="0"/>
            </w:pPr>
          </w:p>
        </w:tc>
        <w:tc>
          <w:tcPr>
            <w:tcW w:w="583" w:type="dxa"/>
          </w:tcPr>
          <w:p w14:paraId="3014740C" w14:textId="77777777" w:rsidR="0002609C" w:rsidRPr="00546DE5" w:rsidRDefault="0002609C" w:rsidP="00F439D0">
            <w:pPr>
              <w:pStyle w:val="Refnum2"/>
              <w:cnfStyle w:val="000000100000" w:firstRow="0" w:lastRow="0" w:firstColumn="0" w:lastColumn="0" w:oddVBand="0" w:evenVBand="0" w:oddHBand="1" w:evenHBand="0" w:firstRowFirstColumn="0" w:firstRowLastColumn="0" w:lastRowFirstColumn="0" w:lastRowLastColumn="0"/>
            </w:pPr>
          </w:p>
        </w:tc>
        <w:tc>
          <w:tcPr>
            <w:tcW w:w="6077" w:type="dxa"/>
          </w:tcPr>
          <w:p w14:paraId="1BB4AAA8" w14:textId="77777777" w:rsidR="0002609C" w:rsidRPr="00546DE5" w:rsidRDefault="0002609C" w:rsidP="0002609C">
            <w:pPr>
              <w:pStyle w:val="Normalgrey"/>
              <w:cnfStyle w:val="000000100000" w:firstRow="0" w:lastRow="0" w:firstColumn="0" w:lastColumn="0" w:oddVBand="0" w:evenVBand="0" w:oddHBand="1" w:evenHBand="0" w:firstRowFirstColumn="0" w:firstRowLastColumn="0" w:lastRowFirstColumn="0" w:lastRowLastColumn="0"/>
            </w:pPr>
            <w:r w:rsidRPr="00546DE5">
              <w:t>However, if the property is classified as an investment property, AASB 140 requires the fair value to be determined at the reporting date.</w:t>
            </w:r>
          </w:p>
        </w:tc>
      </w:tr>
      <w:tr w:rsidR="0002609C" w:rsidRPr="00546DE5" w14:paraId="4D4E0D9D" w14:textId="77777777" w:rsidTr="0002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7" w:type="dxa"/>
          </w:tcPr>
          <w:p w14:paraId="114FD1F3" w14:textId="77777777" w:rsidR="0002609C" w:rsidRPr="00546DE5" w:rsidRDefault="0002609C" w:rsidP="0002609C">
            <w:pPr>
              <w:pStyle w:val="Normalgrey"/>
            </w:pPr>
            <w:r w:rsidRPr="00546DE5">
              <w:t>Relevant pronouncements</w:t>
            </w:r>
          </w:p>
        </w:tc>
        <w:tc>
          <w:tcPr>
            <w:tcW w:w="270" w:type="dxa"/>
          </w:tcPr>
          <w:p w14:paraId="3E36213B" w14:textId="77777777" w:rsidR="0002609C" w:rsidRPr="00546DE5" w:rsidRDefault="0002609C" w:rsidP="0083306E">
            <w:pPr>
              <w:pStyle w:val="Normalgrey"/>
              <w:cnfStyle w:val="000000010000" w:firstRow="0" w:lastRow="0" w:firstColumn="0" w:lastColumn="0" w:oddVBand="0" w:evenVBand="0" w:oddHBand="0" w:evenHBand="1" w:firstRowFirstColumn="0" w:firstRowLastColumn="0" w:lastRowFirstColumn="0" w:lastRowLastColumn="0"/>
            </w:pPr>
          </w:p>
        </w:tc>
        <w:tc>
          <w:tcPr>
            <w:tcW w:w="583" w:type="dxa"/>
          </w:tcPr>
          <w:p w14:paraId="3DA5B8FD" w14:textId="45D82D6D" w:rsidR="0002609C" w:rsidRPr="00546DE5" w:rsidRDefault="00772422" w:rsidP="0083306E">
            <w:pPr>
              <w:pStyle w:val="Normalgrey"/>
              <w:cnfStyle w:val="000000010000" w:firstRow="0" w:lastRow="0" w:firstColumn="0" w:lastColumn="0" w:oddVBand="0" w:evenVBand="0" w:oddHBand="0" w:evenHBand="1" w:firstRowFirstColumn="0" w:firstRowLastColumn="0" w:lastRowFirstColumn="0" w:lastRowLastColumn="0"/>
            </w:pPr>
            <w:r>
              <w:t>7.1</w:t>
            </w:r>
          </w:p>
        </w:tc>
        <w:tc>
          <w:tcPr>
            <w:tcW w:w="6077" w:type="dxa"/>
          </w:tcPr>
          <w:p w14:paraId="19B6929C" w14:textId="4313D949" w:rsidR="0002609C" w:rsidRPr="00546DE5" w:rsidRDefault="0002609C" w:rsidP="004D44E5">
            <w:pPr>
              <w:pStyle w:val="Bullet1grey"/>
              <w:cnfStyle w:val="000000010000" w:firstRow="0" w:lastRow="0" w:firstColumn="0" w:lastColumn="0" w:oddVBand="0" w:evenVBand="0" w:oddHBand="0" w:evenHBand="1" w:firstRowFirstColumn="0" w:firstRowLastColumn="0" w:lastRowFirstColumn="0" w:lastRowLastColumn="0"/>
            </w:pPr>
            <w:r w:rsidRPr="00546DE5">
              <w:t xml:space="preserve">AASB 13 </w:t>
            </w:r>
            <w:r w:rsidRPr="00546DE5">
              <w:rPr>
                <w:i/>
              </w:rPr>
              <w:t>Fair Value Measurement</w:t>
            </w:r>
          </w:p>
          <w:p w14:paraId="0C233634" w14:textId="6B83A5CD" w:rsidR="0002609C" w:rsidRPr="00546DE5" w:rsidRDefault="0002609C" w:rsidP="004D44E5">
            <w:pPr>
              <w:pStyle w:val="Bullet1grey"/>
              <w:cnfStyle w:val="000000010000" w:firstRow="0" w:lastRow="0" w:firstColumn="0" w:lastColumn="0" w:oddVBand="0" w:evenVBand="0" w:oddHBand="0" w:evenHBand="1" w:firstRowFirstColumn="0" w:firstRowLastColumn="0" w:lastRowFirstColumn="0" w:lastRowLastColumn="0"/>
            </w:pPr>
            <w:r w:rsidRPr="00546DE5">
              <w:t xml:space="preserve">AASB 116 </w:t>
            </w:r>
            <w:r w:rsidRPr="00546DE5">
              <w:rPr>
                <w:i/>
              </w:rPr>
              <w:t>Property, Plant and Equipment</w:t>
            </w:r>
          </w:p>
          <w:p w14:paraId="3DE31FF7" w14:textId="347C92F9" w:rsidR="0002609C" w:rsidRPr="00546DE5" w:rsidRDefault="0002609C" w:rsidP="0038025F">
            <w:pPr>
              <w:pStyle w:val="Bullet1grey"/>
              <w:cnfStyle w:val="000000010000" w:firstRow="0" w:lastRow="0" w:firstColumn="0" w:lastColumn="0" w:oddVBand="0" w:evenVBand="0" w:oddHBand="0" w:evenHBand="1" w:firstRowFirstColumn="0" w:firstRowLastColumn="0" w:lastRowFirstColumn="0" w:lastRowLastColumn="0"/>
            </w:pPr>
            <w:r w:rsidRPr="00546DE5">
              <w:t xml:space="preserve">AASB 140 </w:t>
            </w:r>
            <w:r w:rsidRPr="00546DE5">
              <w:rPr>
                <w:i/>
              </w:rPr>
              <w:t>Investment Property</w:t>
            </w:r>
          </w:p>
        </w:tc>
      </w:tr>
      <w:tr w:rsidR="0002609C" w:rsidRPr="00546DE5" w14:paraId="318A462B" w14:textId="77777777" w:rsidTr="00026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7" w:type="dxa"/>
          </w:tcPr>
          <w:p w14:paraId="466D136E" w14:textId="77777777" w:rsidR="0002609C" w:rsidRPr="00546DE5" w:rsidRDefault="0002609C" w:rsidP="0002609C">
            <w:pPr>
              <w:pStyle w:val="Normalgrey"/>
            </w:pPr>
            <w:r w:rsidRPr="00546DE5">
              <w:lastRenderedPageBreak/>
              <w:t>Background</w:t>
            </w:r>
          </w:p>
        </w:tc>
        <w:tc>
          <w:tcPr>
            <w:tcW w:w="270" w:type="dxa"/>
          </w:tcPr>
          <w:p w14:paraId="618F432B" w14:textId="77777777" w:rsidR="0002609C" w:rsidRPr="00546DE5" w:rsidRDefault="0002609C" w:rsidP="0083306E">
            <w:pPr>
              <w:pStyle w:val="Normalgrey"/>
              <w:cnfStyle w:val="000000100000" w:firstRow="0" w:lastRow="0" w:firstColumn="0" w:lastColumn="0" w:oddVBand="0" w:evenVBand="0" w:oddHBand="1" w:evenHBand="0" w:firstRowFirstColumn="0" w:firstRowLastColumn="0" w:lastRowFirstColumn="0" w:lastRowLastColumn="0"/>
            </w:pPr>
          </w:p>
        </w:tc>
        <w:tc>
          <w:tcPr>
            <w:tcW w:w="583" w:type="dxa"/>
          </w:tcPr>
          <w:p w14:paraId="5010AB27" w14:textId="21D4E640" w:rsidR="0002609C" w:rsidRPr="00546DE5" w:rsidRDefault="00772422" w:rsidP="0083306E">
            <w:pPr>
              <w:pStyle w:val="Normalgrey"/>
              <w:cnfStyle w:val="000000100000" w:firstRow="0" w:lastRow="0" w:firstColumn="0" w:lastColumn="0" w:oddVBand="0" w:evenVBand="0" w:oddHBand="1" w:evenHBand="0" w:firstRowFirstColumn="0" w:firstRowLastColumn="0" w:lastRowFirstColumn="0" w:lastRowLastColumn="0"/>
            </w:pPr>
            <w:r>
              <w:t>8.1</w:t>
            </w:r>
          </w:p>
        </w:tc>
        <w:tc>
          <w:tcPr>
            <w:tcW w:w="6077" w:type="dxa"/>
          </w:tcPr>
          <w:p w14:paraId="2A82CB8A" w14:textId="77777777" w:rsidR="0002609C" w:rsidRPr="00546DE5" w:rsidRDefault="0002609C" w:rsidP="0002609C">
            <w:pPr>
              <w:pStyle w:val="Normalgrey"/>
              <w:cnfStyle w:val="000000100000" w:firstRow="0" w:lastRow="0" w:firstColumn="0" w:lastColumn="0" w:oddVBand="0" w:evenVBand="0" w:oddHBand="1" w:evenHBand="0" w:firstRowFirstColumn="0" w:firstRowLastColumn="0" w:lastRowFirstColumn="0" w:lastRowLastColumn="0"/>
            </w:pPr>
            <w:r w:rsidRPr="00546DE5">
              <w:t>AASB 140 allows entities to measure investment property using:</w:t>
            </w:r>
          </w:p>
          <w:p w14:paraId="76C734D6" w14:textId="77777777" w:rsidR="0002609C" w:rsidRPr="00546DE5" w:rsidRDefault="0002609C" w:rsidP="0002609C">
            <w:pPr>
              <w:pStyle w:val="Listnumgrey"/>
              <w:cnfStyle w:val="000000100000" w:firstRow="0" w:lastRow="0" w:firstColumn="0" w:lastColumn="0" w:oddVBand="0" w:evenVBand="0" w:oddHBand="1" w:evenHBand="0" w:firstRowFirstColumn="0" w:firstRowLastColumn="0" w:lastRowFirstColumn="0" w:lastRowLastColumn="0"/>
            </w:pPr>
            <w:r w:rsidRPr="00546DE5">
              <w:t>the fair value model, under which an investment property is measured, after initial measurement, at fair value with changes in fair value recognised in profit or loss; or</w:t>
            </w:r>
          </w:p>
          <w:p w14:paraId="5342EF6D" w14:textId="77777777" w:rsidR="0002609C" w:rsidRPr="00546DE5" w:rsidRDefault="0002609C" w:rsidP="0002609C">
            <w:pPr>
              <w:pStyle w:val="Listnumgrey"/>
              <w:cnfStyle w:val="000000100000" w:firstRow="0" w:lastRow="0" w:firstColumn="0" w:lastColumn="0" w:oddVBand="0" w:evenVBand="0" w:oddHBand="1" w:evenHBand="0" w:firstRowFirstColumn="0" w:firstRowLastColumn="0" w:lastRowFirstColumn="0" w:lastRowLastColumn="0"/>
            </w:pPr>
            <w:r w:rsidRPr="00546DE5">
              <w:t>the cost model specified in AASB 116 under which an investment property is measured after initial measurement at depreciated cost (less any accumulated impairment losses). An entity that chooses the cost model also needs to discloses the fair value of its investment property in a financial note.</w:t>
            </w:r>
          </w:p>
          <w:p w14:paraId="49E801D6" w14:textId="77777777" w:rsidR="0002609C" w:rsidRPr="00546DE5" w:rsidRDefault="0002609C" w:rsidP="0002609C">
            <w:pPr>
              <w:pStyle w:val="Normalgrey"/>
              <w:cnfStyle w:val="000000100000" w:firstRow="0" w:lastRow="0" w:firstColumn="0" w:lastColumn="0" w:oddVBand="0" w:evenVBand="0" w:oddHBand="1" w:evenHBand="0" w:firstRowFirstColumn="0" w:firstRowLastColumn="0" w:lastRowFirstColumn="0" w:lastRowLastColumn="0"/>
            </w:pPr>
            <w:r w:rsidRPr="00546DE5">
              <w:t>This FRD limits the choice provided by the Australian Accounting Standards Board in relation to the above two models.  The fair value model has been determined to be the relevant method of reporting across government. It also aids harmonisation with the Government Finance Statistics framework.</w:t>
            </w:r>
          </w:p>
          <w:p w14:paraId="3627D7B0" w14:textId="38CF275E" w:rsidR="0002609C" w:rsidRPr="00546DE5" w:rsidRDefault="0002609C" w:rsidP="00D516FD">
            <w:pPr>
              <w:pStyle w:val="Normalgrey"/>
              <w:cnfStyle w:val="000000100000" w:firstRow="0" w:lastRow="0" w:firstColumn="0" w:lastColumn="0" w:oddVBand="0" w:evenVBand="0" w:oddHBand="1" w:evenHBand="0" w:firstRowFirstColumn="0" w:firstRowLastColumn="0" w:lastRowFirstColumn="0" w:lastRowLastColumn="0"/>
            </w:pPr>
            <w:r w:rsidRPr="00546DE5">
              <w:t>AASB 13 sets out a single framework for measuring fair value with regard to the HBU and the disclosures relating to fair value measurement.</w:t>
            </w:r>
          </w:p>
        </w:tc>
      </w:tr>
      <w:tr w:rsidR="00772422" w:rsidRPr="00546DE5" w14:paraId="7FF8B471" w14:textId="77777777" w:rsidTr="0002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7" w:type="dxa"/>
          </w:tcPr>
          <w:p w14:paraId="16D9C0C1" w14:textId="77777777" w:rsidR="00772422" w:rsidRPr="00546DE5" w:rsidRDefault="00772422" w:rsidP="0002609C">
            <w:pPr>
              <w:pStyle w:val="Normalgrey"/>
            </w:pPr>
          </w:p>
        </w:tc>
        <w:tc>
          <w:tcPr>
            <w:tcW w:w="270" w:type="dxa"/>
          </w:tcPr>
          <w:p w14:paraId="3AC47266" w14:textId="77777777" w:rsidR="00772422" w:rsidRPr="00546DE5" w:rsidRDefault="00772422" w:rsidP="0083306E">
            <w:pPr>
              <w:pStyle w:val="Normalgrey"/>
              <w:cnfStyle w:val="000000010000" w:firstRow="0" w:lastRow="0" w:firstColumn="0" w:lastColumn="0" w:oddVBand="0" w:evenVBand="0" w:oddHBand="0" w:evenHBand="1" w:firstRowFirstColumn="0" w:firstRowLastColumn="0" w:lastRowFirstColumn="0" w:lastRowLastColumn="0"/>
            </w:pPr>
          </w:p>
        </w:tc>
        <w:tc>
          <w:tcPr>
            <w:tcW w:w="583" w:type="dxa"/>
          </w:tcPr>
          <w:p w14:paraId="1D657512" w14:textId="49AE4FBA" w:rsidR="00772422" w:rsidRDefault="00772422" w:rsidP="0083306E">
            <w:pPr>
              <w:pStyle w:val="Normalgrey"/>
              <w:cnfStyle w:val="000000010000" w:firstRow="0" w:lastRow="0" w:firstColumn="0" w:lastColumn="0" w:oddVBand="0" w:evenVBand="0" w:oddHBand="0" w:evenHBand="1" w:firstRowFirstColumn="0" w:firstRowLastColumn="0" w:lastRowFirstColumn="0" w:lastRowLastColumn="0"/>
            </w:pPr>
            <w:r>
              <w:t>8.2</w:t>
            </w:r>
          </w:p>
        </w:tc>
        <w:tc>
          <w:tcPr>
            <w:tcW w:w="6077" w:type="dxa"/>
          </w:tcPr>
          <w:p w14:paraId="4DE752CB" w14:textId="77777777" w:rsidR="00772422" w:rsidRDefault="00772422" w:rsidP="0002609C">
            <w:pPr>
              <w:pStyle w:val="Normalgrey"/>
              <w:cnfStyle w:val="000000010000" w:firstRow="0" w:lastRow="0" w:firstColumn="0" w:lastColumn="0" w:oddVBand="0" w:evenVBand="0" w:oddHBand="0" w:evenHBand="1" w:firstRowFirstColumn="0" w:firstRowLastColumn="0" w:lastRowFirstColumn="0" w:lastRowLastColumn="0"/>
            </w:pPr>
            <w:r w:rsidRPr="00546DE5">
              <w:t>This FRD was revised in</w:t>
            </w:r>
            <w:r>
              <w:t>:</w:t>
            </w:r>
          </w:p>
          <w:p w14:paraId="16DF9084" w14:textId="2A1F2AB5" w:rsidR="00772422" w:rsidRDefault="00772422" w:rsidP="00772422">
            <w:pPr>
              <w:pStyle w:val="Bullet1grey"/>
              <w:cnfStyle w:val="000000010000" w:firstRow="0" w:lastRow="0" w:firstColumn="0" w:lastColumn="0" w:oddVBand="0" w:evenVBand="0" w:oddHBand="0" w:evenHBand="1" w:firstRowFirstColumn="0" w:firstRowLastColumn="0" w:lastRowFirstColumn="0" w:lastRowLastColumn="0"/>
            </w:pPr>
            <w:r>
              <w:t>June</w:t>
            </w:r>
            <w:r w:rsidRPr="00546DE5">
              <w:t xml:space="preserve"> 2016 to remove the ‘Model for Disclosure within Financial Report’ section as this </w:t>
            </w:r>
            <w:r>
              <w:t>disclosure has been</w:t>
            </w:r>
            <w:r w:rsidRPr="00546DE5">
              <w:t xml:space="preserve"> included in the </w:t>
            </w:r>
            <w:r w:rsidRPr="00546DE5">
              <w:rPr>
                <w:i/>
              </w:rPr>
              <w:t>Model Report for Victorian Government Departments</w:t>
            </w:r>
            <w:r w:rsidRPr="00546DE5">
              <w:t>.</w:t>
            </w:r>
          </w:p>
          <w:p w14:paraId="6AB7829D" w14:textId="77777777" w:rsidR="00772422" w:rsidRDefault="00772422" w:rsidP="00772422">
            <w:pPr>
              <w:pStyle w:val="Bullet1grey"/>
              <w:cnfStyle w:val="000000010000" w:firstRow="0" w:lastRow="0" w:firstColumn="0" w:lastColumn="0" w:oddVBand="0" w:evenVBand="0" w:oddHBand="0" w:evenHBand="1" w:firstRowFirstColumn="0" w:firstRowLastColumn="0" w:lastRowFirstColumn="0" w:lastRowLastColumn="0"/>
            </w:pPr>
            <w:r>
              <w:t>April 2022 to:</w:t>
            </w:r>
          </w:p>
          <w:p w14:paraId="59FFDC19" w14:textId="0248BFAC" w:rsidR="00772422" w:rsidRDefault="00772422" w:rsidP="00772422">
            <w:pPr>
              <w:pStyle w:val="Bullet2grey"/>
              <w:cnfStyle w:val="000000010000" w:firstRow="0" w:lastRow="0" w:firstColumn="0" w:lastColumn="0" w:oddVBand="0" w:evenVBand="0" w:oddHBand="0" w:evenHBand="1" w:firstRowFirstColumn="0" w:firstRowLastColumn="0" w:lastRowFirstColumn="0" w:lastRowLastColumn="0"/>
            </w:pPr>
            <w:r>
              <w:t>Update references to the Minister for Finance to Assistant Treasurer; and</w:t>
            </w:r>
          </w:p>
          <w:p w14:paraId="5848E7FD" w14:textId="3CA9F7FE" w:rsidR="00772422" w:rsidRPr="00546DE5" w:rsidRDefault="00772422" w:rsidP="00772422">
            <w:pPr>
              <w:pStyle w:val="Bullet2grey"/>
              <w:cnfStyle w:val="000000010000" w:firstRow="0" w:lastRow="0" w:firstColumn="0" w:lastColumn="0" w:oddVBand="0" w:evenVBand="0" w:oddHBand="0" w:evenHBand="1" w:firstRowFirstColumn="0" w:firstRowLastColumn="0" w:lastRowFirstColumn="0" w:lastRowLastColumn="0"/>
            </w:pPr>
            <w:r>
              <w:t xml:space="preserve">Update a reference to a guidance document that was previously an appendix in FRD 103 </w:t>
            </w:r>
            <w:r w:rsidRPr="00772422">
              <w:rPr>
                <w:i/>
                <w:iCs/>
              </w:rPr>
              <w:t>Non-Financial Physical Assets.</w:t>
            </w:r>
          </w:p>
        </w:tc>
      </w:tr>
    </w:tbl>
    <w:p w14:paraId="20B2A130" w14:textId="77777777" w:rsidR="0071579D" w:rsidRPr="0071579D" w:rsidRDefault="0071579D" w:rsidP="00772422">
      <w:pPr>
        <w:pStyle w:val="Normalgrey"/>
      </w:pPr>
    </w:p>
    <w:sectPr w:rsidR="0071579D" w:rsidRPr="0071579D" w:rsidSect="0002609C">
      <w:headerReference w:type="default" r:id="rId10"/>
      <w:footerReference w:type="even" r:id="rId11"/>
      <w:footerReference w:type="default" r:id="rId12"/>
      <w:footerReference w:type="first" r:id="rId13"/>
      <w:type w:val="oddPage"/>
      <w:pgSz w:w="11906" w:h="16838" w:code="9"/>
      <w:pgMar w:top="1800" w:right="1440" w:bottom="1354" w:left="1440" w:header="446"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20B74" w14:textId="77777777" w:rsidR="00D222F8" w:rsidRDefault="00D222F8" w:rsidP="0083306E">
      <w:r>
        <w:separator/>
      </w:r>
    </w:p>
  </w:endnote>
  <w:endnote w:type="continuationSeparator" w:id="0">
    <w:p w14:paraId="579ECA5E" w14:textId="77777777" w:rsidR="00D222F8" w:rsidRDefault="00D222F8" w:rsidP="00833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urich LtCn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BFBFBF"/>
      </w:tblBorders>
      <w:tblLayout w:type="fixed"/>
      <w:tblCellMar>
        <w:left w:w="57" w:type="dxa"/>
        <w:right w:w="57" w:type="dxa"/>
      </w:tblCellMar>
      <w:tblLook w:val="0600" w:firstRow="0" w:lastRow="0" w:firstColumn="0" w:lastColumn="0" w:noHBand="1" w:noVBand="1"/>
    </w:tblPr>
    <w:tblGrid>
      <w:gridCol w:w="1501"/>
      <w:gridCol w:w="6263"/>
      <w:gridCol w:w="1376"/>
    </w:tblGrid>
    <w:tr w:rsidR="00E24F9C" w:rsidRPr="000832B2" w14:paraId="46FD5E18" w14:textId="77777777" w:rsidTr="00E14B11">
      <w:trPr>
        <w:cantSplit/>
      </w:trPr>
      <w:tc>
        <w:tcPr>
          <w:tcW w:w="1614" w:type="dxa"/>
          <w:shd w:val="clear" w:color="auto" w:fill="auto"/>
          <w:vAlign w:val="bottom"/>
        </w:tcPr>
        <w:p w14:paraId="1537417A" w14:textId="77777777" w:rsidR="00E24F9C" w:rsidRDefault="00EC0C34" w:rsidP="00E24F9C">
          <w:pPr>
            <w:pStyle w:val="Footer"/>
          </w:pPr>
          <w:r>
            <w:drawing>
              <wp:inline distT="0" distB="0" distL="0" distR="0" wp14:anchorId="04BB7D3E" wp14:editId="27C065A7">
                <wp:extent cx="895350" cy="495300"/>
                <wp:effectExtent l="0" t="0" r="0" b="0"/>
                <wp:docPr id="1" name="Picture 1" descr="SGV_black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V_black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95300"/>
                        </a:xfrm>
                        <a:prstGeom prst="rect">
                          <a:avLst/>
                        </a:prstGeom>
                        <a:noFill/>
                        <a:ln>
                          <a:noFill/>
                        </a:ln>
                      </pic:spPr>
                    </pic:pic>
                  </a:graphicData>
                </a:graphic>
              </wp:inline>
            </w:drawing>
          </w:r>
          <w:r w:rsidR="00E24F9C">
            <w:tab/>
            <w:t xml:space="preserve"> </w:t>
          </w:r>
        </w:p>
      </w:tc>
      <w:tc>
        <w:tcPr>
          <w:tcW w:w="6768" w:type="dxa"/>
          <w:shd w:val="clear" w:color="auto" w:fill="auto"/>
          <w:vAlign w:val="bottom"/>
        </w:tcPr>
        <w:p w14:paraId="03D7A11E" w14:textId="77777777" w:rsidR="00E24F9C" w:rsidRPr="00E24F9C" w:rsidRDefault="003E4D31" w:rsidP="00E24F9C">
          <w:pPr>
            <w:pStyle w:val="Footer"/>
          </w:pPr>
          <w:r>
            <w:fldChar w:fldCharType="begin"/>
          </w:r>
          <w:r>
            <w:instrText xml:space="preserve"> STYLEREF  "FRD Number"  \* MERGEFORMAT </w:instrText>
          </w:r>
          <w:r>
            <w:fldChar w:fldCharType="separate"/>
          </w:r>
          <w:r w:rsidR="00885167">
            <w:t>FRD 107B</w:t>
          </w:r>
          <w:r>
            <w:fldChar w:fldCharType="end"/>
          </w:r>
        </w:p>
        <w:p w14:paraId="024CAD6E" w14:textId="77777777" w:rsidR="00E24F9C" w:rsidRPr="00E24F9C" w:rsidRDefault="003E4D31" w:rsidP="00E24F9C">
          <w:pPr>
            <w:pStyle w:val="FooterFRDtitle"/>
          </w:pPr>
          <w:r>
            <w:fldChar w:fldCharType="begin"/>
          </w:r>
          <w:r>
            <w:instrText xml:space="preserve"> STYLEREF  "FRD Header"  \* MERGEFORMAT </w:instrText>
          </w:r>
          <w:r>
            <w:fldChar w:fldCharType="separate"/>
          </w:r>
          <w:r w:rsidR="00885167">
            <w:t>Investment properties (June 2016)</w:t>
          </w:r>
          <w:r>
            <w:fldChar w:fldCharType="end"/>
          </w:r>
        </w:p>
      </w:tc>
      <w:tc>
        <w:tcPr>
          <w:tcW w:w="1478" w:type="dxa"/>
          <w:shd w:val="clear" w:color="auto" w:fill="auto"/>
          <w:vAlign w:val="bottom"/>
        </w:tcPr>
        <w:p w14:paraId="52A60AE9" w14:textId="77777777" w:rsidR="00E24F9C" w:rsidRPr="00E24F9C" w:rsidRDefault="00E24F9C" w:rsidP="00E24F9C">
          <w:pPr>
            <w:pStyle w:val="Footer"/>
            <w:rPr>
              <w:rStyle w:val="PageNumber"/>
            </w:rPr>
          </w:pPr>
          <w:r w:rsidRPr="00E24F9C">
            <w:rPr>
              <w:rStyle w:val="PageNumber"/>
            </w:rPr>
            <w:t xml:space="preserve">Page </w:t>
          </w:r>
          <w:r w:rsidRPr="00E24F9C">
            <w:rPr>
              <w:rStyle w:val="PageNumber"/>
            </w:rPr>
            <w:fldChar w:fldCharType="begin"/>
          </w:r>
          <w:r w:rsidRPr="00E24F9C">
            <w:rPr>
              <w:rStyle w:val="PageNumber"/>
            </w:rPr>
            <w:instrText xml:space="preserve"> PAGE </w:instrText>
          </w:r>
          <w:r w:rsidRPr="00E24F9C">
            <w:rPr>
              <w:rStyle w:val="PageNumber"/>
            </w:rPr>
            <w:fldChar w:fldCharType="separate"/>
          </w:r>
          <w:r w:rsidR="00743D1A">
            <w:rPr>
              <w:rStyle w:val="PageNumber"/>
            </w:rPr>
            <w:t>2</w:t>
          </w:r>
          <w:r w:rsidRPr="00E24F9C">
            <w:rPr>
              <w:rStyle w:val="PageNumber"/>
            </w:rPr>
            <w:fldChar w:fldCharType="end"/>
          </w:r>
          <w:r w:rsidRPr="00E24F9C">
            <w:rPr>
              <w:rStyle w:val="PageNumber"/>
            </w:rPr>
            <w:t xml:space="preserve"> of </w:t>
          </w:r>
          <w:r w:rsidRPr="00E24F9C">
            <w:rPr>
              <w:rStyle w:val="PageNumber"/>
            </w:rPr>
            <w:fldChar w:fldCharType="begin"/>
          </w:r>
          <w:r w:rsidRPr="00E24F9C">
            <w:rPr>
              <w:rStyle w:val="PageNumber"/>
            </w:rPr>
            <w:instrText xml:space="preserve"> NUMPAGES  </w:instrText>
          </w:r>
          <w:r w:rsidRPr="00E24F9C">
            <w:rPr>
              <w:rStyle w:val="PageNumber"/>
            </w:rPr>
            <w:fldChar w:fldCharType="separate"/>
          </w:r>
          <w:r w:rsidR="00885167">
            <w:rPr>
              <w:rStyle w:val="PageNumber"/>
            </w:rPr>
            <w:t>3</w:t>
          </w:r>
          <w:r w:rsidRPr="00E24F9C">
            <w:rPr>
              <w:rStyle w:val="PageNumber"/>
            </w:rPr>
            <w:fldChar w:fldCharType="end"/>
          </w:r>
        </w:p>
      </w:tc>
    </w:tr>
  </w:tbl>
  <w:p w14:paraId="010F9A36" w14:textId="77777777" w:rsidR="00E24F9C" w:rsidRDefault="00E24F9C" w:rsidP="00E24F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01BF" w14:textId="481839FB" w:rsidR="0002609C" w:rsidRDefault="00A30DB3" w:rsidP="0002609C">
    <w:pPr>
      <w:pStyle w:val="Spacer"/>
    </w:pPr>
    <w:r>
      <w:rPr>
        <w:noProof/>
      </w:rPr>
      <mc:AlternateContent>
        <mc:Choice Requires="wps">
          <w:drawing>
            <wp:anchor distT="0" distB="0" distL="114300" distR="114300" simplePos="0" relativeHeight="251657216" behindDoc="0" locked="0" layoutInCell="0" allowOverlap="1" wp14:anchorId="64751DB6" wp14:editId="5391D061">
              <wp:simplePos x="0" y="0"/>
              <wp:positionH relativeFrom="page">
                <wp:posOffset>0</wp:posOffset>
              </wp:positionH>
              <wp:positionV relativeFrom="page">
                <wp:posOffset>10227945</wp:posOffset>
              </wp:positionV>
              <wp:extent cx="7560310" cy="273050"/>
              <wp:effectExtent l="0" t="0" r="0" b="12700"/>
              <wp:wrapNone/>
              <wp:docPr id="3" name="MSIPCMc9a34a71a933af8cbda7b36b"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4E065E" w14:textId="1D02DFFF" w:rsidR="00A30DB3" w:rsidRPr="00A30DB3" w:rsidRDefault="00A30DB3" w:rsidP="00A30DB3">
                          <w:pPr>
                            <w:spacing w:before="0" w:after="0"/>
                            <w:rPr>
                              <w:rFonts w:ascii="Calibri" w:hAnsi="Calibri" w:cs="Calibri"/>
                              <w:color w:val="000000"/>
                              <w:sz w:val="22"/>
                            </w:rPr>
                          </w:pPr>
                          <w:r w:rsidRPr="00A30DB3">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4751DB6" id="_x0000_t202" coordsize="21600,21600" o:spt="202" path="m,l,21600r21600,l21600,xe">
              <v:stroke joinstyle="miter"/>
              <v:path gradientshapeok="t" o:connecttype="rect"/>
            </v:shapetype>
            <v:shape id="MSIPCMc9a34a71a933af8cbda7b36b" o:spid="_x0000_s1026" type="#_x0000_t202" alt="{&quot;HashCode&quot;:-1267603503,&quot;Height&quot;:841.0,&quot;Width&quot;:595.0,&quot;Placement&quot;:&quot;Footer&quot;,&quot;Index&quot;:&quot;Primary&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" o:allowincell="f" filled="f" stroked="f" strokeweight=".5pt">
              <v:textbox inset="20pt,0,,0">
                <w:txbxContent>
                  <w:p w14:paraId="1E4E065E" w14:textId="1D02DFFF" w:rsidR="00A30DB3" w:rsidRPr="00A30DB3" w:rsidRDefault="00A30DB3" w:rsidP="00A30DB3">
                    <w:pPr>
                      <w:spacing w:before="0" w:after="0"/>
                      <w:rPr>
                        <w:rFonts w:ascii="Calibri" w:hAnsi="Calibri" w:cs="Calibri"/>
                        <w:color w:val="000000"/>
                        <w:sz w:val="22"/>
                      </w:rPr>
                    </w:pPr>
                    <w:r w:rsidRPr="00A30DB3">
                      <w:rPr>
                        <w:rFonts w:ascii="Calibri" w:hAnsi="Calibri" w:cs="Calibri"/>
                        <w:color w:val="000000"/>
                        <w:sz w:val="22"/>
                      </w:rPr>
                      <w:t>OFFICIAL</w:t>
                    </w:r>
                  </w:p>
                </w:txbxContent>
              </v:textbox>
              <w10:wrap anchorx="page" anchory="page"/>
            </v:shape>
          </w:pict>
        </mc:Fallback>
      </mc:AlternateContent>
    </w:r>
  </w:p>
  <w:p w14:paraId="4516DE51" w14:textId="55729372" w:rsidR="0002609C" w:rsidRPr="005828FE" w:rsidRDefault="0002609C" w:rsidP="0002609C">
    <w:pPr>
      <w:pStyle w:val="Footer"/>
      <w:spacing w:before="0"/>
    </w:pPr>
    <w:r w:rsidRPr="005828FE">
      <w:rPr>
        <w:b/>
        <w:noProof w:val="0"/>
      </w:rPr>
      <w:fldChar w:fldCharType="begin"/>
    </w:r>
    <w:r w:rsidRPr="005828FE">
      <w:rPr>
        <w:b/>
      </w:rPr>
      <w:instrText xml:space="preserve"> StyleRef “FRD number” </w:instrText>
    </w:r>
    <w:r w:rsidRPr="005828FE">
      <w:rPr>
        <w:b/>
        <w:noProof w:val="0"/>
      </w:rPr>
      <w:fldChar w:fldCharType="separate"/>
    </w:r>
    <w:r w:rsidR="003E4D31">
      <w:rPr>
        <w:b/>
      </w:rPr>
      <w:t>FRD 107</w:t>
    </w:r>
    <w:r w:rsidRPr="005828FE">
      <w:rPr>
        <w:b/>
      </w:rPr>
      <w:fldChar w:fldCharType="end"/>
    </w:r>
    <w:r w:rsidRPr="005828FE">
      <w:rPr>
        <w:b/>
      </w:rPr>
      <w:t xml:space="preserve"> </w:t>
    </w:r>
    <w:r w:rsidRPr="006C78FB">
      <w:fldChar w:fldCharType="begin"/>
    </w:r>
    <w:r w:rsidRPr="006C78FB">
      <w:instrText xml:space="preserve"> StyleRef “FRD Header” </w:instrText>
    </w:r>
    <w:r w:rsidRPr="006C78FB">
      <w:fldChar w:fldCharType="separate"/>
    </w:r>
    <w:r w:rsidR="003E4D31">
      <w:t>Investment properties (April 2022)</w:t>
    </w:r>
    <w:r w:rsidRPr="006C78FB">
      <w:fldChar w:fldCharType="end"/>
    </w:r>
    <w:r w:rsidRPr="00C022F9">
      <w:tab/>
    </w:r>
    <w:r w:rsidRPr="005828FE">
      <w:t xml:space="preserve">Page </w:t>
    </w:r>
    <w:r w:rsidRPr="005828FE">
      <w:rPr>
        <w:rStyle w:val="PageNumber"/>
      </w:rPr>
      <w:fldChar w:fldCharType="begin"/>
    </w:r>
    <w:r w:rsidRPr="005828FE">
      <w:rPr>
        <w:rStyle w:val="PageNumber"/>
      </w:rPr>
      <w:instrText xml:space="preserve"> Page </w:instrText>
    </w:r>
    <w:r w:rsidRPr="005828FE">
      <w:rPr>
        <w:rStyle w:val="PageNumber"/>
      </w:rPr>
      <w:fldChar w:fldCharType="separate"/>
    </w:r>
    <w:r w:rsidR="0025062F">
      <w:rPr>
        <w:rStyle w:val="PageNumber"/>
      </w:rPr>
      <w:t>1</w:t>
    </w:r>
    <w:r w:rsidRPr="005828FE">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57" w:type="dxa"/>
        <w:right w:w="57" w:type="dxa"/>
      </w:tblCellMar>
      <w:tblLook w:val="0600" w:firstRow="0" w:lastRow="0" w:firstColumn="0" w:lastColumn="0" w:noHBand="1" w:noVBand="1"/>
    </w:tblPr>
    <w:tblGrid>
      <w:gridCol w:w="1501"/>
      <w:gridCol w:w="6263"/>
      <w:gridCol w:w="1376"/>
    </w:tblGrid>
    <w:tr w:rsidR="002E50A4" w:rsidRPr="000832B2" w14:paraId="79631A98" w14:textId="77777777" w:rsidTr="00743D1A">
      <w:trPr>
        <w:cantSplit/>
      </w:trPr>
      <w:tc>
        <w:tcPr>
          <w:tcW w:w="1614" w:type="dxa"/>
          <w:shd w:val="clear" w:color="auto" w:fill="auto"/>
          <w:vAlign w:val="bottom"/>
        </w:tcPr>
        <w:p w14:paraId="6DE63E9A" w14:textId="77777777" w:rsidR="002E50A4" w:rsidRDefault="00EC0C34" w:rsidP="00E24F9C">
          <w:pPr>
            <w:pStyle w:val="Footer"/>
          </w:pPr>
          <w:r>
            <w:drawing>
              <wp:inline distT="0" distB="0" distL="0" distR="0" wp14:anchorId="1B087F01" wp14:editId="2FFCF9D8">
                <wp:extent cx="895350" cy="495300"/>
                <wp:effectExtent l="0" t="0" r="0" b="0"/>
                <wp:docPr id="2" name="Picture 2" descr="SGV_black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V_black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95300"/>
                        </a:xfrm>
                        <a:prstGeom prst="rect">
                          <a:avLst/>
                        </a:prstGeom>
                        <a:noFill/>
                        <a:ln>
                          <a:noFill/>
                        </a:ln>
                      </pic:spPr>
                    </pic:pic>
                  </a:graphicData>
                </a:graphic>
              </wp:inline>
            </w:drawing>
          </w:r>
          <w:r w:rsidR="002E50A4">
            <w:tab/>
            <w:t xml:space="preserve"> </w:t>
          </w:r>
        </w:p>
      </w:tc>
      <w:tc>
        <w:tcPr>
          <w:tcW w:w="6768" w:type="dxa"/>
          <w:shd w:val="clear" w:color="auto" w:fill="auto"/>
          <w:vAlign w:val="bottom"/>
        </w:tcPr>
        <w:p w14:paraId="34FC90A2" w14:textId="096DC050" w:rsidR="002E50A4" w:rsidRPr="00B14600" w:rsidRDefault="00743D1A" w:rsidP="00743D1A">
          <w:pPr>
            <w:pStyle w:val="Footer"/>
          </w:pPr>
          <w:r>
            <w:fldChar w:fldCharType="begin"/>
          </w:r>
          <w:r w:rsidRPr="00743D1A">
            <w:instrText xml:space="preserve"> STYLEREF  "FRD Number"  \* MERGEFORMAT </w:instrText>
          </w:r>
          <w:r>
            <w:fldChar w:fldCharType="separate"/>
          </w:r>
          <w:r w:rsidR="00A30DB3">
            <w:t>FRD 107</w:t>
          </w:r>
          <w:r>
            <w:fldChar w:fldCharType="end"/>
          </w:r>
          <w:r>
            <w:t xml:space="preserve"> </w:t>
          </w:r>
          <w:r w:rsidR="003E4315" w:rsidRPr="003E4315">
            <w:fldChar w:fldCharType="begin"/>
          </w:r>
          <w:r>
            <w:instrText xml:space="preserve"> STYLEREF  "FRD Header" </w:instrText>
          </w:r>
          <w:r w:rsidR="003E4315" w:rsidRPr="003E4315">
            <w:fldChar w:fldCharType="separate"/>
          </w:r>
          <w:r w:rsidR="00A30DB3">
            <w:t>Investment properties (June 2016)</w:t>
          </w:r>
          <w:r w:rsidR="003E4315" w:rsidRPr="003E4315">
            <w:fldChar w:fldCharType="end"/>
          </w:r>
        </w:p>
      </w:tc>
      <w:tc>
        <w:tcPr>
          <w:tcW w:w="1478" w:type="dxa"/>
          <w:shd w:val="clear" w:color="auto" w:fill="auto"/>
          <w:vAlign w:val="bottom"/>
        </w:tcPr>
        <w:p w14:paraId="584565E6" w14:textId="77777777" w:rsidR="002E50A4" w:rsidRPr="00743D1A" w:rsidRDefault="002E50A4" w:rsidP="00E24F9C">
          <w:pPr>
            <w:pStyle w:val="Footer"/>
            <w:rPr>
              <w:rStyle w:val="PageNumber"/>
            </w:rPr>
          </w:pPr>
          <w:r w:rsidRPr="00743D1A">
            <w:rPr>
              <w:rStyle w:val="PageNumber"/>
            </w:rPr>
            <w:t xml:space="preserve">Page </w:t>
          </w:r>
          <w:r w:rsidRPr="00743D1A">
            <w:rPr>
              <w:rStyle w:val="PageNumber"/>
            </w:rPr>
            <w:fldChar w:fldCharType="begin"/>
          </w:r>
          <w:r w:rsidRPr="00743D1A">
            <w:rPr>
              <w:rStyle w:val="PageNumber"/>
            </w:rPr>
            <w:instrText xml:space="preserve"> PAGE </w:instrText>
          </w:r>
          <w:r w:rsidRPr="00743D1A">
            <w:rPr>
              <w:rStyle w:val="PageNumber"/>
            </w:rPr>
            <w:fldChar w:fldCharType="separate"/>
          </w:r>
          <w:r w:rsidR="0002609C">
            <w:rPr>
              <w:rStyle w:val="PageNumber"/>
            </w:rPr>
            <w:t>1</w:t>
          </w:r>
          <w:r w:rsidRPr="00743D1A">
            <w:rPr>
              <w:rStyle w:val="PageNumber"/>
            </w:rPr>
            <w:fldChar w:fldCharType="end"/>
          </w:r>
          <w:r w:rsidRPr="00743D1A">
            <w:rPr>
              <w:rStyle w:val="PageNumber"/>
            </w:rPr>
            <w:t xml:space="preserve"> of </w:t>
          </w:r>
          <w:r w:rsidRPr="00743D1A">
            <w:rPr>
              <w:rStyle w:val="PageNumber"/>
            </w:rPr>
            <w:fldChar w:fldCharType="begin"/>
          </w:r>
          <w:r w:rsidRPr="00743D1A">
            <w:rPr>
              <w:rStyle w:val="PageNumber"/>
            </w:rPr>
            <w:instrText xml:space="preserve"> NUMPAGES  </w:instrText>
          </w:r>
          <w:r w:rsidRPr="00743D1A">
            <w:rPr>
              <w:rStyle w:val="PageNumber"/>
            </w:rPr>
            <w:fldChar w:fldCharType="separate"/>
          </w:r>
          <w:r w:rsidR="00885167">
            <w:rPr>
              <w:rStyle w:val="PageNumber"/>
            </w:rPr>
            <w:t>3</w:t>
          </w:r>
          <w:r w:rsidRPr="00743D1A">
            <w:rPr>
              <w:rStyle w:val="PageNumber"/>
            </w:rPr>
            <w:fldChar w:fldCharType="end"/>
          </w:r>
        </w:p>
      </w:tc>
    </w:tr>
  </w:tbl>
  <w:p w14:paraId="6A002497" w14:textId="77777777" w:rsidR="002E50A4" w:rsidRDefault="002E50A4" w:rsidP="0083306E">
    <w:pPr>
      <w:pStyle w:val="Spac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E5F70" w14:textId="77777777" w:rsidR="00D222F8" w:rsidRDefault="00D222F8" w:rsidP="0083306E">
      <w:r>
        <w:separator/>
      </w:r>
    </w:p>
  </w:footnote>
  <w:footnote w:type="continuationSeparator" w:id="0">
    <w:p w14:paraId="523B8948" w14:textId="77777777" w:rsidR="00D222F8" w:rsidRDefault="00D222F8" w:rsidP="00833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E96A" w14:textId="77777777" w:rsidR="0002609C" w:rsidRPr="0041689E" w:rsidRDefault="0002609C" w:rsidP="0002609C">
    <w:pPr>
      <w:pStyle w:val="Header"/>
      <w:tabs>
        <w:tab w:val="clear" w:pos="9026"/>
      </w:tabs>
      <w:ind w:right="-694"/>
      <w:jc w:val="right"/>
    </w:pPr>
    <w:r>
      <w:rPr>
        <w:noProof/>
      </w:rPr>
      <w:drawing>
        <wp:inline distT="0" distB="0" distL="0" distR="0" wp14:anchorId="52760C3B" wp14:editId="15C01392">
          <wp:extent cx="813816" cy="466344"/>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logo black rgb.png"/>
                  <pic:cNvPicPr/>
                </pic:nvPicPr>
                <pic:blipFill>
                  <a:blip r:embed="rId1">
                    <a:extLst>
                      <a:ext uri="{28A0092B-C50C-407E-A947-70E740481C1C}">
                        <a14:useLocalDpi xmlns:a14="http://schemas.microsoft.com/office/drawing/2010/main" val="0"/>
                      </a:ext>
                    </a:extLst>
                  </a:blip>
                  <a:stretch>
                    <a:fillRect/>
                  </a:stretch>
                </pic:blipFill>
                <pic:spPr>
                  <a:xfrm>
                    <a:off x="0" y="0"/>
                    <a:ext cx="813816" cy="466344"/>
                  </a:xfrm>
                  <a:prstGeom prst="rect">
                    <a:avLst/>
                  </a:prstGeom>
                </pic:spPr>
              </pic:pic>
            </a:graphicData>
          </a:graphic>
        </wp:inline>
      </w:drawing>
    </w:r>
  </w:p>
  <w:p w14:paraId="121F652C" w14:textId="77777777" w:rsidR="0002609C" w:rsidRDefault="0002609C" w:rsidP="000260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6948"/>
    <w:multiLevelType w:val="hybridMultilevel"/>
    <w:tmpl w:val="7C3202FA"/>
    <w:lvl w:ilvl="0" w:tplc="0C090001">
      <w:start w:val="1"/>
      <w:numFmt w:val="bullet"/>
      <w:lvlText w:val=""/>
      <w:lvlJc w:val="left"/>
      <w:pPr>
        <w:ind w:left="360" w:hanging="360"/>
      </w:pPr>
      <w:rPr>
        <w:rFonts w:ascii="Symbol" w:hAnsi="Symbol" w:hint="default"/>
        <w:color w:val="595959"/>
        <w:sz w:val="24"/>
        <w:szCs w:val="24"/>
      </w:rPr>
    </w:lvl>
    <w:lvl w:ilvl="1" w:tplc="7F069A24">
      <w:numFmt w:val="bullet"/>
      <w:lvlText w:val="•"/>
      <w:lvlJc w:val="left"/>
      <w:pPr>
        <w:ind w:left="1440" w:hanging="720"/>
      </w:pPr>
      <w:rPr>
        <w:rFonts w:ascii="Calibri" w:eastAsia="Calibr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04478F"/>
    <w:multiLevelType w:val="hybridMultilevel"/>
    <w:tmpl w:val="EA80E36A"/>
    <w:lvl w:ilvl="0" w:tplc="106EB2CE">
      <w:start w:val="1"/>
      <w:numFmt w:val="lowerLetter"/>
      <w:pStyle w:val="Listinden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2375F0"/>
    <w:multiLevelType w:val="hybridMultilevel"/>
    <w:tmpl w:val="787CB63A"/>
    <w:lvl w:ilvl="0" w:tplc="156072D8">
      <w:start w:val="1"/>
      <w:numFmt w:val="bullet"/>
      <w:pStyle w:val="ListBullet1"/>
      <w:lvlText w:val=""/>
      <w:lvlJc w:val="left"/>
      <w:pPr>
        <w:ind w:left="720" w:hanging="360"/>
      </w:pPr>
      <w:rPr>
        <w:rFonts w:ascii="Wingdings" w:hAnsi="Wingdings" w:hint="default"/>
        <w:color w:val="595959"/>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456FFD"/>
    <w:multiLevelType w:val="multilevel"/>
    <w:tmpl w:val="0EA8B9BE"/>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DA311C2"/>
    <w:multiLevelType w:val="hybridMultilevel"/>
    <w:tmpl w:val="C76C2E3C"/>
    <w:lvl w:ilvl="0" w:tplc="FB0C9626">
      <w:start w:val="1"/>
      <w:numFmt w:val="bullet"/>
      <w:lvlText w:val="-"/>
      <w:lvlJc w:val="left"/>
      <w:pPr>
        <w:ind w:left="720" w:hanging="360"/>
      </w:pPr>
      <w:rPr>
        <w:rFonts w:ascii="Symbol" w:hAnsi="Symbol" w:hint="default"/>
        <w:b w:val="0"/>
        <w:i w:val="0"/>
        <w:color w:val="595959"/>
        <w:sz w:val="20"/>
        <w:szCs w:val="20"/>
      </w:rPr>
    </w:lvl>
    <w:lvl w:ilvl="1" w:tplc="6BBC8298">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0F01FF"/>
    <w:multiLevelType w:val="hybridMultilevel"/>
    <w:tmpl w:val="27F4FF40"/>
    <w:lvl w:ilvl="0" w:tplc="B90C9DAE">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5A08F9"/>
    <w:multiLevelType w:val="hybridMultilevel"/>
    <w:tmpl w:val="B596AE5A"/>
    <w:lvl w:ilvl="0" w:tplc="0C090001">
      <w:start w:val="1"/>
      <w:numFmt w:val="bullet"/>
      <w:lvlText w:val=""/>
      <w:lvlJc w:val="left"/>
      <w:pPr>
        <w:ind w:left="360" w:hanging="360"/>
      </w:pPr>
      <w:rPr>
        <w:rFonts w:ascii="Symbol" w:hAnsi="Symbol" w:hint="default"/>
        <w:color w:val="595959"/>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6D3A6A"/>
    <w:multiLevelType w:val="multilevel"/>
    <w:tmpl w:val="7B804CF0"/>
    <w:lvl w:ilvl="0">
      <w:start w:val="1"/>
      <w:numFmt w:val="bullet"/>
      <w:pStyle w:val="Bullet1"/>
      <w:lvlText w:val=""/>
      <w:lvlJc w:val="left"/>
      <w:pPr>
        <w:tabs>
          <w:tab w:val="num" w:pos="288"/>
        </w:tabs>
        <w:ind w:left="288" w:hanging="288"/>
      </w:pPr>
      <w:rPr>
        <w:rFonts w:ascii="Symbol" w:hAnsi="Symbol" w:hint="default"/>
        <w:b w:val="0"/>
        <w:i w:val="0"/>
        <w:vanish w:val="0"/>
        <w:color w:val="auto"/>
        <w:sz w:val="18"/>
        <w:szCs w:val="18"/>
      </w:rPr>
    </w:lvl>
    <w:lvl w:ilvl="1">
      <w:start w:val="1"/>
      <w:numFmt w:val="bullet"/>
      <w:pStyle w:val="Bullet2"/>
      <w:lvlText w:val="–"/>
      <w:lvlJc w:val="left"/>
      <w:pPr>
        <w:tabs>
          <w:tab w:val="num" w:pos="576"/>
        </w:tabs>
        <w:ind w:left="576" w:hanging="288"/>
      </w:pPr>
      <w:rPr>
        <w:rFonts w:ascii="Calibri" w:hAnsi="Calibri" w:hint="default"/>
        <w:b w:val="0"/>
        <w:i w:val="0"/>
        <w:vanish w:val="0"/>
        <w:color w:val="auto"/>
        <w:sz w:val="22"/>
      </w:rPr>
    </w:lvl>
    <w:lvl w:ilvl="2">
      <w:start w:val="1"/>
      <w:numFmt w:val="bullet"/>
      <w:pStyle w:val="Bulletindent"/>
      <w:lvlText w:val=""/>
      <w:lvlJc w:val="left"/>
      <w:pPr>
        <w:tabs>
          <w:tab w:val="num" w:pos="864"/>
        </w:tabs>
        <w:ind w:left="864" w:hanging="288"/>
      </w:pPr>
      <w:rPr>
        <w:rFonts w:ascii="Symbol" w:hAnsi="Symbol" w:hint="default"/>
        <w:b w:val="0"/>
        <w:i w:val="0"/>
        <w:vanish w:val="0"/>
        <w:color w:val="4D4D4D"/>
        <w:sz w:val="22"/>
      </w:rPr>
    </w:lvl>
    <w:lvl w:ilvl="3">
      <w:start w:val="1"/>
      <w:numFmt w:val="bullet"/>
      <w:pStyle w:val="Bulletindent2"/>
      <w:lvlText w:val="–"/>
      <w:lvlJc w:val="left"/>
      <w:pPr>
        <w:tabs>
          <w:tab w:val="num" w:pos="1152"/>
        </w:tabs>
        <w:ind w:left="1152" w:hanging="288"/>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8" w15:restartNumberingAfterBreak="0">
    <w:nsid w:val="4AC35A9B"/>
    <w:multiLevelType w:val="multilevel"/>
    <w:tmpl w:val="0392528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DD80DCD"/>
    <w:multiLevelType w:val="multilevel"/>
    <w:tmpl w:val="45E4BFDC"/>
    <w:lvl w:ilvl="0">
      <w:start w:val="1"/>
      <w:numFmt w:val="bullet"/>
      <w:lvlText w:val=""/>
      <w:lvlJc w:val="left"/>
      <w:pPr>
        <w:tabs>
          <w:tab w:val="num" w:pos="360"/>
        </w:tabs>
        <w:ind w:left="360" w:hanging="360"/>
      </w:pPr>
      <w:rPr>
        <w:rFonts w:ascii="Symbol" w:hAnsi="Symbol" w:hint="default"/>
        <w:b w:val="0"/>
        <w:i w:val="0"/>
        <w:sz w:val="18"/>
      </w:rPr>
    </w:lvl>
    <w:lvl w:ilvl="1">
      <w:start w:val="1"/>
      <w:numFmt w:val="bullet"/>
      <w:lvlText w:val=""/>
      <w:lvlJc w:val="left"/>
      <w:pPr>
        <w:tabs>
          <w:tab w:val="num" w:pos="720"/>
        </w:tabs>
        <w:ind w:left="720" w:hanging="360"/>
      </w:pPr>
      <w:rPr>
        <w:rFonts w:ascii="Symbol" w:hAnsi="Symbol" w:hint="default"/>
        <w:b w:val="0"/>
        <w:i w:val="0"/>
        <w:sz w:val="20"/>
      </w:rPr>
    </w:lvl>
    <w:lvl w:ilvl="2">
      <w:start w:val="1"/>
      <w:numFmt w:val="lowerRoman"/>
      <w:lvlText w:val="(%3)"/>
      <w:lvlJc w:val="left"/>
      <w:pPr>
        <w:tabs>
          <w:tab w:val="num" w:pos="1440"/>
        </w:tabs>
        <w:ind w:left="1080" w:hanging="360"/>
      </w:pPr>
      <w:rPr>
        <w:rFonts w:hint="default"/>
        <w:b w:val="0"/>
        <w:i w:val="0"/>
        <w:sz w:val="18"/>
      </w:rPr>
    </w:lvl>
    <w:lvl w:ilvl="3">
      <w:start w:val="1"/>
      <w:numFmt w:val="lowerLetter"/>
      <w:lvlText w:val="(%4)"/>
      <w:lvlJc w:val="left"/>
      <w:pPr>
        <w:tabs>
          <w:tab w:val="num" w:pos="1800"/>
        </w:tabs>
        <w:ind w:left="1440" w:hanging="360"/>
      </w:pPr>
      <w:rPr>
        <w:rFonts w:hint="default"/>
      </w:rPr>
    </w:lvl>
    <w:lvl w:ilvl="4">
      <w:start w:val="1"/>
      <w:numFmt w:val="decimal"/>
      <w:lvlText w:val="(%5)"/>
      <w:lvlJc w:val="left"/>
      <w:pPr>
        <w:tabs>
          <w:tab w:val="num" w:pos="0"/>
        </w:tabs>
        <w:ind w:left="3577" w:hanging="708"/>
      </w:pPr>
      <w:rPr>
        <w:rFonts w:hint="default"/>
      </w:rPr>
    </w:lvl>
    <w:lvl w:ilvl="5">
      <w:start w:val="1"/>
      <w:numFmt w:val="lowerLetter"/>
      <w:lvlText w:val="(%6)"/>
      <w:lvlJc w:val="left"/>
      <w:pPr>
        <w:tabs>
          <w:tab w:val="num" w:pos="0"/>
        </w:tabs>
        <w:ind w:left="4286" w:hanging="709"/>
      </w:pPr>
      <w:rPr>
        <w:rFonts w:hint="default"/>
      </w:rPr>
    </w:lvl>
    <w:lvl w:ilvl="6">
      <w:start w:val="1"/>
      <w:numFmt w:val="lowerRoman"/>
      <w:lvlText w:val="(%7)"/>
      <w:lvlJc w:val="left"/>
      <w:pPr>
        <w:tabs>
          <w:tab w:val="num" w:pos="0"/>
        </w:tabs>
        <w:ind w:left="4989" w:hanging="703"/>
      </w:pPr>
      <w:rPr>
        <w:rFonts w:hint="default"/>
      </w:rPr>
    </w:lvl>
    <w:lvl w:ilvl="7">
      <w:start w:val="1"/>
      <w:numFmt w:val="lowerLetter"/>
      <w:lvlText w:val="(%8)"/>
      <w:lvlJc w:val="left"/>
      <w:pPr>
        <w:tabs>
          <w:tab w:val="num" w:pos="0"/>
        </w:tabs>
        <w:ind w:left="5698" w:hanging="709"/>
      </w:pPr>
      <w:rPr>
        <w:rFonts w:hint="default"/>
      </w:rPr>
    </w:lvl>
    <w:lvl w:ilvl="8">
      <w:start w:val="1"/>
      <w:numFmt w:val="lowerRoman"/>
      <w:lvlText w:val="(%9)"/>
      <w:lvlJc w:val="left"/>
      <w:pPr>
        <w:tabs>
          <w:tab w:val="num" w:pos="0"/>
        </w:tabs>
        <w:ind w:left="6406" w:hanging="708"/>
      </w:pPr>
      <w:rPr>
        <w:rFonts w:hint="default"/>
      </w:rPr>
    </w:lvl>
  </w:abstractNum>
  <w:abstractNum w:abstractNumId="10" w15:restartNumberingAfterBreak="0">
    <w:nsid w:val="5FC550F8"/>
    <w:multiLevelType w:val="multilevel"/>
    <w:tmpl w:val="164A5CF2"/>
    <w:lvl w:ilvl="0">
      <w:start w:val="1"/>
      <w:numFmt w:val="lowerLetter"/>
      <w:pStyle w:val="List1"/>
      <w:lvlText w:val="(%1)"/>
      <w:lvlJc w:val="left"/>
      <w:pPr>
        <w:ind w:left="360" w:hanging="360"/>
      </w:pPr>
      <w:rPr>
        <w:rFonts w:hint="default"/>
      </w:rPr>
    </w:lvl>
    <w:lvl w:ilvl="1">
      <w:start w:val="1"/>
      <w:numFmt w:val="lowerRoman"/>
      <w:pStyle w:val="List2"/>
      <w:lvlText w:val="(%2)"/>
      <w:lvlJc w:val="left"/>
      <w:pPr>
        <w:ind w:left="108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5FFA3AEC"/>
    <w:multiLevelType w:val="multilevel"/>
    <w:tmpl w:val="64E074DA"/>
    <w:lvl w:ilvl="0">
      <w:start w:val="1"/>
      <w:numFmt w:val="lowerRoman"/>
      <w:lvlText w:val="(%1)"/>
      <w:lvlJc w:val="left"/>
      <w:pPr>
        <w:tabs>
          <w:tab w:val="num" w:pos="720"/>
        </w:tabs>
        <w:ind w:left="504" w:hanging="504"/>
      </w:pPr>
      <w:rPr>
        <w:rFonts w:ascii="Arial" w:hAnsi="Arial" w:hint="default"/>
        <w:sz w:val="22"/>
      </w:rPr>
    </w:lvl>
    <w:lvl w:ilvl="1">
      <w:start w:val="1"/>
      <w:numFmt w:val="bullet"/>
      <w:lvlText w:val=""/>
      <w:lvlJc w:val="left"/>
      <w:pPr>
        <w:tabs>
          <w:tab w:val="num" w:pos="1008"/>
        </w:tabs>
        <w:ind w:left="1008" w:hanging="504"/>
      </w:pPr>
      <w:rPr>
        <w:rFonts w:ascii="Symbol" w:hAnsi="Symbol" w:hint="default"/>
        <w:b w:val="0"/>
        <w:i w:val="0"/>
        <w:sz w:val="20"/>
      </w:rPr>
    </w:lvl>
    <w:lvl w:ilvl="2">
      <w:start w:val="1"/>
      <w:numFmt w:val="bullet"/>
      <w:lvlText w:val=""/>
      <w:lvlJc w:val="left"/>
      <w:pPr>
        <w:tabs>
          <w:tab w:val="num" w:pos="1080"/>
        </w:tabs>
        <w:ind w:left="1080" w:hanging="360"/>
      </w:pPr>
      <w:rPr>
        <w:rFonts w:ascii="Symbol" w:hAnsi="Symbol" w:hint="default"/>
        <w:b w:val="0"/>
        <w:i w:val="0"/>
        <w:sz w:val="18"/>
      </w:rPr>
    </w:lvl>
    <w:lvl w:ilvl="3">
      <w:start w:val="1"/>
      <w:numFmt w:val="lowerLetter"/>
      <w:lvlText w:val="(%4)"/>
      <w:lvlJc w:val="left"/>
      <w:pPr>
        <w:tabs>
          <w:tab w:val="num" w:pos="2869"/>
        </w:tabs>
        <w:ind w:left="2869" w:hanging="709"/>
      </w:pPr>
      <w:rPr>
        <w:rFonts w:hint="default"/>
      </w:rPr>
    </w:lvl>
    <w:lvl w:ilvl="4">
      <w:start w:val="1"/>
      <w:numFmt w:val="decimal"/>
      <w:lvlText w:val="(%5)"/>
      <w:lvlJc w:val="left"/>
      <w:pPr>
        <w:tabs>
          <w:tab w:val="num" w:pos="0"/>
        </w:tabs>
        <w:ind w:left="3577" w:hanging="708"/>
      </w:pPr>
      <w:rPr>
        <w:rFonts w:hint="default"/>
      </w:rPr>
    </w:lvl>
    <w:lvl w:ilvl="5">
      <w:start w:val="1"/>
      <w:numFmt w:val="lowerLetter"/>
      <w:lvlText w:val="(%6)"/>
      <w:lvlJc w:val="left"/>
      <w:pPr>
        <w:tabs>
          <w:tab w:val="num" w:pos="0"/>
        </w:tabs>
        <w:ind w:left="4286" w:hanging="709"/>
      </w:pPr>
      <w:rPr>
        <w:rFonts w:hint="default"/>
      </w:rPr>
    </w:lvl>
    <w:lvl w:ilvl="6">
      <w:start w:val="1"/>
      <w:numFmt w:val="lowerRoman"/>
      <w:lvlText w:val="(%7)"/>
      <w:lvlJc w:val="left"/>
      <w:pPr>
        <w:tabs>
          <w:tab w:val="num" w:pos="0"/>
        </w:tabs>
        <w:ind w:left="4989" w:hanging="703"/>
      </w:pPr>
      <w:rPr>
        <w:rFonts w:hint="default"/>
      </w:rPr>
    </w:lvl>
    <w:lvl w:ilvl="7">
      <w:start w:val="1"/>
      <w:numFmt w:val="lowerLetter"/>
      <w:lvlText w:val="(%8)"/>
      <w:lvlJc w:val="left"/>
      <w:pPr>
        <w:tabs>
          <w:tab w:val="num" w:pos="0"/>
        </w:tabs>
        <w:ind w:left="5698" w:hanging="709"/>
      </w:pPr>
      <w:rPr>
        <w:rFonts w:hint="default"/>
      </w:rPr>
    </w:lvl>
    <w:lvl w:ilvl="8">
      <w:start w:val="1"/>
      <w:numFmt w:val="lowerRoman"/>
      <w:lvlText w:val="(%9)"/>
      <w:lvlJc w:val="left"/>
      <w:pPr>
        <w:tabs>
          <w:tab w:val="num" w:pos="0"/>
        </w:tabs>
        <w:ind w:left="6406" w:hanging="708"/>
      </w:pPr>
      <w:rPr>
        <w:rFonts w:hint="default"/>
      </w:rPr>
    </w:lvl>
  </w:abstractNum>
  <w:abstractNum w:abstractNumId="12" w15:restartNumberingAfterBreak="0">
    <w:nsid w:val="66E416C6"/>
    <w:multiLevelType w:val="hybridMultilevel"/>
    <w:tmpl w:val="7E4CA580"/>
    <w:lvl w:ilvl="0" w:tplc="8110DB24">
      <w:start w:val="1"/>
      <w:numFmt w:val="bullet"/>
      <w:lvlText w:val=""/>
      <w:lvlJc w:val="left"/>
      <w:pPr>
        <w:ind w:left="360" w:hanging="360"/>
      </w:pPr>
      <w:rPr>
        <w:rFonts w:ascii="Wingdings" w:hAnsi="Wingdings" w:hint="default"/>
        <w:color w:val="595959"/>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0124D7"/>
    <w:multiLevelType w:val="multilevel"/>
    <w:tmpl w:val="0ABE96A6"/>
    <w:lvl w:ilvl="0">
      <w:start w:val="1"/>
      <w:numFmt w:val="decimal"/>
      <w:pStyle w:val="Refnum1"/>
      <w:suff w:val="nothing"/>
      <w:lvlText w:val="%1."/>
      <w:lvlJc w:val="left"/>
      <w:pPr>
        <w:ind w:left="0" w:firstLine="0"/>
      </w:pPr>
      <w:rPr>
        <w:rFonts w:hint="default"/>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 w:ilvl="2">
      <w:start w:val="1"/>
      <w:numFmt w:val="decimal"/>
      <w:pStyle w:val="Refnum2"/>
      <w:suff w:val="nothing"/>
      <w:lvlText w:val="%1.%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7103456D"/>
    <w:multiLevelType w:val="hybridMultilevel"/>
    <w:tmpl w:val="26E68D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5E10FF9"/>
    <w:multiLevelType w:val="hybridMultilevel"/>
    <w:tmpl w:val="EBDAB53C"/>
    <w:lvl w:ilvl="0" w:tplc="0C090005">
      <w:start w:val="1"/>
      <w:numFmt w:val="bullet"/>
      <w:lvlText w:val=""/>
      <w:lvlJc w:val="left"/>
      <w:pPr>
        <w:ind w:left="720" w:hanging="360"/>
      </w:pPr>
      <w:rPr>
        <w:rFonts w:ascii="Wingdings" w:hAnsi="Wingdings" w:cs="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B937C5"/>
    <w:multiLevelType w:val="hybridMultilevel"/>
    <w:tmpl w:val="9DC41180"/>
    <w:lvl w:ilvl="0" w:tplc="797AB4A8">
      <w:numFmt w:val="bullet"/>
      <w:lvlText w:val=""/>
      <w:lvlJc w:val="left"/>
      <w:pPr>
        <w:tabs>
          <w:tab w:val="num" w:pos="360"/>
        </w:tabs>
        <w:ind w:left="360" w:hanging="360"/>
      </w:pPr>
      <w:rPr>
        <w:rFonts w:ascii="Symbol" w:eastAsia="Zurich LtCn BT" w:hAnsi="Symbol" w:cs="Zurich LtCn BT" w:hint="default"/>
        <w:color w:val="auto"/>
      </w:rPr>
    </w:lvl>
    <w:lvl w:ilvl="1" w:tplc="0C090005">
      <w:start w:val="1"/>
      <w:numFmt w:val="bullet"/>
      <w:lvlText w:val=""/>
      <w:lvlJc w:val="left"/>
      <w:pPr>
        <w:tabs>
          <w:tab w:val="num" w:pos="1440"/>
        </w:tabs>
        <w:ind w:left="1440" w:hanging="360"/>
      </w:pPr>
      <w:rPr>
        <w:rFonts w:ascii="Wingdings" w:hAnsi="Wingdings" w:hint="default"/>
        <w:color w:val="auto"/>
      </w:rPr>
    </w:lvl>
    <w:lvl w:ilvl="2" w:tplc="0C090005">
      <w:start w:val="1"/>
      <w:numFmt w:val="bullet"/>
      <w:lvlText w:val=""/>
      <w:lvlJc w:val="left"/>
      <w:pPr>
        <w:tabs>
          <w:tab w:val="num" w:pos="2160"/>
        </w:tabs>
        <w:ind w:left="2160" w:hanging="360"/>
      </w:pPr>
      <w:rPr>
        <w:rFonts w:ascii="Wingdings" w:hAnsi="Wingdings" w:hint="default"/>
        <w:color w:val="auto"/>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7943CB"/>
    <w:multiLevelType w:val="hybridMultilevel"/>
    <w:tmpl w:val="F892BDC2"/>
    <w:lvl w:ilvl="0" w:tplc="0C090005">
      <w:start w:val="1"/>
      <w:numFmt w:val="bullet"/>
      <w:lvlText w:val=""/>
      <w:lvlJc w:val="left"/>
      <w:pPr>
        <w:ind w:left="720" w:hanging="360"/>
      </w:pPr>
      <w:rPr>
        <w:rFonts w:ascii="Wingdings" w:hAnsi="Wingdings" w:cs="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FC334F7"/>
    <w:multiLevelType w:val="multilevel"/>
    <w:tmpl w:val="E9D8919E"/>
    <w:lvl w:ilvl="0">
      <w:start w:val="1"/>
      <w:numFmt w:val="decimal"/>
      <w:suff w:val="nothing"/>
      <w:lvlText w:val="%1."/>
      <w:lvlJc w:val="left"/>
      <w:pPr>
        <w:ind w:left="0" w:firstLine="0"/>
      </w:pPr>
      <w:rPr>
        <w:rFonts w:hint="default"/>
        <w:color w:val="FFFFFF" w:themeColor="background1"/>
      </w:rPr>
    </w:lvl>
    <w:lvl w:ilvl="1">
      <w:start w:val="1"/>
      <w:numFmt w:val="decimal"/>
      <w:suff w:val="nothing"/>
      <w:lvlText w:val="%1.%2"/>
      <w:lvlJc w:val="left"/>
      <w:pPr>
        <w:ind w:left="0" w:firstLine="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7FD44514"/>
    <w:multiLevelType w:val="multilevel"/>
    <w:tmpl w:val="827E8410"/>
    <w:lvl w:ilvl="0">
      <w:start w:val="1"/>
      <w:numFmt w:val="lowerLetter"/>
      <w:pStyle w:val="Listnum"/>
      <w:lvlText w:val="(%1)"/>
      <w:lvlJc w:val="left"/>
      <w:pPr>
        <w:tabs>
          <w:tab w:val="num" w:pos="504"/>
        </w:tabs>
        <w:ind w:left="504" w:hanging="504"/>
      </w:pPr>
      <w:rPr>
        <w:rFonts w:hint="default"/>
      </w:rPr>
    </w:lvl>
    <w:lvl w:ilvl="1">
      <w:start w:val="1"/>
      <w:numFmt w:val="lowerRoman"/>
      <w:pStyle w:val="Listnum2"/>
      <w:lvlText w:val="(%2)"/>
      <w:lvlJc w:val="left"/>
      <w:pPr>
        <w:tabs>
          <w:tab w:val="num" w:pos="1008"/>
        </w:tabs>
        <w:ind w:left="1008" w:hanging="504"/>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abstractNumId w:val="12"/>
  </w:num>
  <w:num w:numId="2">
    <w:abstractNumId w:val="4"/>
  </w:num>
  <w:num w:numId="3">
    <w:abstractNumId w:val="1"/>
  </w:num>
  <w:num w:numId="4">
    <w:abstractNumId w:val="10"/>
  </w:num>
  <w:num w:numId="5">
    <w:abstractNumId w:val="2"/>
  </w:num>
  <w:num w:numId="6">
    <w:abstractNumId w:val="16"/>
  </w:num>
  <w:num w:numId="7">
    <w:abstractNumId w:val="9"/>
  </w:num>
  <w:num w:numId="8">
    <w:abstractNumId w:val="5"/>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1"/>
  </w:num>
  <w:num w:numId="20">
    <w:abstractNumId w:val="12"/>
  </w:num>
  <w:num w:numId="21">
    <w:abstractNumId w:val="12"/>
  </w:num>
  <w:num w:numId="22">
    <w:abstractNumId w:val="15"/>
  </w:num>
  <w:num w:numId="23">
    <w:abstractNumId w:val="17"/>
  </w:num>
  <w:num w:numId="24">
    <w:abstractNumId w:val="0"/>
  </w:num>
  <w:num w:numId="25">
    <w:abstractNumId w:val="14"/>
  </w:num>
  <w:num w:numId="26">
    <w:abstractNumId w:val="12"/>
  </w:num>
  <w:num w:numId="27">
    <w:abstractNumId w:val="12"/>
  </w:num>
  <w:num w:numId="28">
    <w:abstractNumId w:val="12"/>
  </w:num>
  <w:num w:numId="29">
    <w:abstractNumId w:val="12"/>
  </w:num>
  <w:num w:numId="30">
    <w:abstractNumId w:val="12"/>
  </w:num>
  <w:num w:numId="31">
    <w:abstractNumId w:val="6"/>
  </w:num>
  <w:num w:numId="32">
    <w:abstractNumId w:val="12"/>
  </w:num>
  <w:num w:numId="33">
    <w:abstractNumId w:val="12"/>
  </w:num>
  <w:num w:numId="34">
    <w:abstractNumId w:val="12"/>
  </w:num>
  <w:num w:numId="35">
    <w:abstractNumId w:val="12"/>
  </w:num>
  <w:num w:numId="36">
    <w:abstractNumId w:val="12"/>
  </w:num>
  <w:num w:numId="37">
    <w:abstractNumId w:val="7"/>
  </w:num>
  <w:num w:numId="38">
    <w:abstractNumId w:val="19"/>
  </w:num>
  <w:num w:numId="39">
    <w:abstractNumId w:val="3"/>
  </w:num>
  <w:num w:numId="40">
    <w:abstractNumId w:val="8"/>
  </w:num>
  <w:num w:numId="41">
    <w:abstractNumId w:val="18"/>
  </w:num>
  <w:num w:numId="42">
    <w:abstractNumId w:val="13"/>
  </w:num>
  <w:num w:numId="43">
    <w:abstractNumId w:val="13"/>
    <w:lvlOverride w:ilvl="0">
      <w:lvl w:ilvl="0">
        <w:start w:val="1"/>
        <w:numFmt w:val="decimal"/>
        <w:pStyle w:val="Refnum1"/>
        <w:suff w:val="nothing"/>
        <w:lvlText w:val="%1."/>
        <w:lvlJc w:val="left"/>
        <w:pPr>
          <w:ind w:left="0" w:firstLine="0"/>
        </w:pPr>
        <w:rPr>
          <w:rFonts w:cs="Times New Roman" w:hint="default"/>
          <w:b w:val="0"/>
          <w:bCs w:val="0"/>
          <w:i w:val="0"/>
          <w:iCs w:val="0"/>
          <w:caps w:val="0"/>
          <w:small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4">
    <w:abstractNumId w:val="13"/>
    <w:lvlOverride w:ilvl="0">
      <w:lvl w:ilvl="0">
        <w:start w:val="1"/>
        <w:numFmt w:val="decimal"/>
        <w:pStyle w:val="Refnum1"/>
        <w:suff w:val="nothing"/>
        <w:lvlText w:val="%1."/>
        <w:lvlJc w:val="left"/>
        <w:pPr>
          <w:ind w:left="0" w:firstLine="0"/>
        </w:pPr>
        <w:rPr>
          <w:rFonts w:cs="Times New Roman" w:hint="default"/>
          <w:b w:val="0"/>
          <w:bCs w:val="0"/>
          <w:i w:val="0"/>
          <w:iCs w:val="0"/>
          <w: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E6E"/>
    <w:rsid w:val="00001171"/>
    <w:rsid w:val="00004277"/>
    <w:rsid w:val="00022FCB"/>
    <w:rsid w:val="0002609C"/>
    <w:rsid w:val="00042E41"/>
    <w:rsid w:val="000435F3"/>
    <w:rsid w:val="0004768B"/>
    <w:rsid w:val="0005594D"/>
    <w:rsid w:val="00066AAA"/>
    <w:rsid w:val="00071496"/>
    <w:rsid w:val="000832B2"/>
    <w:rsid w:val="00085370"/>
    <w:rsid w:val="00091DC4"/>
    <w:rsid w:val="000B2A74"/>
    <w:rsid w:val="000C27F3"/>
    <w:rsid w:val="000C3345"/>
    <w:rsid w:val="000C7249"/>
    <w:rsid w:val="000E3F7D"/>
    <w:rsid w:val="000E7EED"/>
    <w:rsid w:val="00103CAB"/>
    <w:rsid w:val="00105418"/>
    <w:rsid w:val="001269B3"/>
    <w:rsid w:val="00126A0F"/>
    <w:rsid w:val="001304D3"/>
    <w:rsid w:val="0013709E"/>
    <w:rsid w:val="001437D1"/>
    <w:rsid w:val="0015727C"/>
    <w:rsid w:val="00157A44"/>
    <w:rsid w:val="001C106B"/>
    <w:rsid w:val="001C3767"/>
    <w:rsid w:val="001E346A"/>
    <w:rsid w:val="0021696A"/>
    <w:rsid w:val="0023341A"/>
    <w:rsid w:val="00244D3E"/>
    <w:rsid w:val="0024693D"/>
    <w:rsid w:val="0025062F"/>
    <w:rsid w:val="00264E9B"/>
    <w:rsid w:val="002721B2"/>
    <w:rsid w:val="002A09D5"/>
    <w:rsid w:val="002A78EA"/>
    <w:rsid w:val="002E0893"/>
    <w:rsid w:val="002E2E42"/>
    <w:rsid w:val="002E50A4"/>
    <w:rsid w:val="002F3313"/>
    <w:rsid w:val="0030696D"/>
    <w:rsid w:val="00317313"/>
    <w:rsid w:val="00334BAB"/>
    <w:rsid w:val="00361517"/>
    <w:rsid w:val="003622FC"/>
    <w:rsid w:val="0038025F"/>
    <w:rsid w:val="00381C90"/>
    <w:rsid w:val="003B2D90"/>
    <w:rsid w:val="003B6456"/>
    <w:rsid w:val="003C5E9F"/>
    <w:rsid w:val="003D0E4B"/>
    <w:rsid w:val="003E4315"/>
    <w:rsid w:val="003E4D31"/>
    <w:rsid w:val="003F264F"/>
    <w:rsid w:val="00400D1F"/>
    <w:rsid w:val="004147CC"/>
    <w:rsid w:val="00423E90"/>
    <w:rsid w:val="00432CB6"/>
    <w:rsid w:val="0043769F"/>
    <w:rsid w:val="0044320A"/>
    <w:rsid w:val="00447392"/>
    <w:rsid w:val="00472918"/>
    <w:rsid w:val="00493A44"/>
    <w:rsid w:val="004959A4"/>
    <w:rsid w:val="004A4AA6"/>
    <w:rsid w:val="004D44E5"/>
    <w:rsid w:val="00532307"/>
    <w:rsid w:val="00546DE5"/>
    <w:rsid w:val="005703DC"/>
    <w:rsid w:val="00596AF6"/>
    <w:rsid w:val="005A082A"/>
    <w:rsid w:val="005A1291"/>
    <w:rsid w:val="005A2D6A"/>
    <w:rsid w:val="005C2257"/>
    <w:rsid w:val="005D7467"/>
    <w:rsid w:val="005F1426"/>
    <w:rsid w:val="00607CED"/>
    <w:rsid w:val="00636E6E"/>
    <w:rsid w:val="0065484B"/>
    <w:rsid w:val="006606F6"/>
    <w:rsid w:val="00686BBF"/>
    <w:rsid w:val="006957C8"/>
    <w:rsid w:val="006F2CFD"/>
    <w:rsid w:val="007038FC"/>
    <w:rsid w:val="007146B5"/>
    <w:rsid w:val="0071579D"/>
    <w:rsid w:val="00715A18"/>
    <w:rsid w:val="00743D1A"/>
    <w:rsid w:val="00756B15"/>
    <w:rsid w:val="00762442"/>
    <w:rsid w:val="00772422"/>
    <w:rsid w:val="007978A2"/>
    <w:rsid w:val="007A7BAC"/>
    <w:rsid w:val="00807437"/>
    <w:rsid w:val="00822545"/>
    <w:rsid w:val="00822CF3"/>
    <w:rsid w:val="00830826"/>
    <w:rsid w:val="0083306E"/>
    <w:rsid w:val="008567A4"/>
    <w:rsid w:val="0086042C"/>
    <w:rsid w:val="008746C4"/>
    <w:rsid w:val="00885167"/>
    <w:rsid w:val="0089184F"/>
    <w:rsid w:val="008C2D23"/>
    <w:rsid w:val="008D0187"/>
    <w:rsid w:val="008D1453"/>
    <w:rsid w:val="008D4351"/>
    <w:rsid w:val="008D505C"/>
    <w:rsid w:val="008D71DD"/>
    <w:rsid w:val="008D7F0A"/>
    <w:rsid w:val="008F2979"/>
    <w:rsid w:val="00900086"/>
    <w:rsid w:val="009029C7"/>
    <w:rsid w:val="00911279"/>
    <w:rsid w:val="009174DD"/>
    <w:rsid w:val="00921DC1"/>
    <w:rsid w:val="0092483C"/>
    <w:rsid w:val="0096190A"/>
    <w:rsid w:val="00967E96"/>
    <w:rsid w:val="009A5655"/>
    <w:rsid w:val="009B2B9E"/>
    <w:rsid w:val="00A20482"/>
    <w:rsid w:val="00A21EDB"/>
    <w:rsid w:val="00A24443"/>
    <w:rsid w:val="00A25E84"/>
    <w:rsid w:val="00A30DB3"/>
    <w:rsid w:val="00A412C0"/>
    <w:rsid w:val="00A64AD0"/>
    <w:rsid w:val="00A75195"/>
    <w:rsid w:val="00AA7C5C"/>
    <w:rsid w:val="00AD4D70"/>
    <w:rsid w:val="00B14600"/>
    <w:rsid w:val="00B25BAE"/>
    <w:rsid w:val="00B43486"/>
    <w:rsid w:val="00B6565A"/>
    <w:rsid w:val="00B779A5"/>
    <w:rsid w:val="00B919FC"/>
    <w:rsid w:val="00B93A9E"/>
    <w:rsid w:val="00B94E69"/>
    <w:rsid w:val="00BA4C49"/>
    <w:rsid w:val="00BB6C58"/>
    <w:rsid w:val="00BB78E0"/>
    <w:rsid w:val="00BC4AB2"/>
    <w:rsid w:val="00C01056"/>
    <w:rsid w:val="00C364E3"/>
    <w:rsid w:val="00C54B34"/>
    <w:rsid w:val="00C62EEC"/>
    <w:rsid w:val="00C75F50"/>
    <w:rsid w:val="00C825A0"/>
    <w:rsid w:val="00C92100"/>
    <w:rsid w:val="00C96EFB"/>
    <w:rsid w:val="00CF7BFD"/>
    <w:rsid w:val="00D16E1F"/>
    <w:rsid w:val="00D222F8"/>
    <w:rsid w:val="00D30A90"/>
    <w:rsid w:val="00D516FD"/>
    <w:rsid w:val="00D7013D"/>
    <w:rsid w:val="00D73592"/>
    <w:rsid w:val="00D740C3"/>
    <w:rsid w:val="00D7449C"/>
    <w:rsid w:val="00D82A1F"/>
    <w:rsid w:val="00DA1D8C"/>
    <w:rsid w:val="00DB395C"/>
    <w:rsid w:val="00DB48BE"/>
    <w:rsid w:val="00DE0942"/>
    <w:rsid w:val="00DF1E2E"/>
    <w:rsid w:val="00DF26B1"/>
    <w:rsid w:val="00E10ADB"/>
    <w:rsid w:val="00E2009B"/>
    <w:rsid w:val="00E2465A"/>
    <w:rsid w:val="00E24F9C"/>
    <w:rsid w:val="00E300B3"/>
    <w:rsid w:val="00E33F7E"/>
    <w:rsid w:val="00E43EFA"/>
    <w:rsid w:val="00E8680B"/>
    <w:rsid w:val="00E95245"/>
    <w:rsid w:val="00E96166"/>
    <w:rsid w:val="00EA0B68"/>
    <w:rsid w:val="00EA773E"/>
    <w:rsid w:val="00EB70B1"/>
    <w:rsid w:val="00EC0C34"/>
    <w:rsid w:val="00EC31D3"/>
    <w:rsid w:val="00EC648C"/>
    <w:rsid w:val="00ED3877"/>
    <w:rsid w:val="00F12D92"/>
    <w:rsid w:val="00F14C15"/>
    <w:rsid w:val="00F439D0"/>
    <w:rsid w:val="00F43AC0"/>
    <w:rsid w:val="00F755C5"/>
    <w:rsid w:val="00F82787"/>
    <w:rsid w:val="00F96407"/>
    <w:rsid w:val="00FA7984"/>
    <w:rsid w:val="00FD60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8A410E"/>
  <w15:docId w15:val="{5F4BAA8E-2075-4A6E-85C1-760995F4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semiHidden="1" w:uiPriority="3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09C"/>
    <w:pPr>
      <w:spacing w:before="160" w:after="100" w:line="276" w:lineRule="auto"/>
    </w:pPr>
    <w:rPr>
      <w:rFonts w:asciiTheme="minorHAnsi" w:eastAsiaTheme="minorEastAsia" w:hAnsiTheme="minorHAnsi" w:cstheme="minorBidi"/>
      <w:spacing w:val="2"/>
    </w:rPr>
  </w:style>
  <w:style w:type="paragraph" w:styleId="Heading1">
    <w:name w:val="heading 1"/>
    <w:next w:val="Normal"/>
    <w:link w:val="Heading1Char"/>
    <w:uiPriority w:val="99"/>
    <w:rsid w:val="0002609C"/>
    <w:pPr>
      <w:keepNext/>
      <w:keepLines/>
      <w:spacing w:before="600" w:after="600" w:line="276" w:lineRule="auto"/>
      <w:outlineLvl w:val="0"/>
    </w:pPr>
    <w:rPr>
      <w:rFonts w:asciiTheme="majorHAnsi" w:eastAsiaTheme="majorEastAsia" w:hAnsiTheme="majorHAnsi" w:cstheme="majorBidi"/>
      <w:b/>
      <w:bCs/>
      <w:color w:val="000000" w:themeColor="text1"/>
      <w:spacing w:val="-1"/>
      <w:sz w:val="36"/>
      <w:szCs w:val="28"/>
    </w:rPr>
  </w:style>
  <w:style w:type="paragraph" w:styleId="Heading2">
    <w:name w:val="heading 2"/>
    <w:basedOn w:val="Normal"/>
    <w:next w:val="Normal"/>
    <w:link w:val="Heading2Char"/>
    <w:uiPriority w:val="99"/>
    <w:rsid w:val="0002609C"/>
    <w:pPr>
      <w:keepNext/>
      <w:keepLines/>
      <w:spacing w:after="240"/>
      <w:outlineLvl w:val="1"/>
    </w:pPr>
    <w:rPr>
      <w:rFonts w:asciiTheme="majorHAnsi" w:eastAsiaTheme="majorEastAsia" w:hAnsiTheme="majorHAnsi" w:cstheme="majorBidi"/>
      <w:b/>
      <w:bCs/>
      <w:color w:val="7F7F7F" w:themeColor="text1" w:themeTint="80"/>
      <w:sz w:val="28"/>
      <w:szCs w:val="26"/>
    </w:rPr>
  </w:style>
  <w:style w:type="paragraph" w:styleId="Heading3">
    <w:name w:val="heading 3"/>
    <w:basedOn w:val="Normal"/>
    <w:next w:val="Normal"/>
    <w:link w:val="Heading3Char"/>
    <w:qFormat/>
    <w:rsid w:val="0002609C"/>
    <w:pPr>
      <w:keepNext/>
      <w:keepLines/>
      <w:spacing w:before="240" w:after="12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qFormat/>
    <w:rsid w:val="0002609C"/>
    <w:pPr>
      <w:keepNext/>
      <w:keepLines/>
      <w:spacing w:before="200" w:after="0"/>
      <w:outlineLvl w:val="3"/>
    </w:pPr>
    <w:rPr>
      <w:rFonts w:asciiTheme="majorHAnsi" w:eastAsiaTheme="majorEastAsia" w:hAnsiTheme="majorHAnsi" w:cstheme="majorBidi"/>
      <w:b/>
      <w:bCs/>
      <w:iCs/>
      <w:color w:val="53565A"/>
    </w:rPr>
  </w:style>
  <w:style w:type="paragraph" w:styleId="Heading5">
    <w:name w:val="heading 5"/>
    <w:basedOn w:val="Heading4"/>
    <w:next w:val="Normal"/>
    <w:link w:val="Heading5Char"/>
    <w:uiPriority w:val="3"/>
    <w:semiHidden/>
    <w:rsid w:val="00004277"/>
    <w:pPr>
      <w:outlineLvl w:val="4"/>
    </w:pPr>
    <w:rPr>
      <w:b w:val="0"/>
      <w:i/>
    </w:rPr>
  </w:style>
  <w:style w:type="paragraph" w:styleId="Heading6">
    <w:name w:val="heading 6"/>
    <w:basedOn w:val="Normal"/>
    <w:next w:val="Normal"/>
    <w:link w:val="Heading6Char"/>
    <w:uiPriority w:val="9"/>
    <w:semiHidden/>
    <w:qFormat/>
    <w:rsid w:val="004959A4"/>
    <w:pPr>
      <w:spacing w:before="24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2609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2609C"/>
    <w:rPr>
      <w:rFonts w:asciiTheme="minorHAnsi" w:eastAsiaTheme="minorEastAsia" w:hAnsiTheme="minorHAnsi" w:cstheme="minorBidi"/>
      <w:spacing w:val="2"/>
    </w:rPr>
  </w:style>
  <w:style w:type="paragraph" w:styleId="Footer">
    <w:name w:val="footer"/>
    <w:aliases w:val="Footer FRD #"/>
    <w:basedOn w:val="Normal"/>
    <w:link w:val="FooterChar"/>
    <w:uiPriority w:val="24"/>
    <w:rsid w:val="0002609C"/>
    <w:pPr>
      <w:tabs>
        <w:tab w:val="right" w:pos="9026"/>
      </w:tabs>
      <w:spacing w:after="0" w:line="240" w:lineRule="auto"/>
    </w:pPr>
    <w:rPr>
      <w:noProof/>
      <w:sz w:val="18"/>
      <w:szCs w:val="18"/>
    </w:rPr>
  </w:style>
  <w:style w:type="character" w:customStyle="1" w:styleId="FooterChar">
    <w:name w:val="Footer Char"/>
    <w:aliases w:val="Footer FRD # Char"/>
    <w:basedOn w:val="DefaultParagraphFont"/>
    <w:link w:val="Footer"/>
    <w:uiPriority w:val="24"/>
    <w:rsid w:val="0002609C"/>
    <w:rPr>
      <w:rFonts w:asciiTheme="minorHAnsi" w:eastAsiaTheme="minorEastAsia" w:hAnsiTheme="minorHAnsi" w:cstheme="minorBidi"/>
      <w:noProof/>
      <w:spacing w:val="2"/>
      <w:sz w:val="18"/>
      <w:szCs w:val="18"/>
    </w:rPr>
  </w:style>
  <w:style w:type="character" w:customStyle="1" w:styleId="Heading1Char">
    <w:name w:val="Heading 1 Char"/>
    <w:basedOn w:val="DefaultParagraphFont"/>
    <w:link w:val="Heading1"/>
    <w:uiPriority w:val="99"/>
    <w:rsid w:val="0002609C"/>
    <w:rPr>
      <w:rFonts w:asciiTheme="majorHAnsi" w:eastAsiaTheme="majorEastAsia" w:hAnsiTheme="majorHAnsi" w:cstheme="majorBidi"/>
      <w:b/>
      <w:bCs/>
      <w:color w:val="000000" w:themeColor="text1"/>
      <w:spacing w:val="-1"/>
      <w:sz w:val="36"/>
      <w:szCs w:val="28"/>
    </w:rPr>
  </w:style>
  <w:style w:type="character" w:customStyle="1" w:styleId="Heading2Char">
    <w:name w:val="Heading 2 Char"/>
    <w:basedOn w:val="DefaultParagraphFont"/>
    <w:link w:val="Heading2"/>
    <w:uiPriority w:val="99"/>
    <w:rsid w:val="0002609C"/>
    <w:rPr>
      <w:rFonts w:asciiTheme="majorHAnsi" w:eastAsiaTheme="majorEastAsia" w:hAnsiTheme="majorHAnsi" w:cstheme="majorBidi"/>
      <w:b/>
      <w:bCs/>
      <w:color w:val="7F7F7F" w:themeColor="text1" w:themeTint="80"/>
      <w:spacing w:val="2"/>
      <w:sz w:val="28"/>
      <w:szCs w:val="26"/>
    </w:rPr>
  </w:style>
  <w:style w:type="table" w:styleId="TableGrid">
    <w:name w:val="Table Grid"/>
    <w:basedOn w:val="TableNormal"/>
    <w:uiPriority w:val="59"/>
    <w:locked/>
    <w:rsid w:val="0002609C"/>
    <w:pPr>
      <w:spacing w:before="20" w:after="20"/>
      <w:jc w:val="right"/>
    </w:pPr>
    <w:rPr>
      <w:rFonts w:asciiTheme="minorHAnsi" w:eastAsiaTheme="minorHAnsi" w:hAnsiTheme="minorHAnsi" w:cstheme="minorBidi"/>
      <w:spacing w:val="2"/>
      <w:sz w:val="17"/>
      <w:szCs w:val="21"/>
      <w:lang w:eastAsia="en-US"/>
    </w:rPr>
    <w:tblPr>
      <w:tblStyleRowBandSize w:val="1"/>
      <w:tblStyleColBandSize w:val="1"/>
      <w:tblBorders>
        <w:bottom w:val="single" w:sz="12" w:space="0" w:color="4F81BD"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AF1DD" w:themeFill="accent3" w:themeFillTint="33"/>
      </w:tcPr>
    </w:tblStylePr>
    <w:tblStylePr w:type="band1Vert">
      <w:pPr>
        <w:jc w:val="right"/>
      </w:pPr>
    </w:tblStylePr>
    <w:tblStylePr w:type="band2Vert">
      <w:pPr>
        <w:jc w:val="right"/>
      </w:pPr>
    </w:tblStylePr>
    <w:tblStylePr w:type="band2Horz">
      <w:tblPr/>
      <w:tcPr>
        <w:shd w:val="clear" w:color="auto" w:fill="EAF1DD" w:themeFill="accent3" w:themeFillTint="33"/>
      </w:tcPr>
    </w:tblStylePr>
  </w:style>
  <w:style w:type="paragraph" w:customStyle="1" w:styleId="Tabletext">
    <w:name w:val="Table text"/>
    <w:basedOn w:val="Normal"/>
    <w:uiPriority w:val="9"/>
    <w:qFormat/>
    <w:rsid w:val="0002609C"/>
    <w:pPr>
      <w:spacing w:before="60" w:after="60" w:line="264" w:lineRule="auto"/>
    </w:pPr>
    <w:rPr>
      <w:sz w:val="17"/>
    </w:rPr>
  </w:style>
  <w:style w:type="paragraph" w:customStyle="1" w:styleId="FRDHeader">
    <w:name w:val="FRD Header"/>
    <w:basedOn w:val="Normal"/>
    <w:semiHidden/>
    <w:rsid w:val="0002609C"/>
    <w:pPr>
      <w:spacing w:before="40" w:after="40" w:line="240" w:lineRule="auto"/>
    </w:pPr>
    <w:rPr>
      <w:rFonts w:eastAsia="Calibri" w:cs="Times New Roman"/>
      <w:color w:val="FFFFFF" w:themeColor="background1"/>
      <w:spacing w:val="0"/>
      <w:sz w:val="30"/>
      <w:szCs w:val="36"/>
      <w:lang w:eastAsia="en-US"/>
    </w:rPr>
  </w:style>
  <w:style w:type="character" w:styleId="PageNumber">
    <w:name w:val="page number"/>
    <w:uiPriority w:val="49"/>
    <w:semiHidden/>
    <w:rsid w:val="0002609C"/>
    <w:rPr>
      <w:b w:val="0"/>
      <w:color w:val="000000" w:themeColor="text1"/>
    </w:rPr>
  </w:style>
  <w:style w:type="paragraph" w:customStyle="1" w:styleId="Bullet1">
    <w:name w:val="Bullet 1"/>
    <w:uiPriority w:val="2"/>
    <w:qFormat/>
    <w:rsid w:val="0002609C"/>
    <w:pPr>
      <w:numPr>
        <w:numId w:val="37"/>
      </w:numPr>
      <w:spacing w:before="160"/>
      <w:contextualSpacing/>
    </w:pPr>
    <w:rPr>
      <w:rFonts w:asciiTheme="minorHAnsi" w:eastAsia="Times New Roman" w:hAnsiTheme="minorHAnsi" w:cs="Calibri"/>
      <w:spacing w:val="2"/>
    </w:rPr>
  </w:style>
  <w:style w:type="paragraph" w:customStyle="1" w:styleId="Bullet2">
    <w:name w:val="Bullet 2"/>
    <w:basedOn w:val="Bullet1"/>
    <w:uiPriority w:val="2"/>
    <w:qFormat/>
    <w:rsid w:val="0002609C"/>
    <w:pPr>
      <w:numPr>
        <w:ilvl w:val="1"/>
      </w:numPr>
      <w:spacing w:before="0"/>
    </w:pPr>
  </w:style>
  <w:style w:type="paragraph" w:customStyle="1" w:styleId="Listindent">
    <w:name w:val="List indent"/>
    <w:basedOn w:val="Tabletext"/>
    <w:uiPriority w:val="2"/>
    <w:qFormat/>
    <w:rsid w:val="00004277"/>
    <w:pPr>
      <w:numPr>
        <w:numId w:val="3"/>
      </w:numPr>
      <w:tabs>
        <w:tab w:val="left" w:pos="360"/>
      </w:tabs>
      <w:spacing w:after="40"/>
    </w:pPr>
    <w:rPr>
      <w:sz w:val="22"/>
    </w:rPr>
  </w:style>
  <w:style w:type="paragraph" w:customStyle="1" w:styleId="List1">
    <w:name w:val="List 1"/>
    <w:basedOn w:val="Tabletext"/>
    <w:uiPriority w:val="2"/>
    <w:qFormat/>
    <w:rsid w:val="0086042C"/>
    <w:pPr>
      <w:numPr>
        <w:numId w:val="4"/>
      </w:numPr>
    </w:pPr>
    <w:rPr>
      <w:sz w:val="22"/>
    </w:rPr>
  </w:style>
  <w:style w:type="paragraph" w:customStyle="1" w:styleId="ListBullet1">
    <w:name w:val="List Bullet 1"/>
    <w:basedOn w:val="List1"/>
    <w:uiPriority w:val="2"/>
    <w:qFormat/>
    <w:rsid w:val="008D1453"/>
    <w:pPr>
      <w:numPr>
        <w:numId w:val="5"/>
      </w:numPr>
      <w:tabs>
        <w:tab w:val="left" w:pos="360"/>
      </w:tabs>
    </w:pPr>
  </w:style>
  <w:style w:type="paragraph" w:customStyle="1" w:styleId="FRDNumber">
    <w:name w:val="FRD Number"/>
    <w:basedOn w:val="FRDHeader"/>
    <w:semiHidden/>
    <w:rsid w:val="0002609C"/>
  </w:style>
  <w:style w:type="paragraph" w:styleId="BalloonText">
    <w:name w:val="Balloon Text"/>
    <w:basedOn w:val="Normal"/>
    <w:link w:val="BalloonTextChar"/>
    <w:uiPriority w:val="99"/>
    <w:semiHidden/>
    <w:rsid w:val="00026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09C"/>
    <w:rPr>
      <w:rFonts w:ascii="Tahoma" w:eastAsiaTheme="minorEastAsia" w:hAnsi="Tahoma" w:cs="Tahoma"/>
      <w:spacing w:val="2"/>
      <w:sz w:val="16"/>
      <w:szCs w:val="16"/>
    </w:rPr>
  </w:style>
  <w:style w:type="character" w:customStyle="1" w:styleId="Heading3Char">
    <w:name w:val="Heading 3 Char"/>
    <w:basedOn w:val="DefaultParagraphFont"/>
    <w:link w:val="Heading3"/>
    <w:rsid w:val="0002609C"/>
    <w:rPr>
      <w:rFonts w:asciiTheme="majorHAnsi" w:eastAsiaTheme="majorEastAsia" w:hAnsiTheme="majorHAnsi" w:cstheme="majorBidi"/>
      <w:b/>
      <w:bCs/>
      <w:color w:val="4F81BD" w:themeColor="accent1"/>
      <w:spacing w:val="2"/>
      <w:sz w:val="22"/>
      <w:szCs w:val="22"/>
    </w:rPr>
  </w:style>
  <w:style w:type="paragraph" w:customStyle="1" w:styleId="Bullet2grey">
    <w:name w:val="Bullet 2 grey"/>
    <w:basedOn w:val="Bullet2"/>
    <w:uiPriority w:val="3"/>
    <w:qFormat/>
    <w:rsid w:val="0002609C"/>
    <w:rPr>
      <w:color w:val="4D4D4D"/>
      <w:sz w:val="18"/>
      <w:szCs w:val="21"/>
      <w:lang w:eastAsia="en-US"/>
    </w:rPr>
  </w:style>
  <w:style w:type="paragraph" w:styleId="NormalIndent">
    <w:name w:val="Normal Indent"/>
    <w:basedOn w:val="Normal"/>
    <w:qFormat/>
    <w:rsid w:val="0002609C"/>
    <w:pPr>
      <w:spacing w:line="252" w:lineRule="auto"/>
      <w:ind w:left="792"/>
    </w:pPr>
  </w:style>
  <w:style w:type="paragraph" w:customStyle="1" w:styleId="Bullet3grey">
    <w:name w:val="Bullet 3 grey"/>
    <w:basedOn w:val="Normal"/>
    <w:uiPriority w:val="1"/>
    <w:qFormat/>
    <w:rsid w:val="0002609C"/>
    <w:pPr>
      <w:tabs>
        <w:tab w:val="num" w:pos="576"/>
      </w:tabs>
      <w:spacing w:before="0" w:after="0" w:line="240" w:lineRule="auto"/>
      <w:ind w:left="1080" w:hanging="288"/>
      <w:contextualSpacing/>
    </w:pPr>
    <w:rPr>
      <w:rFonts w:eastAsia="Times New Roman" w:cs="Calibri"/>
      <w:color w:val="6E6E64"/>
    </w:rPr>
  </w:style>
  <w:style w:type="character" w:customStyle="1" w:styleId="Heading4Char">
    <w:name w:val="Heading 4 Char"/>
    <w:basedOn w:val="DefaultParagraphFont"/>
    <w:link w:val="Heading4"/>
    <w:rsid w:val="0002609C"/>
    <w:rPr>
      <w:rFonts w:asciiTheme="majorHAnsi" w:eastAsiaTheme="majorEastAsia" w:hAnsiTheme="majorHAnsi" w:cstheme="majorBidi"/>
      <w:b/>
      <w:bCs/>
      <w:iCs/>
      <w:color w:val="53565A"/>
      <w:spacing w:val="2"/>
    </w:rPr>
  </w:style>
  <w:style w:type="paragraph" w:customStyle="1" w:styleId="million">
    <w:name w:val="$million"/>
    <w:basedOn w:val="Normal"/>
    <w:uiPriority w:val="4"/>
    <w:rsid w:val="000C7249"/>
    <w:pPr>
      <w:jc w:val="center"/>
    </w:pPr>
    <w:rPr>
      <w:i/>
    </w:rPr>
  </w:style>
  <w:style w:type="paragraph" w:customStyle="1" w:styleId="Tabletextheading">
    <w:name w:val="Table text heading"/>
    <w:basedOn w:val="Normal"/>
    <w:link w:val="TabletextheadingChar"/>
    <w:uiPriority w:val="4"/>
    <w:qFormat/>
    <w:rsid w:val="00334BAB"/>
    <w:pPr>
      <w:jc w:val="right"/>
    </w:pPr>
    <w:rPr>
      <w:color w:val="F2F2F2" w:themeColor="background1" w:themeShade="F2"/>
    </w:rPr>
  </w:style>
  <w:style w:type="character" w:customStyle="1" w:styleId="TabletextheadingChar">
    <w:name w:val="Table text heading Char"/>
    <w:link w:val="Tabletextheading"/>
    <w:uiPriority w:val="4"/>
    <w:rsid w:val="00334BAB"/>
    <w:rPr>
      <w:color w:val="F2F2F2" w:themeColor="background1" w:themeShade="F2"/>
      <w:sz w:val="22"/>
      <w:szCs w:val="21"/>
      <w:lang w:eastAsia="en-US"/>
    </w:rPr>
  </w:style>
  <w:style w:type="paragraph" w:styleId="TableofFigures">
    <w:name w:val="table of figures"/>
    <w:basedOn w:val="Normal"/>
    <w:next w:val="Normal"/>
    <w:uiPriority w:val="6"/>
    <w:qFormat/>
    <w:rsid w:val="00334BAB"/>
    <w:pPr>
      <w:spacing w:before="0" w:after="0"/>
      <w:jc w:val="right"/>
    </w:pPr>
    <w:rPr>
      <w:color w:val="6E6E6E"/>
    </w:rPr>
  </w:style>
  <w:style w:type="character" w:customStyle="1" w:styleId="Heading5Char">
    <w:name w:val="Heading 5 Char"/>
    <w:basedOn w:val="DefaultParagraphFont"/>
    <w:link w:val="Heading5"/>
    <w:uiPriority w:val="3"/>
    <w:semiHidden/>
    <w:rsid w:val="00066AAA"/>
    <w:rPr>
      <w:rFonts w:eastAsia="Times New Roman"/>
      <w:bCs/>
      <w:sz w:val="22"/>
      <w:szCs w:val="26"/>
      <w:lang w:eastAsia="en-US"/>
    </w:rPr>
  </w:style>
  <w:style w:type="character" w:customStyle="1" w:styleId="Heading6Char">
    <w:name w:val="Heading 6 Char"/>
    <w:basedOn w:val="DefaultParagraphFont"/>
    <w:link w:val="Heading6"/>
    <w:uiPriority w:val="9"/>
    <w:semiHidden/>
    <w:rsid w:val="00400D1F"/>
    <w:rPr>
      <w:rFonts w:asciiTheme="minorHAnsi" w:eastAsiaTheme="minorEastAsia" w:hAnsiTheme="minorHAnsi" w:cstheme="minorBidi"/>
      <w:b/>
      <w:bCs/>
      <w:sz w:val="22"/>
      <w:szCs w:val="22"/>
      <w:lang w:eastAsia="en-US"/>
    </w:rPr>
  </w:style>
  <w:style w:type="paragraph" w:customStyle="1" w:styleId="Spacer">
    <w:name w:val="Spacer"/>
    <w:basedOn w:val="Normal"/>
    <w:uiPriority w:val="13"/>
    <w:qFormat/>
    <w:rsid w:val="0002609C"/>
    <w:pPr>
      <w:spacing w:before="0" w:after="0" w:line="120" w:lineRule="atLeast"/>
    </w:pPr>
    <w:rPr>
      <w:rFonts w:eastAsia="Times New Roman" w:cs="Calibri"/>
      <w:spacing w:val="0"/>
      <w:sz w:val="10"/>
      <w:szCs w:val="22"/>
    </w:rPr>
  </w:style>
  <w:style w:type="paragraph" w:customStyle="1" w:styleId="Title1">
    <w:name w:val="Title 1"/>
    <w:semiHidden/>
    <w:qFormat/>
    <w:rsid w:val="00EC0C34"/>
    <w:pPr>
      <w:spacing w:before="60" w:after="120"/>
    </w:pPr>
    <w:rPr>
      <w:b/>
      <w:sz w:val="24"/>
      <w:lang w:eastAsia="en-US"/>
    </w:rPr>
  </w:style>
  <w:style w:type="paragraph" w:customStyle="1" w:styleId="Title2">
    <w:name w:val="Title 2"/>
    <w:basedOn w:val="Title1"/>
    <w:semiHidden/>
    <w:qFormat/>
    <w:rsid w:val="00EC0C34"/>
    <w:rPr>
      <w:b w:val="0"/>
      <w:i/>
    </w:rPr>
  </w:style>
  <w:style w:type="paragraph" w:customStyle="1" w:styleId="FooterFRDtitle">
    <w:name w:val="Footer FRD title"/>
    <w:basedOn w:val="Footer"/>
    <w:uiPriority w:val="8"/>
    <w:semiHidden/>
    <w:rsid w:val="00E24F9C"/>
  </w:style>
  <w:style w:type="paragraph" w:customStyle="1" w:styleId="Normalgrey">
    <w:name w:val="Normal grey"/>
    <w:basedOn w:val="Normal"/>
    <w:uiPriority w:val="2"/>
    <w:unhideWhenUsed/>
    <w:qFormat/>
    <w:rsid w:val="0002609C"/>
    <w:pPr>
      <w:spacing w:line="264" w:lineRule="auto"/>
    </w:pPr>
    <w:rPr>
      <w:rFonts w:eastAsiaTheme="minorHAnsi"/>
      <w:color w:val="4D4D4D"/>
      <w:sz w:val="18"/>
      <w:szCs w:val="18"/>
      <w:lang w:eastAsia="en-US"/>
    </w:rPr>
  </w:style>
  <w:style w:type="paragraph" w:customStyle="1" w:styleId="NormalIndentgrey">
    <w:name w:val="Normal Indent grey"/>
    <w:basedOn w:val="Normal"/>
    <w:qFormat/>
    <w:rsid w:val="0083306E"/>
    <w:pPr>
      <w:ind w:left="360"/>
    </w:pPr>
    <w:rPr>
      <w:color w:val="6E6E64"/>
    </w:rPr>
  </w:style>
  <w:style w:type="paragraph" w:customStyle="1" w:styleId="Bullet1grey">
    <w:name w:val="Bullet 1 grey"/>
    <w:basedOn w:val="Bullet1"/>
    <w:uiPriority w:val="3"/>
    <w:unhideWhenUsed/>
    <w:qFormat/>
    <w:rsid w:val="0002609C"/>
    <w:rPr>
      <w:color w:val="4D4D4D"/>
      <w:sz w:val="18"/>
      <w:szCs w:val="18"/>
      <w:lang w:eastAsia="en-US"/>
    </w:rPr>
  </w:style>
  <w:style w:type="paragraph" w:styleId="List2">
    <w:name w:val="List 2"/>
    <w:basedOn w:val="Normal"/>
    <w:uiPriority w:val="99"/>
    <w:rsid w:val="0086042C"/>
    <w:pPr>
      <w:numPr>
        <w:ilvl w:val="1"/>
        <w:numId w:val="4"/>
      </w:numPr>
      <w:ind w:left="720"/>
      <w:contextualSpacing/>
    </w:pPr>
    <w:rPr>
      <w:color w:val="6E6E6E"/>
    </w:rPr>
  </w:style>
  <w:style w:type="paragraph" w:customStyle="1" w:styleId="Bullet">
    <w:name w:val="Bullet"/>
    <w:basedOn w:val="Normal"/>
    <w:semiHidden/>
    <w:rsid w:val="00636E6E"/>
    <w:pPr>
      <w:tabs>
        <w:tab w:val="num" w:pos="360"/>
      </w:tabs>
      <w:ind w:left="360" w:hanging="360"/>
      <w:jc w:val="both"/>
    </w:pPr>
    <w:rPr>
      <w:rFonts w:ascii="Arial" w:eastAsia="Times New Roman" w:hAnsi="Arial" w:cs="Arial"/>
    </w:rPr>
  </w:style>
  <w:style w:type="character" w:styleId="Hyperlink">
    <w:name w:val="Hyperlink"/>
    <w:basedOn w:val="DefaultParagraphFont"/>
    <w:uiPriority w:val="99"/>
    <w:rsid w:val="00F439D0"/>
    <w:rPr>
      <w:color w:val="7F7F7F" w:themeColor="text1" w:themeTint="80"/>
      <w:u w:val="none"/>
    </w:rPr>
  </w:style>
  <w:style w:type="paragraph" w:styleId="ListParagraph">
    <w:name w:val="List Paragraph"/>
    <w:basedOn w:val="Normal"/>
    <w:uiPriority w:val="34"/>
    <w:semiHidden/>
    <w:rsid w:val="004147CC"/>
    <w:pPr>
      <w:ind w:left="720"/>
      <w:contextualSpacing/>
    </w:pPr>
  </w:style>
  <w:style w:type="character" w:styleId="CommentReference">
    <w:name w:val="annotation reference"/>
    <w:basedOn w:val="DefaultParagraphFont"/>
    <w:uiPriority w:val="99"/>
    <w:semiHidden/>
    <w:unhideWhenUsed/>
    <w:rsid w:val="00D7449C"/>
    <w:rPr>
      <w:sz w:val="16"/>
      <w:szCs w:val="16"/>
    </w:rPr>
  </w:style>
  <w:style w:type="paragraph" w:styleId="Revision">
    <w:name w:val="Revision"/>
    <w:hidden/>
    <w:uiPriority w:val="99"/>
    <w:semiHidden/>
    <w:rsid w:val="001437D1"/>
    <w:rPr>
      <w:sz w:val="22"/>
      <w:szCs w:val="21"/>
      <w:lang w:eastAsia="en-US"/>
    </w:rPr>
  </w:style>
  <w:style w:type="paragraph" w:styleId="CommentText">
    <w:name w:val="annotation text"/>
    <w:basedOn w:val="Normal"/>
    <w:link w:val="CommentTextChar"/>
    <w:uiPriority w:val="99"/>
    <w:semiHidden/>
    <w:unhideWhenUsed/>
    <w:rsid w:val="00F12D92"/>
  </w:style>
  <w:style w:type="character" w:customStyle="1" w:styleId="CommentTextChar">
    <w:name w:val="Comment Text Char"/>
    <w:basedOn w:val="DefaultParagraphFont"/>
    <w:link w:val="CommentText"/>
    <w:uiPriority w:val="99"/>
    <w:semiHidden/>
    <w:rsid w:val="00F12D92"/>
    <w:rPr>
      <w:lang w:eastAsia="en-US"/>
    </w:rPr>
  </w:style>
  <w:style w:type="paragraph" w:styleId="CommentSubject">
    <w:name w:val="annotation subject"/>
    <w:basedOn w:val="CommentText"/>
    <w:next w:val="CommentText"/>
    <w:link w:val="CommentSubjectChar"/>
    <w:uiPriority w:val="99"/>
    <w:semiHidden/>
    <w:unhideWhenUsed/>
    <w:rsid w:val="00F12D92"/>
    <w:rPr>
      <w:b/>
      <w:bCs/>
    </w:rPr>
  </w:style>
  <w:style w:type="character" w:customStyle="1" w:styleId="CommentSubjectChar">
    <w:name w:val="Comment Subject Char"/>
    <w:basedOn w:val="CommentTextChar"/>
    <w:link w:val="CommentSubject"/>
    <w:uiPriority w:val="99"/>
    <w:semiHidden/>
    <w:rsid w:val="00F12D92"/>
    <w:rPr>
      <w:b/>
      <w:bCs/>
      <w:lang w:eastAsia="en-US"/>
    </w:rPr>
  </w:style>
  <w:style w:type="table" w:styleId="LightShading">
    <w:name w:val="Light Shading"/>
    <w:basedOn w:val="TableNormal"/>
    <w:uiPriority w:val="60"/>
    <w:rsid w:val="0002609C"/>
    <w:rPr>
      <w:rFonts w:asciiTheme="minorHAnsi" w:eastAsiaTheme="minorEastAsia"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4">
    <w:name w:val="Light List Accent 4"/>
    <w:basedOn w:val="TableNormal"/>
    <w:uiPriority w:val="61"/>
    <w:rsid w:val="0002609C"/>
    <w:rPr>
      <w:rFonts w:asciiTheme="minorHAnsi" w:eastAsiaTheme="minorEastAsia" w:hAnsiTheme="minorHAnsi" w:cstheme="minorBidi"/>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1">
    <w:name w:val="Light List Accent 1"/>
    <w:basedOn w:val="TableNormal"/>
    <w:uiPriority w:val="61"/>
    <w:rsid w:val="0002609C"/>
    <w:rPr>
      <w:rFonts w:asciiTheme="minorHAnsi" w:eastAsiaTheme="minorEastAsia" w:hAnsiTheme="minorHAnsi" w:cstheme="min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uiPriority w:val="39"/>
    <w:rsid w:val="0002609C"/>
    <w:pPr>
      <w:tabs>
        <w:tab w:val="right" w:leader="dot" w:pos="9000"/>
      </w:tabs>
      <w:ind w:right="432"/>
    </w:pPr>
    <w:rPr>
      <w:sz w:val="24"/>
      <w:szCs w:val="24"/>
    </w:rPr>
  </w:style>
  <w:style w:type="paragraph" w:styleId="TOC2">
    <w:name w:val="toc 2"/>
    <w:next w:val="Normal"/>
    <w:uiPriority w:val="39"/>
    <w:rsid w:val="0002609C"/>
    <w:pPr>
      <w:tabs>
        <w:tab w:val="right" w:leader="dot" w:pos="9000"/>
      </w:tabs>
      <w:spacing w:after="100" w:line="276" w:lineRule="auto"/>
      <w:ind w:left="446" w:right="432"/>
      <w:contextualSpacing/>
    </w:pPr>
    <w:rPr>
      <w:rFonts w:asciiTheme="minorHAnsi" w:eastAsiaTheme="minorEastAsia" w:hAnsiTheme="minorHAnsi" w:cstheme="minorBidi"/>
      <w:noProof/>
      <w:spacing w:val="2"/>
    </w:rPr>
  </w:style>
  <w:style w:type="paragraph" w:styleId="TOC3">
    <w:name w:val="toc 3"/>
    <w:basedOn w:val="Normal"/>
    <w:next w:val="Normal"/>
    <w:uiPriority w:val="39"/>
    <w:rsid w:val="0002609C"/>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02609C"/>
    <w:pPr>
      <w:spacing w:after="60" w:line="240" w:lineRule="auto"/>
    </w:pPr>
    <w:rPr>
      <w:sz w:val="16"/>
    </w:rPr>
  </w:style>
  <w:style w:type="paragraph" w:styleId="Index2">
    <w:name w:val="index 2"/>
    <w:basedOn w:val="Normal"/>
    <w:next w:val="Normal"/>
    <w:uiPriority w:val="99"/>
    <w:semiHidden/>
    <w:rsid w:val="0002609C"/>
    <w:pPr>
      <w:spacing w:after="0" w:line="240" w:lineRule="auto"/>
      <w:ind w:left="216"/>
    </w:pPr>
    <w:rPr>
      <w:sz w:val="16"/>
      <w:szCs w:val="16"/>
    </w:rPr>
  </w:style>
  <w:style w:type="paragraph" w:customStyle="1" w:styleId="Bulletindent">
    <w:name w:val="Bullet indent"/>
    <w:basedOn w:val="Bullet2"/>
    <w:uiPriority w:val="7"/>
    <w:qFormat/>
    <w:rsid w:val="0002609C"/>
    <w:pPr>
      <w:numPr>
        <w:ilvl w:val="2"/>
      </w:numPr>
    </w:pPr>
  </w:style>
  <w:style w:type="paragraph" w:customStyle="1" w:styleId="Heading1numbered">
    <w:name w:val="Heading 1 numbered"/>
    <w:basedOn w:val="Heading1"/>
    <w:next w:val="NormalIndent"/>
    <w:uiPriority w:val="4"/>
    <w:semiHidden/>
    <w:qFormat/>
    <w:rsid w:val="0002609C"/>
    <w:pPr>
      <w:numPr>
        <w:ilvl w:val="2"/>
        <w:numId w:val="38"/>
      </w:numPr>
    </w:pPr>
  </w:style>
  <w:style w:type="paragraph" w:customStyle="1" w:styleId="Heading2numbered">
    <w:name w:val="Heading 2 numbered"/>
    <w:basedOn w:val="Heading2"/>
    <w:next w:val="NormalIndent"/>
    <w:uiPriority w:val="4"/>
    <w:semiHidden/>
    <w:qFormat/>
    <w:rsid w:val="0002609C"/>
    <w:pPr>
      <w:numPr>
        <w:ilvl w:val="3"/>
        <w:numId w:val="38"/>
      </w:numPr>
    </w:pPr>
  </w:style>
  <w:style w:type="paragraph" w:customStyle="1" w:styleId="Heading3numbered">
    <w:name w:val="Heading 3 numbered"/>
    <w:basedOn w:val="Heading3"/>
    <w:next w:val="NormalIndent"/>
    <w:uiPriority w:val="4"/>
    <w:semiHidden/>
    <w:qFormat/>
    <w:rsid w:val="0002609C"/>
    <w:pPr>
      <w:numPr>
        <w:ilvl w:val="4"/>
        <w:numId w:val="38"/>
      </w:numPr>
    </w:pPr>
  </w:style>
  <w:style w:type="paragraph" w:customStyle="1" w:styleId="Heading4numbered">
    <w:name w:val="Heading 4 numbered"/>
    <w:basedOn w:val="Heading4"/>
    <w:next w:val="NormalIndent"/>
    <w:uiPriority w:val="4"/>
    <w:semiHidden/>
    <w:qFormat/>
    <w:rsid w:val="0002609C"/>
    <w:pPr>
      <w:numPr>
        <w:ilvl w:val="5"/>
        <w:numId w:val="38"/>
      </w:numPr>
    </w:pPr>
  </w:style>
  <w:style w:type="paragraph" w:customStyle="1" w:styleId="NoteNormal">
    <w:name w:val="Note Normal"/>
    <w:basedOn w:val="Normal"/>
    <w:uiPriority w:val="49"/>
    <w:rsid w:val="0002609C"/>
    <w:pPr>
      <w:keepNext/>
      <w:keepLines/>
      <w:spacing w:before="80" w:line="240" w:lineRule="auto"/>
    </w:pPr>
    <w:rPr>
      <w:rFonts w:eastAsia="Times New Roman" w:cstheme="minorHAnsi"/>
      <w:color w:val="000000"/>
      <w:spacing w:val="1"/>
      <w:sz w:val="16"/>
      <w:szCs w:val="16"/>
      <w:lang w:eastAsia="en-US"/>
    </w:rPr>
  </w:style>
  <w:style w:type="paragraph" w:styleId="Subtitle">
    <w:name w:val="Subtitle"/>
    <w:link w:val="SubtitleChar"/>
    <w:uiPriority w:val="99"/>
    <w:semiHidden/>
    <w:rsid w:val="0002609C"/>
    <w:pPr>
      <w:spacing w:line="440" w:lineRule="exact"/>
    </w:pPr>
    <w:rPr>
      <w:rFonts w:asciiTheme="majorHAnsi" w:eastAsia="Times New Roman" w:hAnsiTheme="majorHAnsi" w:cstheme="majorHAnsi"/>
      <w:color w:val="4F81BD" w:themeColor="accent1"/>
      <w:spacing w:val="-2"/>
      <w:sz w:val="40"/>
      <w:szCs w:val="24"/>
    </w:rPr>
  </w:style>
  <w:style w:type="character" w:customStyle="1" w:styleId="SubtitleChar">
    <w:name w:val="Subtitle Char"/>
    <w:basedOn w:val="DefaultParagraphFont"/>
    <w:link w:val="Subtitle"/>
    <w:uiPriority w:val="99"/>
    <w:semiHidden/>
    <w:rsid w:val="0002609C"/>
    <w:rPr>
      <w:rFonts w:asciiTheme="majorHAnsi" w:eastAsia="Times New Roman" w:hAnsiTheme="majorHAnsi" w:cstheme="majorHAnsi"/>
      <w:color w:val="4F81BD" w:themeColor="accent1"/>
      <w:spacing w:val="-2"/>
      <w:sz w:val="40"/>
      <w:szCs w:val="24"/>
    </w:rPr>
  </w:style>
  <w:style w:type="paragraph" w:customStyle="1" w:styleId="TertiaryTitle">
    <w:name w:val="Tertiary Title"/>
    <w:next w:val="Normal"/>
    <w:uiPriority w:val="99"/>
    <w:semiHidden/>
    <w:rsid w:val="0002609C"/>
    <w:pPr>
      <w:spacing w:line="440" w:lineRule="exact"/>
    </w:pPr>
    <w:rPr>
      <w:rFonts w:asciiTheme="majorHAnsi" w:eastAsia="Times New Roman" w:hAnsiTheme="majorHAnsi" w:cstheme="majorHAnsi"/>
      <w:color w:val="4F81BD" w:themeColor="accent1"/>
      <w:spacing w:val="-2"/>
      <w:sz w:val="36"/>
      <w:szCs w:val="40"/>
      <w:lang w:eastAsia="en-US"/>
    </w:rPr>
  </w:style>
  <w:style w:type="paragraph" w:styleId="Title">
    <w:name w:val="Title"/>
    <w:link w:val="TitleChar"/>
    <w:uiPriority w:val="99"/>
    <w:semiHidden/>
    <w:rsid w:val="0002609C"/>
    <w:pPr>
      <w:spacing w:after="300" w:line="252" w:lineRule="auto"/>
    </w:pPr>
    <w:rPr>
      <w:rFonts w:asciiTheme="majorHAnsi" w:eastAsia="Times New Roman" w:hAnsiTheme="majorHAnsi" w:cstheme="majorHAnsi"/>
      <w:b/>
      <w:color w:val="4F81BD" w:themeColor="accent1"/>
      <w:spacing w:val="-2"/>
      <w:sz w:val="60"/>
      <w:szCs w:val="22"/>
    </w:rPr>
  </w:style>
  <w:style w:type="character" w:customStyle="1" w:styleId="TitleChar">
    <w:name w:val="Title Char"/>
    <w:basedOn w:val="DefaultParagraphFont"/>
    <w:link w:val="Title"/>
    <w:uiPriority w:val="99"/>
    <w:semiHidden/>
    <w:rsid w:val="0002609C"/>
    <w:rPr>
      <w:rFonts w:asciiTheme="majorHAnsi" w:eastAsia="Times New Roman" w:hAnsiTheme="majorHAnsi" w:cstheme="majorHAnsi"/>
      <w:b/>
      <w:color w:val="4F81BD" w:themeColor="accent1"/>
      <w:spacing w:val="-2"/>
      <w:sz w:val="60"/>
      <w:szCs w:val="22"/>
    </w:rPr>
  </w:style>
  <w:style w:type="paragraph" w:customStyle="1" w:styleId="Bulletindent2">
    <w:name w:val="Bullet indent 2"/>
    <w:basedOn w:val="Normal"/>
    <w:uiPriority w:val="7"/>
    <w:qFormat/>
    <w:rsid w:val="0002609C"/>
    <w:pPr>
      <w:numPr>
        <w:ilvl w:val="3"/>
        <w:numId w:val="37"/>
      </w:numPr>
      <w:spacing w:before="100"/>
      <w:contextualSpacing/>
    </w:pPr>
  </w:style>
  <w:style w:type="paragraph" w:styleId="IndexHeading">
    <w:name w:val="index heading"/>
    <w:basedOn w:val="Normal"/>
    <w:next w:val="Index1"/>
    <w:uiPriority w:val="99"/>
    <w:semiHidden/>
    <w:rsid w:val="0002609C"/>
    <w:rPr>
      <w:rFonts w:asciiTheme="majorHAnsi" w:eastAsiaTheme="majorEastAsia" w:hAnsiTheme="majorHAnsi" w:cstheme="majorBidi"/>
      <w:b/>
      <w:bCs/>
    </w:rPr>
  </w:style>
  <w:style w:type="paragraph" w:styleId="TOCHeading">
    <w:name w:val="TOC Heading"/>
    <w:basedOn w:val="Heading1"/>
    <w:next w:val="Normal"/>
    <w:uiPriority w:val="39"/>
    <w:semiHidden/>
    <w:rsid w:val="0002609C"/>
    <w:pPr>
      <w:spacing w:before="480" w:after="720"/>
      <w:outlineLvl w:val="9"/>
    </w:pPr>
    <w:rPr>
      <w:spacing w:val="2"/>
    </w:rPr>
  </w:style>
  <w:style w:type="paragraph" w:customStyle="1" w:styleId="NormalTight">
    <w:name w:val="Normal Tight"/>
    <w:uiPriority w:val="99"/>
    <w:semiHidden/>
    <w:rsid w:val="0002609C"/>
    <w:pPr>
      <w:ind w:right="2366"/>
    </w:pPr>
    <w:rPr>
      <w:rFonts w:asciiTheme="minorHAnsi" w:eastAsia="Times New Roman" w:hAnsiTheme="minorHAnsi" w:cs="Calibri"/>
      <w:sz w:val="18"/>
      <w:szCs w:val="19"/>
      <w:lang w:eastAsia="en-US"/>
    </w:rPr>
  </w:style>
  <w:style w:type="paragraph" w:styleId="BodyText">
    <w:name w:val="Body Text"/>
    <w:basedOn w:val="Normal"/>
    <w:link w:val="BodyTextChar"/>
    <w:uiPriority w:val="49"/>
    <w:semiHidden/>
    <w:rsid w:val="0002609C"/>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02609C"/>
    <w:rPr>
      <w:rFonts w:eastAsia="Times New Roman" w:cs="Calibri"/>
      <w:sz w:val="22"/>
      <w:szCs w:val="22"/>
    </w:rPr>
  </w:style>
  <w:style w:type="paragraph" w:customStyle="1" w:styleId="Insidecoverspacer">
    <w:name w:val="Inside cover spacer"/>
    <w:basedOn w:val="NormalTight"/>
    <w:uiPriority w:val="99"/>
    <w:semiHidden/>
    <w:qFormat/>
    <w:rsid w:val="0002609C"/>
    <w:pPr>
      <w:spacing w:before="5800"/>
      <w:ind w:right="1382"/>
    </w:pPr>
  </w:style>
  <w:style w:type="paragraph" w:styleId="TOC4">
    <w:name w:val="toc 4"/>
    <w:basedOn w:val="TOC1"/>
    <w:next w:val="Normal"/>
    <w:uiPriority w:val="39"/>
    <w:semiHidden/>
    <w:rsid w:val="0002609C"/>
    <w:pPr>
      <w:ind w:left="450" w:hanging="450"/>
    </w:pPr>
    <w:rPr>
      <w:noProof/>
      <w:lang w:eastAsia="en-US"/>
    </w:rPr>
  </w:style>
  <w:style w:type="paragraph" w:styleId="TOC5">
    <w:name w:val="toc 5"/>
    <w:basedOn w:val="TOC2"/>
    <w:next w:val="Normal"/>
    <w:uiPriority w:val="39"/>
    <w:semiHidden/>
    <w:rsid w:val="0002609C"/>
    <w:pPr>
      <w:ind w:left="1080" w:hanging="634"/>
    </w:pPr>
    <w:rPr>
      <w:lang w:eastAsia="en-US"/>
    </w:rPr>
  </w:style>
  <w:style w:type="paragraph" w:styleId="TOC6">
    <w:name w:val="toc 6"/>
    <w:basedOn w:val="TOC3"/>
    <w:next w:val="Normal"/>
    <w:uiPriority w:val="39"/>
    <w:semiHidden/>
    <w:rsid w:val="0002609C"/>
    <w:pPr>
      <w:ind w:left="1800" w:hanging="720"/>
    </w:pPr>
    <w:rPr>
      <w:lang w:eastAsia="en-US"/>
    </w:rPr>
  </w:style>
  <w:style w:type="table" w:customStyle="1" w:styleId="DTFtexttable">
    <w:name w:val="DTF text table"/>
    <w:basedOn w:val="TableGrid"/>
    <w:uiPriority w:val="99"/>
    <w:rsid w:val="0002609C"/>
    <w:pPr>
      <w:spacing w:before="30" w:after="30" w:line="264" w:lineRule="auto"/>
      <w:jc w:val="left"/>
    </w:pPr>
    <w:rPr>
      <w:sz w:val="18"/>
    </w:rPr>
    <w:tblPr>
      <w:tblBorders>
        <w:bottom w:val="single" w:sz="12" w:space="0" w:color="auto"/>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0000" w:themeFill="tex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FFFFFF" w:themeFill="background1"/>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02609C"/>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AF1DD" w:themeFill="accent3" w:themeFillTint="33"/>
      </w:tcPr>
    </w:tblStylePr>
    <w:tblStylePr w:type="band1Vert">
      <w:pPr>
        <w:jc w:val="right"/>
      </w:pPr>
    </w:tblStylePr>
    <w:tblStylePr w:type="band2Vert">
      <w:pPr>
        <w:jc w:val="right"/>
      </w:pPr>
    </w:tblStylePr>
    <w:tblStylePr w:type="band2Horz">
      <w:tblPr/>
      <w:tcPr>
        <w:shd w:val="clear" w:color="auto" w:fill="EAF1DD" w:themeFill="accent3" w:themeFillTint="33"/>
      </w:tcPr>
    </w:tblStylePr>
    <w:tblStylePr w:type="nwCell">
      <w:pPr>
        <w:jc w:val="left"/>
      </w:pPr>
      <w:tblPr/>
      <w:tcPr>
        <w:vAlign w:val="bottom"/>
      </w:tcPr>
    </w:tblStylePr>
  </w:style>
  <w:style w:type="paragraph" w:customStyle="1" w:styleId="Tabletextright">
    <w:name w:val="Table text right"/>
    <w:basedOn w:val="Tabletext"/>
    <w:uiPriority w:val="8"/>
    <w:qFormat/>
    <w:rsid w:val="0002609C"/>
    <w:pPr>
      <w:jc w:val="right"/>
    </w:pPr>
  </w:style>
  <w:style w:type="paragraph" w:customStyle="1" w:styleId="Listnumindent2">
    <w:name w:val="List num indent 2"/>
    <w:basedOn w:val="Normal"/>
    <w:uiPriority w:val="7"/>
    <w:qFormat/>
    <w:rsid w:val="0002609C"/>
    <w:pPr>
      <w:numPr>
        <w:ilvl w:val="7"/>
        <w:numId w:val="38"/>
      </w:numPr>
      <w:spacing w:before="100"/>
      <w:contextualSpacing/>
    </w:pPr>
  </w:style>
  <w:style w:type="paragraph" w:customStyle="1" w:styleId="Listnumindent">
    <w:name w:val="List num indent"/>
    <w:basedOn w:val="Normal"/>
    <w:uiPriority w:val="7"/>
    <w:qFormat/>
    <w:rsid w:val="0002609C"/>
    <w:pPr>
      <w:numPr>
        <w:ilvl w:val="6"/>
        <w:numId w:val="38"/>
      </w:numPr>
      <w:spacing w:before="100"/>
    </w:pPr>
  </w:style>
  <w:style w:type="paragraph" w:customStyle="1" w:styleId="Listnum">
    <w:name w:val="List num"/>
    <w:basedOn w:val="Normal"/>
    <w:uiPriority w:val="1"/>
    <w:qFormat/>
    <w:rsid w:val="0002609C"/>
    <w:pPr>
      <w:numPr>
        <w:numId w:val="38"/>
      </w:numPr>
      <w:contextualSpacing/>
    </w:pPr>
    <w:rPr>
      <w:sz w:val="18"/>
    </w:rPr>
  </w:style>
  <w:style w:type="paragraph" w:customStyle="1" w:styleId="Listnum2">
    <w:name w:val="List num 2"/>
    <w:basedOn w:val="Normal"/>
    <w:uiPriority w:val="1"/>
    <w:qFormat/>
    <w:rsid w:val="0002609C"/>
    <w:pPr>
      <w:numPr>
        <w:ilvl w:val="1"/>
        <w:numId w:val="38"/>
      </w:numPr>
      <w:contextualSpacing/>
    </w:pPr>
    <w:rPr>
      <w:sz w:val="18"/>
    </w:rPr>
  </w:style>
  <w:style w:type="paragraph" w:customStyle="1" w:styleId="Tabletextcentred">
    <w:name w:val="Table text centred"/>
    <w:basedOn w:val="Tabletext"/>
    <w:uiPriority w:val="8"/>
    <w:qFormat/>
    <w:rsid w:val="0002609C"/>
    <w:pPr>
      <w:jc w:val="center"/>
    </w:pPr>
  </w:style>
  <w:style w:type="paragraph" w:customStyle="1" w:styleId="Tableheader">
    <w:name w:val="Table header"/>
    <w:basedOn w:val="Tabletext"/>
    <w:uiPriority w:val="8"/>
    <w:qFormat/>
    <w:rsid w:val="0002609C"/>
    <w:pPr>
      <w:keepNext/>
      <w:keepLines/>
      <w:spacing w:before="120"/>
    </w:pPr>
    <w:rPr>
      <w:rFonts w:eastAsiaTheme="minorHAnsi"/>
      <w:color w:val="FFFFFF" w:themeColor="background1"/>
      <w:sz w:val="18"/>
      <w:szCs w:val="21"/>
      <w:lang w:eastAsia="en-US"/>
    </w:rPr>
  </w:style>
  <w:style w:type="paragraph" w:customStyle="1" w:styleId="Tablebullet">
    <w:name w:val="Table bullet"/>
    <w:basedOn w:val="Tabletext"/>
    <w:uiPriority w:val="9"/>
    <w:rsid w:val="0002609C"/>
    <w:pPr>
      <w:numPr>
        <w:numId w:val="39"/>
      </w:numPr>
    </w:pPr>
  </w:style>
  <w:style w:type="paragraph" w:customStyle="1" w:styleId="Tabledash">
    <w:name w:val="Table dash"/>
    <w:basedOn w:val="Tablebullet"/>
    <w:uiPriority w:val="9"/>
    <w:rsid w:val="0002609C"/>
    <w:pPr>
      <w:numPr>
        <w:ilvl w:val="1"/>
      </w:numPr>
    </w:pPr>
  </w:style>
  <w:style w:type="paragraph" w:customStyle="1" w:styleId="Tabletextindent">
    <w:name w:val="Table text indent"/>
    <w:basedOn w:val="Tabletext"/>
    <w:uiPriority w:val="8"/>
    <w:qFormat/>
    <w:rsid w:val="0002609C"/>
    <w:pPr>
      <w:ind w:left="288"/>
    </w:pPr>
  </w:style>
  <w:style w:type="paragraph" w:customStyle="1" w:styleId="Normalbold">
    <w:name w:val="Normal bold"/>
    <w:basedOn w:val="Normal"/>
    <w:qFormat/>
    <w:rsid w:val="0002609C"/>
    <w:pPr>
      <w:spacing w:line="264" w:lineRule="auto"/>
    </w:pPr>
    <w:rPr>
      <w:rFonts w:eastAsiaTheme="minorHAnsi"/>
      <w:b/>
      <w:sz w:val="18"/>
      <w:szCs w:val="18"/>
      <w:lang w:eastAsia="en-US"/>
    </w:rPr>
  </w:style>
  <w:style w:type="paragraph" w:customStyle="1" w:styleId="Refnum1">
    <w:name w:val="Ref num 1"/>
    <w:basedOn w:val="Normal"/>
    <w:uiPriority w:val="7"/>
    <w:rsid w:val="0002609C"/>
    <w:pPr>
      <w:numPr>
        <w:numId w:val="42"/>
      </w:numPr>
      <w:spacing w:line="240" w:lineRule="auto"/>
    </w:pPr>
    <w:rPr>
      <w:rFonts w:eastAsia="Calibri" w:cs="Times New Roman"/>
      <w:color w:val="FFFFFF" w:themeColor="background1"/>
      <w:spacing w:val="0"/>
      <w:sz w:val="18"/>
      <w:szCs w:val="21"/>
      <w:lang w:eastAsia="en-US"/>
    </w:rPr>
  </w:style>
  <w:style w:type="paragraph" w:customStyle="1" w:styleId="Refnum2">
    <w:name w:val="Ref num 2"/>
    <w:basedOn w:val="Refnum1"/>
    <w:uiPriority w:val="7"/>
    <w:rsid w:val="0002609C"/>
    <w:pPr>
      <w:numPr>
        <w:ilvl w:val="2"/>
      </w:numPr>
    </w:pPr>
    <w:rPr>
      <w:color w:val="auto"/>
    </w:rPr>
  </w:style>
  <w:style w:type="paragraph" w:customStyle="1" w:styleId="Listnumgrey">
    <w:name w:val="List num grey"/>
    <w:basedOn w:val="Listnum"/>
    <w:uiPriority w:val="3"/>
    <w:qFormat/>
    <w:rsid w:val="0002609C"/>
    <w:pPr>
      <w:spacing w:line="264" w:lineRule="auto"/>
    </w:pPr>
    <w:rPr>
      <w:rFonts w:eastAsiaTheme="minorHAnsi"/>
      <w:color w:val="4D4D4D"/>
      <w:szCs w:val="21"/>
      <w:lang w:eastAsia="en-US"/>
    </w:rPr>
  </w:style>
  <w:style w:type="paragraph" w:customStyle="1" w:styleId="Listnum2grey">
    <w:name w:val="List num 2 grey"/>
    <w:basedOn w:val="Listnum2"/>
    <w:uiPriority w:val="4"/>
    <w:qFormat/>
    <w:rsid w:val="0002609C"/>
    <w:pPr>
      <w:spacing w:line="264" w:lineRule="auto"/>
    </w:pPr>
    <w:rPr>
      <w:rFonts w:eastAsiaTheme="minorHAnsi"/>
      <w:color w:val="4D4D4D"/>
      <w:szCs w:val="21"/>
      <w:lang w:eastAsia="en-US"/>
    </w:rPr>
  </w:style>
  <w:style w:type="paragraph" w:customStyle="1" w:styleId="Refnum1grey">
    <w:name w:val="Ref num 1 grey"/>
    <w:basedOn w:val="Refnum1"/>
    <w:uiPriority w:val="7"/>
    <w:qFormat/>
    <w:rsid w:val="0002609C"/>
    <w:rPr>
      <w:color w:val="F2F2F2" w:themeColor="background1" w:themeShade="F2"/>
    </w:rPr>
  </w:style>
  <w:style w:type="paragraph" w:customStyle="1" w:styleId="Refnum2grey">
    <w:name w:val="Ref num 2 grey"/>
    <w:basedOn w:val="Normal"/>
    <w:rsid w:val="0002609C"/>
    <w:pPr>
      <w:numPr>
        <w:ilvl w:val="1"/>
        <w:numId w:val="42"/>
      </w:numPr>
    </w:pPr>
  </w:style>
  <w:style w:type="paragraph" w:customStyle="1" w:styleId="Normalgreybold">
    <w:name w:val="Normal grey bold"/>
    <w:basedOn w:val="Normalgrey"/>
    <w:qFormat/>
    <w:rsid w:val="0002609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dtf.vic.gov.au/DTF/RWP323.nsf/0/7676b730bfda25ed4a2569de00261615/$FILE/ampolicy.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F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9333D65C-1B79-4E98-913B-BFC7E1C2C154}">
  <ds:schemaRefs>
    <ds:schemaRef ds:uri="http://schemas.openxmlformats.org/officeDocument/2006/bibliography"/>
  </ds:schemaRefs>
</ds:datastoreItem>
</file>

<file path=customXml/itemProps2.xml><?xml version="1.0" encoding="utf-8"?>
<ds:datastoreItem xmlns:ds="http://schemas.openxmlformats.org/officeDocument/2006/customXml" ds:itemID="{56A711ED-ECF8-481D-969E-90AACBAF4BF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FRD template.dotx</Template>
  <TotalTime>0</TotalTime>
  <Pages>3</Pages>
  <Words>846</Words>
  <Characters>4823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FRD #</vt:lpstr>
    </vt:vector>
  </TitlesOfParts>
  <Company>CenITex</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 #</dc:title>
  <dc:creator>Anna Tong</dc:creator>
  <cp:lastModifiedBy>Natalie Maroki (DTF)</cp:lastModifiedBy>
  <cp:revision>2</cp:revision>
  <cp:lastPrinted>2016-06-07T06:12:00Z</cp:lastPrinted>
  <dcterms:created xsi:type="dcterms:W3CDTF">2022-04-28T02:47:00Z</dcterms:created>
  <dcterms:modified xsi:type="dcterms:W3CDTF">2022-04-28T02:47:00Z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e3cc17d3-a511-4734-919c-47eada79df26</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2022-04-28T02:47:28Z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0dab75ba-67c4-46e4-87d6-cc62992988e2</vt:lpwstr>
  </property>
  <property fmtid="{D5CDD505-2E9C-101B-9397-08002B2CF9AE}" pid="10" name="MSIP_Label_7158ebbd-6c5e-441f-bfc9-4eb8c11e3978_ContentBits">
    <vt:lpwstr>2</vt:lpwstr>
  </property>
</Properties>
</file>