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37" w:type="dxa"/>
        <w:tblLayout w:type="fixed"/>
        <w:tblLook w:val="04A0" w:firstRow="1" w:lastRow="0" w:firstColumn="1" w:lastColumn="0" w:noHBand="0" w:noVBand="1"/>
      </w:tblPr>
      <w:tblGrid>
        <w:gridCol w:w="2293"/>
        <w:gridCol w:w="270"/>
        <w:gridCol w:w="540"/>
        <w:gridCol w:w="6134"/>
      </w:tblGrid>
      <w:tr w:rsidR="00493B55" w:rsidRPr="003C5E9F" w14:paraId="05DB442B" w14:textId="77777777" w:rsidTr="00504C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93" w:type="dxa"/>
          </w:tcPr>
          <w:p w14:paraId="21CC532B" w14:textId="701320A2" w:rsidR="00845688" w:rsidRPr="003C5E9F" w:rsidRDefault="00845688" w:rsidP="009D5937">
            <w:pPr>
              <w:pStyle w:val="FRDNumber"/>
            </w:pPr>
            <w:r w:rsidRPr="002E50A4">
              <w:t>FRD</w:t>
            </w:r>
            <w:r w:rsidRPr="003C5E9F">
              <w:t xml:space="preserve"> </w:t>
            </w:r>
            <w:r w:rsidR="00DA0109">
              <w:t>105</w:t>
            </w:r>
          </w:p>
        </w:tc>
        <w:tc>
          <w:tcPr>
            <w:tcW w:w="270" w:type="dxa"/>
          </w:tcPr>
          <w:p w14:paraId="369F5384" w14:textId="77777777" w:rsidR="00845688" w:rsidRPr="00E43EFA" w:rsidRDefault="00845688" w:rsidP="00DE779D">
            <w:pPr>
              <w:cnfStyle w:val="100000000000" w:firstRow="1" w:lastRow="0" w:firstColumn="0" w:lastColumn="0" w:oddVBand="0" w:evenVBand="0" w:oddHBand="0" w:evenHBand="0" w:firstRowFirstColumn="0" w:firstRowLastColumn="0" w:lastRowFirstColumn="0" w:lastRowLastColumn="0"/>
            </w:pPr>
          </w:p>
        </w:tc>
        <w:tc>
          <w:tcPr>
            <w:tcW w:w="540" w:type="dxa"/>
          </w:tcPr>
          <w:p w14:paraId="1953BFF4" w14:textId="77777777" w:rsidR="00845688" w:rsidRPr="00E43EFA" w:rsidRDefault="00845688" w:rsidP="00DE779D">
            <w:pPr>
              <w:cnfStyle w:val="100000000000" w:firstRow="1" w:lastRow="0" w:firstColumn="0" w:lastColumn="0" w:oddVBand="0" w:evenVBand="0" w:oddHBand="0" w:evenHBand="0" w:firstRowFirstColumn="0" w:firstRowLastColumn="0" w:lastRowFirstColumn="0" w:lastRowLastColumn="0"/>
            </w:pPr>
          </w:p>
        </w:tc>
        <w:tc>
          <w:tcPr>
            <w:tcW w:w="6134" w:type="dxa"/>
          </w:tcPr>
          <w:p w14:paraId="3CF7B4AE" w14:textId="4F3E75A0" w:rsidR="00845688" w:rsidRPr="002E50A4" w:rsidRDefault="00DA0109" w:rsidP="009C43CE">
            <w:pPr>
              <w:pStyle w:val="FRDHeader"/>
              <w:cnfStyle w:val="100000000000" w:firstRow="1" w:lastRow="0" w:firstColumn="0" w:lastColumn="0" w:oddVBand="0" w:evenVBand="0" w:oddHBand="0" w:evenHBand="0" w:firstRowFirstColumn="0" w:firstRowLastColumn="0" w:lastRowFirstColumn="0" w:lastRowLastColumn="0"/>
            </w:pPr>
            <w:r w:rsidRPr="00DA0109">
              <w:t xml:space="preserve">Borrowing </w:t>
            </w:r>
            <w:r w:rsidR="007A6A47" w:rsidRPr="00DA0109">
              <w:t>c</w:t>
            </w:r>
            <w:r w:rsidRPr="00DA0109">
              <w:t>osts</w:t>
            </w:r>
            <w:r w:rsidR="002D7B49">
              <w:t xml:space="preserve"> (</w:t>
            </w:r>
            <w:r w:rsidR="00AE51BC">
              <w:t>April</w:t>
            </w:r>
            <w:r w:rsidR="002D7B49">
              <w:t xml:space="preserve"> 20</w:t>
            </w:r>
            <w:r w:rsidR="00AE51BC">
              <w:t>22</w:t>
            </w:r>
            <w:r w:rsidR="002D7B49">
              <w:t>)</w:t>
            </w:r>
          </w:p>
        </w:tc>
      </w:tr>
      <w:tr w:rsidR="00493B55" w:rsidRPr="00E10ADB" w14:paraId="180C9636" w14:textId="77777777" w:rsidTr="00504CC6">
        <w:trPr>
          <w:cnfStyle w:val="000000100000" w:firstRow="0" w:lastRow="0" w:firstColumn="0" w:lastColumn="0" w:oddVBand="0" w:evenVBand="0" w:oddHBand="1" w:evenHBand="0" w:firstRowFirstColumn="0" w:firstRowLastColumn="0" w:lastRowFirstColumn="0" w:lastRowLastColumn="0"/>
          <w:trHeight w:hRule="exact" w:val="120"/>
        </w:trPr>
        <w:tc>
          <w:tcPr>
            <w:cnfStyle w:val="001000000000" w:firstRow="0" w:lastRow="0" w:firstColumn="1" w:lastColumn="0" w:oddVBand="0" w:evenVBand="0" w:oddHBand="0" w:evenHBand="0" w:firstRowFirstColumn="0" w:firstRowLastColumn="0" w:lastRowFirstColumn="0" w:lastRowLastColumn="0"/>
            <w:tcW w:w="2293" w:type="dxa"/>
          </w:tcPr>
          <w:p w14:paraId="47D2C7A3" w14:textId="77777777" w:rsidR="00845688" w:rsidRPr="008A601F" w:rsidRDefault="00845688" w:rsidP="00DE779D">
            <w:pPr>
              <w:pStyle w:val="Tabletext"/>
            </w:pPr>
          </w:p>
        </w:tc>
        <w:tc>
          <w:tcPr>
            <w:tcW w:w="270" w:type="dxa"/>
          </w:tcPr>
          <w:p w14:paraId="7C41A3E2"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c>
          <w:tcPr>
            <w:tcW w:w="540" w:type="dxa"/>
          </w:tcPr>
          <w:p w14:paraId="7D3915FA"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c>
          <w:tcPr>
            <w:tcW w:w="6134" w:type="dxa"/>
          </w:tcPr>
          <w:p w14:paraId="120D01D9"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r>
      <w:tr w:rsidR="00493B55" w:rsidRPr="00E10ADB" w14:paraId="4E255605" w14:textId="77777777" w:rsidTr="00504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35EB47D2" w14:textId="77777777" w:rsidR="00845688" w:rsidRPr="00504CC6" w:rsidRDefault="00845688" w:rsidP="00F863E2">
            <w:pPr>
              <w:pStyle w:val="Normalgrey"/>
            </w:pPr>
            <w:r w:rsidRPr="008A601F">
              <w:t>Purpose</w:t>
            </w:r>
          </w:p>
        </w:tc>
        <w:tc>
          <w:tcPr>
            <w:tcW w:w="270" w:type="dxa"/>
          </w:tcPr>
          <w:p w14:paraId="1E2F1197" w14:textId="77777777" w:rsidR="00845688" w:rsidRPr="004B37BB" w:rsidRDefault="00845688" w:rsidP="00F863E2">
            <w:pPr>
              <w:pStyle w:val="Normalgrey"/>
              <w:cnfStyle w:val="000000010000" w:firstRow="0" w:lastRow="0" w:firstColumn="0" w:lastColumn="0" w:oddVBand="0" w:evenVBand="0" w:oddHBand="0" w:evenHBand="1" w:firstRowFirstColumn="0" w:firstRowLastColumn="0" w:lastRowFirstColumn="0" w:lastRowLastColumn="0"/>
            </w:pPr>
          </w:p>
        </w:tc>
        <w:tc>
          <w:tcPr>
            <w:tcW w:w="540" w:type="dxa"/>
          </w:tcPr>
          <w:p w14:paraId="0EC2A094" w14:textId="6CCFC78B" w:rsidR="00845688" w:rsidRPr="004B37BB" w:rsidRDefault="00F07517" w:rsidP="00F863E2">
            <w:pPr>
              <w:pStyle w:val="Normalgrey"/>
              <w:cnfStyle w:val="000000010000" w:firstRow="0" w:lastRow="0" w:firstColumn="0" w:lastColumn="0" w:oddVBand="0" w:evenVBand="0" w:oddHBand="0" w:evenHBand="1" w:firstRowFirstColumn="0" w:firstRowLastColumn="0" w:lastRowFirstColumn="0" w:lastRowLastColumn="0"/>
            </w:pPr>
            <w:r>
              <w:t>1.1</w:t>
            </w:r>
          </w:p>
        </w:tc>
        <w:tc>
          <w:tcPr>
            <w:tcW w:w="6134" w:type="dxa"/>
          </w:tcPr>
          <w:p w14:paraId="5B97159F" w14:textId="2A3363A7" w:rsidR="00845688" w:rsidRPr="00E43EFA" w:rsidRDefault="00BB659B" w:rsidP="00F863E2">
            <w:pPr>
              <w:pStyle w:val="Normalgrey"/>
              <w:cnfStyle w:val="000000010000" w:firstRow="0" w:lastRow="0" w:firstColumn="0" w:lastColumn="0" w:oddVBand="0" w:evenVBand="0" w:oddHBand="0" w:evenHBand="1" w:firstRowFirstColumn="0" w:firstRowLastColumn="0" w:lastRowFirstColumn="0" w:lastRowLastColumn="0"/>
            </w:pPr>
            <w:r w:rsidRPr="00BB659B">
              <w:t>To prescribe the requirement</w:t>
            </w:r>
            <w:r w:rsidR="00884361">
              <w:t>s</w:t>
            </w:r>
            <w:r w:rsidRPr="00BB659B">
              <w:t xml:space="preserve"> for the treatment of </w:t>
            </w:r>
            <w:r w:rsidR="00B06241">
              <w:t>‘</w:t>
            </w:r>
            <w:r w:rsidRPr="00AB5AC7">
              <w:rPr>
                <w:iCs/>
              </w:rPr>
              <w:t>borrowing costs</w:t>
            </w:r>
            <w:r w:rsidR="00F863E2">
              <w:rPr>
                <w:iCs/>
              </w:rPr>
              <w:t>.</w:t>
            </w:r>
            <w:r w:rsidR="00B06241">
              <w:rPr>
                <w:iCs/>
              </w:rPr>
              <w:t>’</w:t>
            </w:r>
          </w:p>
        </w:tc>
      </w:tr>
      <w:tr w:rsidR="00493B55" w:rsidRPr="00E10ADB" w14:paraId="21D6B151" w14:textId="77777777" w:rsidTr="00504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0961CED1" w14:textId="77777777" w:rsidR="00845688" w:rsidRPr="00E10ADB" w:rsidRDefault="00845688" w:rsidP="000574F7">
            <w:pPr>
              <w:pStyle w:val="Normalbold"/>
            </w:pPr>
            <w:r>
              <w:t>Application</w:t>
            </w:r>
          </w:p>
        </w:tc>
        <w:tc>
          <w:tcPr>
            <w:tcW w:w="270" w:type="dxa"/>
            <w:shd w:val="clear" w:color="auto" w:fill="F2F2F2" w:themeFill="background1" w:themeFillShade="F2"/>
          </w:tcPr>
          <w:p w14:paraId="0847E8F8" w14:textId="77777777" w:rsidR="00845688" w:rsidRPr="00C74460" w:rsidRDefault="00845688" w:rsidP="00C74460">
            <w:pPr>
              <w:pStyle w:val="Refnum1grey"/>
              <w:numPr>
                <w:ilvl w:val="0"/>
                <w:numId w:val="0"/>
              </w:numPr>
              <w:cnfStyle w:val="000000100000" w:firstRow="0" w:lastRow="0" w:firstColumn="0" w:lastColumn="0" w:oddVBand="0" w:evenVBand="0" w:oddHBand="1" w:evenHBand="0" w:firstRowFirstColumn="0" w:firstRowLastColumn="0" w:lastRowFirstColumn="0" w:lastRowLastColumn="0"/>
              <w:rPr>
                <w:b/>
                <w:bCs/>
              </w:rPr>
            </w:pPr>
          </w:p>
        </w:tc>
        <w:tc>
          <w:tcPr>
            <w:tcW w:w="540" w:type="dxa"/>
            <w:shd w:val="clear" w:color="auto" w:fill="F2F2F2" w:themeFill="background1" w:themeFillShade="F2"/>
          </w:tcPr>
          <w:p w14:paraId="49C118AE" w14:textId="31D70F10" w:rsidR="00845688" w:rsidRPr="00C74460" w:rsidRDefault="00F07517" w:rsidP="00F07517">
            <w:pPr>
              <w:pStyle w:val="Refnum2"/>
              <w:numPr>
                <w:ilvl w:val="0"/>
                <w:numId w:val="0"/>
              </w:numPr>
              <w:ind w:left="504" w:hanging="504"/>
              <w:cnfStyle w:val="000000100000" w:firstRow="0" w:lastRow="0" w:firstColumn="0" w:lastColumn="0" w:oddVBand="0" w:evenVBand="0" w:oddHBand="1" w:evenHBand="0" w:firstRowFirstColumn="0" w:firstRowLastColumn="0" w:lastRowFirstColumn="0" w:lastRowLastColumn="0"/>
              <w:rPr>
                <w:b/>
                <w:bCs/>
              </w:rPr>
            </w:pPr>
            <w:r w:rsidRPr="00C74460">
              <w:rPr>
                <w:b/>
                <w:bCs/>
              </w:rPr>
              <w:t>2.1</w:t>
            </w:r>
          </w:p>
        </w:tc>
        <w:tc>
          <w:tcPr>
            <w:tcW w:w="6134" w:type="dxa"/>
            <w:shd w:val="clear" w:color="auto" w:fill="F2F2F2" w:themeFill="background1" w:themeFillShade="F2"/>
          </w:tcPr>
          <w:p w14:paraId="0FDCB9F5" w14:textId="77777777" w:rsidR="00845688" w:rsidRPr="00BB659B" w:rsidRDefault="00BB659B" w:rsidP="00F07517">
            <w:pPr>
              <w:pStyle w:val="Normalbold"/>
              <w:cnfStyle w:val="000000100000" w:firstRow="0" w:lastRow="0" w:firstColumn="0" w:lastColumn="0" w:oddVBand="0" w:evenVBand="0" w:oddHBand="1" w:evenHBand="0" w:firstRowFirstColumn="0" w:firstRowLastColumn="0" w:lastRowFirstColumn="0" w:lastRowLastColumn="0"/>
            </w:pPr>
            <w:r w:rsidRPr="00BB659B">
              <w:t xml:space="preserve">Applies to all entities defined as either a public body or a department under section 3 of the </w:t>
            </w:r>
            <w:r w:rsidRPr="00BB659B">
              <w:rPr>
                <w:i/>
                <w:iCs/>
              </w:rPr>
              <w:t>Financial Management Act</w:t>
            </w:r>
            <w:r w:rsidR="000574F7">
              <w:t xml:space="preserve"> </w:t>
            </w:r>
            <w:r w:rsidRPr="000574F7">
              <w:rPr>
                <w:i/>
              </w:rPr>
              <w:t>1994</w:t>
            </w:r>
            <w:r w:rsidRPr="00BB659B">
              <w:t xml:space="preserve">, except those entities which are not controlled by the State and whose financial position and result are thus not included in the Annual </w:t>
            </w:r>
            <w:r w:rsidRPr="00356252">
              <w:rPr>
                <w:i/>
              </w:rPr>
              <w:t>Financial Report for the State of Victoria</w:t>
            </w:r>
            <w:r w:rsidRPr="00BB659B">
              <w:t>.  Application by those exempted entities and by State owned corporations is encouraged.</w:t>
            </w:r>
          </w:p>
        </w:tc>
      </w:tr>
      <w:tr w:rsidR="00B06241" w:rsidRPr="00E10ADB" w14:paraId="3DD821AF" w14:textId="77777777" w:rsidTr="00504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445D2493" w14:textId="77777777" w:rsidR="00B06241" w:rsidRDefault="00B06241" w:rsidP="000574F7">
            <w:pPr>
              <w:pStyle w:val="Normalbold"/>
            </w:pPr>
            <w:r>
              <w:t>Operative d</w:t>
            </w:r>
            <w:r w:rsidRPr="00E2009B">
              <w:t>ate</w:t>
            </w:r>
          </w:p>
        </w:tc>
        <w:tc>
          <w:tcPr>
            <w:tcW w:w="270" w:type="dxa"/>
            <w:shd w:val="clear" w:color="auto" w:fill="F2F2F2" w:themeFill="background1" w:themeFillShade="F2"/>
          </w:tcPr>
          <w:p w14:paraId="4451056D" w14:textId="77777777" w:rsidR="00B06241" w:rsidRPr="00C74460" w:rsidRDefault="00B06241" w:rsidP="00C74460">
            <w:pPr>
              <w:pStyle w:val="Refnum1"/>
              <w:numPr>
                <w:ilvl w:val="0"/>
                <w:numId w:val="0"/>
              </w:numPr>
              <w:cnfStyle w:val="000000010000" w:firstRow="0" w:lastRow="0" w:firstColumn="0" w:lastColumn="0" w:oddVBand="0" w:evenVBand="0" w:oddHBand="0" w:evenHBand="1" w:firstRowFirstColumn="0" w:firstRowLastColumn="0" w:lastRowFirstColumn="0" w:lastRowLastColumn="0"/>
              <w:rPr>
                <w:b/>
                <w:bCs/>
              </w:rPr>
            </w:pPr>
          </w:p>
        </w:tc>
        <w:tc>
          <w:tcPr>
            <w:tcW w:w="540" w:type="dxa"/>
            <w:shd w:val="clear" w:color="auto" w:fill="F2F2F2" w:themeFill="background1" w:themeFillShade="F2"/>
          </w:tcPr>
          <w:p w14:paraId="734A0142" w14:textId="3D40DAA6" w:rsidR="00B06241" w:rsidRPr="00C74460" w:rsidRDefault="00F07517" w:rsidP="00F07517">
            <w:pPr>
              <w:pStyle w:val="Refnum2"/>
              <w:numPr>
                <w:ilvl w:val="0"/>
                <w:numId w:val="0"/>
              </w:numPr>
              <w:ind w:left="504" w:hanging="504"/>
              <w:cnfStyle w:val="000000010000" w:firstRow="0" w:lastRow="0" w:firstColumn="0" w:lastColumn="0" w:oddVBand="0" w:evenVBand="0" w:oddHBand="0" w:evenHBand="1" w:firstRowFirstColumn="0" w:firstRowLastColumn="0" w:lastRowFirstColumn="0" w:lastRowLastColumn="0"/>
              <w:rPr>
                <w:b/>
                <w:bCs/>
              </w:rPr>
            </w:pPr>
            <w:r w:rsidRPr="00C74460">
              <w:rPr>
                <w:b/>
                <w:bCs/>
              </w:rPr>
              <w:t>3.1</w:t>
            </w:r>
          </w:p>
        </w:tc>
        <w:tc>
          <w:tcPr>
            <w:tcW w:w="6134" w:type="dxa"/>
            <w:shd w:val="clear" w:color="auto" w:fill="F2F2F2" w:themeFill="background1" w:themeFillShade="F2"/>
          </w:tcPr>
          <w:p w14:paraId="791F38EF" w14:textId="77777777" w:rsidR="00EB6CD4" w:rsidRPr="00EB6CD4" w:rsidRDefault="00B06241" w:rsidP="00F07517">
            <w:pPr>
              <w:pStyle w:val="Normalbold"/>
              <w:cnfStyle w:val="000000010000" w:firstRow="0" w:lastRow="0" w:firstColumn="0" w:lastColumn="0" w:oddVBand="0" w:evenVBand="0" w:oddHBand="0" w:evenHBand="1" w:firstRowFirstColumn="0" w:firstRowLastColumn="0" w:lastRowFirstColumn="0" w:lastRowLastColumn="0"/>
            </w:pPr>
            <w:r w:rsidRPr="00BB659B">
              <w:t>Annual reporting periods commencing on or after 1 July 20</w:t>
            </w:r>
            <w:r w:rsidR="00EB6CD4">
              <w:t>15</w:t>
            </w:r>
            <w:r w:rsidRPr="00BB659B">
              <w:t>.</w:t>
            </w:r>
          </w:p>
        </w:tc>
      </w:tr>
      <w:tr w:rsidR="00EB6CD4" w:rsidRPr="00E10ADB" w14:paraId="55D86606" w14:textId="77777777" w:rsidTr="00504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27910FF7" w14:textId="77777777" w:rsidR="00EB6CD4" w:rsidRPr="00472918" w:rsidRDefault="00EB6CD4" w:rsidP="00DE779D"/>
        </w:tc>
        <w:tc>
          <w:tcPr>
            <w:tcW w:w="270" w:type="dxa"/>
            <w:shd w:val="clear" w:color="auto" w:fill="F2F2F2" w:themeFill="background1" w:themeFillShade="F2"/>
          </w:tcPr>
          <w:p w14:paraId="031E44F6" w14:textId="77777777" w:rsidR="00EB6CD4" w:rsidRPr="00C74460" w:rsidRDefault="00EB6CD4" w:rsidP="00504CC6">
            <w:pPr>
              <w:pStyle w:val="Normalgrey"/>
              <w:cnfStyle w:val="000000100000" w:firstRow="0" w:lastRow="0" w:firstColumn="0" w:lastColumn="0" w:oddVBand="0" w:evenVBand="0" w:oddHBand="1" w:evenHBand="0" w:firstRowFirstColumn="0" w:firstRowLastColumn="0" w:lastRowFirstColumn="0" w:lastRowLastColumn="0"/>
              <w:rPr>
                <w:b/>
                <w:bCs/>
              </w:rPr>
            </w:pPr>
          </w:p>
        </w:tc>
        <w:tc>
          <w:tcPr>
            <w:tcW w:w="540" w:type="dxa"/>
            <w:shd w:val="clear" w:color="auto" w:fill="F2F2F2" w:themeFill="background1" w:themeFillShade="F2"/>
          </w:tcPr>
          <w:p w14:paraId="3B4836C2" w14:textId="7BFECE34" w:rsidR="00EB6CD4" w:rsidRPr="00C74460" w:rsidRDefault="00F07517" w:rsidP="00F07517">
            <w:pPr>
              <w:pStyle w:val="Refnum2"/>
              <w:numPr>
                <w:ilvl w:val="0"/>
                <w:numId w:val="0"/>
              </w:numPr>
              <w:ind w:left="504" w:hanging="504"/>
              <w:cnfStyle w:val="000000100000" w:firstRow="0" w:lastRow="0" w:firstColumn="0" w:lastColumn="0" w:oddVBand="0" w:evenVBand="0" w:oddHBand="1" w:evenHBand="0" w:firstRowFirstColumn="0" w:firstRowLastColumn="0" w:lastRowFirstColumn="0" w:lastRowLastColumn="0"/>
              <w:rPr>
                <w:b/>
                <w:bCs/>
              </w:rPr>
            </w:pPr>
            <w:r w:rsidRPr="00C74460">
              <w:rPr>
                <w:b/>
                <w:bCs/>
              </w:rPr>
              <w:t>3.2</w:t>
            </w:r>
          </w:p>
        </w:tc>
        <w:tc>
          <w:tcPr>
            <w:tcW w:w="6134" w:type="dxa"/>
            <w:shd w:val="clear" w:color="auto" w:fill="F2F2F2" w:themeFill="background1" w:themeFillShade="F2"/>
          </w:tcPr>
          <w:p w14:paraId="5C697C74" w14:textId="684FC007" w:rsidR="00F07517" w:rsidRPr="00AB5AC7" w:rsidRDefault="00F07517" w:rsidP="00F07517">
            <w:pPr>
              <w:pStyle w:val="Normalbold"/>
              <w:cnfStyle w:val="000000100000" w:firstRow="0" w:lastRow="0" w:firstColumn="0" w:lastColumn="0" w:oddVBand="0" w:evenVBand="0" w:oddHBand="1" w:evenHBand="0" w:firstRowFirstColumn="0" w:firstRowLastColumn="0" w:lastRowFirstColumn="0" w:lastRowLastColumn="0"/>
              <w:rPr>
                <w:bCs/>
              </w:rPr>
            </w:pPr>
            <w:r>
              <w:t xml:space="preserve">FRD 105B </w:t>
            </w:r>
            <w:r w:rsidRPr="00EB6CD4">
              <w:rPr>
                <w:i/>
              </w:rPr>
              <w:t>Borrowing costs</w:t>
            </w:r>
            <w:r>
              <w:t xml:space="preserve"> is renamed to FRD 105 </w:t>
            </w:r>
            <w:r w:rsidRPr="00EB6CD4">
              <w:rPr>
                <w:i/>
              </w:rPr>
              <w:t>Borrowing costs</w:t>
            </w:r>
            <w:r>
              <w:t xml:space="preserve"> effective </w:t>
            </w:r>
            <w:r w:rsidRPr="005D77C7">
              <w:t xml:space="preserve">1 </w:t>
            </w:r>
            <w:r w:rsidR="00541BFC">
              <w:t xml:space="preserve">April </w:t>
            </w:r>
            <w:r w:rsidRPr="005D77C7">
              <w:t>20</w:t>
            </w:r>
            <w:r w:rsidR="00541BFC">
              <w:t>22</w:t>
            </w:r>
            <w:r>
              <w:t>.</w:t>
            </w:r>
          </w:p>
        </w:tc>
      </w:tr>
      <w:tr w:rsidR="00B06241" w:rsidRPr="00E10ADB" w14:paraId="7D55FDB1" w14:textId="77777777" w:rsidTr="00504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69CEE5FE" w14:textId="77777777" w:rsidR="00B06241" w:rsidRPr="00472918" w:rsidRDefault="00B06241" w:rsidP="000574F7">
            <w:pPr>
              <w:pStyle w:val="Normalbold"/>
            </w:pPr>
            <w:r w:rsidRPr="00472918">
              <w:t>Requirement</w:t>
            </w:r>
            <w:r>
              <w:t>s</w:t>
            </w:r>
          </w:p>
        </w:tc>
        <w:tc>
          <w:tcPr>
            <w:tcW w:w="270" w:type="dxa"/>
            <w:shd w:val="clear" w:color="auto" w:fill="F2F2F2" w:themeFill="background1" w:themeFillShade="F2"/>
          </w:tcPr>
          <w:p w14:paraId="415A3E1B" w14:textId="77777777" w:rsidR="00B06241" w:rsidRPr="00C74460" w:rsidRDefault="00B06241" w:rsidP="00C74460">
            <w:pPr>
              <w:pStyle w:val="Refnum1grey"/>
              <w:numPr>
                <w:ilvl w:val="0"/>
                <w:numId w:val="0"/>
              </w:numPr>
              <w:cnfStyle w:val="000000010000" w:firstRow="0" w:lastRow="0" w:firstColumn="0" w:lastColumn="0" w:oddVBand="0" w:evenVBand="0" w:oddHBand="0" w:evenHBand="1" w:firstRowFirstColumn="0" w:firstRowLastColumn="0" w:lastRowFirstColumn="0" w:lastRowLastColumn="0"/>
              <w:rPr>
                <w:b/>
                <w:bCs/>
              </w:rPr>
            </w:pPr>
          </w:p>
        </w:tc>
        <w:tc>
          <w:tcPr>
            <w:tcW w:w="540" w:type="dxa"/>
            <w:shd w:val="clear" w:color="auto" w:fill="F2F2F2" w:themeFill="background1" w:themeFillShade="F2"/>
          </w:tcPr>
          <w:p w14:paraId="3E0D5CD0" w14:textId="62F2169F" w:rsidR="00B06241" w:rsidRPr="00C74460" w:rsidRDefault="00F07517" w:rsidP="00F07517">
            <w:pPr>
              <w:pStyle w:val="Refnum2"/>
              <w:numPr>
                <w:ilvl w:val="0"/>
                <w:numId w:val="0"/>
              </w:numPr>
              <w:cnfStyle w:val="000000010000" w:firstRow="0" w:lastRow="0" w:firstColumn="0" w:lastColumn="0" w:oddVBand="0" w:evenVBand="0" w:oddHBand="0" w:evenHBand="1" w:firstRowFirstColumn="0" w:firstRowLastColumn="0" w:lastRowFirstColumn="0" w:lastRowLastColumn="0"/>
              <w:rPr>
                <w:b/>
                <w:bCs/>
              </w:rPr>
            </w:pPr>
            <w:r w:rsidRPr="00C74460">
              <w:rPr>
                <w:b/>
                <w:bCs/>
              </w:rPr>
              <w:t>4.1</w:t>
            </w:r>
          </w:p>
        </w:tc>
        <w:tc>
          <w:tcPr>
            <w:tcW w:w="6134" w:type="dxa"/>
            <w:shd w:val="clear" w:color="auto" w:fill="F2F2F2" w:themeFill="background1" w:themeFillShade="F2"/>
          </w:tcPr>
          <w:p w14:paraId="21AE6A96" w14:textId="5686BA63" w:rsidR="00B06241" w:rsidRDefault="00B06241" w:rsidP="00F07517">
            <w:pPr>
              <w:pStyle w:val="Normalbold"/>
              <w:cnfStyle w:val="000000010000" w:firstRow="0" w:lastRow="0" w:firstColumn="0" w:lastColumn="0" w:oddVBand="0" w:evenVBand="0" w:oddHBand="0" w:evenHBand="1" w:firstRowFirstColumn="0" w:firstRowLastColumn="0" w:lastRowFirstColumn="0" w:lastRowLastColumn="0"/>
              <w:rPr>
                <w:bCs/>
              </w:rPr>
            </w:pPr>
            <w:r w:rsidRPr="00AB5AC7">
              <w:rPr>
                <w:bCs/>
              </w:rPr>
              <w:t>‘Not-for-profit’ entities</w:t>
            </w:r>
          </w:p>
          <w:p w14:paraId="3B3BB9DC" w14:textId="77777777" w:rsidR="00BC5F4B" w:rsidRPr="00AB5AC7" w:rsidRDefault="00BC5F4B" w:rsidP="00F07517">
            <w:pPr>
              <w:pStyle w:val="Normalbold"/>
              <w:cnfStyle w:val="000000010000" w:firstRow="0" w:lastRow="0" w:firstColumn="0" w:lastColumn="0" w:oddVBand="0" w:evenVBand="0" w:oddHBand="0" w:evenHBand="1" w:firstRowFirstColumn="0" w:firstRowLastColumn="0" w:lastRowFirstColumn="0" w:lastRowLastColumn="0"/>
            </w:pPr>
            <w:r w:rsidRPr="00BB659B">
              <w:t xml:space="preserve">Entities that are classified as </w:t>
            </w:r>
            <w:r>
              <w:t>‘</w:t>
            </w:r>
            <w:r w:rsidRPr="00BB659B">
              <w:t>not-for-profit</w:t>
            </w:r>
            <w:r>
              <w:t>’</w:t>
            </w:r>
            <w:r w:rsidRPr="00BB659B">
              <w:t xml:space="preserve"> entities </w:t>
            </w:r>
            <w:r>
              <w:t xml:space="preserve">shall </w:t>
            </w:r>
            <w:r w:rsidRPr="00BB659B">
              <w:t>expense all borrowing costs in the period in which they are incurred.</w:t>
            </w:r>
          </w:p>
        </w:tc>
      </w:tr>
      <w:tr w:rsidR="00B06241" w:rsidRPr="00E10ADB" w14:paraId="0FD925F9" w14:textId="77777777" w:rsidTr="00504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66F26828" w14:textId="77777777" w:rsidR="00B06241" w:rsidRPr="00472918" w:rsidRDefault="00B06241" w:rsidP="00DE779D"/>
        </w:tc>
        <w:tc>
          <w:tcPr>
            <w:tcW w:w="270" w:type="dxa"/>
            <w:shd w:val="clear" w:color="auto" w:fill="F2F2F2" w:themeFill="background1" w:themeFillShade="F2"/>
          </w:tcPr>
          <w:p w14:paraId="7C92C648" w14:textId="77777777" w:rsidR="00B06241" w:rsidRPr="00C74460" w:rsidRDefault="00B06241" w:rsidP="00504CC6">
            <w:pPr>
              <w:pStyle w:val="Normalgrey"/>
              <w:cnfStyle w:val="000000100000" w:firstRow="0" w:lastRow="0" w:firstColumn="0" w:lastColumn="0" w:oddVBand="0" w:evenVBand="0" w:oddHBand="1" w:evenHBand="0" w:firstRowFirstColumn="0" w:firstRowLastColumn="0" w:lastRowFirstColumn="0" w:lastRowLastColumn="0"/>
              <w:rPr>
                <w:b/>
                <w:bCs/>
              </w:rPr>
            </w:pPr>
          </w:p>
        </w:tc>
        <w:tc>
          <w:tcPr>
            <w:tcW w:w="540" w:type="dxa"/>
            <w:shd w:val="clear" w:color="auto" w:fill="F2F2F2" w:themeFill="background1" w:themeFillShade="F2"/>
          </w:tcPr>
          <w:p w14:paraId="25CDACBF" w14:textId="77777777" w:rsidR="00B06241" w:rsidRPr="00C74460" w:rsidRDefault="00171874" w:rsidP="00171874">
            <w:pPr>
              <w:pStyle w:val="Refnum2"/>
              <w:numPr>
                <w:ilvl w:val="0"/>
                <w:numId w:val="0"/>
              </w:numPr>
              <w:cnfStyle w:val="000000100000" w:firstRow="0" w:lastRow="0" w:firstColumn="0" w:lastColumn="0" w:oddVBand="0" w:evenVBand="0" w:oddHBand="1" w:evenHBand="0" w:firstRowFirstColumn="0" w:firstRowLastColumn="0" w:lastRowFirstColumn="0" w:lastRowLastColumn="0"/>
              <w:rPr>
                <w:b/>
                <w:bCs/>
              </w:rPr>
            </w:pPr>
            <w:r w:rsidRPr="00C74460">
              <w:rPr>
                <w:b/>
                <w:bCs/>
              </w:rPr>
              <w:t>4.2</w:t>
            </w:r>
          </w:p>
        </w:tc>
        <w:tc>
          <w:tcPr>
            <w:tcW w:w="6134" w:type="dxa"/>
            <w:shd w:val="clear" w:color="auto" w:fill="F2F2F2" w:themeFill="background1" w:themeFillShade="F2"/>
          </w:tcPr>
          <w:p w14:paraId="5E68E723" w14:textId="09A94CBF" w:rsidR="00BC5F4B" w:rsidRDefault="00BC5F4B" w:rsidP="00F07517">
            <w:pPr>
              <w:pStyle w:val="Normalbold"/>
              <w:cnfStyle w:val="000000100000" w:firstRow="0" w:lastRow="0" w:firstColumn="0" w:lastColumn="0" w:oddVBand="0" w:evenVBand="0" w:oddHBand="1" w:evenHBand="0" w:firstRowFirstColumn="0" w:firstRowLastColumn="0" w:lastRowFirstColumn="0" w:lastRowLastColumn="0"/>
            </w:pPr>
            <w:r>
              <w:t>‘</w:t>
            </w:r>
            <w:r w:rsidRPr="00AB5AC7">
              <w:t>For-profit</w:t>
            </w:r>
            <w:r>
              <w:t>’</w:t>
            </w:r>
            <w:r w:rsidRPr="00AB5AC7">
              <w:t xml:space="preserve"> entities</w:t>
            </w:r>
          </w:p>
          <w:p w14:paraId="79781C0D" w14:textId="77777777" w:rsidR="00B06241" w:rsidRPr="00E36941" w:rsidDel="00E36941" w:rsidRDefault="00B06241" w:rsidP="00F07517">
            <w:pPr>
              <w:pStyle w:val="Normalbold"/>
              <w:cnfStyle w:val="000000100000" w:firstRow="0" w:lastRow="0" w:firstColumn="0" w:lastColumn="0" w:oddVBand="0" w:evenVBand="0" w:oddHBand="1" w:evenHBand="0" w:firstRowFirstColumn="0" w:firstRowLastColumn="0" w:lastRowFirstColumn="0" w:lastRowLastColumn="0"/>
            </w:pPr>
            <w:r w:rsidRPr="009C43CE">
              <w:t xml:space="preserve">Entities that are classified as </w:t>
            </w:r>
            <w:r w:rsidR="00A41F63" w:rsidRPr="009C43CE">
              <w:t>‘</w:t>
            </w:r>
            <w:r w:rsidRPr="009C43CE">
              <w:t>for-profit</w:t>
            </w:r>
            <w:r w:rsidR="00A41F63" w:rsidRPr="009C43CE">
              <w:t>’</w:t>
            </w:r>
            <w:r w:rsidRPr="009C43CE">
              <w:t xml:space="preserve"> entities </w:t>
            </w:r>
            <w:r w:rsidR="00C57B17" w:rsidRPr="009C43CE">
              <w:t>shall</w:t>
            </w:r>
            <w:r w:rsidRPr="009C43CE">
              <w:t xml:space="preserve"> account for borrowing costs in accordance with the requirements of AASB 123 </w:t>
            </w:r>
            <w:r w:rsidRPr="009C43CE">
              <w:rPr>
                <w:i/>
              </w:rPr>
              <w:t>Borrowing Costs</w:t>
            </w:r>
            <w:r w:rsidRPr="009C43CE">
              <w:t>.</w:t>
            </w:r>
            <w:r w:rsidRPr="00021131" w:rsidDel="00E36941">
              <w:t xml:space="preserve"> </w:t>
            </w:r>
          </w:p>
        </w:tc>
      </w:tr>
      <w:tr w:rsidR="00B06241" w:rsidRPr="00E10ADB" w14:paraId="4A570AFE" w14:textId="77777777" w:rsidTr="00504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18926FB1" w14:textId="77777777" w:rsidR="00B06241" w:rsidRPr="00472918" w:rsidRDefault="00B06241" w:rsidP="00DE779D"/>
        </w:tc>
        <w:tc>
          <w:tcPr>
            <w:tcW w:w="270" w:type="dxa"/>
            <w:shd w:val="clear" w:color="auto" w:fill="F2F2F2" w:themeFill="background1" w:themeFillShade="F2"/>
          </w:tcPr>
          <w:p w14:paraId="44D38F8D" w14:textId="77777777" w:rsidR="00B06241" w:rsidRPr="00C74460" w:rsidRDefault="00B06241" w:rsidP="00504CC6">
            <w:pPr>
              <w:pStyle w:val="Normalgrey"/>
              <w:cnfStyle w:val="000000010000" w:firstRow="0" w:lastRow="0" w:firstColumn="0" w:lastColumn="0" w:oddVBand="0" w:evenVBand="0" w:oddHBand="0" w:evenHBand="1" w:firstRowFirstColumn="0" w:firstRowLastColumn="0" w:lastRowFirstColumn="0" w:lastRowLastColumn="0"/>
              <w:rPr>
                <w:b/>
                <w:bCs/>
              </w:rPr>
            </w:pPr>
          </w:p>
        </w:tc>
        <w:tc>
          <w:tcPr>
            <w:tcW w:w="540" w:type="dxa"/>
            <w:shd w:val="clear" w:color="auto" w:fill="F2F2F2" w:themeFill="background1" w:themeFillShade="F2"/>
          </w:tcPr>
          <w:p w14:paraId="0336DB2F" w14:textId="77777777" w:rsidR="00B06241" w:rsidRPr="00C74460" w:rsidRDefault="00171874" w:rsidP="00171874">
            <w:pPr>
              <w:pStyle w:val="Refnum2"/>
              <w:numPr>
                <w:ilvl w:val="0"/>
                <w:numId w:val="0"/>
              </w:numPr>
              <w:cnfStyle w:val="000000010000" w:firstRow="0" w:lastRow="0" w:firstColumn="0" w:lastColumn="0" w:oddVBand="0" w:evenVBand="0" w:oddHBand="0" w:evenHBand="1" w:firstRowFirstColumn="0" w:firstRowLastColumn="0" w:lastRowFirstColumn="0" w:lastRowLastColumn="0"/>
              <w:rPr>
                <w:b/>
                <w:bCs/>
              </w:rPr>
            </w:pPr>
            <w:r w:rsidRPr="00C74460">
              <w:rPr>
                <w:b/>
                <w:bCs/>
              </w:rPr>
              <w:t>4.3</w:t>
            </w:r>
          </w:p>
        </w:tc>
        <w:tc>
          <w:tcPr>
            <w:tcW w:w="6134" w:type="dxa"/>
            <w:shd w:val="clear" w:color="auto" w:fill="F2F2F2" w:themeFill="background1" w:themeFillShade="F2"/>
          </w:tcPr>
          <w:p w14:paraId="6A834E12" w14:textId="77777777" w:rsidR="00B06241" w:rsidRDefault="00B06241" w:rsidP="00F07517">
            <w:pPr>
              <w:pStyle w:val="Normalbold"/>
              <w:cnfStyle w:val="000000010000" w:firstRow="0" w:lastRow="0" w:firstColumn="0" w:lastColumn="0" w:oddVBand="0" w:evenVBand="0" w:oddHBand="0" w:evenHBand="1" w:firstRowFirstColumn="0" w:firstRowLastColumn="0" w:lastRowFirstColumn="0" w:lastRowLastColumn="0"/>
              <w:rPr>
                <w:bCs/>
                <w:u w:val="single"/>
              </w:rPr>
            </w:pPr>
            <w:r w:rsidRPr="002B6F54">
              <w:t xml:space="preserve">In addition, for each reporting period, </w:t>
            </w:r>
            <w:r w:rsidR="006C3E2F">
              <w:t>‘</w:t>
            </w:r>
            <w:r w:rsidRPr="002B6F54">
              <w:t>for-profit</w:t>
            </w:r>
            <w:r w:rsidR="006C3E2F">
              <w:t xml:space="preserve">’ </w:t>
            </w:r>
            <w:r w:rsidRPr="002B6F54">
              <w:t xml:space="preserve">entities whose qualifying assets include capitalised borrowing costs shall advise the Department of Treasury and </w:t>
            </w:r>
            <w:r w:rsidRPr="00EB6CD4">
              <w:t xml:space="preserve">Finance’s </w:t>
            </w:r>
            <w:r w:rsidR="00EB6CD4">
              <w:t xml:space="preserve">Consolidated Reporting </w:t>
            </w:r>
            <w:r w:rsidR="003B12BE">
              <w:t xml:space="preserve">and </w:t>
            </w:r>
            <w:r w:rsidR="00EB6CD4">
              <w:t>Analysis team</w:t>
            </w:r>
            <w:r w:rsidRPr="002B6F54">
              <w:t xml:space="preserve"> of the relevant cumulative and current period adjustments to their financial results and position for the purpose of consolidation into the Annual </w:t>
            </w:r>
            <w:r w:rsidRPr="00356252">
              <w:rPr>
                <w:i/>
              </w:rPr>
              <w:t>Financial Report for the State of Victoria</w:t>
            </w:r>
            <w:r w:rsidRPr="002B6F54">
              <w:t xml:space="preserve"> on a not-for-profit basis.</w:t>
            </w:r>
          </w:p>
        </w:tc>
      </w:tr>
      <w:tr w:rsidR="00B06241" w:rsidRPr="00E10ADB" w14:paraId="017F3A1B" w14:textId="77777777" w:rsidTr="00504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084D85D2" w14:textId="77777777" w:rsidR="00B06241" w:rsidRPr="00E2009B" w:rsidRDefault="00B06241" w:rsidP="00F863E2">
            <w:pPr>
              <w:pStyle w:val="Normalgrey"/>
            </w:pPr>
            <w:r w:rsidRPr="00E2009B">
              <w:t>Definitions</w:t>
            </w:r>
          </w:p>
        </w:tc>
        <w:tc>
          <w:tcPr>
            <w:tcW w:w="270" w:type="dxa"/>
          </w:tcPr>
          <w:p w14:paraId="21139113" w14:textId="77777777" w:rsidR="00B06241" w:rsidRPr="00BC5F4B" w:rsidRDefault="00B06241" w:rsidP="00BC5F4B">
            <w:pPr>
              <w:pStyle w:val="Refnum1"/>
              <w:cnfStyle w:val="000000100000" w:firstRow="0" w:lastRow="0" w:firstColumn="0" w:lastColumn="0" w:oddVBand="0" w:evenVBand="0" w:oddHBand="1" w:evenHBand="0" w:firstRowFirstColumn="0" w:firstRowLastColumn="0" w:lastRowFirstColumn="0" w:lastRowLastColumn="0"/>
            </w:pPr>
          </w:p>
        </w:tc>
        <w:tc>
          <w:tcPr>
            <w:tcW w:w="540" w:type="dxa"/>
          </w:tcPr>
          <w:p w14:paraId="06B139D5" w14:textId="77777777" w:rsidR="00B06241" w:rsidRPr="004B37BB" w:rsidRDefault="00171874" w:rsidP="00F863E2">
            <w:pPr>
              <w:pStyle w:val="Normalgrey"/>
              <w:cnfStyle w:val="000000100000" w:firstRow="0" w:lastRow="0" w:firstColumn="0" w:lastColumn="0" w:oddVBand="0" w:evenVBand="0" w:oddHBand="1" w:evenHBand="0" w:firstRowFirstColumn="0" w:firstRowLastColumn="0" w:lastRowFirstColumn="0" w:lastRowLastColumn="0"/>
            </w:pPr>
            <w:r>
              <w:t>5.1</w:t>
            </w:r>
          </w:p>
        </w:tc>
        <w:tc>
          <w:tcPr>
            <w:tcW w:w="6134" w:type="dxa"/>
          </w:tcPr>
          <w:p w14:paraId="58044F22" w14:textId="77777777" w:rsidR="00B06241" w:rsidRPr="00BB659B" w:rsidRDefault="00B06241" w:rsidP="00BB659B">
            <w:pPr>
              <w:pStyle w:val="Normalgrey"/>
              <w:cnfStyle w:val="000000100000" w:firstRow="0" w:lastRow="0" w:firstColumn="0" w:lastColumn="0" w:oddVBand="0" w:evenVBand="0" w:oddHBand="1" w:evenHBand="0" w:firstRowFirstColumn="0" w:firstRowLastColumn="0" w:lastRowFirstColumn="0" w:lastRowLastColumn="0"/>
            </w:pPr>
            <w:r w:rsidRPr="00BB659B">
              <w:t>Refer to paragraph 5 of AASB 123 for the following definitions:</w:t>
            </w:r>
          </w:p>
          <w:p w14:paraId="385CB261" w14:textId="77777777" w:rsidR="00B06241" w:rsidRPr="00F07517" w:rsidRDefault="00BC5F4B" w:rsidP="00F07517">
            <w:pPr>
              <w:pStyle w:val="Bullet1grey"/>
              <w:cnfStyle w:val="000000100000" w:firstRow="0" w:lastRow="0" w:firstColumn="0" w:lastColumn="0" w:oddVBand="0" w:evenVBand="0" w:oddHBand="1" w:evenHBand="0" w:firstRowFirstColumn="0" w:firstRowLastColumn="0" w:lastRowFirstColumn="0" w:lastRowLastColumn="0"/>
            </w:pPr>
            <w:r w:rsidRPr="00F07517">
              <w:t xml:space="preserve">borrowing </w:t>
            </w:r>
            <w:r w:rsidR="00B06241" w:rsidRPr="00F07517">
              <w:t>costs</w:t>
            </w:r>
            <w:r w:rsidR="00F737AD" w:rsidRPr="00F07517">
              <w:t>; and</w:t>
            </w:r>
          </w:p>
          <w:p w14:paraId="573403B6" w14:textId="77777777" w:rsidR="00B06241" w:rsidRPr="00822CF3" w:rsidRDefault="00BC5F4B" w:rsidP="00F07517">
            <w:pPr>
              <w:pStyle w:val="Bullet1grey"/>
              <w:cnfStyle w:val="000000100000" w:firstRow="0" w:lastRow="0" w:firstColumn="0" w:lastColumn="0" w:oddVBand="0" w:evenVBand="0" w:oddHBand="1" w:evenHBand="0" w:firstRowFirstColumn="0" w:firstRowLastColumn="0" w:lastRowFirstColumn="0" w:lastRowLastColumn="0"/>
            </w:pPr>
            <w:r w:rsidRPr="00F07517">
              <w:t xml:space="preserve">qualifying </w:t>
            </w:r>
            <w:r w:rsidR="00B06241" w:rsidRPr="00F07517">
              <w:t>assets</w:t>
            </w:r>
            <w:r w:rsidR="00F737AD" w:rsidRPr="00AB5AC7">
              <w:t>.</w:t>
            </w:r>
          </w:p>
        </w:tc>
      </w:tr>
      <w:tr w:rsidR="00BC5F4B" w:rsidRPr="00E10ADB" w14:paraId="2BB5DEEA" w14:textId="77777777" w:rsidTr="00504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08E4E13F" w14:textId="77777777" w:rsidR="00BC5F4B" w:rsidRPr="00E2009B" w:rsidRDefault="00BC5F4B" w:rsidP="00F863E2">
            <w:pPr>
              <w:pStyle w:val="Normalgrey"/>
            </w:pPr>
            <w:r w:rsidRPr="00E2009B">
              <w:t>Guidance</w:t>
            </w:r>
          </w:p>
        </w:tc>
        <w:tc>
          <w:tcPr>
            <w:tcW w:w="270" w:type="dxa"/>
          </w:tcPr>
          <w:p w14:paraId="4FA1F3A5" w14:textId="77777777" w:rsidR="00BC5F4B" w:rsidRPr="00521483" w:rsidRDefault="00BC5F4B" w:rsidP="00AB5AC7">
            <w:pPr>
              <w:pStyle w:val="Refnum1"/>
              <w:cnfStyle w:val="000000010000" w:firstRow="0" w:lastRow="0" w:firstColumn="0" w:lastColumn="0" w:oddVBand="0" w:evenVBand="0" w:oddHBand="0" w:evenHBand="1" w:firstRowFirstColumn="0" w:firstRowLastColumn="0" w:lastRowFirstColumn="0" w:lastRowLastColumn="0"/>
            </w:pPr>
          </w:p>
        </w:tc>
        <w:tc>
          <w:tcPr>
            <w:tcW w:w="540" w:type="dxa"/>
          </w:tcPr>
          <w:p w14:paraId="130CEA68" w14:textId="77777777" w:rsidR="00BC5F4B" w:rsidRPr="004B37BB" w:rsidRDefault="00BC5F4B" w:rsidP="00F863E2">
            <w:pPr>
              <w:pStyle w:val="Normalgrey"/>
              <w:cnfStyle w:val="000000010000" w:firstRow="0" w:lastRow="0" w:firstColumn="0" w:lastColumn="0" w:oddVBand="0" w:evenVBand="0" w:oddHBand="0" w:evenHBand="1" w:firstRowFirstColumn="0" w:firstRowLastColumn="0" w:lastRowFirstColumn="0" w:lastRowLastColumn="0"/>
              <w:rPr>
                <w:color w:val="595959" w:themeColor="text1" w:themeTint="A6"/>
              </w:rPr>
            </w:pPr>
            <w:r>
              <w:rPr>
                <w:color w:val="595959" w:themeColor="text1" w:themeTint="A6"/>
              </w:rPr>
              <w:t>6.1</w:t>
            </w:r>
          </w:p>
        </w:tc>
        <w:tc>
          <w:tcPr>
            <w:tcW w:w="6134" w:type="dxa"/>
          </w:tcPr>
          <w:p w14:paraId="71895153" w14:textId="6428B1A7" w:rsidR="00BC5F4B" w:rsidRDefault="00BC5F4B" w:rsidP="00B1708B">
            <w:pPr>
              <w:pStyle w:val="Normalbold"/>
              <w:cnfStyle w:val="000000010000" w:firstRow="0" w:lastRow="0" w:firstColumn="0" w:lastColumn="0" w:oddVBand="0" w:evenVBand="0" w:oddHBand="0" w:evenHBand="1" w:firstRowFirstColumn="0" w:firstRowLastColumn="0" w:lastRowFirstColumn="0" w:lastRowLastColumn="0"/>
            </w:pPr>
            <w:r w:rsidRPr="007A6A47">
              <w:rPr>
                <w:rFonts w:eastAsia="Times New Roman" w:cs="Calibri"/>
                <w:color w:val="4D4D4D"/>
              </w:rPr>
              <w:t>‘Not-for-profit’ entities</w:t>
            </w:r>
          </w:p>
          <w:p w14:paraId="3C01CA2C" w14:textId="77777777" w:rsidR="00BC5F4B" w:rsidRPr="00BB659B" w:rsidRDefault="00BC5F4B" w:rsidP="00BC5F4B">
            <w:pPr>
              <w:pStyle w:val="Normalgrey"/>
              <w:cnfStyle w:val="000000010000" w:firstRow="0" w:lastRow="0" w:firstColumn="0" w:lastColumn="0" w:oddVBand="0" w:evenVBand="0" w:oddHBand="0" w:evenHBand="1" w:firstRowFirstColumn="0" w:firstRowLastColumn="0" w:lastRowFirstColumn="0" w:lastRowLastColumn="0"/>
              <w:rPr>
                <w:b/>
                <w:i/>
              </w:rPr>
            </w:pPr>
            <w:r w:rsidRPr="00BB659B">
              <w:t xml:space="preserve">This Financial Reporting Direction (FRD) continues the requirement that applicable entities recognise borrowing costs as an expense in the period in which they are incurred, regardless of how the borrowings are applied, as allowed by AASB 123, for </w:t>
            </w:r>
            <w:r>
              <w:t>‘</w:t>
            </w:r>
            <w:r w:rsidRPr="00BB659B">
              <w:t>not-for-profit</w:t>
            </w:r>
            <w:r>
              <w:t>’</w:t>
            </w:r>
            <w:r w:rsidRPr="00BB659B">
              <w:t xml:space="preserve"> public sector entities.</w:t>
            </w:r>
          </w:p>
        </w:tc>
      </w:tr>
      <w:tr w:rsidR="00BC5F4B" w:rsidRPr="00E10ADB" w14:paraId="320F1B64" w14:textId="77777777" w:rsidTr="00504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7B35842E" w14:textId="77777777" w:rsidR="00BC5F4B" w:rsidRPr="00E2009B" w:rsidRDefault="00BC5F4B" w:rsidP="00DE779D">
            <w:pPr>
              <w:pStyle w:val="Normalgrey"/>
            </w:pPr>
          </w:p>
        </w:tc>
        <w:tc>
          <w:tcPr>
            <w:tcW w:w="270" w:type="dxa"/>
          </w:tcPr>
          <w:p w14:paraId="4F1CDC5C" w14:textId="77777777" w:rsidR="00BC5F4B" w:rsidRPr="00521483" w:rsidRDefault="00BC5F4B" w:rsidP="008B59BD">
            <w:pPr>
              <w:pStyle w:val="Refnum1"/>
              <w:numPr>
                <w:ilvl w:val="0"/>
                <w:numId w:val="0"/>
              </w:numPr>
              <w:cnfStyle w:val="000000100000" w:firstRow="0" w:lastRow="0" w:firstColumn="0" w:lastColumn="0" w:oddVBand="0" w:evenVBand="0" w:oddHBand="1" w:evenHBand="0" w:firstRowFirstColumn="0" w:firstRowLastColumn="0" w:lastRowFirstColumn="0" w:lastRowLastColumn="0"/>
            </w:pPr>
          </w:p>
        </w:tc>
        <w:tc>
          <w:tcPr>
            <w:tcW w:w="540" w:type="dxa"/>
          </w:tcPr>
          <w:p w14:paraId="213E94CF" w14:textId="77777777" w:rsidR="00BC5F4B" w:rsidRPr="004B37BB" w:rsidRDefault="00BC5F4B" w:rsidP="00F863E2">
            <w:pPr>
              <w:pStyle w:val="Normalgrey"/>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6.2</w:t>
            </w:r>
          </w:p>
        </w:tc>
        <w:tc>
          <w:tcPr>
            <w:tcW w:w="6134" w:type="dxa"/>
          </w:tcPr>
          <w:p w14:paraId="78DF8570" w14:textId="77777777" w:rsidR="00BC5F4B" w:rsidRPr="00BB659B" w:rsidRDefault="00BC5F4B" w:rsidP="00BC5F4B">
            <w:pPr>
              <w:pStyle w:val="Normalgrey"/>
              <w:cnfStyle w:val="000000100000" w:firstRow="0" w:lastRow="0" w:firstColumn="0" w:lastColumn="0" w:oddVBand="0" w:evenVBand="0" w:oddHBand="1" w:evenHBand="0" w:firstRowFirstColumn="0" w:firstRowLastColumn="0" w:lastRowFirstColumn="0" w:lastRowLastColumn="0"/>
              <w:rPr>
                <w:b/>
                <w:i/>
              </w:rPr>
            </w:pPr>
            <w:r w:rsidRPr="00BB659B">
              <w:t xml:space="preserve">This maintains consistency with the rules and principles of the ABS Government Finance Statistics (GFS) Manual, as required by AASB 1049 </w:t>
            </w:r>
            <w:r w:rsidRPr="00BB659B">
              <w:rPr>
                <w:i/>
              </w:rPr>
              <w:t>Whole of Government and General Government Sector Financial Reporting</w:t>
            </w:r>
            <w:r w:rsidRPr="00BB659B">
              <w:t>.</w:t>
            </w:r>
          </w:p>
        </w:tc>
      </w:tr>
      <w:tr w:rsidR="00BC5F4B" w:rsidRPr="00E10ADB" w14:paraId="5045762C" w14:textId="77777777" w:rsidTr="00504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5DCF1581" w14:textId="77777777" w:rsidR="00BC5F4B" w:rsidRPr="00E2009B" w:rsidRDefault="00BC5F4B" w:rsidP="00F863E2">
            <w:pPr>
              <w:pStyle w:val="Normalgrey"/>
            </w:pPr>
          </w:p>
        </w:tc>
        <w:tc>
          <w:tcPr>
            <w:tcW w:w="270" w:type="dxa"/>
          </w:tcPr>
          <w:p w14:paraId="6C78EBDF" w14:textId="77777777" w:rsidR="00BC5F4B" w:rsidRPr="00521483" w:rsidRDefault="00BC5F4B" w:rsidP="00493B55">
            <w:pPr>
              <w:pStyle w:val="Normalgrey"/>
              <w:cnfStyle w:val="000000010000" w:firstRow="0" w:lastRow="0" w:firstColumn="0" w:lastColumn="0" w:oddVBand="0" w:evenVBand="0" w:oddHBand="0" w:evenHBand="1" w:firstRowFirstColumn="0" w:firstRowLastColumn="0" w:lastRowFirstColumn="0" w:lastRowLastColumn="0"/>
            </w:pPr>
          </w:p>
        </w:tc>
        <w:tc>
          <w:tcPr>
            <w:tcW w:w="540" w:type="dxa"/>
          </w:tcPr>
          <w:p w14:paraId="75FDCD6F" w14:textId="77777777" w:rsidR="00BC5F4B" w:rsidRPr="004B37BB" w:rsidRDefault="00BC5F4B" w:rsidP="00F863E2">
            <w:pPr>
              <w:pStyle w:val="Normalgrey"/>
              <w:cnfStyle w:val="000000010000" w:firstRow="0" w:lastRow="0" w:firstColumn="0" w:lastColumn="0" w:oddVBand="0" w:evenVBand="0" w:oddHBand="0" w:evenHBand="1" w:firstRowFirstColumn="0" w:firstRowLastColumn="0" w:lastRowFirstColumn="0" w:lastRowLastColumn="0"/>
              <w:rPr>
                <w:color w:val="595959" w:themeColor="text1" w:themeTint="A6"/>
              </w:rPr>
            </w:pPr>
            <w:r>
              <w:rPr>
                <w:color w:val="595959" w:themeColor="text1" w:themeTint="A6"/>
              </w:rPr>
              <w:t>6.3</w:t>
            </w:r>
          </w:p>
        </w:tc>
        <w:tc>
          <w:tcPr>
            <w:tcW w:w="6134" w:type="dxa"/>
          </w:tcPr>
          <w:p w14:paraId="2FFDAA20" w14:textId="02AC8E14" w:rsidR="00F07517" w:rsidRDefault="00F07517" w:rsidP="00BC5F4B">
            <w:pPr>
              <w:pStyle w:val="Normalgrey"/>
              <w:cnfStyle w:val="000000010000" w:firstRow="0" w:lastRow="0" w:firstColumn="0" w:lastColumn="0" w:oddVBand="0" w:evenVBand="0" w:oddHBand="0" w:evenHBand="1" w:firstRowFirstColumn="0" w:firstRowLastColumn="0" w:lastRowFirstColumn="0" w:lastRowLastColumn="0"/>
            </w:pPr>
            <w:r w:rsidRPr="00AB5AC7">
              <w:rPr>
                <w:b/>
              </w:rPr>
              <w:t>‘For-profit’ entities</w:t>
            </w:r>
          </w:p>
          <w:p w14:paraId="24BF0C3E" w14:textId="0834323B" w:rsidR="00BC5F4B" w:rsidRPr="00EB6CD4" w:rsidRDefault="00BC5F4B" w:rsidP="00BC5F4B">
            <w:pPr>
              <w:pStyle w:val="Normalgrey"/>
              <w:cnfStyle w:val="000000010000" w:firstRow="0" w:lastRow="0" w:firstColumn="0" w:lastColumn="0" w:oddVBand="0" w:evenVBand="0" w:oddHBand="0" w:evenHBand="1" w:firstRowFirstColumn="0" w:firstRowLastColumn="0" w:lastRowFirstColumn="0" w:lastRowLastColumn="0"/>
              <w:rPr>
                <w:b/>
                <w:i/>
                <w:highlight w:val="yellow"/>
              </w:rPr>
            </w:pPr>
            <w:r w:rsidRPr="00420BF2">
              <w:t xml:space="preserve">FRD 108 </w:t>
            </w:r>
            <w:r w:rsidRPr="003B12BE">
              <w:rPr>
                <w:i/>
              </w:rPr>
              <w:t>Classification of Entities as For-Profit</w:t>
            </w:r>
            <w:r w:rsidRPr="003B12BE">
              <w:t xml:space="preserve"> identifies the public bodies that are classified as ‘for-profit’.</w:t>
            </w:r>
          </w:p>
        </w:tc>
      </w:tr>
      <w:tr w:rsidR="00BC5F4B" w:rsidRPr="00E10ADB" w14:paraId="1DDA8BD4" w14:textId="77777777" w:rsidTr="00504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13D3530C" w14:textId="77777777" w:rsidR="00BC5F4B" w:rsidRPr="00E2009B" w:rsidRDefault="00BC5F4B" w:rsidP="00DE779D">
            <w:pPr>
              <w:pStyle w:val="Normalgrey"/>
            </w:pPr>
          </w:p>
        </w:tc>
        <w:tc>
          <w:tcPr>
            <w:tcW w:w="270" w:type="dxa"/>
          </w:tcPr>
          <w:p w14:paraId="2D25BDC4" w14:textId="77777777" w:rsidR="00BC5F4B" w:rsidRPr="00521483" w:rsidRDefault="00BC5F4B" w:rsidP="00493B55">
            <w:pPr>
              <w:pStyle w:val="Normalgrey"/>
              <w:cnfStyle w:val="000000100000" w:firstRow="0" w:lastRow="0" w:firstColumn="0" w:lastColumn="0" w:oddVBand="0" w:evenVBand="0" w:oddHBand="1" w:evenHBand="0" w:firstRowFirstColumn="0" w:firstRowLastColumn="0" w:lastRowFirstColumn="0" w:lastRowLastColumn="0"/>
            </w:pPr>
          </w:p>
        </w:tc>
        <w:tc>
          <w:tcPr>
            <w:tcW w:w="540" w:type="dxa"/>
          </w:tcPr>
          <w:p w14:paraId="1BEDC9D8" w14:textId="77777777" w:rsidR="00BC5F4B" w:rsidRPr="004B37BB" w:rsidRDefault="00BC5F4B" w:rsidP="00F863E2">
            <w:pPr>
              <w:pStyle w:val="Normalgrey"/>
              <w:cnfStyle w:val="000000100000" w:firstRow="0" w:lastRow="0" w:firstColumn="0" w:lastColumn="0" w:oddVBand="0" w:evenVBand="0" w:oddHBand="1" w:evenHBand="0" w:firstRowFirstColumn="0" w:firstRowLastColumn="0" w:lastRowFirstColumn="0" w:lastRowLastColumn="0"/>
            </w:pPr>
            <w:r>
              <w:t>6.4</w:t>
            </w:r>
          </w:p>
        </w:tc>
        <w:tc>
          <w:tcPr>
            <w:tcW w:w="6134" w:type="dxa"/>
          </w:tcPr>
          <w:p w14:paraId="0C651B72" w14:textId="5577BDC0" w:rsidR="00BC5F4B" w:rsidRPr="00EB6CD4" w:rsidRDefault="00BC5F4B" w:rsidP="00BC5F4B">
            <w:pPr>
              <w:pStyle w:val="Normalgrey"/>
              <w:cnfStyle w:val="000000100000" w:firstRow="0" w:lastRow="0" w:firstColumn="0" w:lastColumn="0" w:oddVBand="0" w:evenVBand="0" w:oddHBand="1" w:evenHBand="0" w:firstRowFirstColumn="0" w:firstRowLastColumn="0" w:lastRowFirstColumn="0" w:lastRowLastColumn="0"/>
              <w:rPr>
                <w:highlight w:val="yellow"/>
              </w:rPr>
            </w:pPr>
            <w:r w:rsidRPr="009C43CE">
              <w:t>The election to recognise borrowing costs as an expense is not available to ‘for-profit’ public sector entities from 1 July 2009. Such entities will need to capitalise their borrowing costs that are directly attributable to the acquisition, construction</w:t>
            </w:r>
            <w:r w:rsidR="00F863E2">
              <w:t>,</w:t>
            </w:r>
            <w:r w:rsidRPr="009C43CE">
              <w:t xml:space="preserve"> or production of a qualifying asset, as part of the cost of that asset, as required by AASB 123.</w:t>
            </w:r>
          </w:p>
        </w:tc>
      </w:tr>
      <w:tr w:rsidR="00BC5F4B" w:rsidRPr="00E10ADB" w14:paraId="20EDEF26" w14:textId="77777777" w:rsidTr="00504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64330C52" w14:textId="77777777" w:rsidR="00BC5F4B" w:rsidRPr="00E2009B" w:rsidRDefault="00BC5F4B" w:rsidP="00DE779D">
            <w:pPr>
              <w:pStyle w:val="Normalgrey"/>
            </w:pPr>
          </w:p>
        </w:tc>
        <w:tc>
          <w:tcPr>
            <w:tcW w:w="270" w:type="dxa"/>
          </w:tcPr>
          <w:p w14:paraId="156C8A7F" w14:textId="77777777" w:rsidR="00BC5F4B" w:rsidRPr="00521483" w:rsidRDefault="00BC5F4B" w:rsidP="00493B55">
            <w:pPr>
              <w:pStyle w:val="Normalgrey"/>
              <w:cnfStyle w:val="000000010000" w:firstRow="0" w:lastRow="0" w:firstColumn="0" w:lastColumn="0" w:oddVBand="0" w:evenVBand="0" w:oddHBand="0" w:evenHBand="1" w:firstRowFirstColumn="0" w:firstRowLastColumn="0" w:lastRowFirstColumn="0" w:lastRowLastColumn="0"/>
            </w:pPr>
          </w:p>
        </w:tc>
        <w:tc>
          <w:tcPr>
            <w:tcW w:w="540" w:type="dxa"/>
          </w:tcPr>
          <w:p w14:paraId="0009E269" w14:textId="77777777" w:rsidR="00BC5F4B" w:rsidRPr="004B37BB" w:rsidRDefault="00BC5F4B" w:rsidP="00F863E2">
            <w:pPr>
              <w:pStyle w:val="Normalgrey"/>
              <w:cnfStyle w:val="000000010000" w:firstRow="0" w:lastRow="0" w:firstColumn="0" w:lastColumn="0" w:oddVBand="0" w:evenVBand="0" w:oddHBand="0" w:evenHBand="1" w:firstRowFirstColumn="0" w:firstRowLastColumn="0" w:lastRowFirstColumn="0" w:lastRowLastColumn="0"/>
            </w:pPr>
            <w:r>
              <w:t>6.5</w:t>
            </w:r>
          </w:p>
        </w:tc>
        <w:tc>
          <w:tcPr>
            <w:tcW w:w="6134" w:type="dxa"/>
          </w:tcPr>
          <w:p w14:paraId="163F996F" w14:textId="77777777" w:rsidR="00BC5F4B" w:rsidRPr="00EB6CD4" w:rsidRDefault="00BC5F4B" w:rsidP="00BC5F4B">
            <w:pPr>
              <w:pStyle w:val="Normalgrey"/>
              <w:cnfStyle w:val="000000010000" w:firstRow="0" w:lastRow="0" w:firstColumn="0" w:lastColumn="0" w:oddVBand="0" w:evenVBand="0" w:oddHBand="0" w:evenHBand="1" w:firstRowFirstColumn="0" w:firstRowLastColumn="0" w:lastRowFirstColumn="0" w:lastRowLastColumn="0"/>
              <w:rPr>
                <w:highlight w:val="yellow"/>
              </w:rPr>
            </w:pPr>
            <w:r w:rsidRPr="009C43CE">
              <w:t xml:space="preserve">However, AASB 123 paragraph 4(a) does provide an exception, whereby an entity is not required to apply AASB 123 to borrowing costs directly attributable to the acquisition, construction or production of a qualifying asset measured at fair value.                 </w:t>
            </w:r>
          </w:p>
        </w:tc>
      </w:tr>
      <w:tr w:rsidR="00BC5F4B" w:rsidRPr="00E10ADB" w14:paraId="74BC484F" w14:textId="77777777" w:rsidTr="00504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62FC524C" w14:textId="77777777" w:rsidR="00BC5F4B" w:rsidRPr="00E2009B" w:rsidRDefault="00BC5F4B" w:rsidP="00DE779D">
            <w:pPr>
              <w:pStyle w:val="Normalgrey"/>
            </w:pPr>
          </w:p>
        </w:tc>
        <w:tc>
          <w:tcPr>
            <w:tcW w:w="270" w:type="dxa"/>
          </w:tcPr>
          <w:p w14:paraId="04EE1EE8" w14:textId="77777777" w:rsidR="00BC5F4B" w:rsidRPr="00521483" w:rsidRDefault="00BC5F4B" w:rsidP="00493B55">
            <w:pPr>
              <w:pStyle w:val="Normalgrey"/>
              <w:cnfStyle w:val="000000100000" w:firstRow="0" w:lastRow="0" w:firstColumn="0" w:lastColumn="0" w:oddVBand="0" w:evenVBand="0" w:oddHBand="1" w:evenHBand="0" w:firstRowFirstColumn="0" w:firstRowLastColumn="0" w:lastRowFirstColumn="0" w:lastRowLastColumn="0"/>
            </w:pPr>
          </w:p>
        </w:tc>
        <w:tc>
          <w:tcPr>
            <w:tcW w:w="540" w:type="dxa"/>
          </w:tcPr>
          <w:p w14:paraId="3E244FF8" w14:textId="77777777" w:rsidR="00BC5F4B" w:rsidRPr="004B37BB" w:rsidRDefault="00BC5F4B" w:rsidP="00F863E2">
            <w:pPr>
              <w:pStyle w:val="Normalgrey"/>
              <w:cnfStyle w:val="000000100000" w:firstRow="0" w:lastRow="0" w:firstColumn="0" w:lastColumn="0" w:oddVBand="0" w:evenVBand="0" w:oddHBand="1" w:evenHBand="0" w:firstRowFirstColumn="0" w:firstRowLastColumn="0" w:lastRowFirstColumn="0" w:lastRowLastColumn="0"/>
            </w:pPr>
            <w:r>
              <w:t>6.6</w:t>
            </w:r>
          </w:p>
        </w:tc>
        <w:tc>
          <w:tcPr>
            <w:tcW w:w="6134" w:type="dxa"/>
          </w:tcPr>
          <w:p w14:paraId="121CC4F3" w14:textId="6DB7510E" w:rsidR="00BC5F4B" w:rsidRPr="008B59BD" w:rsidRDefault="00BC5F4B" w:rsidP="00BC5F4B">
            <w:pPr>
              <w:pStyle w:val="Normalgrey"/>
              <w:cnfStyle w:val="000000100000" w:firstRow="0" w:lastRow="0" w:firstColumn="0" w:lastColumn="0" w:oddVBand="0" w:evenVBand="0" w:oddHBand="1" w:evenHBand="0" w:firstRowFirstColumn="0" w:firstRowLastColumn="0" w:lastRowFirstColumn="0" w:lastRowLastColumn="0"/>
            </w:pPr>
            <w:r w:rsidRPr="00BB659B">
              <w:t xml:space="preserve">AASB </w:t>
            </w:r>
            <w:r>
              <w:t>10</w:t>
            </w:r>
            <w:r w:rsidRPr="00BB659B">
              <w:t xml:space="preserve"> </w:t>
            </w:r>
            <w:r w:rsidRPr="00BB659B">
              <w:rPr>
                <w:i/>
              </w:rPr>
              <w:t xml:space="preserve">Consolidated Financial Statements </w:t>
            </w:r>
            <w:r w:rsidRPr="00BB659B">
              <w:t xml:space="preserve">requires uniform accounting policies to be used when preparing consolidated financial statements, which includes the Annual </w:t>
            </w:r>
            <w:r w:rsidRPr="00356252">
              <w:rPr>
                <w:i/>
              </w:rPr>
              <w:t>Financial Report for the State of Victoria</w:t>
            </w:r>
            <w:r w:rsidRPr="00BB659B">
              <w:t xml:space="preserve"> (AFR). Accordingly, </w:t>
            </w:r>
            <w:r>
              <w:t>‘</w:t>
            </w:r>
            <w:r w:rsidRPr="00BB659B">
              <w:t>for-profit</w:t>
            </w:r>
            <w:r>
              <w:t>’</w:t>
            </w:r>
            <w:r w:rsidRPr="00BB659B">
              <w:t xml:space="preserve"> public sector entities whose qualifying assets include capitalised borrowing costs </w:t>
            </w:r>
            <w:r>
              <w:t>shall</w:t>
            </w:r>
            <w:r w:rsidRPr="00BB659B">
              <w:t xml:space="preserve"> advise the Department of Treasury and Finance’s  </w:t>
            </w:r>
            <w:r>
              <w:t xml:space="preserve">Consolidated </w:t>
            </w:r>
            <w:r w:rsidRPr="00BB659B">
              <w:t>Reporting</w:t>
            </w:r>
            <w:r>
              <w:t xml:space="preserve"> and Analysis</w:t>
            </w:r>
            <w:r w:rsidRPr="00BB659B">
              <w:t xml:space="preserve"> </w:t>
            </w:r>
            <w:r>
              <w:t>t</w:t>
            </w:r>
            <w:r w:rsidRPr="00BB659B">
              <w:t xml:space="preserve">eam of the appropriate cumulative and current period adjustments to their financial results and position for the purpose of consolidation into the AFR on a </w:t>
            </w:r>
            <w:r>
              <w:t>‘</w:t>
            </w:r>
            <w:r w:rsidRPr="00BB659B">
              <w:t>not-for-profit</w:t>
            </w:r>
            <w:r>
              <w:t>’</w:t>
            </w:r>
            <w:r w:rsidRPr="00BB659B">
              <w:t xml:space="preserve"> basis. </w:t>
            </w:r>
            <w:r>
              <w:t xml:space="preserve">                </w:t>
            </w:r>
          </w:p>
        </w:tc>
      </w:tr>
      <w:tr w:rsidR="00BC5F4B" w:rsidRPr="00E10ADB" w14:paraId="19DCDC5D" w14:textId="77777777" w:rsidTr="00504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762EFB14" w14:textId="77777777" w:rsidR="00BC5F4B" w:rsidRPr="00E2009B" w:rsidRDefault="00BC5F4B" w:rsidP="00DE779D">
            <w:pPr>
              <w:pStyle w:val="Normalgrey"/>
            </w:pPr>
          </w:p>
        </w:tc>
        <w:tc>
          <w:tcPr>
            <w:tcW w:w="270" w:type="dxa"/>
          </w:tcPr>
          <w:p w14:paraId="03631C31" w14:textId="77777777" w:rsidR="00BC5F4B" w:rsidRPr="00521483" w:rsidRDefault="00BC5F4B" w:rsidP="00493B55">
            <w:pPr>
              <w:pStyle w:val="Normalgrey"/>
              <w:cnfStyle w:val="000000010000" w:firstRow="0" w:lastRow="0" w:firstColumn="0" w:lastColumn="0" w:oddVBand="0" w:evenVBand="0" w:oddHBand="0" w:evenHBand="1" w:firstRowFirstColumn="0" w:firstRowLastColumn="0" w:lastRowFirstColumn="0" w:lastRowLastColumn="0"/>
            </w:pPr>
          </w:p>
        </w:tc>
        <w:tc>
          <w:tcPr>
            <w:tcW w:w="540" w:type="dxa"/>
          </w:tcPr>
          <w:p w14:paraId="0C3D22E6" w14:textId="77777777" w:rsidR="00BC5F4B" w:rsidRPr="004B37BB" w:rsidRDefault="00BC5F4B" w:rsidP="00F863E2">
            <w:pPr>
              <w:pStyle w:val="Normalgrey"/>
              <w:cnfStyle w:val="000000010000" w:firstRow="0" w:lastRow="0" w:firstColumn="0" w:lastColumn="0" w:oddVBand="0" w:evenVBand="0" w:oddHBand="0" w:evenHBand="1" w:firstRowFirstColumn="0" w:firstRowLastColumn="0" w:lastRowFirstColumn="0" w:lastRowLastColumn="0"/>
            </w:pPr>
            <w:r>
              <w:t>6.7</w:t>
            </w:r>
          </w:p>
        </w:tc>
        <w:tc>
          <w:tcPr>
            <w:tcW w:w="6134" w:type="dxa"/>
          </w:tcPr>
          <w:p w14:paraId="207093A5" w14:textId="77777777" w:rsidR="00BC5F4B" w:rsidRPr="00E36941" w:rsidRDefault="00BC5F4B" w:rsidP="00BC5F4B">
            <w:pPr>
              <w:pStyle w:val="Normalgrey"/>
              <w:cnfStyle w:val="000000010000" w:firstRow="0" w:lastRow="0" w:firstColumn="0" w:lastColumn="0" w:oddVBand="0" w:evenVBand="0" w:oddHBand="0" w:evenHBand="1" w:firstRowFirstColumn="0" w:firstRowLastColumn="0" w:lastRowFirstColumn="0" w:lastRowLastColumn="0"/>
              <w:rPr>
                <w:b/>
                <w:i/>
              </w:rPr>
            </w:pPr>
            <w:r w:rsidRPr="00BB659B">
              <w:t>AASB 123 scopes out qualifying assets measured at fair value. Consequently, where assets have been revalued to fair value subsequent to construction/acquisition, the adjustment to fair value is deemed to have eliminated any capitalisation of borrowing costs.</w:t>
            </w:r>
            <w:r>
              <w:t xml:space="preserve">                                                                                                                                                                                                                                                                                                                                                                                                                                                                                                                                                                                                                                                                                                                                                                                                                                                                                                                                                                                                                                                                                                                                                                                                                                                                                                                       </w:t>
            </w:r>
          </w:p>
        </w:tc>
      </w:tr>
      <w:tr w:rsidR="00BC5F4B" w:rsidRPr="00E10ADB" w14:paraId="0BA67B78" w14:textId="77777777" w:rsidTr="00504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48FE90D6" w14:textId="77777777" w:rsidR="00BC5F4B" w:rsidRPr="00E2009B" w:rsidRDefault="00BC5F4B" w:rsidP="00F863E2">
            <w:pPr>
              <w:pStyle w:val="Normalgrey"/>
            </w:pPr>
            <w:r w:rsidRPr="00E2009B">
              <w:t xml:space="preserve">Relevant </w:t>
            </w:r>
            <w:r>
              <w:t>p</w:t>
            </w:r>
            <w:r w:rsidRPr="00E2009B">
              <w:t>ronouncements</w:t>
            </w:r>
          </w:p>
        </w:tc>
        <w:tc>
          <w:tcPr>
            <w:tcW w:w="270" w:type="dxa"/>
          </w:tcPr>
          <w:p w14:paraId="69072C4B" w14:textId="77777777" w:rsidR="00BC5F4B" w:rsidRPr="00521483" w:rsidRDefault="00BC5F4B" w:rsidP="00AB5AC7">
            <w:pPr>
              <w:pStyle w:val="Refnum1"/>
              <w:numPr>
                <w:ilvl w:val="0"/>
                <w:numId w:val="0"/>
              </w:numPr>
              <w:cnfStyle w:val="000000100000" w:firstRow="0" w:lastRow="0" w:firstColumn="0" w:lastColumn="0" w:oddVBand="0" w:evenVBand="0" w:oddHBand="1" w:evenHBand="0" w:firstRowFirstColumn="0" w:firstRowLastColumn="0" w:lastRowFirstColumn="0" w:lastRowLastColumn="0"/>
            </w:pPr>
          </w:p>
        </w:tc>
        <w:tc>
          <w:tcPr>
            <w:tcW w:w="540" w:type="dxa"/>
          </w:tcPr>
          <w:p w14:paraId="533B2F2F" w14:textId="0B6DC163" w:rsidR="00BC5F4B" w:rsidRPr="004B37BB" w:rsidRDefault="00F07517" w:rsidP="00F863E2">
            <w:pPr>
              <w:pStyle w:val="Normalgrey"/>
              <w:cnfStyle w:val="000000100000" w:firstRow="0" w:lastRow="0" w:firstColumn="0" w:lastColumn="0" w:oddVBand="0" w:evenVBand="0" w:oddHBand="1" w:evenHBand="0" w:firstRowFirstColumn="0" w:firstRowLastColumn="0" w:lastRowFirstColumn="0" w:lastRowLastColumn="0"/>
            </w:pPr>
            <w:r>
              <w:t>7.1</w:t>
            </w:r>
          </w:p>
        </w:tc>
        <w:tc>
          <w:tcPr>
            <w:tcW w:w="6134" w:type="dxa"/>
          </w:tcPr>
          <w:p w14:paraId="208DF42B" w14:textId="2CAD6BEA" w:rsidR="00BC5F4B" w:rsidRPr="00420BF2" w:rsidRDefault="00BC5F4B" w:rsidP="00AB5AC7">
            <w:pPr>
              <w:pStyle w:val="Bullet1grey"/>
              <w:cnfStyle w:val="000000100000" w:firstRow="0" w:lastRow="0" w:firstColumn="0" w:lastColumn="0" w:oddVBand="0" w:evenVBand="0" w:oddHBand="1" w:evenHBand="0" w:firstRowFirstColumn="0" w:firstRowLastColumn="0" w:lastRowFirstColumn="0" w:lastRowLastColumn="0"/>
            </w:pPr>
            <w:r w:rsidRPr="00420BF2">
              <w:t xml:space="preserve">AASB 101 </w:t>
            </w:r>
            <w:r w:rsidRPr="00A83BBE">
              <w:rPr>
                <w:i/>
              </w:rPr>
              <w:t>Presentation of Financial Statements</w:t>
            </w:r>
          </w:p>
          <w:p w14:paraId="00DCE426" w14:textId="1411C428" w:rsidR="00BC5F4B" w:rsidRPr="00420BF2" w:rsidRDefault="00BC5F4B" w:rsidP="00AB5AC7">
            <w:pPr>
              <w:pStyle w:val="Bullet1grey"/>
              <w:cnfStyle w:val="000000100000" w:firstRow="0" w:lastRow="0" w:firstColumn="0" w:lastColumn="0" w:oddVBand="0" w:evenVBand="0" w:oddHBand="1" w:evenHBand="0" w:firstRowFirstColumn="0" w:firstRowLastColumn="0" w:lastRowFirstColumn="0" w:lastRowLastColumn="0"/>
            </w:pPr>
            <w:r w:rsidRPr="00420BF2">
              <w:t xml:space="preserve">AASB 123 </w:t>
            </w:r>
            <w:r w:rsidRPr="00A83BBE">
              <w:rPr>
                <w:i/>
              </w:rPr>
              <w:t>Borrowing Costs</w:t>
            </w:r>
            <w:r w:rsidRPr="00420BF2">
              <w:t xml:space="preserve"> </w:t>
            </w:r>
          </w:p>
          <w:p w14:paraId="35294711" w14:textId="089EE556" w:rsidR="00BC5F4B" w:rsidRPr="00420BF2" w:rsidRDefault="00BC5F4B" w:rsidP="00AB5AC7">
            <w:pPr>
              <w:pStyle w:val="Bullet1grey"/>
              <w:cnfStyle w:val="000000100000" w:firstRow="0" w:lastRow="0" w:firstColumn="0" w:lastColumn="0" w:oddVBand="0" w:evenVBand="0" w:oddHBand="1" w:evenHBand="0" w:firstRowFirstColumn="0" w:firstRowLastColumn="0" w:lastRowFirstColumn="0" w:lastRowLastColumn="0"/>
            </w:pPr>
            <w:r w:rsidRPr="00420BF2">
              <w:t xml:space="preserve">AASB 1049 </w:t>
            </w:r>
            <w:r w:rsidRPr="00A83BBE">
              <w:rPr>
                <w:i/>
              </w:rPr>
              <w:t>Whole of Government and General Government Sector Financial Reporting</w:t>
            </w:r>
            <w:r w:rsidRPr="00420BF2">
              <w:t xml:space="preserve"> </w:t>
            </w:r>
          </w:p>
          <w:p w14:paraId="0B983909" w14:textId="32F077D1" w:rsidR="00BC5F4B" w:rsidRPr="00420BF2" w:rsidRDefault="00BC5F4B" w:rsidP="00AB5AC7">
            <w:pPr>
              <w:pStyle w:val="Bullet1grey"/>
              <w:cnfStyle w:val="000000100000" w:firstRow="0" w:lastRow="0" w:firstColumn="0" w:lastColumn="0" w:oddVBand="0" w:evenVBand="0" w:oddHBand="1" w:evenHBand="0" w:firstRowFirstColumn="0" w:firstRowLastColumn="0" w:lastRowFirstColumn="0" w:lastRowLastColumn="0"/>
            </w:pPr>
            <w:r w:rsidRPr="00420BF2">
              <w:t xml:space="preserve">FRD 103 </w:t>
            </w:r>
            <w:r w:rsidRPr="002B4533">
              <w:rPr>
                <w:i/>
              </w:rPr>
              <w:t xml:space="preserve">Non-financial </w:t>
            </w:r>
            <w:r w:rsidR="00C91485" w:rsidRPr="002B4533">
              <w:rPr>
                <w:i/>
              </w:rPr>
              <w:t>physical assets</w:t>
            </w:r>
          </w:p>
          <w:p w14:paraId="69D0D5C9" w14:textId="61885D0D" w:rsidR="00BC5F4B" w:rsidRPr="00420BF2" w:rsidRDefault="00BC5F4B" w:rsidP="00A83BBE">
            <w:pPr>
              <w:pStyle w:val="Bullet1grey"/>
              <w:cnfStyle w:val="000000100000" w:firstRow="0" w:lastRow="0" w:firstColumn="0" w:lastColumn="0" w:oddVBand="0" w:evenVBand="0" w:oddHBand="1" w:evenHBand="0" w:firstRowFirstColumn="0" w:firstRowLastColumn="0" w:lastRowFirstColumn="0" w:lastRowLastColumn="0"/>
            </w:pPr>
            <w:r w:rsidRPr="00420BF2">
              <w:t xml:space="preserve">FRD 108 </w:t>
            </w:r>
            <w:r w:rsidRPr="002B4533">
              <w:rPr>
                <w:i/>
              </w:rPr>
              <w:t xml:space="preserve">Classification of entities </w:t>
            </w:r>
            <w:r w:rsidR="00C91485" w:rsidRPr="002B4533">
              <w:rPr>
                <w:i/>
              </w:rPr>
              <w:t>as for-profit</w:t>
            </w:r>
          </w:p>
        </w:tc>
      </w:tr>
      <w:tr w:rsidR="00BC5F4B" w:rsidRPr="00E10ADB" w14:paraId="6791DD29" w14:textId="77777777" w:rsidTr="00504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0CDB548F" w14:textId="77777777" w:rsidR="00BC5F4B" w:rsidRPr="006D18C3" w:rsidRDefault="00BC5F4B" w:rsidP="00F863E2">
            <w:pPr>
              <w:pStyle w:val="Normalgrey"/>
            </w:pPr>
            <w:r w:rsidRPr="006D18C3">
              <w:t>Background</w:t>
            </w:r>
          </w:p>
        </w:tc>
        <w:tc>
          <w:tcPr>
            <w:tcW w:w="270" w:type="dxa"/>
          </w:tcPr>
          <w:p w14:paraId="55479AA2" w14:textId="77777777" w:rsidR="00BC5F4B" w:rsidRPr="00AB5AC7" w:rsidRDefault="00BC5F4B" w:rsidP="00AB5AC7">
            <w:pPr>
              <w:pStyle w:val="Refnum1"/>
              <w:numPr>
                <w:ilvl w:val="0"/>
                <w:numId w:val="0"/>
              </w:numPr>
              <w:cnfStyle w:val="000000010000" w:firstRow="0" w:lastRow="0" w:firstColumn="0" w:lastColumn="0" w:oddVBand="0" w:evenVBand="0" w:oddHBand="0" w:evenHBand="1" w:firstRowFirstColumn="0" w:firstRowLastColumn="0" w:lastRowFirstColumn="0" w:lastRowLastColumn="0"/>
            </w:pPr>
          </w:p>
        </w:tc>
        <w:tc>
          <w:tcPr>
            <w:tcW w:w="540" w:type="dxa"/>
          </w:tcPr>
          <w:p w14:paraId="37042AE5" w14:textId="130C70DE" w:rsidR="00BC5F4B" w:rsidRPr="004B37BB" w:rsidRDefault="00F863E2" w:rsidP="00F863E2">
            <w:pPr>
              <w:pStyle w:val="Normalgrey"/>
              <w:cnfStyle w:val="000000010000" w:firstRow="0" w:lastRow="0" w:firstColumn="0" w:lastColumn="0" w:oddVBand="0" w:evenVBand="0" w:oddHBand="0" w:evenHBand="1" w:firstRowFirstColumn="0" w:firstRowLastColumn="0" w:lastRowFirstColumn="0" w:lastRowLastColumn="0"/>
            </w:pPr>
            <w:r>
              <w:t>8.1</w:t>
            </w:r>
          </w:p>
        </w:tc>
        <w:tc>
          <w:tcPr>
            <w:tcW w:w="6134" w:type="dxa"/>
          </w:tcPr>
          <w:p w14:paraId="35EE5834" w14:textId="77777777" w:rsidR="00BC5F4B" w:rsidRPr="00420BF2" w:rsidRDefault="00BC5F4B" w:rsidP="00F863E2">
            <w:pPr>
              <w:pStyle w:val="Normalgrey"/>
              <w:cnfStyle w:val="000000010000" w:firstRow="0" w:lastRow="0" w:firstColumn="0" w:lastColumn="0" w:oddVBand="0" w:evenVBand="0" w:oddHBand="0" w:evenHBand="1" w:firstRowFirstColumn="0" w:firstRowLastColumn="0" w:lastRowFirstColumn="0" w:lastRowLastColumn="0"/>
            </w:pPr>
            <w:r w:rsidRPr="00420BF2">
              <w:t xml:space="preserve">FRD 105 reflected the earlier AASB 123, which required the immediate expensing of borrowing costs, but allowed the capitalisation of borrowing costs directly attributable to the acquisition, construction or production of a </w:t>
            </w:r>
            <w:r w:rsidRPr="00420BF2">
              <w:rPr>
                <w:i/>
                <w:iCs/>
              </w:rPr>
              <w:t>qualifying asset</w:t>
            </w:r>
            <w:r w:rsidRPr="00420BF2">
              <w:t xml:space="preserve"> as an alternative treatment.</w:t>
            </w:r>
          </w:p>
          <w:p w14:paraId="13BA8189" w14:textId="77777777" w:rsidR="00BC5F4B" w:rsidRPr="00420BF2" w:rsidRDefault="00BC5F4B" w:rsidP="00F863E2">
            <w:pPr>
              <w:pStyle w:val="Normalgrey"/>
              <w:cnfStyle w:val="000000010000" w:firstRow="0" w:lastRow="0" w:firstColumn="0" w:lastColumn="0" w:oddVBand="0" w:evenVBand="0" w:oddHBand="0" w:evenHBand="1" w:firstRowFirstColumn="0" w:firstRowLastColumn="0" w:lastRowFirstColumn="0" w:lastRowLastColumn="0"/>
            </w:pPr>
            <w:r w:rsidRPr="00420BF2">
              <w:t>Expensing of borrowing costs was determined to be the most appropriate treatment to provide consistency across government and to improve convergence with the Government Finance Statistics framework.</w:t>
            </w:r>
          </w:p>
          <w:p w14:paraId="7508128C" w14:textId="77777777" w:rsidR="00BC5F4B" w:rsidRPr="00420BF2" w:rsidRDefault="00BC5F4B" w:rsidP="00F863E2">
            <w:pPr>
              <w:pStyle w:val="Normalgrey"/>
              <w:cnfStyle w:val="000000010000" w:firstRow="0" w:lastRow="0" w:firstColumn="0" w:lastColumn="0" w:oddVBand="0" w:evenVBand="0" w:oddHBand="0" w:evenHBand="1" w:firstRowFirstColumn="0" w:firstRowLastColumn="0" w:lastRowFirstColumn="0" w:lastRowLastColumn="0"/>
            </w:pPr>
            <w:r w:rsidRPr="00420BF2">
              <w:t>A later amendment to AASB 123 (14 Jun 2007) prescribed entities to capitalise their borrowing costs directly attributable to the acquisition, construction or production of a qualifying asset, as part of the cost of that asset. However, it allows a ‘not-for-profit’ public sector entity to continue the election to recognise borrowing costs as an expense in the period in which they are incurred regardless of how the borrowings are applied (AASB 123 paragraph Aus8.1)</w:t>
            </w:r>
          </w:p>
          <w:p w14:paraId="482FA9CC" w14:textId="6FBE9BA2" w:rsidR="00BC5F4B" w:rsidRPr="00420BF2" w:rsidRDefault="00BC5F4B" w:rsidP="00F863E2">
            <w:pPr>
              <w:pStyle w:val="Normalgrey"/>
              <w:cnfStyle w:val="000000010000" w:firstRow="0" w:lastRow="0" w:firstColumn="0" w:lastColumn="0" w:oddVBand="0" w:evenVBand="0" w:oddHBand="0" w:evenHBand="1" w:firstRowFirstColumn="0" w:firstRowLastColumn="0" w:lastRowFirstColumn="0" w:lastRowLastColumn="0"/>
            </w:pPr>
            <w:r w:rsidRPr="00420BF2">
              <w:t xml:space="preserve">The expensing option is not extended to the ‘for-profit’ public sector entities except where the borrowing costs are directly attributable to the acquisition, construction or production of a qualifying asset measured at fair value (AASB 123 paragraph 4a). Accordingly, FRD 105 was revised  to reflect this change for “for-profit” public sector entities, as listed in FRD 108. </w:t>
            </w:r>
          </w:p>
        </w:tc>
      </w:tr>
      <w:tr w:rsidR="00F863E2" w:rsidRPr="00E10ADB" w14:paraId="38161005" w14:textId="77777777" w:rsidTr="00504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17EB1D88" w14:textId="77777777" w:rsidR="00F863E2" w:rsidRPr="006D18C3" w:rsidRDefault="00F863E2" w:rsidP="000574F7"/>
        </w:tc>
        <w:tc>
          <w:tcPr>
            <w:tcW w:w="270" w:type="dxa"/>
          </w:tcPr>
          <w:p w14:paraId="31D8A36E" w14:textId="77777777" w:rsidR="00F863E2" w:rsidRPr="00AB5AC7" w:rsidRDefault="00F863E2" w:rsidP="00AB5AC7">
            <w:pPr>
              <w:pStyle w:val="Refnum1"/>
              <w:numPr>
                <w:ilvl w:val="0"/>
                <w:numId w:val="0"/>
              </w:numPr>
              <w:cnfStyle w:val="000000100000" w:firstRow="0" w:lastRow="0" w:firstColumn="0" w:lastColumn="0" w:oddVBand="0" w:evenVBand="0" w:oddHBand="1" w:evenHBand="0" w:firstRowFirstColumn="0" w:firstRowLastColumn="0" w:lastRowFirstColumn="0" w:lastRowLastColumn="0"/>
            </w:pPr>
          </w:p>
        </w:tc>
        <w:tc>
          <w:tcPr>
            <w:tcW w:w="540" w:type="dxa"/>
          </w:tcPr>
          <w:p w14:paraId="5F026F34" w14:textId="61B46CB1" w:rsidR="00F863E2" w:rsidRPr="004B37BB" w:rsidRDefault="00F863E2" w:rsidP="00AB5AC7">
            <w:pPr>
              <w:pStyle w:val="Refnum2"/>
              <w:numPr>
                <w:ilvl w:val="0"/>
                <w:numId w:val="0"/>
              </w:numPr>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8.2</w:t>
            </w:r>
          </w:p>
        </w:tc>
        <w:tc>
          <w:tcPr>
            <w:tcW w:w="6134" w:type="dxa"/>
          </w:tcPr>
          <w:p w14:paraId="23C783CD" w14:textId="0528D5B1" w:rsidR="00F863E2" w:rsidRDefault="00F863E2" w:rsidP="00F863E2">
            <w:pPr>
              <w:pStyle w:val="Normalgrey"/>
              <w:cnfStyle w:val="000000100000" w:firstRow="0" w:lastRow="0" w:firstColumn="0" w:lastColumn="0" w:oddVBand="0" w:evenVBand="0" w:oddHBand="1" w:evenHBand="0" w:firstRowFirstColumn="0" w:firstRowLastColumn="0" w:lastRowFirstColumn="0" w:lastRowLastColumn="0"/>
            </w:pPr>
            <w:r w:rsidRPr="00420BF2">
              <w:t>This FRD was revised in</w:t>
            </w:r>
            <w:r>
              <w:t>:</w:t>
            </w:r>
          </w:p>
          <w:p w14:paraId="7B70F93A" w14:textId="381802A6" w:rsidR="00F863E2" w:rsidRPr="00420BF2" w:rsidRDefault="00F863E2" w:rsidP="00F863E2">
            <w:pPr>
              <w:pStyle w:val="Bullet1grey"/>
              <w:cnfStyle w:val="000000100000" w:firstRow="0" w:lastRow="0" w:firstColumn="0" w:lastColumn="0" w:oddVBand="0" w:evenVBand="0" w:oddHBand="1" w:evenHBand="0" w:firstRowFirstColumn="0" w:firstRowLastColumn="0" w:lastRowFirstColumn="0" w:lastRowLastColumn="0"/>
            </w:pPr>
            <w:r w:rsidRPr="00420BF2">
              <w:t xml:space="preserve">June 2016 to remove first-time adoption requirements as they are no longer required. The ‘Disclosure within the Model Report for Victorian Government Departments’ section was also removed as this disclosure has been included in the </w:t>
            </w:r>
            <w:r w:rsidRPr="00420BF2">
              <w:rPr>
                <w:i/>
              </w:rPr>
              <w:t>Model Report for Victorian Government Departments</w:t>
            </w:r>
            <w:r w:rsidRPr="00420BF2">
              <w:t>.</w:t>
            </w:r>
          </w:p>
        </w:tc>
      </w:tr>
    </w:tbl>
    <w:p w14:paraId="61DE56DE" w14:textId="77777777" w:rsidR="00B17502" w:rsidRPr="00504CC6" w:rsidRDefault="00B17502" w:rsidP="00845688">
      <w:pPr>
        <w:rPr>
          <w:rStyle w:val="Hyperlink"/>
        </w:rPr>
      </w:pPr>
    </w:p>
    <w:sectPr w:rsidR="00B17502" w:rsidRPr="00504CC6" w:rsidSect="00504CC6">
      <w:headerReference w:type="default" r:id="rId9"/>
      <w:footerReference w:type="default" r:id="rId10"/>
      <w:headerReference w:type="first" r:id="rId11"/>
      <w:footerReference w:type="first" r:id="rId12"/>
      <w:pgSz w:w="11906" w:h="16838" w:code="9"/>
      <w:pgMar w:top="1800" w:right="1440" w:bottom="1354" w:left="1440" w:header="44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F8F8" w14:textId="77777777" w:rsidR="00A61513" w:rsidRDefault="00A61513" w:rsidP="00493B55">
      <w:pPr>
        <w:spacing w:before="0" w:after="0"/>
      </w:pPr>
      <w:r>
        <w:separator/>
      </w:r>
    </w:p>
  </w:endnote>
  <w:endnote w:type="continuationSeparator" w:id="0">
    <w:p w14:paraId="228C9098" w14:textId="77777777" w:rsidR="00A61513" w:rsidRDefault="00A61513" w:rsidP="00493B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33AB" w14:textId="27FB0A8C" w:rsidR="00504CC6" w:rsidRDefault="00613D8B" w:rsidP="00504CC6">
    <w:pPr>
      <w:pStyle w:val="Spacer"/>
    </w:pPr>
    <w:r>
      <w:rPr>
        <w:noProof/>
      </w:rPr>
      <mc:AlternateContent>
        <mc:Choice Requires="wps">
          <w:drawing>
            <wp:anchor distT="0" distB="0" distL="114300" distR="114300" simplePos="0" relativeHeight="251657216" behindDoc="0" locked="0" layoutInCell="0" allowOverlap="1" wp14:anchorId="64D05F18" wp14:editId="1293A604">
              <wp:simplePos x="0" y="0"/>
              <wp:positionH relativeFrom="page">
                <wp:posOffset>0</wp:posOffset>
              </wp:positionH>
              <wp:positionV relativeFrom="page">
                <wp:posOffset>10227945</wp:posOffset>
              </wp:positionV>
              <wp:extent cx="7560310" cy="273050"/>
              <wp:effectExtent l="0" t="0" r="0" b="12700"/>
              <wp:wrapNone/>
              <wp:docPr id="4" name="MSIPCMd2be495e949ac0d92d10e41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BCB26D" w14:textId="3BACE442" w:rsidR="00613D8B" w:rsidRPr="00613D8B" w:rsidRDefault="00613D8B" w:rsidP="00613D8B">
                          <w:pPr>
                            <w:spacing w:before="0" w:after="0"/>
                            <w:rPr>
                              <w:rFonts w:ascii="Calibri" w:hAnsi="Calibri" w:cs="Calibri"/>
                              <w:color w:val="000000"/>
                              <w:sz w:val="22"/>
                            </w:rPr>
                          </w:pPr>
                          <w:r w:rsidRPr="00613D8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D05F18" id="_x0000_t202" coordsize="21600,21600" o:spt="202" path="m,l,21600r21600,l21600,xe">
              <v:stroke joinstyle="miter"/>
              <v:path gradientshapeok="t" o:connecttype="rect"/>
            </v:shapetype>
            <v:shape id="MSIPCMd2be495e949ac0d92d10e41b"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GFTBcrUCAABI&#10;BQAADgAAAAAAAAAAAAAAAAAuAgAAZHJzL2Uyb0RvYy54bWxQSwECLQAUAAYACAAAACEAfHYI4d8A&#10;AAALAQAADwAAAAAAAAAAAAAAAAAPBQAAZHJzL2Rvd25yZXYueG1sUEsFBgAAAAAEAAQA8wAAABsG&#10;AAAAAA==&#10;" o:allowincell="f" filled="f" stroked="f" strokeweight=".5pt">
              <v:textbox inset="20pt,0,,0">
                <w:txbxContent>
                  <w:p w14:paraId="18BCB26D" w14:textId="3BACE442" w:rsidR="00613D8B" w:rsidRPr="00613D8B" w:rsidRDefault="00613D8B" w:rsidP="00613D8B">
                    <w:pPr>
                      <w:spacing w:before="0" w:after="0"/>
                      <w:rPr>
                        <w:rFonts w:ascii="Calibri" w:hAnsi="Calibri" w:cs="Calibri"/>
                        <w:color w:val="000000"/>
                        <w:sz w:val="22"/>
                      </w:rPr>
                    </w:pPr>
                    <w:r w:rsidRPr="00613D8B">
                      <w:rPr>
                        <w:rFonts w:ascii="Calibri" w:hAnsi="Calibri" w:cs="Calibri"/>
                        <w:color w:val="000000"/>
                        <w:sz w:val="22"/>
                      </w:rPr>
                      <w:t>OFFICIAL</w:t>
                    </w:r>
                  </w:p>
                </w:txbxContent>
              </v:textbox>
              <w10:wrap anchorx="page" anchory="page"/>
            </v:shape>
          </w:pict>
        </mc:Fallback>
      </mc:AlternateContent>
    </w:r>
  </w:p>
  <w:p w14:paraId="3F5AF379" w14:textId="300BA05E" w:rsidR="00504CC6" w:rsidRPr="005828FE" w:rsidRDefault="00504CC6" w:rsidP="00504CC6">
    <w:pPr>
      <w:pStyle w:val="Footer"/>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3D799A">
      <w:rPr>
        <w:b/>
      </w:rPr>
      <w:t>FRD 105</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3D799A">
      <w:t>Borrowing costs (April 2022)</w:t>
    </w:r>
    <w:r w:rsidRPr="006C78FB">
      <w:fldChar w:fldCharType="end"/>
    </w:r>
    <w:r w:rsidRPr="00C022F9">
      <w:tab/>
    </w:r>
    <w:r w:rsidRPr="005828FE">
      <w:t xml:space="preserve">Page </w:t>
    </w:r>
    <w:r w:rsidRPr="005828FE">
      <w:rPr>
        <w:rStyle w:val="PageNumber"/>
      </w:rPr>
      <w:fldChar w:fldCharType="begin"/>
    </w:r>
    <w:r w:rsidRPr="005828FE">
      <w:rPr>
        <w:rStyle w:val="PageNumber"/>
      </w:rPr>
      <w:instrText xml:space="preserve"> Page </w:instrText>
    </w:r>
    <w:r w:rsidRPr="005828FE">
      <w:rPr>
        <w:rStyle w:val="PageNumber"/>
      </w:rPr>
      <w:fldChar w:fldCharType="separate"/>
    </w:r>
    <w:r w:rsidR="00CE17D8">
      <w:rPr>
        <w:rStyle w:val="PageNumber"/>
      </w:rPr>
      <w:t>3</w:t>
    </w:r>
    <w:r w:rsidRPr="005828F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18" w:type="dxa"/>
      <w:tblBorders>
        <w:bottom w:val="none" w:sz="0" w:space="0" w:color="auto"/>
      </w:tblBorders>
      <w:tblLayout w:type="fixed"/>
      <w:tblCellMar>
        <w:left w:w="58" w:type="dxa"/>
        <w:right w:w="58" w:type="dxa"/>
      </w:tblCellMar>
      <w:tblLook w:val="04A0" w:firstRow="1" w:lastRow="0" w:firstColumn="1" w:lastColumn="0" w:noHBand="0" w:noVBand="1"/>
    </w:tblPr>
    <w:tblGrid>
      <w:gridCol w:w="1548"/>
      <w:gridCol w:w="6700"/>
      <w:gridCol w:w="1570"/>
    </w:tblGrid>
    <w:tr w:rsidR="00493B55" w14:paraId="69D72F4E" w14:textId="77777777" w:rsidTr="00493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0E9D7597" w14:textId="77777777" w:rsidR="00493B55" w:rsidRDefault="002765E9" w:rsidP="00493B55">
          <w:pPr>
            <w:pStyle w:val="Footer"/>
            <w:tabs>
              <w:tab w:val="clear" w:pos="9026"/>
            </w:tabs>
          </w:pPr>
          <w:r>
            <w:drawing>
              <wp:inline distT="0" distB="0" distL="0" distR="0" wp14:anchorId="1F5E13C1" wp14:editId="772884B6">
                <wp:extent cx="822960" cy="4663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V_black_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2960" cy="466344"/>
                        </a:xfrm>
                        <a:prstGeom prst="rect">
                          <a:avLst/>
                        </a:prstGeom>
                        <a:noFill/>
                        <a:ln>
                          <a:noFill/>
                        </a:ln>
                      </pic:spPr>
                    </pic:pic>
                  </a:graphicData>
                </a:graphic>
              </wp:inline>
            </w:drawing>
          </w:r>
        </w:p>
      </w:tc>
      <w:tc>
        <w:tcPr>
          <w:tcW w:w="6700" w:type="dxa"/>
        </w:tcPr>
        <w:p w14:paraId="49B4E49E" w14:textId="77777777" w:rsidR="00493B55" w:rsidRDefault="00493B55" w:rsidP="00493B55">
          <w:pPr>
            <w:pStyle w:val="Footer"/>
            <w:tabs>
              <w:tab w:val="clear" w:pos="9026"/>
            </w:tabs>
            <w:cnfStyle w:val="100000000000" w:firstRow="1" w:lastRow="0" w:firstColumn="0" w:lastColumn="0" w:oddVBand="0" w:evenVBand="0" w:oddHBand="0" w:evenHBand="0" w:firstRowFirstColumn="0" w:firstRowLastColumn="0" w:lastRowFirstColumn="0" w:lastRowLastColumn="0"/>
          </w:pPr>
          <w:r>
            <w:fldChar w:fldCharType="begin"/>
          </w:r>
          <w:r>
            <w:instrText xml:space="preserve"> </w:instrText>
          </w:r>
          <w:r w:rsidRPr="00743D1A">
            <w:instrText>STYLEREF  "FRD Number"  \* MERGEFORMAT</w:instrText>
          </w:r>
          <w:r>
            <w:instrText xml:space="preserve"> </w:instrText>
          </w:r>
          <w:r>
            <w:fldChar w:fldCharType="separate"/>
          </w:r>
          <w:r w:rsidR="00CB7928">
            <w:t>FRD 105B</w:t>
          </w:r>
          <w:r>
            <w:fldChar w:fldCharType="end"/>
          </w:r>
          <w:r>
            <w:t xml:space="preserve"> </w:t>
          </w:r>
          <w:r w:rsidR="00D94826">
            <w:rPr>
              <w:noProof w:val="0"/>
            </w:rPr>
            <w:fldChar w:fldCharType="begin"/>
          </w:r>
          <w:r w:rsidR="00D94826">
            <w:instrText xml:space="preserve"> STYLEREF  "FRD Header" </w:instrText>
          </w:r>
          <w:r w:rsidR="00D94826">
            <w:rPr>
              <w:noProof w:val="0"/>
            </w:rPr>
            <w:fldChar w:fldCharType="separate"/>
          </w:r>
          <w:r w:rsidR="00CB7928">
            <w:t>Borrowing costs (June 2016)</w:t>
          </w:r>
          <w:r w:rsidR="00D94826">
            <w:fldChar w:fldCharType="end"/>
          </w:r>
        </w:p>
      </w:tc>
      <w:tc>
        <w:tcPr>
          <w:tcW w:w="1570" w:type="dxa"/>
        </w:tcPr>
        <w:p w14:paraId="3BB3552B" w14:textId="77777777" w:rsidR="00493B55" w:rsidRDefault="00493B55" w:rsidP="00493B55">
          <w:pPr>
            <w:pStyle w:val="Footer"/>
            <w:tabs>
              <w:tab w:val="clear" w:pos="9026"/>
            </w:tabs>
            <w:cnfStyle w:val="100000000000" w:firstRow="1" w:lastRow="0" w:firstColumn="0" w:lastColumn="0" w:oddVBand="0" w:evenVBand="0" w:oddHBand="0" w:evenHBand="0" w:firstRowFirstColumn="0" w:firstRowLastColumn="0" w:lastRowFirstColumn="0" w:lastRowLastColumn="0"/>
          </w:pPr>
          <w:r>
            <w:t xml:space="preserve">Page </w:t>
          </w:r>
          <w:r>
            <w:fldChar w:fldCharType="begin"/>
          </w:r>
          <w:r>
            <w:instrText xml:space="preserve"> page </w:instrText>
          </w:r>
          <w:r>
            <w:fldChar w:fldCharType="separate"/>
          </w:r>
          <w:r w:rsidR="00504CC6">
            <w:t>1</w:t>
          </w:r>
          <w:r>
            <w:fldChar w:fldCharType="end"/>
          </w:r>
          <w:r>
            <w:t xml:space="preserve"> of </w:t>
          </w:r>
          <w:r w:rsidR="00BC5F4B">
            <w:fldChar w:fldCharType="begin"/>
          </w:r>
          <w:r w:rsidR="00BC5F4B">
            <w:instrText xml:space="preserve"> numpages </w:instrText>
          </w:r>
          <w:r w:rsidR="00BC5F4B">
            <w:fldChar w:fldCharType="separate"/>
          </w:r>
          <w:r w:rsidR="00CB7928">
            <w:t>3</w:t>
          </w:r>
          <w:r w:rsidR="00BC5F4B">
            <w:fldChar w:fldCharType="end"/>
          </w:r>
        </w:p>
      </w:tc>
    </w:tr>
  </w:tbl>
  <w:p w14:paraId="7F3EB79F" w14:textId="77777777" w:rsidR="00493B55" w:rsidRDefault="00493B55" w:rsidP="00493B55">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76ED9" w14:textId="77777777" w:rsidR="00A61513" w:rsidRDefault="00A61513" w:rsidP="00493B55">
      <w:pPr>
        <w:spacing w:before="0" w:after="0"/>
      </w:pPr>
      <w:r>
        <w:separator/>
      </w:r>
    </w:p>
  </w:footnote>
  <w:footnote w:type="continuationSeparator" w:id="0">
    <w:p w14:paraId="71BACB3A" w14:textId="77777777" w:rsidR="00A61513" w:rsidRDefault="00A61513" w:rsidP="00493B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B0B1" w14:textId="77777777" w:rsidR="00504CC6" w:rsidRPr="0041689E" w:rsidRDefault="00504CC6" w:rsidP="00504CC6">
    <w:pPr>
      <w:pStyle w:val="Header"/>
      <w:tabs>
        <w:tab w:val="clear" w:pos="9026"/>
      </w:tabs>
      <w:ind w:right="-694"/>
      <w:jc w:val="right"/>
    </w:pPr>
    <w:r>
      <w:rPr>
        <w:noProof/>
      </w:rPr>
      <w:drawing>
        <wp:inline distT="0" distB="0" distL="0" distR="0" wp14:anchorId="7185ECEC" wp14:editId="39DF1E95">
          <wp:extent cx="813816" cy="466344"/>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279A2967" w14:textId="77777777" w:rsidR="00504CC6" w:rsidRDefault="00504CC6" w:rsidP="00504C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77B4" w14:textId="77777777" w:rsidR="00504CC6" w:rsidRPr="0041689E" w:rsidRDefault="00504CC6" w:rsidP="00504CC6">
    <w:pPr>
      <w:pStyle w:val="Header"/>
      <w:tabs>
        <w:tab w:val="clear" w:pos="9026"/>
      </w:tabs>
      <w:ind w:right="-694"/>
      <w:jc w:val="right"/>
    </w:pPr>
    <w:r>
      <w:rPr>
        <w:noProof/>
      </w:rPr>
      <w:drawing>
        <wp:inline distT="0" distB="0" distL="0" distR="0" wp14:anchorId="3FA515EB" wp14:editId="3B469F67">
          <wp:extent cx="813816" cy="46634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2CCE0BE9" w14:textId="77777777" w:rsidR="00504CC6" w:rsidRDefault="00504CC6" w:rsidP="00504C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478F"/>
    <w:multiLevelType w:val="hybridMultilevel"/>
    <w:tmpl w:val="EA80E36A"/>
    <w:lvl w:ilvl="0" w:tplc="106EB2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1C99"/>
    <w:multiLevelType w:val="hybridMultilevel"/>
    <w:tmpl w:val="85DA8F92"/>
    <w:lvl w:ilvl="0" w:tplc="695C59FE">
      <w:start w:val="1"/>
      <w:numFmt w:val="bullet"/>
      <w:lvlText w:val="·"/>
      <w:lvlJc w:val="left"/>
      <w:pPr>
        <w:ind w:left="1286" w:hanging="360"/>
      </w:pPr>
      <w:rPr>
        <w:rFonts w:ascii="Symbol" w:hAnsi="Symbol"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2" w15:restartNumberingAfterBreak="0">
    <w:nsid w:val="1D2375F0"/>
    <w:multiLevelType w:val="hybridMultilevel"/>
    <w:tmpl w:val="787CB63A"/>
    <w:lvl w:ilvl="0" w:tplc="156072D8">
      <w:start w:val="1"/>
      <w:numFmt w:val="bullet"/>
      <w:lvlText w:val=""/>
      <w:lvlJc w:val="left"/>
      <w:pPr>
        <w:ind w:left="720" w:hanging="360"/>
      </w:pPr>
      <w:rPr>
        <w:rFonts w:ascii="Wingdings" w:hAnsi="Wingdings" w:hint="default"/>
        <w:color w:val="595959"/>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40234E"/>
    <w:multiLevelType w:val="hybridMultilevel"/>
    <w:tmpl w:val="55F6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A311C2"/>
    <w:multiLevelType w:val="hybridMultilevel"/>
    <w:tmpl w:val="0742EA96"/>
    <w:lvl w:ilvl="0" w:tplc="12A0D8B2">
      <w:start w:val="1"/>
      <w:numFmt w:val="bullet"/>
      <w:lvlText w:val="—"/>
      <w:lvlJc w:val="left"/>
      <w:pPr>
        <w:ind w:left="720" w:hanging="360"/>
      </w:pPr>
      <w:rPr>
        <w:rFonts w:ascii="Calibri" w:hAnsi="Calibri" w:hint="default"/>
        <w:b w:val="0"/>
        <w:i w:val="0"/>
        <w:color w:val="595959"/>
        <w:sz w:val="20"/>
        <w:szCs w:val="20"/>
      </w:rPr>
    </w:lvl>
    <w:lvl w:ilvl="1" w:tplc="6AD4DBF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FC550F8"/>
    <w:multiLevelType w:val="multilevel"/>
    <w:tmpl w:val="365A65A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080" w:hanging="360"/>
      </w:pPr>
      <w:rPr>
        <w:rFonts w:ascii="Symbol" w:hAnsi="Symbol" w:hint="default"/>
      </w:rPr>
    </w:lvl>
    <w:lvl w:ilvl="3">
      <w:start w:val="1"/>
      <w:numFmt w:val="lowerLetter"/>
      <w:lvlRestart w:val="1"/>
      <w:lvlText w:val="(%4)"/>
      <w:lvlJc w:val="left"/>
      <w:pPr>
        <w:ind w:left="360" w:hanging="360"/>
      </w:pPr>
      <w:rPr>
        <w:rFonts w:hint="default"/>
        <w:color w:val="5E5E5E"/>
      </w:rPr>
    </w:lvl>
    <w:lvl w:ilvl="4">
      <w:start w:val="1"/>
      <w:numFmt w:val="lowerRoman"/>
      <w:lvlText w:val="(%5)"/>
      <w:lvlJc w:val="left"/>
      <w:pPr>
        <w:ind w:left="720" w:hanging="360"/>
      </w:pPr>
      <w:rPr>
        <w:rFonts w:hint="default"/>
        <w:color w:val="5E5E5E"/>
      </w:rPr>
    </w:lvl>
    <w:lvl w:ilvl="5">
      <w:start w:val="1"/>
      <w:numFmt w:val="bullet"/>
      <w:lvlText w:val="·"/>
      <w:lvlJc w:val="left"/>
      <w:pPr>
        <w:ind w:left="1080" w:hanging="360"/>
      </w:pPr>
      <w:rPr>
        <w:rFonts w:ascii="Symbol" w:hAnsi="Symbol" w:hint="default"/>
        <w:color w:val="5E5E5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9"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4"/>
  </w:num>
  <w:num w:numId="2">
    <w:abstractNumId w:val="7"/>
  </w:num>
  <w:num w:numId="3">
    <w:abstractNumId w:val="10"/>
  </w:num>
  <w:num w:numId="4">
    <w:abstractNumId w:val="5"/>
  </w:num>
  <w:num w:numId="5">
    <w:abstractNumId w:val="0"/>
  </w:num>
  <w:num w:numId="6">
    <w:abstractNumId w:val="8"/>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3"/>
  </w:num>
  <w:num w:numId="13">
    <w:abstractNumId w:val="9"/>
  </w:num>
  <w:num w:numId="14">
    <w:abstractNumId w:val="9"/>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5">
    <w:abstractNumId w:val="9"/>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109"/>
    <w:rsid w:val="0000060C"/>
    <w:rsid w:val="000404CE"/>
    <w:rsid w:val="00041E90"/>
    <w:rsid w:val="000574F7"/>
    <w:rsid w:val="00061E0D"/>
    <w:rsid w:val="00064B8E"/>
    <w:rsid w:val="00083CF0"/>
    <w:rsid w:val="00087CA2"/>
    <w:rsid w:val="00097EB7"/>
    <w:rsid w:val="000B2B10"/>
    <w:rsid w:val="000B313D"/>
    <w:rsid w:val="000F41AA"/>
    <w:rsid w:val="00100230"/>
    <w:rsid w:val="00103560"/>
    <w:rsid w:val="00141707"/>
    <w:rsid w:val="001505FE"/>
    <w:rsid w:val="001529AA"/>
    <w:rsid w:val="001539E4"/>
    <w:rsid w:val="00171874"/>
    <w:rsid w:val="00194832"/>
    <w:rsid w:val="001E76D0"/>
    <w:rsid w:val="00201E24"/>
    <w:rsid w:val="00207947"/>
    <w:rsid w:val="00231A10"/>
    <w:rsid w:val="00234DF1"/>
    <w:rsid w:val="00256D8E"/>
    <w:rsid w:val="00267DF4"/>
    <w:rsid w:val="002765E9"/>
    <w:rsid w:val="002863F7"/>
    <w:rsid w:val="0029002A"/>
    <w:rsid w:val="002B4533"/>
    <w:rsid w:val="002B46E0"/>
    <w:rsid w:val="002D7B49"/>
    <w:rsid w:val="00333195"/>
    <w:rsid w:val="00355FA3"/>
    <w:rsid w:val="00356252"/>
    <w:rsid w:val="00376C4B"/>
    <w:rsid w:val="00387F22"/>
    <w:rsid w:val="0039446E"/>
    <w:rsid w:val="003A3FB2"/>
    <w:rsid w:val="003B0F23"/>
    <w:rsid w:val="003B12BE"/>
    <w:rsid w:val="003D799A"/>
    <w:rsid w:val="003E020D"/>
    <w:rsid w:val="00412234"/>
    <w:rsid w:val="00420BF2"/>
    <w:rsid w:val="00426F65"/>
    <w:rsid w:val="00480B0D"/>
    <w:rsid w:val="00485BD7"/>
    <w:rsid w:val="00493B55"/>
    <w:rsid w:val="004B37BB"/>
    <w:rsid w:val="004C21E9"/>
    <w:rsid w:val="004C52A6"/>
    <w:rsid w:val="004D34D8"/>
    <w:rsid w:val="004E4DE9"/>
    <w:rsid w:val="00504CC6"/>
    <w:rsid w:val="00541BFC"/>
    <w:rsid w:val="00576FF3"/>
    <w:rsid w:val="00587FDA"/>
    <w:rsid w:val="00591878"/>
    <w:rsid w:val="00595865"/>
    <w:rsid w:val="005D77C7"/>
    <w:rsid w:val="005D7B86"/>
    <w:rsid w:val="005E09D2"/>
    <w:rsid w:val="005E149B"/>
    <w:rsid w:val="005E1D66"/>
    <w:rsid w:val="00613D8B"/>
    <w:rsid w:val="00626847"/>
    <w:rsid w:val="00645860"/>
    <w:rsid w:val="006979EC"/>
    <w:rsid w:val="006C3E2F"/>
    <w:rsid w:val="006C78FA"/>
    <w:rsid w:val="006D18C3"/>
    <w:rsid w:val="0072162D"/>
    <w:rsid w:val="00756003"/>
    <w:rsid w:val="00764750"/>
    <w:rsid w:val="00765193"/>
    <w:rsid w:val="00784FE5"/>
    <w:rsid w:val="007A6A47"/>
    <w:rsid w:val="007B3A80"/>
    <w:rsid w:val="00805967"/>
    <w:rsid w:val="00810B92"/>
    <w:rsid w:val="0083302B"/>
    <w:rsid w:val="00837FA8"/>
    <w:rsid w:val="00843E2D"/>
    <w:rsid w:val="00845688"/>
    <w:rsid w:val="00870E3A"/>
    <w:rsid w:val="00875FDF"/>
    <w:rsid w:val="00884361"/>
    <w:rsid w:val="008912D6"/>
    <w:rsid w:val="008A3402"/>
    <w:rsid w:val="008B59BD"/>
    <w:rsid w:val="00924579"/>
    <w:rsid w:val="00932C77"/>
    <w:rsid w:val="00971928"/>
    <w:rsid w:val="009C030E"/>
    <w:rsid w:val="009C23E7"/>
    <w:rsid w:val="009C43CE"/>
    <w:rsid w:val="009D5937"/>
    <w:rsid w:val="00A15D2D"/>
    <w:rsid w:val="00A33C5A"/>
    <w:rsid w:val="00A41F63"/>
    <w:rsid w:val="00A50D1C"/>
    <w:rsid w:val="00A61513"/>
    <w:rsid w:val="00A6470C"/>
    <w:rsid w:val="00A72010"/>
    <w:rsid w:val="00A743AA"/>
    <w:rsid w:val="00A813C1"/>
    <w:rsid w:val="00A83BBE"/>
    <w:rsid w:val="00A91837"/>
    <w:rsid w:val="00AB5AC7"/>
    <w:rsid w:val="00AC4CE3"/>
    <w:rsid w:val="00AE310D"/>
    <w:rsid w:val="00AE51BC"/>
    <w:rsid w:val="00B06241"/>
    <w:rsid w:val="00B07991"/>
    <w:rsid w:val="00B17502"/>
    <w:rsid w:val="00B27E72"/>
    <w:rsid w:val="00BA43D8"/>
    <w:rsid w:val="00BB659B"/>
    <w:rsid w:val="00BC5F4B"/>
    <w:rsid w:val="00BD72CE"/>
    <w:rsid w:val="00C012CE"/>
    <w:rsid w:val="00C36A0A"/>
    <w:rsid w:val="00C57B17"/>
    <w:rsid w:val="00C67777"/>
    <w:rsid w:val="00C74460"/>
    <w:rsid w:val="00C74DE2"/>
    <w:rsid w:val="00C9000A"/>
    <w:rsid w:val="00C91485"/>
    <w:rsid w:val="00C94EFF"/>
    <w:rsid w:val="00CB7928"/>
    <w:rsid w:val="00CC6133"/>
    <w:rsid w:val="00CD1A5D"/>
    <w:rsid w:val="00CE17D8"/>
    <w:rsid w:val="00CE3B9A"/>
    <w:rsid w:val="00D53C1A"/>
    <w:rsid w:val="00D62D6E"/>
    <w:rsid w:val="00D63FD8"/>
    <w:rsid w:val="00D74F30"/>
    <w:rsid w:val="00D94826"/>
    <w:rsid w:val="00DA0109"/>
    <w:rsid w:val="00DB47F7"/>
    <w:rsid w:val="00DC7EF8"/>
    <w:rsid w:val="00DD6816"/>
    <w:rsid w:val="00E01154"/>
    <w:rsid w:val="00E337D8"/>
    <w:rsid w:val="00E36941"/>
    <w:rsid w:val="00E572B2"/>
    <w:rsid w:val="00EA6DB4"/>
    <w:rsid w:val="00EB419B"/>
    <w:rsid w:val="00EB6CD4"/>
    <w:rsid w:val="00EC3E3F"/>
    <w:rsid w:val="00F068BC"/>
    <w:rsid w:val="00F06E38"/>
    <w:rsid w:val="00F07517"/>
    <w:rsid w:val="00F5377B"/>
    <w:rsid w:val="00F57842"/>
    <w:rsid w:val="00F72999"/>
    <w:rsid w:val="00F737AD"/>
    <w:rsid w:val="00F74FA7"/>
    <w:rsid w:val="00F863E2"/>
    <w:rsid w:val="00F87985"/>
    <w:rsid w:val="00FC4CF9"/>
    <w:rsid w:val="00FF0B2D"/>
    <w:rsid w:val="00FF7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CC5D3D"/>
  <w15:docId w15:val="{AD7A0134-57C5-4FD7-83A2-F7823029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nhideWhenUsed="1" w:qFormat="1"/>
    <w:lsdException w:name="table of figures" w:semiHidden="1" w:uiPriority="6"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99A"/>
    <w:pPr>
      <w:spacing w:before="160" w:after="100"/>
    </w:pPr>
    <w:rPr>
      <w:rFonts w:eastAsiaTheme="minorEastAsia"/>
      <w:spacing w:val="2"/>
      <w:sz w:val="18"/>
      <w:szCs w:val="20"/>
      <w:lang w:eastAsia="en-AU"/>
    </w:rPr>
  </w:style>
  <w:style w:type="paragraph" w:styleId="Heading1">
    <w:name w:val="heading 1"/>
    <w:next w:val="Normal"/>
    <w:link w:val="Heading1Char"/>
    <w:uiPriority w:val="99"/>
    <w:rsid w:val="003D799A"/>
    <w:pPr>
      <w:keepNext/>
      <w:keepLines/>
      <w:spacing w:before="600" w:after="600"/>
      <w:outlineLvl w:val="0"/>
    </w:pPr>
    <w:rPr>
      <w:rFonts w:asciiTheme="majorHAnsi" w:eastAsiaTheme="majorEastAsia" w:hAnsiTheme="majorHAnsi" w:cstheme="majorBidi"/>
      <w:b/>
      <w:bCs/>
      <w:color w:val="000000" w:themeColor="text1"/>
      <w:spacing w:val="-1"/>
      <w:sz w:val="36"/>
      <w:szCs w:val="28"/>
      <w:lang w:eastAsia="en-AU"/>
    </w:rPr>
  </w:style>
  <w:style w:type="paragraph" w:styleId="Heading2">
    <w:name w:val="heading 2"/>
    <w:basedOn w:val="Normal"/>
    <w:next w:val="Normal"/>
    <w:link w:val="Heading2Char"/>
    <w:uiPriority w:val="99"/>
    <w:rsid w:val="003D799A"/>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semiHidden/>
    <w:qFormat/>
    <w:rsid w:val="003D799A"/>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semiHidden/>
    <w:qFormat/>
    <w:rsid w:val="003D799A"/>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rsid w:val="003D79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799A"/>
  </w:style>
  <w:style w:type="character" w:customStyle="1" w:styleId="Heading1Char">
    <w:name w:val="Heading 1 Char"/>
    <w:basedOn w:val="DefaultParagraphFont"/>
    <w:link w:val="Heading1"/>
    <w:uiPriority w:val="99"/>
    <w:rsid w:val="003D799A"/>
    <w:rPr>
      <w:rFonts w:asciiTheme="majorHAnsi" w:eastAsiaTheme="majorEastAsia" w:hAnsiTheme="majorHAnsi" w:cstheme="majorBidi"/>
      <w:b/>
      <w:bCs/>
      <w:color w:val="000000" w:themeColor="text1"/>
      <w:spacing w:val="-1"/>
      <w:sz w:val="36"/>
      <w:szCs w:val="28"/>
      <w:lang w:eastAsia="en-AU"/>
    </w:rPr>
  </w:style>
  <w:style w:type="character" w:customStyle="1" w:styleId="Heading2Char">
    <w:name w:val="Heading 2 Char"/>
    <w:basedOn w:val="DefaultParagraphFont"/>
    <w:link w:val="Heading2"/>
    <w:uiPriority w:val="99"/>
    <w:rsid w:val="003D799A"/>
    <w:rPr>
      <w:rFonts w:asciiTheme="majorHAnsi" w:eastAsiaTheme="majorEastAsia" w:hAnsiTheme="majorHAnsi" w:cstheme="majorBidi"/>
      <w:b/>
      <w:bCs/>
      <w:color w:val="7F7F7F" w:themeColor="text1" w:themeTint="80"/>
      <w:spacing w:val="2"/>
      <w:sz w:val="28"/>
      <w:szCs w:val="26"/>
      <w:lang w:eastAsia="en-AU"/>
    </w:rPr>
  </w:style>
  <w:style w:type="paragraph" w:customStyle="1" w:styleId="Spacer">
    <w:name w:val="Spacer"/>
    <w:basedOn w:val="Normal"/>
    <w:uiPriority w:val="13"/>
    <w:qFormat/>
    <w:rsid w:val="003D799A"/>
    <w:pPr>
      <w:spacing w:before="0" w:after="0" w:line="120" w:lineRule="atLeast"/>
    </w:pPr>
    <w:rPr>
      <w:rFonts w:eastAsia="Times New Roman" w:cs="Calibri"/>
      <w:spacing w:val="0"/>
      <w:sz w:val="10"/>
      <w:szCs w:val="22"/>
    </w:rPr>
  </w:style>
  <w:style w:type="paragraph" w:customStyle="1" w:styleId="NormalIndentgrey">
    <w:name w:val="Normal Indent grey"/>
    <w:basedOn w:val="NormalIndent"/>
    <w:qFormat/>
    <w:rsid w:val="003D799A"/>
    <w:rPr>
      <w:color w:val="4D4D4D"/>
      <w:szCs w:val="21"/>
    </w:rPr>
  </w:style>
  <w:style w:type="character" w:customStyle="1" w:styleId="Heading3Char">
    <w:name w:val="Heading 3 Char"/>
    <w:basedOn w:val="DefaultParagraphFont"/>
    <w:link w:val="Heading3"/>
    <w:semiHidden/>
    <w:rsid w:val="003D799A"/>
    <w:rPr>
      <w:rFonts w:asciiTheme="majorHAnsi" w:eastAsiaTheme="majorEastAsia" w:hAnsiTheme="majorHAnsi" w:cstheme="majorBidi"/>
      <w:b/>
      <w:bCs/>
      <w:color w:val="4F81BD" w:themeColor="accent1"/>
      <w:spacing w:val="2"/>
      <w:lang w:eastAsia="en-AU"/>
    </w:rPr>
  </w:style>
  <w:style w:type="paragraph" w:styleId="ListParagraph">
    <w:name w:val="List Paragraph"/>
    <w:basedOn w:val="Normal"/>
    <w:uiPriority w:val="34"/>
    <w:semiHidden/>
    <w:qFormat/>
    <w:rsid w:val="00A743AA"/>
    <w:pPr>
      <w:ind w:left="720"/>
      <w:contextualSpacing/>
    </w:pPr>
  </w:style>
  <w:style w:type="paragraph" w:customStyle="1" w:styleId="Bullet1">
    <w:name w:val="Bullet 1"/>
    <w:uiPriority w:val="2"/>
    <w:qFormat/>
    <w:rsid w:val="003D799A"/>
    <w:pPr>
      <w:numPr>
        <w:numId w:val="10"/>
      </w:numPr>
      <w:spacing w:before="160" w:after="0" w:line="240" w:lineRule="auto"/>
      <w:contextualSpacing/>
    </w:pPr>
    <w:rPr>
      <w:rFonts w:eastAsia="Times New Roman" w:cs="Calibri"/>
      <w:spacing w:val="2"/>
      <w:sz w:val="18"/>
      <w:szCs w:val="20"/>
      <w:lang w:eastAsia="en-AU"/>
    </w:rPr>
  </w:style>
  <w:style w:type="paragraph" w:customStyle="1" w:styleId="Bullet2">
    <w:name w:val="Bullet 2"/>
    <w:basedOn w:val="Bullet1"/>
    <w:uiPriority w:val="2"/>
    <w:qFormat/>
    <w:rsid w:val="003D799A"/>
    <w:pPr>
      <w:numPr>
        <w:ilvl w:val="1"/>
      </w:numPr>
      <w:spacing w:before="0"/>
    </w:pPr>
  </w:style>
  <w:style w:type="table" w:styleId="TableGrid">
    <w:name w:val="Table Grid"/>
    <w:basedOn w:val="TableNormal"/>
    <w:uiPriority w:val="59"/>
    <w:rsid w:val="003D799A"/>
    <w:pPr>
      <w:spacing w:before="20" w:after="20" w:line="240" w:lineRule="auto"/>
      <w:jc w:val="right"/>
    </w:pPr>
    <w:rPr>
      <w:spacing w:val="2"/>
      <w:sz w:val="17"/>
      <w:szCs w:val="21"/>
    </w:rPr>
    <w:tblPr>
      <w:tblStyleRowBandSize w:val="1"/>
      <w:tblStyleColBandSize w:val="1"/>
      <w:tblBorders>
        <w:bottom w:val="single" w:sz="12" w:space="0" w:color="4F81BD"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style>
  <w:style w:type="paragraph" w:customStyle="1" w:styleId="Refnum1">
    <w:name w:val="Ref num 1"/>
    <w:basedOn w:val="Normal"/>
    <w:uiPriority w:val="7"/>
    <w:rsid w:val="003D799A"/>
    <w:pPr>
      <w:numPr>
        <w:numId w:val="16"/>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3D799A"/>
    <w:pPr>
      <w:numPr>
        <w:ilvl w:val="2"/>
      </w:numPr>
    </w:pPr>
    <w:rPr>
      <w:color w:val="auto"/>
    </w:rPr>
  </w:style>
  <w:style w:type="paragraph" w:styleId="Header">
    <w:name w:val="header"/>
    <w:basedOn w:val="Normal"/>
    <w:link w:val="HeaderChar"/>
    <w:uiPriority w:val="99"/>
    <w:semiHidden/>
    <w:rsid w:val="003D799A"/>
    <w:pPr>
      <w:tabs>
        <w:tab w:val="center" w:pos="4513"/>
        <w:tab w:val="right" w:pos="9026"/>
      </w:tabs>
      <w:spacing w:after="0" w:line="240" w:lineRule="auto"/>
    </w:pPr>
  </w:style>
  <w:style w:type="paragraph" w:customStyle="1" w:styleId="Tabletext">
    <w:name w:val="Table text"/>
    <w:basedOn w:val="Normal"/>
    <w:uiPriority w:val="9"/>
    <w:qFormat/>
    <w:rsid w:val="003D799A"/>
    <w:pPr>
      <w:spacing w:before="60" w:after="60" w:line="264" w:lineRule="auto"/>
    </w:pPr>
    <w:rPr>
      <w:sz w:val="17"/>
    </w:rPr>
  </w:style>
  <w:style w:type="paragraph" w:customStyle="1" w:styleId="FRDHeader">
    <w:name w:val="FRD Header"/>
    <w:basedOn w:val="Normal"/>
    <w:semiHidden/>
    <w:rsid w:val="003D799A"/>
    <w:pPr>
      <w:spacing w:before="40" w:after="40" w:line="240" w:lineRule="auto"/>
    </w:pPr>
    <w:rPr>
      <w:rFonts w:eastAsia="Calibri" w:cs="Times New Roman"/>
      <w:color w:val="FFFFFF" w:themeColor="background1"/>
      <w:spacing w:val="0"/>
      <w:sz w:val="30"/>
      <w:szCs w:val="36"/>
      <w:lang w:eastAsia="en-US"/>
    </w:rPr>
  </w:style>
  <w:style w:type="character" w:customStyle="1" w:styleId="HeaderChar">
    <w:name w:val="Header Char"/>
    <w:basedOn w:val="DefaultParagraphFont"/>
    <w:link w:val="Header"/>
    <w:uiPriority w:val="99"/>
    <w:semiHidden/>
    <w:rsid w:val="003D799A"/>
    <w:rPr>
      <w:rFonts w:eastAsiaTheme="minorEastAsia"/>
      <w:spacing w:val="2"/>
      <w:sz w:val="18"/>
      <w:szCs w:val="20"/>
      <w:lang w:eastAsia="en-AU"/>
    </w:rPr>
  </w:style>
  <w:style w:type="paragraph" w:customStyle="1" w:styleId="FRDNumber">
    <w:name w:val="FRD Number"/>
    <w:basedOn w:val="FRDHeader"/>
    <w:semiHidden/>
    <w:rsid w:val="003D799A"/>
  </w:style>
  <w:style w:type="paragraph" w:customStyle="1" w:styleId="Normalgrey">
    <w:name w:val="Normal grey"/>
    <w:basedOn w:val="Normal"/>
    <w:uiPriority w:val="2"/>
    <w:qFormat/>
    <w:rsid w:val="003D799A"/>
    <w:pPr>
      <w:spacing w:line="264" w:lineRule="auto"/>
    </w:pPr>
    <w:rPr>
      <w:rFonts w:eastAsiaTheme="minorHAnsi"/>
      <w:color w:val="4D4D4D"/>
      <w:szCs w:val="18"/>
      <w:lang w:eastAsia="en-US"/>
    </w:rPr>
  </w:style>
  <w:style w:type="paragraph" w:styleId="NormalIndent">
    <w:name w:val="Normal Indent"/>
    <w:basedOn w:val="Normal"/>
    <w:qFormat/>
    <w:rsid w:val="003D799A"/>
    <w:pPr>
      <w:spacing w:line="252" w:lineRule="auto"/>
      <w:ind w:left="288"/>
    </w:pPr>
  </w:style>
  <w:style w:type="paragraph" w:customStyle="1" w:styleId="Bullet1grey">
    <w:name w:val="Bullet 1 grey"/>
    <w:basedOn w:val="Bullet1"/>
    <w:uiPriority w:val="3"/>
    <w:qFormat/>
    <w:rsid w:val="003D799A"/>
    <w:rPr>
      <w:color w:val="4D4D4D"/>
      <w:szCs w:val="18"/>
      <w:lang w:eastAsia="en-US"/>
    </w:rPr>
  </w:style>
  <w:style w:type="paragraph" w:customStyle="1" w:styleId="Bullet2grey">
    <w:name w:val="Bullet 2 grey"/>
    <w:basedOn w:val="Bullet2"/>
    <w:uiPriority w:val="3"/>
    <w:qFormat/>
    <w:rsid w:val="003D799A"/>
    <w:rPr>
      <w:color w:val="4D4D4D"/>
      <w:szCs w:val="21"/>
      <w:lang w:eastAsia="en-US"/>
    </w:rPr>
  </w:style>
  <w:style w:type="paragraph" w:styleId="Footer">
    <w:name w:val="footer"/>
    <w:basedOn w:val="Normal"/>
    <w:link w:val="FooterChar"/>
    <w:uiPriority w:val="24"/>
    <w:rsid w:val="003D799A"/>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3D799A"/>
    <w:rPr>
      <w:rFonts w:eastAsiaTheme="minorEastAsia"/>
      <w:noProof/>
      <w:spacing w:val="2"/>
      <w:sz w:val="18"/>
      <w:szCs w:val="18"/>
      <w:lang w:eastAsia="en-AU"/>
    </w:rPr>
  </w:style>
  <w:style w:type="paragraph" w:styleId="BalloonText">
    <w:name w:val="Balloon Text"/>
    <w:basedOn w:val="Normal"/>
    <w:link w:val="BalloonTextChar"/>
    <w:uiPriority w:val="99"/>
    <w:semiHidden/>
    <w:rsid w:val="003D7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99A"/>
    <w:rPr>
      <w:rFonts w:ascii="Tahoma" w:eastAsiaTheme="minorEastAsia" w:hAnsi="Tahoma" w:cs="Tahoma"/>
      <w:spacing w:val="2"/>
      <w:sz w:val="16"/>
      <w:szCs w:val="16"/>
      <w:lang w:eastAsia="en-AU"/>
    </w:rPr>
  </w:style>
  <w:style w:type="character" w:styleId="CommentReference">
    <w:name w:val="annotation reference"/>
    <w:basedOn w:val="DefaultParagraphFont"/>
    <w:uiPriority w:val="99"/>
    <w:semiHidden/>
    <w:rsid w:val="00884361"/>
    <w:rPr>
      <w:sz w:val="16"/>
      <w:szCs w:val="16"/>
    </w:rPr>
  </w:style>
  <w:style w:type="paragraph" w:styleId="CommentText">
    <w:name w:val="annotation text"/>
    <w:basedOn w:val="Normal"/>
    <w:link w:val="CommentTextChar"/>
    <w:uiPriority w:val="99"/>
    <w:semiHidden/>
    <w:rsid w:val="00884361"/>
    <w:rPr>
      <w:sz w:val="20"/>
    </w:rPr>
  </w:style>
  <w:style w:type="character" w:customStyle="1" w:styleId="CommentTextChar">
    <w:name w:val="Comment Text Char"/>
    <w:basedOn w:val="DefaultParagraphFont"/>
    <w:link w:val="CommentText"/>
    <w:uiPriority w:val="99"/>
    <w:semiHidden/>
    <w:rsid w:val="00884361"/>
    <w:rPr>
      <w:rFonts w:ascii="Calibri" w:eastAsia="Calibri" w:hAnsi="Calibri" w:cs="Times New Roman"/>
      <w:color w:val="000000" w:themeColor="text1"/>
      <w:sz w:val="20"/>
      <w:szCs w:val="20"/>
    </w:rPr>
  </w:style>
  <w:style w:type="paragraph" w:styleId="CommentSubject">
    <w:name w:val="annotation subject"/>
    <w:basedOn w:val="CommentText"/>
    <w:next w:val="CommentText"/>
    <w:link w:val="CommentSubjectChar"/>
    <w:uiPriority w:val="99"/>
    <w:semiHidden/>
    <w:rsid w:val="00884361"/>
    <w:rPr>
      <w:b/>
      <w:bCs/>
    </w:rPr>
  </w:style>
  <w:style w:type="character" w:customStyle="1" w:styleId="CommentSubjectChar">
    <w:name w:val="Comment Subject Char"/>
    <w:basedOn w:val="CommentTextChar"/>
    <w:link w:val="CommentSubject"/>
    <w:uiPriority w:val="99"/>
    <w:semiHidden/>
    <w:rsid w:val="00884361"/>
    <w:rPr>
      <w:rFonts w:ascii="Calibri" w:eastAsia="Calibri" w:hAnsi="Calibri" w:cs="Times New Roman"/>
      <w:b/>
      <w:bCs/>
      <w:color w:val="000000" w:themeColor="text1"/>
      <w:sz w:val="20"/>
      <w:szCs w:val="20"/>
    </w:rPr>
  </w:style>
  <w:style w:type="character" w:customStyle="1" w:styleId="Heading4Char">
    <w:name w:val="Heading 4 Char"/>
    <w:basedOn w:val="DefaultParagraphFont"/>
    <w:link w:val="Heading4"/>
    <w:semiHidden/>
    <w:rsid w:val="003D799A"/>
    <w:rPr>
      <w:rFonts w:asciiTheme="majorHAnsi" w:eastAsiaTheme="majorEastAsia" w:hAnsiTheme="majorHAnsi" w:cstheme="majorBidi"/>
      <w:b/>
      <w:bCs/>
      <w:iCs/>
      <w:color w:val="53565A"/>
      <w:spacing w:val="2"/>
      <w:sz w:val="18"/>
      <w:szCs w:val="20"/>
      <w:lang w:eastAsia="en-AU"/>
    </w:rPr>
  </w:style>
  <w:style w:type="table" w:styleId="LightShading">
    <w:name w:val="Light Shading"/>
    <w:basedOn w:val="TableNormal"/>
    <w:uiPriority w:val="60"/>
    <w:rsid w:val="003D799A"/>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3D799A"/>
    <w:pPr>
      <w:spacing w:after="0" w:line="240" w:lineRule="auto"/>
    </w:pPr>
    <w:rPr>
      <w:rFonts w:eastAsiaTheme="minorEastAsia"/>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3D799A"/>
    <w:pPr>
      <w:spacing w:after="0" w:line="240" w:lineRule="auto"/>
    </w:pPr>
    <w:rPr>
      <w:rFonts w:eastAsiaTheme="minorEastAsia"/>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3D799A"/>
    <w:pPr>
      <w:tabs>
        <w:tab w:val="right" w:leader="dot" w:pos="9000"/>
      </w:tabs>
      <w:ind w:right="432"/>
    </w:pPr>
    <w:rPr>
      <w:sz w:val="24"/>
      <w:szCs w:val="24"/>
    </w:rPr>
  </w:style>
  <w:style w:type="paragraph" w:styleId="TOC2">
    <w:name w:val="toc 2"/>
    <w:next w:val="Normal"/>
    <w:uiPriority w:val="39"/>
    <w:rsid w:val="003D799A"/>
    <w:pPr>
      <w:tabs>
        <w:tab w:val="right" w:leader="dot" w:pos="9000"/>
      </w:tabs>
      <w:spacing w:after="100"/>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3D799A"/>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3D799A"/>
    <w:pPr>
      <w:spacing w:after="60" w:line="240" w:lineRule="auto"/>
    </w:pPr>
    <w:rPr>
      <w:sz w:val="16"/>
    </w:rPr>
  </w:style>
  <w:style w:type="paragraph" w:styleId="Index2">
    <w:name w:val="index 2"/>
    <w:basedOn w:val="Normal"/>
    <w:next w:val="Normal"/>
    <w:uiPriority w:val="99"/>
    <w:semiHidden/>
    <w:rsid w:val="003D799A"/>
    <w:pPr>
      <w:spacing w:after="0" w:line="240" w:lineRule="auto"/>
      <w:ind w:left="216"/>
    </w:pPr>
    <w:rPr>
      <w:sz w:val="16"/>
      <w:szCs w:val="16"/>
    </w:rPr>
  </w:style>
  <w:style w:type="character" w:styleId="Hyperlink">
    <w:name w:val="Hyperlink"/>
    <w:basedOn w:val="DefaultParagraphFont"/>
    <w:uiPriority w:val="99"/>
    <w:rsid w:val="003D799A"/>
    <w:rPr>
      <w:color w:val="0000FF" w:themeColor="hyperlink"/>
      <w:u w:val="none"/>
    </w:rPr>
  </w:style>
  <w:style w:type="paragraph" w:customStyle="1" w:styleId="Bulletindent">
    <w:name w:val="Bullet indent"/>
    <w:basedOn w:val="Bullet2"/>
    <w:uiPriority w:val="7"/>
    <w:qFormat/>
    <w:rsid w:val="003D799A"/>
    <w:pPr>
      <w:numPr>
        <w:ilvl w:val="2"/>
      </w:numPr>
    </w:pPr>
  </w:style>
  <w:style w:type="paragraph" w:customStyle="1" w:styleId="Heading1numbered">
    <w:name w:val="Heading 1 numbered"/>
    <w:basedOn w:val="Heading1"/>
    <w:next w:val="NormalIndent"/>
    <w:uiPriority w:val="4"/>
    <w:semiHidden/>
    <w:qFormat/>
    <w:rsid w:val="003D799A"/>
  </w:style>
  <w:style w:type="paragraph" w:customStyle="1" w:styleId="Heading2numbered">
    <w:name w:val="Heading 2 numbered"/>
    <w:basedOn w:val="Heading2"/>
    <w:next w:val="NormalIndent"/>
    <w:uiPriority w:val="4"/>
    <w:semiHidden/>
    <w:qFormat/>
    <w:rsid w:val="003D799A"/>
  </w:style>
  <w:style w:type="paragraph" w:customStyle="1" w:styleId="Heading3numbered">
    <w:name w:val="Heading 3 numbered"/>
    <w:basedOn w:val="Heading3"/>
    <w:next w:val="NormalIndent"/>
    <w:uiPriority w:val="4"/>
    <w:semiHidden/>
    <w:qFormat/>
    <w:rsid w:val="003D799A"/>
    <w:pPr>
      <w:numPr>
        <w:ilvl w:val="4"/>
        <w:numId w:val="17"/>
      </w:numPr>
    </w:pPr>
  </w:style>
  <w:style w:type="paragraph" w:customStyle="1" w:styleId="Heading4numbered">
    <w:name w:val="Heading 4 numbered"/>
    <w:basedOn w:val="Heading4"/>
    <w:next w:val="NormalIndent"/>
    <w:uiPriority w:val="4"/>
    <w:semiHidden/>
    <w:qFormat/>
    <w:rsid w:val="003D799A"/>
    <w:pPr>
      <w:numPr>
        <w:ilvl w:val="5"/>
        <w:numId w:val="17"/>
      </w:numPr>
    </w:pPr>
  </w:style>
  <w:style w:type="paragraph" w:customStyle="1" w:styleId="NoteNormal">
    <w:name w:val="Note Normal"/>
    <w:basedOn w:val="Normal"/>
    <w:uiPriority w:val="49"/>
    <w:rsid w:val="003D799A"/>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9"/>
    <w:semiHidden/>
    <w:rsid w:val="003D799A"/>
    <w:pPr>
      <w:spacing w:after="0" w:line="440" w:lineRule="exact"/>
    </w:pPr>
    <w:rPr>
      <w:rFonts w:asciiTheme="majorHAnsi" w:eastAsia="Times New Roman" w:hAnsiTheme="majorHAnsi" w:cstheme="majorHAnsi"/>
      <w:color w:val="4F81BD" w:themeColor="accent1"/>
      <w:spacing w:val="-2"/>
      <w:sz w:val="40"/>
      <w:szCs w:val="24"/>
      <w:lang w:eastAsia="en-AU"/>
    </w:rPr>
  </w:style>
  <w:style w:type="character" w:customStyle="1" w:styleId="SubtitleChar">
    <w:name w:val="Subtitle Char"/>
    <w:basedOn w:val="DefaultParagraphFont"/>
    <w:link w:val="Subtitle"/>
    <w:uiPriority w:val="99"/>
    <w:semiHidden/>
    <w:rsid w:val="003D799A"/>
    <w:rPr>
      <w:rFonts w:asciiTheme="majorHAnsi" w:eastAsia="Times New Roman" w:hAnsiTheme="majorHAnsi" w:cstheme="majorHAnsi"/>
      <w:color w:val="4F81BD" w:themeColor="accent1"/>
      <w:spacing w:val="-2"/>
      <w:sz w:val="40"/>
      <w:szCs w:val="24"/>
      <w:lang w:eastAsia="en-AU"/>
    </w:rPr>
  </w:style>
  <w:style w:type="paragraph" w:customStyle="1" w:styleId="TertiaryTitle">
    <w:name w:val="Tertiary Title"/>
    <w:next w:val="Normal"/>
    <w:uiPriority w:val="99"/>
    <w:semiHidden/>
    <w:rsid w:val="003D799A"/>
    <w:pPr>
      <w:spacing w:after="0" w:line="440" w:lineRule="exact"/>
    </w:pPr>
    <w:rPr>
      <w:rFonts w:asciiTheme="majorHAnsi" w:eastAsia="Times New Roman" w:hAnsiTheme="majorHAnsi" w:cstheme="majorHAnsi"/>
      <w:color w:val="4F81BD" w:themeColor="accent1"/>
      <w:spacing w:val="-2"/>
      <w:sz w:val="36"/>
      <w:szCs w:val="40"/>
    </w:rPr>
  </w:style>
  <w:style w:type="paragraph" w:styleId="Title">
    <w:name w:val="Title"/>
    <w:link w:val="TitleChar"/>
    <w:uiPriority w:val="99"/>
    <w:semiHidden/>
    <w:rsid w:val="003D799A"/>
    <w:pPr>
      <w:spacing w:after="300" w:line="252" w:lineRule="auto"/>
    </w:pPr>
    <w:rPr>
      <w:rFonts w:asciiTheme="majorHAnsi" w:eastAsia="Times New Roman" w:hAnsiTheme="majorHAnsi" w:cstheme="majorHAnsi"/>
      <w:b/>
      <w:color w:val="4F81BD" w:themeColor="accent1"/>
      <w:spacing w:val="-2"/>
      <w:sz w:val="60"/>
      <w:lang w:eastAsia="en-AU"/>
    </w:rPr>
  </w:style>
  <w:style w:type="character" w:customStyle="1" w:styleId="TitleChar">
    <w:name w:val="Title Char"/>
    <w:basedOn w:val="DefaultParagraphFont"/>
    <w:link w:val="Title"/>
    <w:uiPriority w:val="99"/>
    <w:semiHidden/>
    <w:rsid w:val="003D799A"/>
    <w:rPr>
      <w:rFonts w:asciiTheme="majorHAnsi" w:eastAsia="Times New Roman" w:hAnsiTheme="majorHAnsi" w:cstheme="majorHAnsi"/>
      <w:b/>
      <w:color w:val="4F81BD" w:themeColor="accent1"/>
      <w:spacing w:val="-2"/>
      <w:sz w:val="60"/>
      <w:lang w:eastAsia="en-AU"/>
    </w:rPr>
  </w:style>
  <w:style w:type="paragraph" w:customStyle="1" w:styleId="Bulletindent2">
    <w:name w:val="Bullet indent 2"/>
    <w:basedOn w:val="Normal"/>
    <w:uiPriority w:val="7"/>
    <w:qFormat/>
    <w:rsid w:val="003D799A"/>
    <w:pPr>
      <w:numPr>
        <w:ilvl w:val="3"/>
        <w:numId w:val="10"/>
      </w:numPr>
      <w:spacing w:before="100"/>
      <w:contextualSpacing/>
    </w:pPr>
  </w:style>
  <w:style w:type="paragraph" w:styleId="IndexHeading">
    <w:name w:val="index heading"/>
    <w:basedOn w:val="Normal"/>
    <w:next w:val="Index1"/>
    <w:uiPriority w:val="99"/>
    <w:semiHidden/>
    <w:rsid w:val="003D799A"/>
    <w:rPr>
      <w:rFonts w:asciiTheme="majorHAnsi" w:eastAsiaTheme="majorEastAsia" w:hAnsiTheme="majorHAnsi" w:cstheme="majorBidi"/>
      <w:b/>
      <w:bCs/>
    </w:rPr>
  </w:style>
  <w:style w:type="character" w:styleId="PageNumber">
    <w:name w:val="page number"/>
    <w:uiPriority w:val="49"/>
    <w:semiHidden/>
    <w:rsid w:val="003D799A"/>
    <w:rPr>
      <w:b w:val="0"/>
      <w:color w:val="000000" w:themeColor="text1"/>
    </w:rPr>
  </w:style>
  <w:style w:type="paragraph" w:styleId="TOCHeading">
    <w:name w:val="TOC Heading"/>
    <w:basedOn w:val="Heading1"/>
    <w:next w:val="Normal"/>
    <w:uiPriority w:val="39"/>
    <w:semiHidden/>
    <w:rsid w:val="003D799A"/>
    <w:pPr>
      <w:spacing w:before="480" w:after="720"/>
      <w:outlineLvl w:val="9"/>
    </w:pPr>
    <w:rPr>
      <w:spacing w:val="2"/>
    </w:rPr>
  </w:style>
  <w:style w:type="paragraph" w:customStyle="1" w:styleId="NormalTight">
    <w:name w:val="Normal Tight"/>
    <w:uiPriority w:val="99"/>
    <w:semiHidden/>
    <w:rsid w:val="003D799A"/>
    <w:pPr>
      <w:spacing w:after="0" w:line="240" w:lineRule="auto"/>
      <w:ind w:right="2366"/>
    </w:pPr>
    <w:rPr>
      <w:rFonts w:eastAsia="Times New Roman" w:cs="Calibri"/>
      <w:sz w:val="18"/>
      <w:szCs w:val="19"/>
    </w:rPr>
  </w:style>
  <w:style w:type="paragraph" w:styleId="BodyText">
    <w:name w:val="Body Text"/>
    <w:basedOn w:val="Normal"/>
    <w:link w:val="BodyTextChar"/>
    <w:uiPriority w:val="49"/>
    <w:semiHidden/>
    <w:rsid w:val="003D799A"/>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3D799A"/>
    <w:rPr>
      <w:rFonts w:ascii="Calibri" w:eastAsia="Times New Roman" w:hAnsi="Calibri" w:cs="Calibri"/>
      <w:lang w:eastAsia="en-AU"/>
    </w:rPr>
  </w:style>
  <w:style w:type="paragraph" w:customStyle="1" w:styleId="Insidecoverspacer">
    <w:name w:val="Inside cover spacer"/>
    <w:basedOn w:val="NormalTight"/>
    <w:uiPriority w:val="99"/>
    <w:semiHidden/>
    <w:qFormat/>
    <w:rsid w:val="003D799A"/>
    <w:pPr>
      <w:spacing w:before="5800"/>
      <w:ind w:right="1382"/>
    </w:pPr>
  </w:style>
  <w:style w:type="paragraph" w:styleId="TOC4">
    <w:name w:val="toc 4"/>
    <w:basedOn w:val="TOC1"/>
    <w:next w:val="Normal"/>
    <w:uiPriority w:val="39"/>
    <w:semiHidden/>
    <w:rsid w:val="003D799A"/>
    <w:pPr>
      <w:ind w:left="450" w:hanging="450"/>
    </w:pPr>
    <w:rPr>
      <w:noProof/>
      <w:lang w:eastAsia="en-US"/>
    </w:rPr>
  </w:style>
  <w:style w:type="paragraph" w:styleId="TOC5">
    <w:name w:val="toc 5"/>
    <w:basedOn w:val="TOC2"/>
    <w:next w:val="Normal"/>
    <w:uiPriority w:val="39"/>
    <w:semiHidden/>
    <w:rsid w:val="003D799A"/>
    <w:pPr>
      <w:ind w:left="1080" w:hanging="634"/>
    </w:pPr>
    <w:rPr>
      <w:lang w:eastAsia="en-US"/>
    </w:rPr>
  </w:style>
  <w:style w:type="paragraph" w:styleId="TOC6">
    <w:name w:val="toc 6"/>
    <w:basedOn w:val="TOC3"/>
    <w:next w:val="Normal"/>
    <w:uiPriority w:val="39"/>
    <w:semiHidden/>
    <w:rsid w:val="003D799A"/>
    <w:pPr>
      <w:ind w:left="1800" w:hanging="720"/>
    </w:pPr>
    <w:rPr>
      <w:lang w:eastAsia="en-US"/>
    </w:rPr>
  </w:style>
  <w:style w:type="table" w:customStyle="1" w:styleId="DTFtexttable">
    <w:name w:val="DTF text table"/>
    <w:basedOn w:val="TableGrid"/>
    <w:uiPriority w:val="99"/>
    <w:rsid w:val="003D799A"/>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3D799A"/>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8"/>
    <w:qFormat/>
    <w:rsid w:val="003D799A"/>
    <w:pPr>
      <w:jc w:val="right"/>
    </w:pPr>
  </w:style>
  <w:style w:type="paragraph" w:customStyle="1" w:styleId="Listnumindent2">
    <w:name w:val="List num indent 2"/>
    <w:basedOn w:val="Normal"/>
    <w:uiPriority w:val="7"/>
    <w:qFormat/>
    <w:rsid w:val="003D799A"/>
    <w:pPr>
      <w:numPr>
        <w:ilvl w:val="7"/>
        <w:numId w:val="17"/>
      </w:numPr>
      <w:spacing w:before="100"/>
      <w:contextualSpacing/>
    </w:pPr>
  </w:style>
  <w:style w:type="paragraph" w:customStyle="1" w:styleId="Listnumindent">
    <w:name w:val="List num indent"/>
    <w:basedOn w:val="Normal"/>
    <w:uiPriority w:val="7"/>
    <w:qFormat/>
    <w:rsid w:val="003D799A"/>
    <w:pPr>
      <w:numPr>
        <w:ilvl w:val="6"/>
        <w:numId w:val="17"/>
      </w:numPr>
      <w:spacing w:before="100"/>
    </w:pPr>
  </w:style>
  <w:style w:type="paragraph" w:customStyle="1" w:styleId="Listnum">
    <w:name w:val="List num"/>
    <w:basedOn w:val="Normal"/>
    <w:uiPriority w:val="1"/>
    <w:qFormat/>
    <w:rsid w:val="003D799A"/>
    <w:pPr>
      <w:numPr>
        <w:numId w:val="17"/>
      </w:numPr>
      <w:contextualSpacing/>
    </w:pPr>
  </w:style>
  <w:style w:type="paragraph" w:customStyle="1" w:styleId="Listnum2">
    <w:name w:val="List num 2"/>
    <w:basedOn w:val="Normal"/>
    <w:uiPriority w:val="1"/>
    <w:qFormat/>
    <w:rsid w:val="003D799A"/>
    <w:pPr>
      <w:numPr>
        <w:ilvl w:val="1"/>
        <w:numId w:val="17"/>
      </w:numPr>
      <w:contextualSpacing/>
    </w:pPr>
  </w:style>
  <w:style w:type="paragraph" w:customStyle="1" w:styleId="Tabletextcentred">
    <w:name w:val="Table text centred"/>
    <w:basedOn w:val="Tabletext"/>
    <w:uiPriority w:val="8"/>
    <w:qFormat/>
    <w:rsid w:val="003D799A"/>
    <w:pPr>
      <w:jc w:val="center"/>
    </w:pPr>
  </w:style>
  <w:style w:type="paragraph" w:customStyle="1" w:styleId="Tableheader">
    <w:name w:val="Table header"/>
    <w:basedOn w:val="Tabletext"/>
    <w:uiPriority w:val="8"/>
    <w:qFormat/>
    <w:rsid w:val="003D799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3D799A"/>
    <w:pPr>
      <w:numPr>
        <w:numId w:val="12"/>
      </w:numPr>
    </w:pPr>
  </w:style>
  <w:style w:type="paragraph" w:customStyle="1" w:styleId="Tabledash">
    <w:name w:val="Table dash"/>
    <w:basedOn w:val="Tablebullet"/>
    <w:uiPriority w:val="9"/>
    <w:rsid w:val="003D799A"/>
    <w:pPr>
      <w:numPr>
        <w:ilvl w:val="1"/>
      </w:numPr>
    </w:pPr>
  </w:style>
  <w:style w:type="paragraph" w:customStyle="1" w:styleId="Tabletextindent">
    <w:name w:val="Table text indent"/>
    <w:basedOn w:val="Tabletext"/>
    <w:uiPriority w:val="8"/>
    <w:qFormat/>
    <w:rsid w:val="003D799A"/>
    <w:pPr>
      <w:ind w:left="288"/>
    </w:pPr>
  </w:style>
  <w:style w:type="paragraph" w:customStyle="1" w:styleId="Normalbold">
    <w:name w:val="Normal bold"/>
    <w:basedOn w:val="Normal"/>
    <w:qFormat/>
    <w:rsid w:val="003D799A"/>
    <w:pPr>
      <w:spacing w:line="264" w:lineRule="auto"/>
    </w:pPr>
    <w:rPr>
      <w:rFonts w:eastAsiaTheme="minorHAnsi"/>
      <w:b/>
      <w:szCs w:val="18"/>
      <w:lang w:eastAsia="en-US"/>
    </w:rPr>
  </w:style>
  <w:style w:type="paragraph" w:customStyle="1" w:styleId="Listnumgrey">
    <w:name w:val="List num grey"/>
    <w:uiPriority w:val="3"/>
    <w:qFormat/>
    <w:rsid w:val="003D799A"/>
    <w:pPr>
      <w:numPr>
        <w:ilvl w:val="2"/>
        <w:numId w:val="17"/>
      </w:numPr>
      <w:spacing w:line="264" w:lineRule="auto"/>
    </w:pPr>
    <w:rPr>
      <w:color w:val="4D4D4D"/>
      <w:spacing w:val="2"/>
      <w:sz w:val="18"/>
      <w:szCs w:val="21"/>
    </w:rPr>
  </w:style>
  <w:style w:type="paragraph" w:customStyle="1" w:styleId="Listnum2grey">
    <w:name w:val="List num 2 grey"/>
    <w:uiPriority w:val="4"/>
    <w:qFormat/>
    <w:rsid w:val="003D799A"/>
    <w:pPr>
      <w:numPr>
        <w:ilvl w:val="3"/>
        <w:numId w:val="17"/>
      </w:numPr>
      <w:spacing w:line="264" w:lineRule="auto"/>
    </w:pPr>
    <w:rPr>
      <w:color w:val="4D4D4D"/>
      <w:spacing w:val="2"/>
      <w:sz w:val="18"/>
      <w:szCs w:val="21"/>
    </w:rPr>
  </w:style>
  <w:style w:type="paragraph" w:customStyle="1" w:styleId="Refnum1grey">
    <w:name w:val="Ref num 1 grey"/>
    <w:basedOn w:val="Refnum1"/>
    <w:uiPriority w:val="7"/>
    <w:qFormat/>
    <w:rsid w:val="003D799A"/>
    <w:rPr>
      <w:color w:val="F2F2F2" w:themeColor="background1" w:themeShade="F2"/>
    </w:rPr>
  </w:style>
  <w:style w:type="paragraph" w:customStyle="1" w:styleId="Refnum2grey">
    <w:name w:val="Ref num 2 grey"/>
    <w:basedOn w:val="Normal"/>
    <w:rsid w:val="003D799A"/>
    <w:pPr>
      <w:numPr>
        <w:ilvl w:val="1"/>
        <w:numId w:val="16"/>
      </w:numPr>
    </w:pPr>
  </w:style>
  <w:style w:type="paragraph" w:customStyle="1" w:styleId="Normalgreybold">
    <w:name w:val="Normal grey bold"/>
    <w:basedOn w:val="Normalgrey"/>
    <w:qFormat/>
    <w:rsid w:val="003D799A"/>
    <w:rPr>
      <w:b/>
    </w:rPr>
  </w:style>
  <w:style w:type="paragraph" w:styleId="Caption">
    <w:name w:val="caption"/>
    <w:basedOn w:val="Normal"/>
    <w:next w:val="Normal"/>
    <w:uiPriority w:val="99"/>
    <w:rsid w:val="003D799A"/>
    <w:pPr>
      <w:spacing w:before="0" w:after="200" w:line="240" w:lineRule="auto"/>
    </w:pPr>
    <w:rPr>
      <w:b/>
      <w:bCs/>
      <w:szCs w:val="18"/>
    </w:rPr>
  </w:style>
  <w:style w:type="paragraph" w:customStyle="1" w:styleId="Tablechartdiagramheading">
    <w:name w:val="Table/chart/diagram heading"/>
    <w:uiPriority w:val="99"/>
    <w:qFormat/>
    <w:rsid w:val="003D799A"/>
    <w:pPr>
      <w:tabs>
        <w:tab w:val="left" w:pos="1080"/>
      </w:tabs>
      <w:spacing w:before="160" w:after="100"/>
    </w:pPr>
    <w:rPr>
      <w:rFonts w:eastAsiaTheme="minorEastAsia"/>
      <w:b/>
      <w:bCs/>
      <w:color w:val="404040" w:themeColor="text1" w:themeTint="BF"/>
      <w:spacing w:val="2"/>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1834">
      <w:bodyDiv w:val="1"/>
      <w:marLeft w:val="0"/>
      <w:marRight w:val="0"/>
      <w:marTop w:val="0"/>
      <w:marBottom w:val="0"/>
      <w:divBdr>
        <w:top w:val="none" w:sz="0" w:space="0" w:color="auto"/>
        <w:left w:val="none" w:sz="0" w:space="0" w:color="auto"/>
        <w:bottom w:val="none" w:sz="0" w:space="0" w:color="auto"/>
        <w:right w:val="none" w:sz="0" w:space="0" w:color="auto"/>
      </w:divBdr>
    </w:div>
    <w:div w:id="369569414">
      <w:bodyDiv w:val="1"/>
      <w:marLeft w:val="0"/>
      <w:marRight w:val="0"/>
      <w:marTop w:val="0"/>
      <w:marBottom w:val="0"/>
      <w:divBdr>
        <w:top w:val="none" w:sz="0" w:space="0" w:color="auto"/>
        <w:left w:val="none" w:sz="0" w:space="0" w:color="auto"/>
        <w:bottom w:val="none" w:sz="0" w:space="0" w:color="auto"/>
        <w:right w:val="none" w:sz="0" w:space="0" w:color="auto"/>
      </w:divBdr>
    </w:div>
    <w:div w:id="415368218">
      <w:bodyDiv w:val="1"/>
      <w:marLeft w:val="0"/>
      <w:marRight w:val="0"/>
      <w:marTop w:val="0"/>
      <w:marBottom w:val="0"/>
      <w:divBdr>
        <w:top w:val="none" w:sz="0" w:space="0" w:color="auto"/>
        <w:left w:val="none" w:sz="0" w:space="0" w:color="auto"/>
        <w:bottom w:val="none" w:sz="0" w:space="0" w:color="auto"/>
        <w:right w:val="none" w:sz="0" w:space="0" w:color="auto"/>
      </w:divBdr>
    </w:div>
    <w:div w:id="427894559">
      <w:bodyDiv w:val="1"/>
      <w:marLeft w:val="0"/>
      <w:marRight w:val="0"/>
      <w:marTop w:val="0"/>
      <w:marBottom w:val="0"/>
      <w:divBdr>
        <w:top w:val="none" w:sz="0" w:space="0" w:color="auto"/>
        <w:left w:val="none" w:sz="0" w:space="0" w:color="auto"/>
        <w:bottom w:val="none" w:sz="0" w:space="0" w:color="auto"/>
        <w:right w:val="none" w:sz="0" w:space="0" w:color="auto"/>
      </w:divBdr>
    </w:div>
    <w:div w:id="463618819">
      <w:bodyDiv w:val="1"/>
      <w:marLeft w:val="0"/>
      <w:marRight w:val="0"/>
      <w:marTop w:val="0"/>
      <w:marBottom w:val="0"/>
      <w:divBdr>
        <w:top w:val="none" w:sz="0" w:space="0" w:color="auto"/>
        <w:left w:val="none" w:sz="0" w:space="0" w:color="auto"/>
        <w:bottom w:val="none" w:sz="0" w:space="0" w:color="auto"/>
        <w:right w:val="none" w:sz="0" w:space="0" w:color="auto"/>
      </w:divBdr>
    </w:div>
    <w:div w:id="701975099">
      <w:bodyDiv w:val="1"/>
      <w:marLeft w:val="0"/>
      <w:marRight w:val="0"/>
      <w:marTop w:val="0"/>
      <w:marBottom w:val="0"/>
      <w:divBdr>
        <w:top w:val="none" w:sz="0" w:space="0" w:color="auto"/>
        <w:left w:val="none" w:sz="0" w:space="0" w:color="auto"/>
        <w:bottom w:val="none" w:sz="0" w:space="0" w:color="auto"/>
        <w:right w:val="none" w:sz="0" w:space="0" w:color="auto"/>
      </w:divBdr>
    </w:div>
    <w:div w:id="762845196">
      <w:bodyDiv w:val="1"/>
      <w:marLeft w:val="0"/>
      <w:marRight w:val="0"/>
      <w:marTop w:val="0"/>
      <w:marBottom w:val="0"/>
      <w:divBdr>
        <w:top w:val="none" w:sz="0" w:space="0" w:color="auto"/>
        <w:left w:val="none" w:sz="0" w:space="0" w:color="auto"/>
        <w:bottom w:val="none" w:sz="0" w:space="0" w:color="auto"/>
        <w:right w:val="none" w:sz="0" w:space="0" w:color="auto"/>
      </w:divBdr>
    </w:div>
    <w:div w:id="882715088">
      <w:bodyDiv w:val="1"/>
      <w:marLeft w:val="0"/>
      <w:marRight w:val="0"/>
      <w:marTop w:val="0"/>
      <w:marBottom w:val="0"/>
      <w:divBdr>
        <w:top w:val="none" w:sz="0" w:space="0" w:color="auto"/>
        <w:left w:val="none" w:sz="0" w:space="0" w:color="auto"/>
        <w:bottom w:val="none" w:sz="0" w:space="0" w:color="auto"/>
        <w:right w:val="none" w:sz="0" w:space="0" w:color="auto"/>
      </w:divBdr>
    </w:div>
    <w:div w:id="943927137">
      <w:bodyDiv w:val="1"/>
      <w:marLeft w:val="0"/>
      <w:marRight w:val="0"/>
      <w:marTop w:val="0"/>
      <w:marBottom w:val="0"/>
      <w:divBdr>
        <w:top w:val="none" w:sz="0" w:space="0" w:color="auto"/>
        <w:left w:val="none" w:sz="0" w:space="0" w:color="auto"/>
        <w:bottom w:val="none" w:sz="0" w:space="0" w:color="auto"/>
        <w:right w:val="none" w:sz="0" w:space="0" w:color="auto"/>
      </w:divBdr>
    </w:div>
    <w:div w:id="993534504">
      <w:bodyDiv w:val="1"/>
      <w:marLeft w:val="0"/>
      <w:marRight w:val="0"/>
      <w:marTop w:val="0"/>
      <w:marBottom w:val="0"/>
      <w:divBdr>
        <w:top w:val="none" w:sz="0" w:space="0" w:color="auto"/>
        <w:left w:val="none" w:sz="0" w:space="0" w:color="auto"/>
        <w:bottom w:val="none" w:sz="0" w:space="0" w:color="auto"/>
        <w:right w:val="none" w:sz="0" w:space="0" w:color="auto"/>
      </w:divBdr>
    </w:div>
    <w:div w:id="1034190733">
      <w:bodyDiv w:val="1"/>
      <w:marLeft w:val="0"/>
      <w:marRight w:val="0"/>
      <w:marTop w:val="0"/>
      <w:marBottom w:val="0"/>
      <w:divBdr>
        <w:top w:val="none" w:sz="0" w:space="0" w:color="auto"/>
        <w:left w:val="none" w:sz="0" w:space="0" w:color="auto"/>
        <w:bottom w:val="none" w:sz="0" w:space="0" w:color="auto"/>
        <w:right w:val="none" w:sz="0" w:space="0" w:color="auto"/>
      </w:divBdr>
    </w:div>
    <w:div w:id="1134104490">
      <w:bodyDiv w:val="1"/>
      <w:marLeft w:val="0"/>
      <w:marRight w:val="0"/>
      <w:marTop w:val="0"/>
      <w:marBottom w:val="0"/>
      <w:divBdr>
        <w:top w:val="none" w:sz="0" w:space="0" w:color="auto"/>
        <w:left w:val="none" w:sz="0" w:space="0" w:color="auto"/>
        <w:bottom w:val="none" w:sz="0" w:space="0" w:color="auto"/>
        <w:right w:val="none" w:sz="0" w:space="0" w:color="auto"/>
      </w:divBdr>
    </w:div>
    <w:div w:id="1196582100">
      <w:bodyDiv w:val="1"/>
      <w:marLeft w:val="0"/>
      <w:marRight w:val="0"/>
      <w:marTop w:val="0"/>
      <w:marBottom w:val="0"/>
      <w:divBdr>
        <w:top w:val="none" w:sz="0" w:space="0" w:color="auto"/>
        <w:left w:val="none" w:sz="0" w:space="0" w:color="auto"/>
        <w:bottom w:val="none" w:sz="0" w:space="0" w:color="auto"/>
        <w:right w:val="none" w:sz="0" w:space="0" w:color="auto"/>
      </w:divBdr>
    </w:div>
    <w:div w:id="1217543362">
      <w:bodyDiv w:val="1"/>
      <w:marLeft w:val="0"/>
      <w:marRight w:val="0"/>
      <w:marTop w:val="0"/>
      <w:marBottom w:val="0"/>
      <w:divBdr>
        <w:top w:val="none" w:sz="0" w:space="0" w:color="auto"/>
        <w:left w:val="none" w:sz="0" w:space="0" w:color="auto"/>
        <w:bottom w:val="none" w:sz="0" w:space="0" w:color="auto"/>
        <w:right w:val="none" w:sz="0" w:space="0" w:color="auto"/>
      </w:divBdr>
    </w:div>
    <w:div w:id="1527526810">
      <w:bodyDiv w:val="1"/>
      <w:marLeft w:val="0"/>
      <w:marRight w:val="0"/>
      <w:marTop w:val="0"/>
      <w:marBottom w:val="0"/>
      <w:divBdr>
        <w:top w:val="none" w:sz="0" w:space="0" w:color="auto"/>
        <w:left w:val="none" w:sz="0" w:space="0" w:color="auto"/>
        <w:bottom w:val="none" w:sz="0" w:space="0" w:color="auto"/>
        <w:right w:val="none" w:sz="0" w:space="0" w:color="auto"/>
      </w:divBdr>
    </w:div>
    <w:div w:id="1596744020">
      <w:bodyDiv w:val="1"/>
      <w:marLeft w:val="0"/>
      <w:marRight w:val="0"/>
      <w:marTop w:val="0"/>
      <w:marBottom w:val="0"/>
      <w:divBdr>
        <w:top w:val="none" w:sz="0" w:space="0" w:color="auto"/>
        <w:left w:val="none" w:sz="0" w:space="0" w:color="auto"/>
        <w:bottom w:val="none" w:sz="0" w:space="0" w:color="auto"/>
        <w:right w:val="none" w:sz="0" w:space="0" w:color="auto"/>
      </w:divBdr>
    </w:div>
    <w:div w:id="1664893640">
      <w:bodyDiv w:val="1"/>
      <w:marLeft w:val="0"/>
      <w:marRight w:val="0"/>
      <w:marTop w:val="0"/>
      <w:marBottom w:val="0"/>
      <w:divBdr>
        <w:top w:val="none" w:sz="0" w:space="0" w:color="auto"/>
        <w:left w:val="none" w:sz="0" w:space="0" w:color="auto"/>
        <w:bottom w:val="none" w:sz="0" w:space="0" w:color="auto"/>
        <w:right w:val="none" w:sz="0" w:space="0" w:color="auto"/>
      </w:divBdr>
    </w:div>
    <w:div w:id="1770277535">
      <w:bodyDiv w:val="1"/>
      <w:marLeft w:val="0"/>
      <w:marRight w:val="0"/>
      <w:marTop w:val="0"/>
      <w:marBottom w:val="0"/>
      <w:divBdr>
        <w:top w:val="none" w:sz="0" w:space="0" w:color="auto"/>
        <w:left w:val="none" w:sz="0" w:space="0" w:color="auto"/>
        <w:bottom w:val="none" w:sz="0" w:space="0" w:color="auto"/>
        <w:right w:val="none" w:sz="0" w:space="0" w:color="auto"/>
      </w:divBdr>
    </w:div>
    <w:div w:id="21209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5FE89C9-C75D-470C-BF4F-183C24A61B71}">
  <ds:schemaRefs>
    <ds:schemaRef ds:uri="http://schemas.openxmlformats.org/officeDocument/2006/bibliography"/>
  </ds:schemaRefs>
</ds:datastoreItem>
</file>

<file path=customXml/itemProps2.xml><?xml version="1.0" encoding="utf-8"?>
<ds:datastoreItem xmlns:ds="http://schemas.openxmlformats.org/officeDocument/2006/customXml" ds:itemID="{24A8FDB2-9B15-488F-8EA0-0C7A910D9A5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1</TotalTime>
  <Pages>3</Pages>
  <Words>1049</Words>
  <Characters>5984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Lam</dc:creator>
  <cp:lastModifiedBy>Natalie Maroki (DTF)</cp:lastModifiedBy>
  <cp:revision>2</cp:revision>
  <cp:lastPrinted>2016-06-07T06:12:00Z</cp:lastPrinted>
  <dcterms:created xsi:type="dcterms:W3CDTF">2022-04-28T02:46:00Z</dcterms:created>
  <dcterms:modified xsi:type="dcterms:W3CDTF">2022-04-28T02:46:00Z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0745118c-3b5b-4d59-9d85-6e3daa054494</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2022-04-28T02:45:54Z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be1b9033-96c5-4569-b567-1ad08376c833</vt:lpwstr>
  </property>
  <property fmtid="{D5CDD505-2E9C-101B-9397-08002B2CF9AE}" pid="10" name="MSIP_Label_7158ebbd-6c5e-441f-bfc9-4eb8c11e3978_ContentBits">
    <vt:lpwstr>2</vt:lpwstr>
  </property>
</Properties>
</file>