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TFtexttable"/>
        <w:tblW w:w="9237" w:type="dxa"/>
        <w:tblLayout w:type="fixed"/>
        <w:tblLook w:val="04A0" w:firstRow="1" w:lastRow="0" w:firstColumn="1" w:lastColumn="0" w:noHBand="0" w:noVBand="1"/>
      </w:tblPr>
      <w:tblGrid>
        <w:gridCol w:w="2293"/>
        <w:gridCol w:w="270"/>
        <w:gridCol w:w="540"/>
        <w:gridCol w:w="6134"/>
      </w:tblGrid>
      <w:tr w:rsidR="00493B55" w:rsidRPr="003C5E9F" w14:paraId="1F6F4CF9" w14:textId="77777777" w:rsidTr="00987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3" w:type="dxa"/>
          </w:tcPr>
          <w:p w14:paraId="4BE40450" w14:textId="48D6FD32" w:rsidR="00845688" w:rsidRPr="003C5E9F" w:rsidRDefault="00B00BF7" w:rsidP="00764A90">
            <w:pPr>
              <w:pStyle w:val="FRDNumber"/>
            </w:pPr>
            <w:r w:rsidRPr="002E50A4">
              <w:t>FRD</w:t>
            </w:r>
            <w:r w:rsidRPr="003C5E9F">
              <w:t xml:space="preserve"> </w:t>
            </w:r>
            <w:r>
              <w:t>100</w:t>
            </w:r>
          </w:p>
        </w:tc>
        <w:tc>
          <w:tcPr>
            <w:tcW w:w="270" w:type="dxa"/>
          </w:tcPr>
          <w:p w14:paraId="058651E0" w14:textId="77777777" w:rsidR="00845688" w:rsidRPr="00E43EFA" w:rsidRDefault="00845688" w:rsidP="00DE7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CFFA591" w14:textId="77777777" w:rsidR="00845688" w:rsidRPr="00E43EFA" w:rsidRDefault="00845688" w:rsidP="00DE77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34" w:type="dxa"/>
          </w:tcPr>
          <w:p w14:paraId="467F5F14" w14:textId="6729BD92" w:rsidR="00845688" w:rsidRPr="002E50A4" w:rsidRDefault="00B00BF7" w:rsidP="00764A90">
            <w:pPr>
              <w:pStyle w:val="FRDNumb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36C4">
              <w:t xml:space="preserve">Financial Reporting Directions – </w:t>
            </w:r>
            <w:r w:rsidR="00CE680A" w:rsidRPr="001936C4">
              <w:t>f</w:t>
            </w:r>
            <w:r w:rsidRPr="001936C4">
              <w:t>ramework</w:t>
            </w:r>
            <w:r>
              <w:t xml:space="preserve"> (</w:t>
            </w:r>
            <w:r w:rsidR="001C49C6">
              <w:t>April</w:t>
            </w:r>
            <w:r w:rsidR="00F77ED6">
              <w:t xml:space="preserve"> 20</w:t>
            </w:r>
            <w:r w:rsidR="001C49C6">
              <w:t>22</w:t>
            </w:r>
            <w:r>
              <w:t>)</w:t>
            </w:r>
          </w:p>
        </w:tc>
      </w:tr>
      <w:tr w:rsidR="00493B55" w:rsidRPr="00E10ADB" w14:paraId="13C702A5" w14:textId="77777777" w:rsidTr="0098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BE8A39C" w14:textId="77777777" w:rsidR="00845688" w:rsidRPr="008A601F" w:rsidRDefault="00845688" w:rsidP="00DE779D">
            <w:pPr>
              <w:pStyle w:val="Tabletext"/>
            </w:pPr>
          </w:p>
        </w:tc>
        <w:tc>
          <w:tcPr>
            <w:tcW w:w="270" w:type="dxa"/>
          </w:tcPr>
          <w:p w14:paraId="76D93F28" w14:textId="77777777" w:rsidR="00845688" w:rsidRPr="008A601F" w:rsidRDefault="00845688" w:rsidP="00DE7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0758D72C" w14:textId="77777777" w:rsidR="00845688" w:rsidRPr="008A601F" w:rsidRDefault="00845688" w:rsidP="00DE7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4" w:type="dxa"/>
          </w:tcPr>
          <w:p w14:paraId="76436D5A" w14:textId="77777777" w:rsidR="00845688" w:rsidRPr="008A601F" w:rsidRDefault="00845688" w:rsidP="00DE7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0BF7" w:rsidRPr="00E10ADB" w14:paraId="50C02A8C" w14:textId="77777777" w:rsidTr="00987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4BD2B9D" w14:textId="77777777" w:rsidR="00B00BF7" w:rsidRPr="008A601F" w:rsidRDefault="00B00BF7" w:rsidP="00764A90">
            <w:pPr>
              <w:pStyle w:val="Normalgrey"/>
            </w:pPr>
            <w:r>
              <w:t>Purpose</w:t>
            </w:r>
          </w:p>
        </w:tc>
        <w:tc>
          <w:tcPr>
            <w:tcW w:w="270" w:type="dxa"/>
          </w:tcPr>
          <w:p w14:paraId="783EFE4C" w14:textId="77777777" w:rsidR="00B00BF7" w:rsidRPr="008B517D" w:rsidRDefault="00B00BF7" w:rsidP="00764A90">
            <w:pPr>
              <w:pStyle w:val="Refnum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3AEA8C4" w14:textId="77777777" w:rsidR="00B00BF7" w:rsidRPr="008B517D" w:rsidRDefault="00B00BF7" w:rsidP="00764A90">
            <w:pPr>
              <w:pStyle w:val="Refnum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4" w:type="dxa"/>
          </w:tcPr>
          <w:p w14:paraId="7E8D241E" w14:textId="77777777" w:rsidR="00B00BF7" w:rsidRDefault="00B00BF7" w:rsidP="00987711">
            <w:pPr>
              <w:pStyle w:val="Normal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Financial </w:t>
            </w:r>
            <w:r w:rsidRPr="00987711">
              <w:t>Reporting</w:t>
            </w:r>
            <w:r>
              <w:t xml:space="preserve"> Directions aim to:</w:t>
            </w:r>
          </w:p>
          <w:p w14:paraId="07AF8697" w14:textId="77777777" w:rsidR="00B00BF7" w:rsidRDefault="00B00BF7" w:rsidP="00764A90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4A90">
              <w:t>prescribe</w:t>
            </w:r>
            <w:r w:rsidRPr="00EA78B7">
              <w:t xml:space="preserve"> the accounting treatment and disclosure of financial transactions in circumstances where there are choices in accounting treatment, or in the absence of guidance and/or requirements in existing accounting pronouncements; and</w:t>
            </w:r>
          </w:p>
          <w:p w14:paraId="73CB13B6" w14:textId="77777777" w:rsidR="00B00BF7" w:rsidRPr="00E43EFA" w:rsidRDefault="00B00BF7" w:rsidP="00987711">
            <w:pPr>
              <w:pStyle w:val="Bullet1grey"/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78B7">
              <w:t xml:space="preserve">achieve consistency and improved disclosure in financial reporting for Victorian </w:t>
            </w:r>
            <w:r w:rsidRPr="00987711">
              <w:t>public</w:t>
            </w:r>
            <w:r w:rsidRPr="00EA78B7">
              <w:t xml:space="preserve"> sector entities by eliminating and/or reducing divergence in accounting practices.</w:t>
            </w:r>
          </w:p>
        </w:tc>
      </w:tr>
      <w:tr w:rsidR="00B00BF7" w:rsidRPr="00E10ADB" w14:paraId="5350F8E6" w14:textId="77777777" w:rsidTr="0098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shd w:val="clear" w:color="auto" w:fill="F2F2F2" w:themeFill="background1" w:themeFillShade="F2"/>
          </w:tcPr>
          <w:p w14:paraId="772D1965" w14:textId="77777777" w:rsidR="00B00BF7" w:rsidRPr="00E10ADB" w:rsidRDefault="00B00BF7" w:rsidP="00764A90">
            <w:pPr>
              <w:pStyle w:val="Normalbold"/>
            </w:pPr>
            <w:r>
              <w:t xml:space="preserve">Application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18341E0C" w14:textId="77777777" w:rsidR="00B00BF7" w:rsidRPr="00493B55" w:rsidRDefault="00B00BF7" w:rsidP="00F77ED6">
            <w:pPr>
              <w:pStyle w:val="Refnum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2716AA2" w14:textId="77777777" w:rsidR="00B00BF7" w:rsidRPr="00472918" w:rsidRDefault="00B00BF7" w:rsidP="00F77ED6">
            <w:pPr>
              <w:pStyle w:val="Refnum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74148C22" w14:textId="77777777" w:rsidR="00B00BF7" w:rsidRPr="00E10ADB" w:rsidRDefault="00B00BF7" w:rsidP="00764A90">
            <w:pPr>
              <w:pStyle w:val="Normal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Financial Reporting Directions are applicable to all entities defined as either a public body or a department under section 3 of the </w:t>
            </w:r>
            <w:r w:rsidRPr="00B77686">
              <w:rPr>
                <w:i/>
              </w:rPr>
              <w:t xml:space="preserve">Financial Management </w:t>
            </w:r>
            <w:r w:rsidRPr="00F956AD">
              <w:rPr>
                <w:i/>
              </w:rPr>
              <w:t>Act 1994</w:t>
            </w:r>
            <w:r>
              <w:t>, unless otherwise stated.</w:t>
            </w:r>
          </w:p>
        </w:tc>
      </w:tr>
      <w:tr w:rsidR="00B00BF7" w:rsidRPr="00E10ADB" w14:paraId="2736A469" w14:textId="77777777" w:rsidTr="00987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shd w:val="clear" w:color="auto" w:fill="F2F2F2" w:themeFill="background1" w:themeFillShade="F2"/>
          </w:tcPr>
          <w:p w14:paraId="646975D4" w14:textId="77777777" w:rsidR="00B00BF7" w:rsidRPr="00E10ADB" w:rsidRDefault="00B00BF7" w:rsidP="00764A90">
            <w:pPr>
              <w:pStyle w:val="Normalbold"/>
            </w:pPr>
            <w:r>
              <w:t xml:space="preserve">Operative </w:t>
            </w:r>
            <w:r w:rsidR="00313C1A">
              <w:t>d</w:t>
            </w:r>
            <w:r>
              <w:t>ate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3CDA43E5" w14:textId="77777777" w:rsidR="00B00BF7" w:rsidRPr="00521483" w:rsidRDefault="00B00BF7" w:rsidP="00F77ED6">
            <w:pPr>
              <w:pStyle w:val="Refnum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C6B8807" w14:textId="77777777" w:rsidR="00B00BF7" w:rsidRPr="00472918" w:rsidRDefault="00B00BF7" w:rsidP="00F77ED6">
            <w:pPr>
              <w:pStyle w:val="Refnum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4E4BE344" w14:textId="77777777" w:rsidR="00B00BF7" w:rsidRDefault="00B00BF7" w:rsidP="00764A90">
            <w:pPr>
              <w:pStyle w:val="Normal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Financial Reporting Directions </w:t>
            </w:r>
            <w:r w:rsidR="00D02AE8">
              <w:t>shall</w:t>
            </w:r>
            <w:r>
              <w:t xml:space="preserve"> apply from the operative date as specified in the </w:t>
            </w:r>
            <w:r w:rsidR="000E2F07">
              <w:t>d</w:t>
            </w:r>
            <w:r>
              <w:t xml:space="preserve">irection. Transitional provisions, where necessary, </w:t>
            </w:r>
            <w:r w:rsidR="00D02AE8">
              <w:t>shall</w:t>
            </w:r>
            <w:r>
              <w:t xml:space="preserve"> also be specified in the </w:t>
            </w:r>
            <w:r w:rsidR="000E2F07">
              <w:t>d</w:t>
            </w:r>
            <w:r>
              <w:t>irection for the initial application of a Financial Reporting Direction.</w:t>
            </w:r>
          </w:p>
          <w:p w14:paraId="644E343B" w14:textId="6166A0FC" w:rsidR="00932D90" w:rsidRPr="00E10ADB" w:rsidRDefault="00932D90" w:rsidP="00764A90">
            <w:pPr>
              <w:pStyle w:val="Normalbol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2D90">
              <w:rPr>
                <w:i/>
                <w:iCs/>
              </w:rPr>
              <w:t>FRD 100A Financial Reporting Directions – framework</w:t>
            </w:r>
            <w:r>
              <w:t xml:space="preserve"> is renamed to </w:t>
            </w:r>
            <w:r w:rsidRPr="00932D90">
              <w:rPr>
                <w:i/>
                <w:iCs/>
              </w:rPr>
              <w:t>FRD 100 Financial Reporting Directions – framework</w:t>
            </w:r>
            <w:r>
              <w:t xml:space="preserve"> </w:t>
            </w:r>
            <w:r w:rsidRPr="00D53CCF">
              <w:t>effective 1 April 2022</w:t>
            </w:r>
            <w:r>
              <w:rPr>
                <w:i/>
                <w:iCs/>
              </w:rPr>
              <w:t>.</w:t>
            </w:r>
          </w:p>
        </w:tc>
      </w:tr>
      <w:tr w:rsidR="00FA22D0" w:rsidRPr="00E10ADB" w14:paraId="507A6B7C" w14:textId="77777777" w:rsidTr="0098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shd w:val="clear" w:color="auto" w:fill="F2F2F2" w:themeFill="background1" w:themeFillShade="F2"/>
          </w:tcPr>
          <w:p w14:paraId="764E15FA" w14:textId="77777777" w:rsidR="00FA22D0" w:rsidRDefault="00FA22D0" w:rsidP="00764A90">
            <w:pPr>
              <w:pStyle w:val="Normalbold"/>
            </w:pPr>
            <w:r>
              <w:t>Requirements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2CADFCC0" w14:textId="77777777" w:rsidR="00FA22D0" w:rsidRPr="00521483" w:rsidRDefault="00FA22D0" w:rsidP="00F77ED6">
            <w:pPr>
              <w:pStyle w:val="Refnum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9C61F01" w14:textId="77777777" w:rsidR="00FA22D0" w:rsidRPr="00472918" w:rsidRDefault="00FA22D0" w:rsidP="00F77ED6">
            <w:pPr>
              <w:pStyle w:val="Refnum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30A02741" w14:textId="77777777" w:rsidR="00FA22D0" w:rsidRPr="009A0F84" w:rsidRDefault="00FA22D0" w:rsidP="00764A90">
            <w:pPr>
              <w:pStyle w:val="Normal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0F84">
              <w:t xml:space="preserve">Compliance with </w:t>
            </w:r>
            <w:r w:rsidR="003777E3">
              <w:t>F</w:t>
            </w:r>
            <w:r w:rsidRPr="009A0F84">
              <w:t xml:space="preserve">inancial Reporting Directions is mandatory and </w:t>
            </w:r>
            <w:r>
              <w:t>shall</w:t>
            </w:r>
            <w:r w:rsidRPr="009A0F84">
              <w:t xml:space="preserve"> be consistently applied in the preparation and presentation of an entity’s annual report.</w:t>
            </w:r>
          </w:p>
          <w:p w14:paraId="0B0EC3CE" w14:textId="77777777" w:rsidR="00FA22D0" w:rsidRDefault="00FA22D0" w:rsidP="00764A90">
            <w:pPr>
              <w:pStyle w:val="Normal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24DE">
              <w:t xml:space="preserve">To assist users in identifying the areas for mandatory compliance, the directions presented in </w:t>
            </w:r>
            <w:r w:rsidR="00376B3C">
              <w:t xml:space="preserve">bold, </w:t>
            </w:r>
            <w:r w:rsidRPr="00E024DE">
              <w:t xml:space="preserve">black text shall be complied with, and </w:t>
            </w:r>
            <w:r w:rsidR="000F2A90">
              <w:t xml:space="preserve">grey </w:t>
            </w:r>
            <w:r w:rsidRPr="00E024DE">
              <w:t>text in grey are guidance in nature.</w:t>
            </w:r>
            <w:r w:rsidRPr="00E910E9">
              <w:t xml:space="preserve"> </w:t>
            </w:r>
          </w:p>
        </w:tc>
      </w:tr>
      <w:tr w:rsidR="00FA22D0" w:rsidRPr="00E10ADB" w14:paraId="3123A30B" w14:textId="77777777" w:rsidTr="00987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37A4FFD" w14:textId="77777777" w:rsidR="00FA22D0" w:rsidRPr="00E10ADB" w:rsidRDefault="00FA22D0" w:rsidP="00764A90">
            <w:pPr>
              <w:pStyle w:val="Normalgrey"/>
            </w:pPr>
            <w:r>
              <w:t xml:space="preserve">Relevant </w:t>
            </w:r>
            <w:r w:rsidR="00313C1A">
              <w:t>p</w:t>
            </w:r>
            <w:r>
              <w:t>ronouncements</w:t>
            </w:r>
          </w:p>
        </w:tc>
        <w:tc>
          <w:tcPr>
            <w:tcW w:w="270" w:type="dxa"/>
          </w:tcPr>
          <w:p w14:paraId="065B4B85" w14:textId="77777777" w:rsidR="00FA22D0" w:rsidRPr="008B517D" w:rsidRDefault="00FA22D0" w:rsidP="00987711">
            <w:pPr>
              <w:pStyle w:val="Refnum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776CE00A" w14:textId="77777777" w:rsidR="00FA22D0" w:rsidRPr="008B517D" w:rsidRDefault="00FA22D0" w:rsidP="00987711">
            <w:pPr>
              <w:pStyle w:val="Refnum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4" w:type="dxa"/>
          </w:tcPr>
          <w:p w14:paraId="26DBDEB7" w14:textId="77777777" w:rsidR="00FA22D0" w:rsidRDefault="00FA22D0" w:rsidP="00764A90">
            <w:pPr>
              <w:pStyle w:val="Normal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03FE8">
              <w:t>All Financial Reporting Directions adopt and apply Generally Accepted Accounting Principles (GAAP</w:t>
            </w:r>
            <w:r w:rsidRPr="00E718E6">
              <w:t xml:space="preserve">) terminology and meaning.  Financial Reporting Directions </w:t>
            </w:r>
            <w:r>
              <w:t>shall</w:t>
            </w:r>
            <w:r w:rsidRPr="00E718E6">
              <w:t xml:space="preserve"> be read and used in conjunction</w:t>
            </w:r>
            <w:r w:rsidRPr="00F03FE8">
              <w:t xml:space="preserve"> with:</w:t>
            </w:r>
          </w:p>
          <w:p w14:paraId="5BFBC85A" w14:textId="77777777" w:rsidR="00FA22D0" w:rsidRDefault="00FA22D0" w:rsidP="00E718E6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financial reporting requirements of the </w:t>
            </w:r>
            <w:r w:rsidRPr="00907B41">
              <w:rPr>
                <w:i/>
              </w:rPr>
              <w:t>Financial M</w:t>
            </w:r>
            <w:r w:rsidRPr="00EF3ACC">
              <w:rPr>
                <w:i/>
              </w:rPr>
              <w:t>anagement Act</w:t>
            </w:r>
            <w:r w:rsidR="00987711">
              <w:rPr>
                <w:i/>
              </w:rPr>
              <w:t> </w:t>
            </w:r>
            <w:r w:rsidRPr="00EF3ACC">
              <w:rPr>
                <w:i/>
              </w:rPr>
              <w:t>1994</w:t>
            </w:r>
            <w:r>
              <w:t xml:space="preserve">; </w:t>
            </w:r>
          </w:p>
          <w:p w14:paraId="65421589" w14:textId="77777777" w:rsidR="00FA22D0" w:rsidRDefault="00FA22D0" w:rsidP="00E718E6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pronouncements issued by the Australian Accounting Standards Board;</w:t>
            </w:r>
          </w:p>
          <w:p w14:paraId="334117BD" w14:textId="77777777" w:rsidR="00FA22D0" w:rsidRDefault="00FA22D0" w:rsidP="00E718E6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74E4">
              <w:rPr>
                <w:i/>
              </w:rPr>
              <w:t>Framework for the Preparation and Presentation of Financial Statements</w:t>
            </w:r>
            <w:r>
              <w:t>;</w:t>
            </w:r>
          </w:p>
          <w:p w14:paraId="633887DF" w14:textId="77777777" w:rsidR="00FA22D0" w:rsidRDefault="00FA22D0" w:rsidP="00E718E6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Equivalents to International Accounting Standards and Urgent Issues Group Interpretations in</w:t>
            </w:r>
            <w:r w:rsidR="00987711">
              <w:t>cluding those as listed in AASB </w:t>
            </w:r>
            <w:r>
              <w:t>1048;</w:t>
            </w:r>
          </w:p>
          <w:p w14:paraId="0AC16A87" w14:textId="77777777" w:rsidR="00FA22D0" w:rsidRDefault="00FA22D0" w:rsidP="00E718E6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pronouncements of other national accounting standard setting bodies that use a similar conceptual framework;</w:t>
            </w:r>
          </w:p>
          <w:p w14:paraId="392081D4" w14:textId="77777777" w:rsidR="00FA22D0" w:rsidRDefault="00FA22D0" w:rsidP="00E718E6">
            <w:pPr>
              <w:pStyle w:val="Bullet1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 accounting literature; and</w:t>
            </w:r>
          </w:p>
          <w:p w14:paraId="2F21721E" w14:textId="77777777" w:rsidR="00FA22D0" w:rsidRPr="00E10ADB" w:rsidRDefault="00FA22D0" w:rsidP="00987711">
            <w:pPr>
              <w:pStyle w:val="Bullet1grey"/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accepted industry practices to the extent that they do not conflict.</w:t>
            </w:r>
          </w:p>
        </w:tc>
      </w:tr>
      <w:tr w:rsidR="00FA22D0" w:rsidRPr="00E10ADB" w14:paraId="376A6940" w14:textId="77777777" w:rsidTr="0098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3F32B50A" w14:textId="77777777" w:rsidR="00FA22D0" w:rsidRPr="00AD048E" w:rsidRDefault="0029764D" w:rsidP="00764A90">
            <w:pPr>
              <w:pStyle w:val="Normalgrey"/>
            </w:pPr>
            <w:r w:rsidRPr="00AD048E">
              <w:lastRenderedPageBreak/>
              <w:t>Structure of the Financial Reporting Directions</w:t>
            </w:r>
          </w:p>
        </w:tc>
        <w:tc>
          <w:tcPr>
            <w:tcW w:w="270" w:type="dxa"/>
          </w:tcPr>
          <w:p w14:paraId="17580485" w14:textId="77777777" w:rsidR="00FA22D0" w:rsidRPr="008B517D" w:rsidRDefault="00FA22D0" w:rsidP="00987711">
            <w:pPr>
              <w:pStyle w:val="Refnum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26B22B86" w14:textId="77777777" w:rsidR="00FA22D0" w:rsidRPr="008B517D" w:rsidRDefault="00FA22D0" w:rsidP="00987711">
            <w:pPr>
              <w:pStyle w:val="Refnum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4" w:type="dxa"/>
          </w:tcPr>
          <w:p w14:paraId="1C3C78EA" w14:textId="77777777" w:rsidR="00FA22D0" w:rsidRPr="003818C8" w:rsidRDefault="00FA22D0" w:rsidP="00764A90">
            <w:pPr>
              <w:pStyle w:val="Normal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t xml:space="preserve">Where applicable, each FRD </w:t>
            </w:r>
            <w:r>
              <w:t>shall</w:t>
            </w:r>
            <w:r w:rsidRPr="00AD048E">
              <w:t xml:space="preserve"> contain </w:t>
            </w:r>
            <w:r w:rsidRPr="003F1B5F">
              <w:rPr>
                <w:b/>
              </w:rPr>
              <w:t>some</w:t>
            </w:r>
            <w:r w:rsidRPr="00AD048E">
              <w:t xml:space="preserve"> or </w:t>
            </w:r>
            <w:r w:rsidRPr="003F1B5F">
              <w:rPr>
                <w:b/>
              </w:rPr>
              <w:t>all</w:t>
            </w:r>
            <w:r w:rsidRPr="00AD048E">
              <w:t xml:space="preserve"> of the following </w:t>
            </w:r>
            <w:r w:rsidRPr="003818C8">
              <w:t>sections:</w:t>
            </w:r>
          </w:p>
          <w:p w14:paraId="56F77C8D" w14:textId="77777777" w:rsidR="00FA22D0" w:rsidRPr="003818C8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711">
              <w:rPr>
                <w:b/>
                <w:i/>
                <w:iCs/>
              </w:rPr>
              <w:t>Purpose</w:t>
            </w:r>
            <w:r w:rsidRPr="003818C8">
              <w:t xml:space="preserve"> (short description of objective/aim of FRD);</w:t>
            </w:r>
          </w:p>
          <w:p w14:paraId="6F721B5D" w14:textId="77777777" w:rsidR="00FA22D0" w:rsidRPr="003818C8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A7D">
              <w:rPr>
                <w:b/>
                <w:i/>
                <w:iCs/>
              </w:rPr>
              <w:t>Application</w:t>
            </w:r>
            <w:r w:rsidRPr="003818C8">
              <w:t xml:space="preserve"> (mandatory in nature – directs applicable entities);</w:t>
            </w:r>
          </w:p>
          <w:p w14:paraId="0790BF71" w14:textId="77777777" w:rsidR="00FA22D0" w:rsidRPr="00AD048E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A7D">
              <w:rPr>
                <w:b/>
                <w:i/>
                <w:iCs/>
              </w:rPr>
              <w:t>Requirements</w:t>
            </w:r>
            <w:r w:rsidRPr="00D26A7D">
              <w:rPr>
                <w:b/>
              </w:rPr>
              <w:t xml:space="preserve"> </w:t>
            </w:r>
            <w:r w:rsidRPr="003818C8">
              <w:t>(mandatory in nature – directs reporting</w:t>
            </w:r>
            <w:r w:rsidRPr="00AD048E">
              <w:t xml:space="preserve"> and disclosure requirements);</w:t>
            </w:r>
          </w:p>
          <w:p w14:paraId="570D00E1" w14:textId="77777777" w:rsidR="00FA22D0" w:rsidRPr="00AD048E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A7D">
              <w:rPr>
                <w:b/>
                <w:i/>
                <w:iCs/>
              </w:rPr>
              <w:t>Operative date</w:t>
            </w:r>
            <w:r w:rsidRPr="00AD048E">
              <w:t xml:space="preserve"> (mandatory in nature – directs applicable reporting periods and any legislative changes);</w:t>
            </w:r>
          </w:p>
          <w:p w14:paraId="28E7A5BC" w14:textId="77777777" w:rsidR="00FA22D0" w:rsidRPr="00AD048E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rPr>
                <w:i/>
                <w:iCs/>
              </w:rPr>
              <w:t>Definitions</w:t>
            </w:r>
            <w:r w:rsidRPr="00AD048E">
              <w:t xml:space="preserve"> (defines relevant terminology);</w:t>
            </w:r>
          </w:p>
          <w:p w14:paraId="59CDE9A6" w14:textId="77777777" w:rsidR="00FA22D0" w:rsidRPr="00AD048E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rPr>
                <w:i/>
                <w:iCs/>
              </w:rPr>
              <w:t>Guidance</w:t>
            </w:r>
            <w:r w:rsidRPr="00AD048E">
              <w:t xml:space="preserve"> (assists in compliance to promote consistency and best practice and serves to explain and clarify the underlying principles and objectives of the </w:t>
            </w:r>
            <w:r>
              <w:t>d</w:t>
            </w:r>
            <w:r w:rsidRPr="00AD048E">
              <w:t>irection and provide any relevant information to enable the user to interpret the requirements in the correct context);</w:t>
            </w:r>
          </w:p>
          <w:p w14:paraId="4B8962AA" w14:textId="77777777" w:rsidR="00FA22D0" w:rsidRPr="00AD048E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rPr>
                <w:i/>
                <w:iCs/>
              </w:rPr>
              <w:t>Relevant Pronouncement</w:t>
            </w:r>
            <w:r w:rsidRPr="00AD048E">
              <w:t xml:space="preserve">s (lists relevant authoritative accounting pronouncements); </w:t>
            </w:r>
          </w:p>
          <w:p w14:paraId="709AFA08" w14:textId="77777777" w:rsidR="00FA22D0" w:rsidRPr="00AD048E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rPr>
                <w:i/>
                <w:iCs/>
              </w:rPr>
              <w:t>Background</w:t>
            </w:r>
            <w:r w:rsidRPr="00AD048E">
              <w:t xml:space="preserve"> (this is an explanatory section, which seeks to provide the user with an understanding of the basis for conclusion and relevant previous history); and</w:t>
            </w:r>
          </w:p>
          <w:p w14:paraId="047702CA" w14:textId="77777777" w:rsidR="00FA22D0" w:rsidRDefault="00FA22D0" w:rsidP="001E6A5E">
            <w:pPr>
              <w:pStyle w:val="Listnum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rPr>
                <w:i/>
                <w:iCs/>
              </w:rPr>
              <w:t>Other headings</w:t>
            </w:r>
            <w:r w:rsidRPr="00AD048E">
              <w:t xml:space="preserve"> specific to the issue covered by the FRD.</w:t>
            </w:r>
            <w:r>
              <w:t xml:space="preserve"> </w:t>
            </w:r>
          </w:p>
          <w:p w14:paraId="64B2B8DA" w14:textId="77777777" w:rsidR="00FA22D0" w:rsidRPr="00E2009B" w:rsidRDefault="00FA22D0" w:rsidP="00764A90">
            <w:pPr>
              <w:pStyle w:val="Normal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48E">
              <w:t>An example of the structure of a</w:t>
            </w:r>
            <w:r>
              <w:t>n FRD is set out in Appendix A.</w:t>
            </w:r>
          </w:p>
        </w:tc>
      </w:tr>
      <w:tr w:rsidR="00932D90" w:rsidRPr="00E10ADB" w14:paraId="2586624D" w14:textId="77777777" w:rsidTr="00987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B12EB8C" w14:textId="1AEC8974" w:rsidR="00932D90" w:rsidRPr="00AD048E" w:rsidRDefault="00932D90" w:rsidP="00932D90">
            <w:pPr>
              <w:pStyle w:val="Normalgrey"/>
            </w:pPr>
            <w:r>
              <w:t>Background</w:t>
            </w:r>
          </w:p>
        </w:tc>
        <w:tc>
          <w:tcPr>
            <w:tcW w:w="270" w:type="dxa"/>
          </w:tcPr>
          <w:p w14:paraId="7FE34407" w14:textId="77777777" w:rsidR="00932D90" w:rsidRPr="008B517D" w:rsidRDefault="00932D90" w:rsidP="00932D90">
            <w:pPr>
              <w:pStyle w:val="Refnum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4CB5CF81" w14:textId="77777777" w:rsidR="00932D90" w:rsidRPr="008B517D" w:rsidRDefault="00932D90" w:rsidP="00932D90">
            <w:pPr>
              <w:pStyle w:val="Refnum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4" w:type="dxa"/>
          </w:tcPr>
          <w:p w14:paraId="75E67794" w14:textId="30E89FAE" w:rsidR="00932D90" w:rsidRPr="00AD048E" w:rsidRDefault="00932D90" w:rsidP="00932D90">
            <w:pPr>
              <w:pStyle w:val="Normalgre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5A0B">
              <w:t xml:space="preserve">Pursuant to section 8 of the </w:t>
            </w:r>
            <w:r w:rsidRPr="00AD048E">
              <w:rPr>
                <w:i/>
              </w:rPr>
              <w:t>Financial Management Act</w:t>
            </w:r>
            <w:r w:rsidRPr="00F95A0B">
              <w:t xml:space="preserve"> </w:t>
            </w:r>
            <w:r w:rsidRPr="00E718E6">
              <w:rPr>
                <w:i/>
              </w:rPr>
              <w:t>1994</w:t>
            </w:r>
            <w:r w:rsidRPr="00F95A0B">
              <w:t>,</w:t>
            </w:r>
            <w:r>
              <w:t xml:space="preserve"> </w:t>
            </w:r>
            <w:r w:rsidRPr="00F95A0B">
              <w:t xml:space="preserve">the Minister for Finance has the authority to issue </w:t>
            </w:r>
            <w:r>
              <w:t>d</w:t>
            </w:r>
            <w:r w:rsidRPr="00F95A0B">
              <w:t xml:space="preserve">irections in relation to financial administration issues.  Financial Reporting Directions are a form of these </w:t>
            </w:r>
            <w:r>
              <w:t>d</w:t>
            </w:r>
            <w:r w:rsidRPr="00F95A0B">
              <w:t>irections, which deal specifically with financial reporting issues for Victorian public sector entities.</w:t>
            </w:r>
          </w:p>
        </w:tc>
      </w:tr>
      <w:tr w:rsidR="001E6A5E" w:rsidRPr="00E10ADB" w14:paraId="7D6D79B3" w14:textId="77777777" w:rsidTr="00987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380C471C" w14:textId="77777777" w:rsidR="001E6A5E" w:rsidRDefault="001E6A5E" w:rsidP="00932D90">
            <w:pPr>
              <w:pStyle w:val="Normalgrey"/>
            </w:pPr>
          </w:p>
        </w:tc>
        <w:tc>
          <w:tcPr>
            <w:tcW w:w="270" w:type="dxa"/>
          </w:tcPr>
          <w:p w14:paraId="4A10D822" w14:textId="1D74B0AD" w:rsidR="001E6A5E" w:rsidRPr="008B517D" w:rsidRDefault="001E6A5E" w:rsidP="00932D90">
            <w:pPr>
              <w:pStyle w:val="Refnum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=</w:t>
            </w:r>
          </w:p>
        </w:tc>
        <w:tc>
          <w:tcPr>
            <w:tcW w:w="540" w:type="dxa"/>
          </w:tcPr>
          <w:p w14:paraId="03407DD3" w14:textId="0841918F" w:rsidR="001E6A5E" w:rsidRPr="008B517D" w:rsidRDefault="001E6A5E" w:rsidP="001E6A5E">
            <w:pPr>
              <w:pStyle w:val="Refnum2"/>
              <w:numPr>
                <w:ilvl w:val="0"/>
                <w:numId w:val="0"/>
              </w:numPr>
              <w:ind w:left="504" w:hanging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7.2</w:t>
            </w:r>
          </w:p>
        </w:tc>
        <w:tc>
          <w:tcPr>
            <w:tcW w:w="6134" w:type="dxa"/>
          </w:tcPr>
          <w:p w14:paraId="43264935" w14:textId="77777777" w:rsidR="001E6A5E" w:rsidRDefault="001E6A5E" w:rsidP="00932D90">
            <w:pPr>
              <w:pStyle w:val="Normal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FRD was revised in:</w:t>
            </w:r>
          </w:p>
          <w:p w14:paraId="5C27C996" w14:textId="4F2B1258" w:rsidR="001E6A5E" w:rsidRPr="00F95A0B" w:rsidRDefault="001E6A5E" w:rsidP="001E6A5E">
            <w:pPr>
              <w:pStyle w:val="Bullet1gre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2016 to remove the first-time adoption requirements, as they are no longer required. The ‘Model for Disclosure within Financial Report’ section was also removed as all disclosure illustrations of FRDs are included in the </w:t>
            </w:r>
            <w:r w:rsidRPr="00936094">
              <w:rPr>
                <w:i/>
              </w:rPr>
              <w:t>Model Report for Victorian Government Departments</w:t>
            </w:r>
            <w:r>
              <w:t>.</w:t>
            </w:r>
          </w:p>
        </w:tc>
      </w:tr>
    </w:tbl>
    <w:p w14:paraId="78DAB09B" w14:textId="77777777" w:rsidR="00B17502" w:rsidRDefault="00B17502" w:rsidP="00845688"/>
    <w:p w14:paraId="78B63021" w14:textId="77777777" w:rsidR="00987711" w:rsidRDefault="00987711">
      <w:pPr>
        <w:spacing w:before="0" w:after="200"/>
        <w:rPr>
          <w:rFonts w:asciiTheme="majorHAnsi" w:eastAsia="Calibri" w:hAnsiTheme="majorHAnsi" w:cstheme="majorBidi"/>
          <w:b/>
          <w:bCs/>
          <w:color w:val="000000" w:themeColor="text1"/>
          <w:spacing w:val="-1"/>
          <w:sz w:val="36"/>
          <w:szCs w:val="28"/>
        </w:rPr>
      </w:pPr>
      <w:r>
        <w:rPr>
          <w:rFonts w:eastAsia="Calibri"/>
        </w:rPr>
        <w:br w:type="page"/>
      </w:r>
    </w:p>
    <w:p w14:paraId="00614BB7" w14:textId="77777777" w:rsidR="00B00BF7" w:rsidRDefault="00B00BF7" w:rsidP="00743A9D">
      <w:pPr>
        <w:pStyle w:val="Heading1"/>
        <w:rPr>
          <w:rFonts w:eastAsia="Calibri"/>
        </w:rPr>
      </w:pPr>
      <w:r w:rsidRPr="00187808">
        <w:rPr>
          <w:rFonts w:eastAsia="Calibri"/>
        </w:rPr>
        <w:lastRenderedPageBreak/>
        <w:t>Appendix A</w:t>
      </w:r>
      <w:r w:rsidR="002024CB">
        <w:rPr>
          <w:rFonts w:eastAsia="Calibri"/>
        </w:rPr>
        <w:t xml:space="preserve"> </w:t>
      </w:r>
      <w:r w:rsidR="00743A9D">
        <w:rPr>
          <w:rFonts w:eastAsia="Calibri"/>
        </w:rPr>
        <w:t>–</w:t>
      </w:r>
      <w:r w:rsidR="002024CB">
        <w:rPr>
          <w:rFonts w:eastAsia="Calibri"/>
        </w:rPr>
        <w:t xml:space="preserve"> FRD </w:t>
      </w:r>
      <w:r w:rsidR="002024CB" w:rsidRPr="00743A9D">
        <w:t>template</w:t>
      </w:r>
    </w:p>
    <w:tbl>
      <w:tblPr>
        <w:tblStyle w:val="DTFtexttable"/>
        <w:tblW w:w="9237" w:type="dxa"/>
        <w:tblLayout w:type="fixed"/>
        <w:tblLook w:val="0620" w:firstRow="1" w:lastRow="0" w:firstColumn="0" w:lastColumn="0" w:noHBand="1" w:noVBand="1"/>
      </w:tblPr>
      <w:tblGrid>
        <w:gridCol w:w="2293"/>
        <w:gridCol w:w="270"/>
        <w:gridCol w:w="540"/>
        <w:gridCol w:w="6134"/>
      </w:tblGrid>
      <w:tr w:rsidR="00987711" w:rsidRPr="00231BD3" w14:paraId="4D87B2D0" w14:textId="77777777" w:rsidTr="00651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3" w:type="dxa"/>
          </w:tcPr>
          <w:p w14:paraId="2FA26A59" w14:textId="77777777" w:rsidR="00987711" w:rsidRPr="00231BD3" w:rsidRDefault="00987711" w:rsidP="006512EF">
            <w:pPr>
              <w:pStyle w:val="FRDNumber"/>
            </w:pPr>
            <w:r w:rsidRPr="00231BD3">
              <w:t>FRD #</w:t>
            </w:r>
          </w:p>
        </w:tc>
        <w:tc>
          <w:tcPr>
            <w:tcW w:w="270" w:type="dxa"/>
          </w:tcPr>
          <w:p w14:paraId="04D69B06" w14:textId="77777777" w:rsidR="00987711" w:rsidRPr="00231BD3" w:rsidRDefault="00987711" w:rsidP="006512EF"/>
        </w:tc>
        <w:tc>
          <w:tcPr>
            <w:tcW w:w="540" w:type="dxa"/>
          </w:tcPr>
          <w:p w14:paraId="3805EA01" w14:textId="77777777" w:rsidR="00987711" w:rsidRPr="00231BD3" w:rsidRDefault="00987711" w:rsidP="006512EF"/>
        </w:tc>
        <w:tc>
          <w:tcPr>
            <w:tcW w:w="6134" w:type="dxa"/>
          </w:tcPr>
          <w:p w14:paraId="55EF0460" w14:textId="77777777" w:rsidR="00987711" w:rsidRPr="00231BD3" w:rsidRDefault="00987711" w:rsidP="006512EF">
            <w:pPr>
              <w:pStyle w:val="FRDHeader"/>
            </w:pPr>
            <w:r w:rsidRPr="00231BD3">
              <w:t>FRD title</w:t>
            </w:r>
          </w:p>
        </w:tc>
      </w:tr>
      <w:tr w:rsidR="00987711" w:rsidRPr="00E10ADB" w14:paraId="485243E1" w14:textId="77777777" w:rsidTr="006512EF">
        <w:trPr>
          <w:trHeight w:hRule="exact" w:val="120"/>
        </w:trPr>
        <w:tc>
          <w:tcPr>
            <w:tcW w:w="2293" w:type="dxa"/>
          </w:tcPr>
          <w:p w14:paraId="69E3AA87" w14:textId="77777777" w:rsidR="00987711" w:rsidRPr="008A601F" w:rsidRDefault="00987711" w:rsidP="006512EF">
            <w:pPr>
              <w:pStyle w:val="Tabletext"/>
            </w:pPr>
          </w:p>
        </w:tc>
        <w:tc>
          <w:tcPr>
            <w:tcW w:w="270" w:type="dxa"/>
          </w:tcPr>
          <w:p w14:paraId="5E11FC7F" w14:textId="77777777" w:rsidR="00987711" w:rsidRPr="008A601F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73106CD9" w14:textId="77777777" w:rsidR="00987711" w:rsidRPr="008A601F" w:rsidRDefault="00987711" w:rsidP="006512EF"/>
        </w:tc>
        <w:tc>
          <w:tcPr>
            <w:tcW w:w="6134" w:type="dxa"/>
          </w:tcPr>
          <w:p w14:paraId="582CC36E" w14:textId="77777777" w:rsidR="00987711" w:rsidRPr="008A601F" w:rsidRDefault="00987711" w:rsidP="006512EF"/>
        </w:tc>
      </w:tr>
      <w:tr w:rsidR="00987711" w:rsidRPr="005828FE" w14:paraId="45B47A0C" w14:textId="77777777" w:rsidTr="006512EF">
        <w:tc>
          <w:tcPr>
            <w:tcW w:w="2293" w:type="dxa"/>
          </w:tcPr>
          <w:p w14:paraId="1702DE51" w14:textId="77777777" w:rsidR="00987711" w:rsidRPr="005828FE" w:rsidRDefault="00987711" w:rsidP="006512EF">
            <w:pPr>
              <w:pStyle w:val="Normalgrey"/>
            </w:pPr>
            <w:r w:rsidRPr="00764A90">
              <w:t>Purpose</w:t>
            </w:r>
          </w:p>
        </w:tc>
        <w:tc>
          <w:tcPr>
            <w:tcW w:w="270" w:type="dxa"/>
          </w:tcPr>
          <w:p w14:paraId="64177927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738FC20E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</w:tcPr>
          <w:p w14:paraId="6D147AB6" w14:textId="77777777" w:rsidR="00987711" w:rsidRPr="005828FE" w:rsidRDefault="00987711" w:rsidP="006512EF">
            <w:pPr>
              <w:pStyle w:val="Normalgrey"/>
            </w:pPr>
            <w:r w:rsidRPr="005828FE">
              <w:t>Add text here</w:t>
            </w:r>
          </w:p>
        </w:tc>
      </w:tr>
      <w:tr w:rsidR="00987711" w:rsidRPr="005828FE" w14:paraId="24647216" w14:textId="77777777" w:rsidTr="006512EF">
        <w:tc>
          <w:tcPr>
            <w:tcW w:w="2293" w:type="dxa"/>
            <w:shd w:val="clear" w:color="auto" w:fill="F2F2F2" w:themeFill="background1" w:themeFillShade="F2"/>
          </w:tcPr>
          <w:p w14:paraId="37BB07C9" w14:textId="77777777" w:rsidR="00987711" w:rsidRPr="005828FE" w:rsidRDefault="00987711" w:rsidP="006512EF">
            <w:pPr>
              <w:pStyle w:val="Normalbold"/>
            </w:pPr>
            <w:r w:rsidRPr="005828FE">
              <w:t>Application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1D26734D" w14:textId="77777777" w:rsidR="00987711" w:rsidRPr="008B2A17" w:rsidRDefault="00987711" w:rsidP="006512EF">
            <w:pPr>
              <w:pStyle w:val="Normal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7221D2C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22C616C6" w14:textId="77777777" w:rsidR="00987711" w:rsidRPr="005828FE" w:rsidRDefault="00987711" w:rsidP="006512EF">
            <w:pPr>
              <w:pStyle w:val="Normalbold"/>
            </w:pPr>
            <w:r w:rsidRPr="005828FE">
              <w:t>Add text here</w:t>
            </w:r>
          </w:p>
        </w:tc>
      </w:tr>
      <w:tr w:rsidR="00987711" w:rsidRPr="005828FE" w14:paraId="35CEF077" w14:textId="77777777" w:rsidTr="006512EF">
        <w:tc>
          <w:tcPr>
            <w:tcW w:w="2293" w:type="dxa"/>
            <w:shd w:val="clear" w:color="auto" w:fill="F2F2F2" w:themeFill="background1" w:themeFillShade="F2"/>
          </w:tcPr>
          <w:p w14:paraId="3C798CC2" w14:textId="77777777" w:rsidR="00987711" w:rsidRPr="005828FE" w:rsidRDefault="00987711" w:rsidP="006512EF">
            <w:pPr>
              <w:pStyle w:val="Normalbold"/>
            </w:pPr>
            <w:r w:rsidRPr="005828FE">
              <w:t>Operative date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1E19D55B" w14:textId="77777777" w:rsidR="00987711" w:rsidRPr="008B2A17" w:rsidRDefault="00987711" w:rsidP="006512EF">
            <w:pPr>
              <w:pStyle w:val="Normal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01AC698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7E419A72" w14:textId="77777777" w:rsidR="00987711" w:rsidRPr="005828FE" w:rsidRDefault="00987711" w:rsidP="006512EF">
            <w:pPr>
              <w:pStyle w:val="Normalbold"/>
            </w:pPr>
            <w:r w:rsidRPr="005828FE">
              <w:t>Add text here</w:t>
            </w:r>
          </w:p>
        </w:tc>
      </w:tr>
      <w:tr w:rsidR="00987711" w:rsidRPr="005828FE" w14:paraId="2CD4F6ED" w14:textId="77777777" w:rsidTr="006512EF">
        <w:tc>
          <w:tcPr>
            <w:tcW w:w="2293" w:type="dxa"/>
            <w:shd w:val="clear" w:color="auto" w:fill="F2F2F2" w:themeFill="background1" w:themeFillShade="F2"/>
          </w:tcPr>
          <w:p w14:paraId="5EEBD22E" w14:textId="77777777" w:rsidR="00987711" w:rsidRPr="005828FE" w:rsidRDefault="00987711" w:rsidP="006512EF">
            <w:pPr>
              <w:pStyle w:val="Normalbold"/>
            </w:pPr>
            <w:r w:rsidRPr="005828FE">
              <w:t>Requirement</w:t>
            </w:r>
            <w:r>
              <w:t>s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17EB1D75" w14:textId="77777777" w:rsidR="00987711" w:rsidRPr="008B2A17" w:rsidRDefault="00987711" w:rsidP="006512EF">
            <w:pPr>
              <w:pStyle w:val="Normalgrey"/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1D5D6D0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  <w:shd w:val="clear" w:color="auto" w:fill="F2F2F2" w:themeFill="background1" w:themeFillShade="F2"/>
          </w:tcPr>
          <w:p w14:paraId="739EC413" w14:textId="77777777" w:rsidR="00987711" w:rsidRPr="005828FE" w:rsidRDefault="00987711" w:rsidP="006512EF">
            <w:pPr>
              <w:pStyle w:val="Normalbold"/>
            </w:pPr>
            <w:r w:rsidRPr="005828FE">
              <w:t>Add text here</w:t>
            </w:r>
          </w:p>
        </w:tc>
      </w:tr>
      <w:tr w:rsidR="00987711" w:rsidRPr="005828FE" w14:paraId="69AFA22C" w14:textId="77777777" w:rsidTr="006512EF">
        <w:tc>
          <w:tcPr>
            <w:tcW w:w="2293" w:type="dxa"/>
          </w:tcPr>
          <w:p w14:paraId="0111BCD7" w14:textId="77777777" w:rsidR="00987711" w:rsidRPr="005828FE" w:rsidRDefault="00987711" w:rsidP="006512EF">
            <w:pPr>
              <w:pStyle w:val="Normalgrey"/>
            </w:pPr>
            <w:r w:rsidRPr="005828FE">
              <w:t>Definitions</w:t>
            </w:r>
          </w:p>
        </w:tc>
        <w:tc>
          <w:tcPr>
            <w:tcW w:w="270" w:type="dxa"/>
          </w:tcPr>
          <w:p w14:paraId="2086364F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57DE4300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</w:tcPr>
          <w:p w14:paraId="04BD353A" w14:textId="77777777" w:rsidR="00987711" w:rsidRPr="00E20142" w:rsidRDefault="00987711" w:rsidP="006512EF">
            <w:pPr>
              <w:pStyle w:val="Normalgrey"/>
            </w:pPr>
            <w:r w:rsidRPr="00E20142">
              <w:t>Add text here</w:t>
            </w:r>
          </w:p>
        </w:tc>
      </w:tr>
      <w:tr w:rsidR="00987711" w:rsidRPr="005828FE" w14:paraId="09B944D4" w14:textId="77777777" w:rsidTr="006512EF">
        <w:tc>
          <w:tcPr>
            <w:tcW w:w="2293" w:type="dxa"/>
          </w:tcPr>
          <w:p w14:paraId="11ED635B" w14:textId="77777777" w:rsidR="00987711" w:rsidRPr="005828FE" w:rsidRDefault="00987711" w:rsidP="006512EF">
            <w:pPr>
              <w:pStyle w:val="Normalgrey"/>
            </w:pPr>
            <w:r w:rsidRPr="005828FE">
              <w:t>Guidance</w:t>
            </w:r>
          </w:p>
        </w:tc>
        <w:tc>
          <w:tcPr>
            <w:tcW w:w="270" w:type="dxa"/>
          </w:tcPr>
          <w:p w14:paraId="5B0946B7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0DEABE37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</w:tcPr>
          <w:p w14:paraId="018FEE65" w14:textId="77777777" w:rsidR="00987711" w:rsidRPr="005828FE" w:rsidRDefault="00987711" w:rsidP="006512EF">
            <w:pPr>
              <w:pStyle w:val="Bullet1grey"/>
            </w:pPr>
            <w:r w:rsidRPr="00565CF3">
              <w:t>Add</w:t>
            </w:r>
            <w:r w:rsidRPr="005828FE">
              <w:t xml:space="preserve"> text here (or delete rows as </w:t>
            </w:r>
            <w:r w:rsidRPr="00565CF3">
              <w:t>necessary</w:t>
            </w:r>
            <w:r w:rsidRPr="005828FE">
              <w:t>)</w:t>
            </w:r>
          </w:p>
        </w:tc>
      </w:tr>
      <w:tr w:rsidR="00987711" w:rsidRPr="005828FE" w14:paraId="252C172C" w14:textId="77777777" w:rsidTr="006512EF">
        <w:tc>
          <w:tcPr>
            <w:tcW w:w="2293" w:type="dxa"/>
          </w:tcPr>
          <w:p w14:paraId="23922BF8" w14:textId="77777777" w:rsidR="00987711" w:rsidRPr="005828FE" w:rsidRDefault="00987711" w:rsidP="006512EF">
            <w:pPr>
              <w:pStyle w:val="Normalgrey"/>
            </w:pPr>
            <w:r w:rsidRPr="005828FE">
              <w:t>Relevant pronouncements</w:t>
            </w:r>
          </w:p>
        </w:tc>
        <w:tc>
          <w:tcPr>
            <w:tcW w:w="270" w:type="dxa"/>
          </w:tcPr>
          <w:p w14:paraId="39AD9BDA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5440D8B7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</w:tcPr>
          <w:p w14:paraId="56C6D6D2" w14:textId="77777777" w:rsidR="00987711" w:rsidRPr="005828FE" w:rsidRDefault="00987711" w:rsidP="006512EF">
            <w:pPr>
              <w:pStyle w:val="Bullet1grey"/>
            </w:pPr>
            <w:r w:rsidRPr="001302DE">
              <w:t>AASB # Title (Month Year)</w:t>
            </w:r>
          </w:p>
        </w:tc>
      </w:tr>
      <w:tr w:rsidR="00987711" w:rsidRPr="005828FE" w14:paraId="0FF9B0C4" w14:textId="77777777" w:rsidTr="006512EF">
        <w:tc>
          <w:tcPr>
            <w:tcW w:w="2293" w:type="dxa"/>
          </w:tcPr>
          <w:p w14:paraId="2781C781" w14:textId="77777777" w:rsidR="00987711" w:rsidRPr="005828FE" w:rsidRDefault="00987711" w:rsidP="006512EF">
            <w:pPr>
              <w:pStyle w:val="Normalgrey"/>
            </w:pPr>
            <w:r w:rsidRPr="005828FE">
              <w:t>Background</w:t>
            </w:r>
          </w:p>
        </w:tc>
        <w:tc>
          <w:tcPr>
            <w:tcW w:w="270" w:type="dxa"/>
          </w:tcPr>
          <w:p w14:paraId="38CF7582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09DBC74F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</w:tcPr>
          <w:p w14:paraId="4F79D553" w14:textId="77777777" w:rsidR="00987711" w:rsidRPr="005828FE" w:rsidRDefault="00987711" w:rsidP="006512EF">
            <w:pPr>
              <w:pStyle w:val="Bullet1grey"/>
            </w:pPr>
            <w:r w:rsidRPr="005828FE">
              <w:t>Add text here (or delete rows as necessary)</w:t>
            </w:r>
          </w:p>
        </w:tc>
      </w:tr>
      <w:tr w:rsidR="00987711" w:rsidRPr="005828FE" w14:paraId="5B04BDBB" w14:textId="77777777" w:rsidTr="006512EF">
        <w:tc>
          <w:tcPr>
            <w:tcW w:w="2293" w:type="dxa"/>
          </w:tcPr>
          <w:p w14:paraId="78FEF9FC" w14:textId="77777777" w:rsidR="00987711" w:rsidRPr="005828FE" w:rsidRDefault="00987711" w:rsidP="006512EF">
            <w:pPr>
              <w:pStyle w:val="Normalgrey"/>
            </w:pPr>
            <w:r w:rsidRPr="005828FE">
              <w:t>Any additional headings</w:t>
            </w:r>
          </w:p>
        </w:tc>
        <w:tc>
          <w:tcPr>
            <w:tcW w:w="270" w:type="dxa"/>
          </w:tcPr>
          <w:p w14:paraId="68C92DE2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540" w:type="dxa"/>
          </w:tcPr>
          <w:p w14:paraId="08F22254" w14:textId="77777777" w:rsidR="00987711" w:rsidRPr="005828FE" w:rsidRDefault="00987711" w:rsidP="006512EF">
            <w:pPr>
              <w:pStyle w:val="Normalgrey"/>
            </w:pPr>
          </w:p>
        </w:tc>
        <w:tc>
          <w:tcPr>
            <w:tcW w:w="6134" w:type="dxa"/>
          </w:tcPr>
          <w:p w14:paraId="4C1BA138" w14:textId="77777777" w:rsidR="00987711" w:rsidRPr="00382EE1" w:rsidRDefault="00987711" w:rsidP="006512EF">
            <w:pPr>
              <w:pStyle w:val="Normalgrey"/>
            </w:pPr>
            <w:r w:rsidRPr="005828FE">
              <w:t>Add text here</w:t>
            </w:r>
          </w:p>
        </w:tc>
      </w:tr>
    </w:tbl>
    <w:p w14:paraId="5FEF8759" w14:textId="77777777" w:rsidR="00987711" w:rsidRDefault="00987711" w:rsidP="00987711"/>
    <w:p w14:paraId="03284810" w14:textId="77777777" w:rsidR="00970A79" w:rsidRPr="00C67777" w:rsidRDefault="00970A79" w:rsidP="005D7B86"/>
    <w:sectPr w:rsidR="00970A79" w:rsidRPr="00C67777" w:rsidSect="00764A9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00" w:right="1440" w:bottom="1354" w:left="1440" w:header="46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FD15" w14:textId="77777777" w:rsidR="00EF61B8" w:rsidRDefault="00EF61B8" w:rsidP="00493B55">
      <w:pPr>
        <w:spacing w:before="0" w:after="0"/>
      </w:pPr>
      <w:r>
        <w:separator/>
      </w:r>
    </w:p>
  </w:endnote>
  <w:endnote w:type="continuationSeparator" w:id="0">
    <w:p w14:paraId="09ECF0F2" w14:textId="77777777" w:rsidR="00EF61B8" w:rsidRDefault="00EF61B8" w:rsidP="00493B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9AEA" w14:textId="4C9D45C7" w:rsidR="00764A90" w:rsidRDefault="00D42B9C" w:rsidP="00764A90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8AC1B4" wp14:editId="7735CD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1ec442b9633ee8b769be3d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75FE72" w14:textId="26F7D801" w:rsidR="00D42B9C" w:rsidRPr="00D42B9C" w:rsidRDefault="00D42B9C" w:rsidP="00D42B9C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D42B9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AC1B4" id="_x0000_t202" coordsize="21600,21600" o:spt="202" path="m,l,21600r21600,l21600,xe">
              <v:stroke joinstyle="miter"/>
              <v:path gradientshapeok="t" o:connecttype="rect"/>
            </v:shapetype>
            <v:shape id="MSIPCMd1ec442b9633ee8b769be3d7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Ju5l9G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5F75FE72" w14:textId="26F7D801" w:rsidR="00D42B9C" w:rsidRPr="00D42B9C" w:rsidRDefault="00D42B9C" w:rsidP="00D42B9C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D42B9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AEB9C8" w14:textId="1DF74C02" w:rsidR="00764A90" w:rsidRPr="005828FE" w:rsidRDefault="00764A90" w:rsidP="00764A90">
    <w:pPr>
      <w:pStyle w:val="Footer"/>
      <w:spacing w:before="0"/>
    </w:pPr>
    <w:r w:rsidRPr="005828FE">
      <w:rPr>
        <w:b/>
        <w:noProof w:val="0"/>
      </w:rPr>
      <w:fldChar w:fldCharType="begin"/>
    </w:r>
    <w:r w:rsidRPr="005828FE">
      <w:rPr>
        <w:b/>
      </w:rPr>
      <w:instrText xml:space="preserve"> StyleRef “FRD number” </w:instrText>
    </w:r>
    <w:r w:rsidRPr="005828FE">
      <w:rPr>
        <w:b/>
        <w:noProof w:val="0"/>
      </w:rPr>
      <w:fldChar w:fldCharType="separate"/>
    </w:r>
    <w:r w:rsidR="00637962">
      <w:rPr>
        <w:b/>
      </w:rPr>
      <w:t>FRD 100</w:t>
    </w:r>
    <w:r w:rsidRPr="005828FE">
      <w:rPr>
        <w:b/>
      </w:rPr>
      <w:fldChar w:fldCharType="end"/>
    </w:r>
    <w:r w:rsidRPr="005828FE">
      <w:rPr>
        <w:b/>
      </w:rPr>
      <w:t xml:space="preserve"> </w:t>
    </w:r>
    <w:r w:rsidRPr="006C78FB">
      <w:fldChar w:fldCharType="begin"/>
    </w:r>
    <w:r w:rsidRPr="006C78FB">
      <w:instrText xml:space="preserve"> StyleRef “FRD Header” </w:instrText>
    </w:r>
    <w:r w:rsidRPr="006C78FB">
      <w:fldChar w:fldCharType="separate"/>
    </w:r>
    <w:r w:rsidR="00637962">
      <w:t>FRD title</w:t>
    </w:r>
    <w:r w:rsidRPr="006C78FB">
      <w:fldChar w:fldCharType="end"/>
    </w:r>
    <w:r w:rsidRPr="00C022F9">
      <w:tab/>
    </w:r>
    <w:r w:rsidRPr="005828FE">
      <w:t xml:space="preserve">Page </w:t>
    </w:r>
    <w:r w:rsidRPr="005828FE">
      <w:rPr>
        <w:rStyle w:val="PageNumber"/>
      </w:rPr>
      <w:fldChar w:fldCharType="begin"/>
    </w:r>
    <w:r w:rsidRPr="005828FE">
      <w:rPr>
        <w:rStyle w:val="PageNumber"/>
      </w:rPr>
      <w:instrText xml:space="preserve"> Page </w:instrText>
    </w:r>
    <w:r w:rsidRPr="005828FE">
      <w:rPr>
        <w:rStyle w:val="PageNumber"/>
      </w:rPr>
      <w:fldChar w:fldCharType="separate"/>
    </w:r>
    <w:r w:rsidR="00F26399">
      <w:rPr>
        <w:rStyle w:val="PageNumber"/>
      </w:rPr>
      <w:t>2</w:t>
    </w:r>
    <w:r w:rsidRPr="005828F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8" w:type="dxa"/>
      <w:tblBorders>
        <w:bottom w:val="none" w:sz="0" w:space="0" w:color="auto"/>
      </w:tblBorders>
      <w:tblLayout w:type="fixed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548"/>
      <w:gridCol w:w="6700"/>
      <w:gridCol w:w="1570"/>
    </w:tblGrid>
    <w:tr w:rsidR="00493B55" w14:paraId="625DEA6B" w14:textId="77777777" w:rsidTr="00493B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48" w:type="dxa"/>
        </w:tcPr>
        <w:p w14:paraId="543FDF93" w14:textId="77777777" w:rsidR="00493B55" w:rsidRDefault="005E5EF8" w:rsidP="00493B55">
          <w:pPr>
            <w:pStyle w:val="Footer"/>
            <w:tabs>
              <w:tab w:val="clear" w:pos="9026"/>
            </w:tabs>
          </w:pPr>
          <w:r>
            <w:drawing>
              <wp:inline distT="0" distB="0" distL="0" distR="0" wp14:anchorId="6F819A57" wp14:editId="5A0AE0D5">
                <wp:extent cx="822960" cy="46634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GV_black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46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0" w:type="dxa"/>
        </w:tcPr>
        <w:p w14:paraId="3170F15B" w14:textId="77777777" w:rsidR="00493B55" w:rsidRDefault="00493B55" w:rsidP="00493B55">
          <w:pPr>
            <w:pStyle w:val="Footer"/>
            <w:tabs>
              <w:tab w:val="clear" w:pos="9026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fldChar w:fldCharType="begin"/>
          </w:r>
          <w:r>
            <w:instrText xml:space="preserve"> </w:instrText>
          </w:r>
          <w:r w:rsidRPr="00743D1A">
            <w:instrText>STYLEREF  "FRD Number"  \* MERGEFORMAT</w:instrText>
          </w:r>
          <w:r>
            <w:instrText xml:space="preserve"> </w:instrText>
          </w:r>
          <w:r>
            <w:fldChar w:fldCharType="separate"/>
          </w:r>
          <w:r w:rsidR="00CE680A">
            <w:t>FRD 100A</w:t>
          </w:r>
          <w:r>
            <w:fldChar w:fldCharType="end"/>
          </w:r>
          <w:r>
            <w:t xml:space="preserve"> </w:t>
          </w:r>
          <w:r w:rsidR="00987711">
            <w:fldChar w:fldCharType="begin"/>
          </w:r>
          <w:r w:rsidR="00987711">
            <w:instrText xml:space="preserve"> STYLEREF  "FRD Header" </w:instrText>
          </w:r>
          <w:r w:rsidR="00987711">
            <w:fldChar w:fldCharType="separate"/>
          </w:r>
          <w:r w:rsidR="00CE680A">
            <w:t>FRD title</w:t>
          </w:r>
          <w:r w:rsidR="00987711">
            <w:fldChar w:fldCharType="end"/>
          </w:r>
        </w:p>
      </w:tc>
      <w:tc>
        <w:tcPr>
          <w:tcW w:w="1570" w:type="dxa"/>
        </w:tcPr>
        <w:p w14:paraId="54E7F990" w14:textId="77777777" w:rsidR="00493B55" w:rsidRDefault="00493B55" w:rsidP="00493B55">
          <w:pPr>
            <w:pStyle w:val="Footer"/>
            <w:tabs>
              <w:tab w:val="clear" w:pos="9026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4A90">
            <w:t>1</w:t>
          </w:r>
          <w:r>
            <w:fldChar w:fldCharType="end"/>
          </w:r>
          <w:r>
            <w:t xml:space="preserve"> of </w:t>
          </w:r>
          <w:r w:rsidR="00987711">
            <w:fldChar w:fldCharType="begin"/>
          </w:r>
          <w:r w:rsidR="00987711">
            <w:instrText xml:space="preserve"> numpages </w:instrText>
          </w:r>
          <w:r w:rsidR="00987711">
            <w:fldChar w:fldCharType="separate"/>
          </w:r>
          <w:r w:rsidR="00CE680A">
            <w:t>3</w:t>
          </w:r>
          <w:r w:rsidR="00987711">
            <w:fldChar w:fldCharType="end"/>
          </w:r>
        </w:p>
      </w:tc>
    </w:tr>
  </w:tbl>
  <w:p w14:paraId="47F6F44C" w14:textId="77777777" w:rsidR="00493B55" w:rsidRDefault="00493B55" w:rsidP="00493B55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426A" w14:textId="77777777" w:rsidR="00EF61B8" w:rsidRDefault="00EF61B8" w:rsidP="00493B55">
      <w:pPr>
        <w:spacing w:before="0" w:after="0"/>
      </w:pPr>
      <w:r>
        <w:separator/>
      </w:r>
    </w:p>
  </w:footnote>
  <w:footnote w:type="continuationSeparator" w:id="0">
    <w:p w14:paraId="60BABD56" w14:textId="77777777" w:rsidR="00EF61B8" w:rsidRDefault="00EF61B8" w:rsidP="00493B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7A8E" w14:textId="77777777" w:rsidR="00764A90" w:rsidRPr="0041689E" w:rsidRDefault="00764A90" w:rsidP="00764A90">
    <w:pPr>
      <w:pStyle w:val="Header"/>
      <w:tabs>
        <w:tab w:val="clear" w:pos="9026"/>
      </w:tabs>
      <w:ind w:right="-694"/>
      <w:jc w:val="right"/>
    </w:pPr>
    <w:r>
      <w:rPr>
        <w:noProof/>
      </w:rPr>
      <w:drawing>
        <wp:inline distT="0" distB="0" distL="0" distR="0" wp14:anchorId="58B10D54" wp14:editId="1B593E0A">
          <wp:extent cx="813816" cy="466344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logo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6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B57B3" w14:textId="77777777" w:rsidR="00764A90" w:rsidRDefault="00764A90" w:rsidP="00764A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36C" w14:textId="77777777" w:rsidR="00CE6E53" w:rsidRPr="0041689E" w:rsidRDefault="00CE6E53" w:rsidP="00CE6E53">
    <w:pPr>
      <w:pStyle w:val="Header"/>
      <w:tabs>
        <w:tab w:val="clear" w:pos="9026"/>
      </w:tabs>
      <w:ind w:right="-694"/>
      <w:jc w:val="right"/>
    </w:pPr>
    <w:r>
      <w:rPr>
        <w:noProof/>
      </w:rPr>
      <w:drawing>
        <wp:inline distT="0" distB="0" distL="0" distR="0" wp14:anchorId="49ADB609" wp14:editId="282D5E26">
          <wp:extent cx="813816" cy="466344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logo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6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97505" w14:textId="77777777" w:rsidR="00CE6E53" w:rsidRDefault="00CE6E53" w:rsidP="00CE6E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78F"/>
    <w:multiLevelType w:val="hybridMultilevel"/>
    <w:tmpl w:val="EA80E36A"/>
    <w:lvl w:ilvl="0" w:tplc="106EB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C99"/>
    <w:multiLevelType w:val="hybridMultilevel"/>
    <w:tmpl w:val="85DA8F92"/>
    <w:lvl w:ilvl="0" w:tplc="695C59FE">
      <w:start w:val="1"/>
      <w:numFmt w:val="bullet"/>
      <w:lvlText w:val="·"/>
      <w:lvlJc w:val="left"/>
      <w:pPr>
        <w:ind w:left="12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D2375F0"/>
    <w:multiLevelType w:val="hybridMultilevel"/>
    <w:tmpl w:val="787CB63A"/>
    <w:lvl w:ilvl="0" w:tplc="15607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72EA"/>
    <w:multiLevelType w:val="hybridMultilevel"/>
    <w:tmpl w:val="3092DE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FFD"/>
    <w:multiLevelType w:val="multilevel"/>
    <w:tmpl w:val="0EA8B9BE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40234E"/>
    <w:multiLevelType w:val="hybridMultilevel"/>
    <w:tmpl w:val="55F6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11C2"/>
    <w:multiLevelType w:val="hybridMultilevel"/>
    <w:tmpl w:val="0742EA96"/>
    <w:lvl w:ilvl="0" w:tplc="12A0D8B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b w:val="0"/>
        <w:i w:val="0"/>
        <w:color w:val="595959"/>
        <w:sz w:val="20"/>
        <w:szCs w:val="20"/>
      </w:rPr>
    </w:lvl>
    <w:lvl w:ilvl="1" w:tplc="6AD4DBFC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6364A"/>
    <w:multiLevelType w:val="hybridMultilevel"/>
    <w:tmpl w:val="E7869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77F0"/>
    <w:multiLevelType w:val="hybridMultilevel"/>
    <w:tmpl w:val="07DC0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3A6A"/>
    <w:multiLevelType w:val="multilevel"/>
    <w:tmpl w:val="7B804CF0"/>
    <w:lvl w:ilvl="0">
      <w:start w:val="1"/>
      <w:numFmt w:val="bullet"/>
      <w:pStyle w:val="Bullet1grey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vanish w:val="0"/>
        <w:color w:val="auto"/>
        <w:sz w:val="18"/>
        <w:szCs w:val="18"/>
      </w:rPr>
    </w:lvl>
    <w:lvl w:ilvl="1">
      <w:start w:val="1"/>
      <w:numFmt w:val="bullet"/>
      <w:pStyle w:val="Bullet2grey"/>
      <w:lvlText w:val="–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vanish w:val="0"/>
        <w:color w:val="4D4D4D"/>
        <w:sz w:val="22"/>
      </w:rPr>
    </w:lvl>
    <w:lvl w:ilvl="3">
      <w:start w:val="1"/>
      <w:numFmt w:val="bullet"/>
      <w:lvlText w:val="–"/>
      <w:lvlJc w:val="left"/>
      <w:pPr>
        <w:tabs>
          <w:tab w:val="num" w:pos="1152"/>
        </w:tabs>
        <w:ind w:left="1152" w:hanging="288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0" w15:restartNumberingAfterBreak="0">
    <w:nsid w:val="4AC35A9B"/>
    <w:multiLevelType w:val="multilevel"/>
    <w:tmpl w:val="03925288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5757E3"/>
    <w:multiLevelType w:val="multilevel"/>
    <w:tmpl w:val="469E90F8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152"/>
        </w:tabs>
        <w:ind w:left="1080" w:hanging="288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2869"/>
        </w:tabs>
        <w:ind w:left="2869" w:hanging="709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77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86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89" w:hanging="703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98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06" w:hanging="708"/>
      </w:pPr>
    </w:lvl>
  </w:abstractNum>
  <w:abstractNum w:abstractNumId="12" w15:restartNumberingAfterBreak="0">
    <w:nsid w:val="4DD80DCD"/>
    <w:multiLevelType w:val="multilevel"/>
    <w:tmpl w:val="45E4B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  <w:rPr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77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86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89" w:hanging="703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98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06" w:hanging="708"/>
      </w:pPr>
    </w:lvl>
  </w:abstractNum>
  <w:abstractNum w:abstractNumId="13" w15:restartNumberingAfterBreak="0">
    <w:nsid w:val="5B175829"/>
    <w:multiLevelType w:val="hybridMultilevel"/>
    <w:tmpl w:val="AC7A39AE"/>
    <w:lvl w:ilvl="0" w:tplc="0882D9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5FC550F8"/>
    <w:multiLevelType w:val="multilevel"/>
    <w:tmpl w:val="65CA5EC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Letter"/>
      <w:lvlRestart w:val="1"/>
      <w:lvlText w:val="(%4)"/>
      <w:lvlJc w:val="left"/>
      <w:pPr>
        <w:ind w:left="360" w:hanging="360"/>
      </w:pPr>
      <w:rPr>
        <w:rFonts w:hint="default"/>
        <w:color w:val="5E5E5E"/>
      </w:rPr>
    </w:lvl>
    <w:lvl w:ilvl="4">
      <w:start w:val="1"/>
      <w:numFmt w:val="lowerRoman"/>
      <w:lvlText w:val="(%5)"/>
      <w:lvlJc w:val="left"/>
      <w:pPr>
        <w:ind w:left="720" w:hanging="360"/>
      </w:pPr>
      <w:rPr>
        <w:rFonts w:hint="default"/>
        <w:color w:val="5E5E5E"/>
      </w:rPr>
    </w:lvl>
    <w:lvl w:ilvl="5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color w:val="5E5E5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67A90637"/>
    <w:multiLevelType w:val="hybridMultilevel"/>
    <w:tmpl w:val="5E0C8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24D7"/>
    <w:multiLevelType w:val="multilevel"/>
    <w:tmpl w:val="C20CC0A6"/>
    <w:lvl w:ilvl="0">
      <w:start w:val="1"/>
      <w:numFmt w:val="decimal"/>
      <w:pStyle w:val="Refnum1"/>
      <w:suff w:val="nothing"/>
      <w:lvlText w:val="%1."/>
      <w:lvlJc w:val="left"/>
      <w:pPr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efnum2grey"/>
      <w:suff w:val="nothing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2F2F2" w:themeColor="background1" w:themeShade="F2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efnum2"/>
      <w:suff w:val="nothing"/>
      <w:lvlText w:val="%1.%3"/>
      <w:lvlJc w:val="left"/>
      <w:pPr>
        <w:ind w:left="50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80" w:hanging="576"/>
      </w:pPr>
      <w:rPr>
        <w:rFonts w:hint="default"/>
      </w:rPr>
    </w:lvl>
    <w:lvl w:ilvl="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C334F7"/>
    <w:multiLevelType w:val="multilevel"/>
    <w:tmpl w:val="E9D8919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FFFFFF" w:themeColor="background1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50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80" w:hanging="576"/>
      </w:pPr>
      <w:rPr>
        <w:rFonts w:hint="default"/>
      </w:rPr>
    </w:lvl>
    <w:lvl w:ilvl="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D44514"/>
    <w:multiLevelType w:val="multilevel"/>
    <w:tmpl w:val="827E8410"/>
    <w:lvl w:ilvl="0">
      <w:start w:val="1"/>
      <w:numFmt w:val="lowerLetter"/>
      <w:pStyle w:val="Listnum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"/>
        </w:tabs>
        <w:ind w:left="792" w:hanging="792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6"/>
  </w:num>
  <w:num w:numId="5">
    <w:abstractNumId w:val="0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5"/>
  </w:num>
  <w:num w:numId="15">
    <w:abstractNumId w:val="3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16"/>
    <w:lvlOverride w:ilvl="0">
      <w:lvl w:ilvl="0">
        <w:start w:val="1"/>
        <w:numFmt w:val="decimal"/>
        <w:pStyle w:val="Refnum1"/>
        <w:suff w:val="nothing"/>
        <w:lvlText w:val="%1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Refnum2grey"/>
        <w:suff w:val="nothing"/>
        <w:lvlText w:val="%2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2F2F2" w:themeColor="background1" w:themeShade="F2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Refnum2"/>
        <w:lvlText w:val="%1.%3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080" w:hanging="576"/>
        </w:pPr>
        <w:rPr>
          <w:rFonts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6"/>
    <w:lvlOverride w:ilvl="0">
      <w:lvl w:ilvl="0">
        <w:start w:val="1"/>
        <w:numFmt w:val="decimal"/>
        <w:pStyle w:val="Refnum1"/>
        <w:suff w:val="nothing"/>
        <w:lvlText w:val="%1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FFFFFF" w:themeColor="background1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Refnum2grey"/>
        <w:suff w:val="nothing"/>
        <w:lvlText w:val="%2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F2F2F2" w:themeColor="background1" w:themeShade="F2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Refnum2"/>
        <w:lvlText w:val="%1.%3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080" w:hanging="576"/>
        </w:pPr>
        <w:rPr>
          <w:rFonts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F7"/>
    <w:rsid w:val="0000060C"/>
    <w:rsid w:val="00006904"/>
    <w:rsid w:val="0005790D"/>
    <w:rsid w:val="00083CF0"/>
    <w:rsid w:val="00087CA2"/>
    <w:rsid w:val="000969EF"/>
    <w:rsid w:val="000B2B10"/>
    <w:rsid w:val="000E2F07"/>
    <w:rsid w:val="000F2A90"/>
    <w:rsid w:val="00144763"/>
    <w:rsid w:val="00187808"/>
    <w:rsid w:val="001B1CF5"/>
    <w:rsid w:val="001C47D2"/>
    <w:rsid w:val="001C49C6"/>
    <w:rsid w:val="001E6A5E"/>
    <w:rsid w:val="002024CB"/>
    <w:rsid w:val="00211B19"/>
    <w:rsid w:val="00213D08"/>
    <w:rsid w:val="002313D9"/>
    <w:rsid w:val="00231A10"/>
    <w:rsid w:val="00283E11"/>
    <w:rsid w:val="0029764D"/>
    <w:rsid w:val="002A034E"/>
    <w:rsid w:val="002A5B4B"/>
    <w:rsid w:val="002F3A16"/>
    <w:rsid w:val="00313C1A"/>
    <w:rsid w:val="00341A8F"/>
    <w:rsid w:val="00355FA3"/>
    <w:rsid w:val="00376B3C"/>
    <w:rsid w:val="00376C4B"/>
    <w:rsid w:val="003777E3"/>
    <w:rsid w:val="003A3FB2"/>
    <w:rsid w:val="003B0F23"/>
    <w:rsid w:val="003F1B5F"/>
    <w:rsid w:val="00407511"/>
    <w:rsid w:val="00484A58"/>
    <w:rsid w:val="00485BD7"/>
    <w:rsid w:val="00493B55"/>
    <w:rsid w:val="004C52A6"/>
    <w:rsid w:val="004D34D8"/>
    <w:rsid w:val="0051142B"/>
    <w:rsid w:val="00541D32"/>
    <w:rsid w:val="005610D4"/>
    <w:rsid w:val="005D2637"/>
    <w:rsid w:val="005D7B86"/>
    <w:rsid w:val="005E149B"/>
    <w:rsid w:val="005E5EF8"/>
    <w:rsid w:val="005F49D7"/>
    <w:rsid w:val="005F5085"/>
    <w:rsid w:val="00622869"/>
    <w:rsid w:val="00622EA6"/>
    <w:rsid w:val="00637962"/>
    <w:rsid w:val="00645860"/>
    <w:rsid w:val="00675CDF"/>
    <w:rsid w:val="00691E83"/>
    <w:rsid w:val="00701A1B"/>
    <w:rsid w:val="00743A9D"/>
    <w:rsid w:val="00761B87"/>
    <w:rsid w:val="00764A90"/>
    <w:rsid w:val="00764C7B"/>
    <w:rsid w:val="00765193"/>
    <w:rsid w:val="00810B92"/>
    <w:rsid w:val="008130E3"/>
    <w:rsid w:val="00845688"/>
    <w:rsid w:val="00850B56"/>
    <w:rsid w:val="0085379E"/>
    <w:rsid w:val="008774E4"/>
    <w:rsid w:val="00877C28"/>
    <w:rsid w:val="008B08DA"/>
    <w:rsid w:val="008B517D"/>
    <w:rsid w:val="008F4B7D"/>
    <w:rsid w:val="00932D90"/>
    <w:rsid w:val="00936094"/>
    <w:rsid w:val="00970A79"/>
    <w:rsid w:val="00987711"/>
    <w:rsid w:val="00A15381"/>
    <w:rsid w:val="00A33C5A"/>
    <w:rsid w:val="00A35D9D"/>
    <w:rsid w:val="00A410C7"/>
    <w:rsid w:val="00A6470C"/>
    <w:rsid w:val="00A743AA"/>
    <w:rsid w:val="00A82BF9"/>
    <w:rsid w:val="00A86E8D"/>
    <w:rsid w:val="00AC4CE3"/>
    <w:rsid w:val="00B00BF7"/>
    <w:rsid w:val="00B11B66"/>
    <w:rsid w:val="00B17502"/>
    <w:rsid w:val="00B27E72"/>
    <w:rsid w:val="00B72618"/>
    <w:rsid w:val="00B76982"/>
    <w:rsid w:val="00BA43D8"/>
    <w:rsid w:val="00BF5DDF"/>
    <w:rsid w:val="00C03C47"/>
    <w:rsid w:val="00C06FB2"/>
    <w:rsid w:val="00C24F83"/>
    <w:rsid w:val="00C67777"/>
    <w:rsid w:val="00C94EFF"/>
    <w:rsid w:val="00C97EE0"/>
    <w:rsid w:val="00CB2FFD"/>
    <w:rsid w:val="00CD1A5D"/>
    <w:rsid w:val="00CD2571"/>
    <w:rsid w:val="00CE680A"/>
    <w:rsid w:val="00CE6E53"/>
    <w:rsid w:val="00CE7079"/>
    <w:rsid w:val="00D02AE8"/>
    <w:rsid w:val="00D20634"/>
    <w:rsid w:val="00D26A7D"/>
    <w:rsid w:val="00D42B9C"/>
    <w:rsid w:val="00D74F30"/>
    <w:rsid w:val="00D87BF1"/>
    <w:rsid w:val="00DB47F7"/>
    <w:rsid w:val="00DD5265"/>
    <w:rsid w:val="00E024DE"/>
    <w:rsid w:val="00E910E9"/>
    <w:rsid w:val="00E97909"/>
    <w:rsid w:val="00EC3E3F"/>
    <w:rsid w:val="00EE7139"/>
    <w:rsid w:val="00EF3CE8"/>
    <w:rsid w:val="00EF61B8"/>
    <w:rsid w:val="00F0075F"/>
    <w:rsid w:val="00F06E38"/>
    <w:rsid w:val="00F26399"/>
    <w:rsid w:val="00F74FA7"/>
    <w:rsid w:val="00F77ED6"/>
    <w:rsid w:val="00FA22D0"/>
    <w:rsid w:val="00FC1965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CB0CA1"/>
  <w15:docId w15:val="{850F8541-73E2-4C5F-86A2-A2B91A9F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6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FB2"/>
    <w:pPr>
      <w:spacing w:before="160" w:after="100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uiPriority w:val="99"/>
    <w:rsid w:val="00CE6E53"/>
    <w:pPr>
      <w:keepNext/>
      <w:keepLines/>
      <w:spacing w:before="600" w:after="600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rsid w:val="00CE6E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CE6E5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qFormat/>
    <w:rsid w:val="00CE6E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6E53"/>
    <w:rPr>
      <w:rFonts w:asciiTheme="majorHAnsi" w:eastAsiaTheme="majorEastAsia" w:hAnsiTheme="majorHAnsi" w:cstheme="majorBidi"/>
      <w:b/>
      <w:bCs/>
      <w:color w:val="000000" w:themeColor="tex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CE6E53"/>
    <w:rPr>
      <w:rFonts w:asciiTheme="majorHAnsi" w:eastAsiaTheme="majorEastAsia" w:hAnsiTheme="majorHAnsi" w:cstheme="majorBidi"/>
      <w:b/>
      <w:bCs/>
      <w:color w:val="7F7F7F" w:themeColor="text1" w:themeTint="80"/>
      <w:spacing w:val="2"/>
      <w:sz w:val="28"/>
      <w:szCs w:val="26"/>
      <w:lang w:eastAsia="en-AU"/>
    </w:rPr>
  </w:style>
  <w:style w:type="paragraph" w:customStyle="1" w:styleId="Spacer">
    <w:name w:val="Spacer"/>
    <w:basedOn w:val="Normal"/>
    <w:uiPriority w:val="13"/>
    <w:qFormat/>
    <w:rsid w:val="00CE6E53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customStyle="1" w:styleId="Tabletextheading">
    <w:name w:val="Table text heading"/>
    <w:basedOn w:val="Normal"/>
    <w:link w:val="TabletextheadingChar"/>
    <w:uiPriority w:val="6"/>
    <w:qFormat/>
    <w:rsid w:val="00B27E72"/>
    <w:pPr>
      <w:jc w:val="right"/>
    </w:pPr>
    <w:rPr>
      <w:color w:val="F2F2F2" w:themeColor="background1" w:themeShade="F2"/>
    </w:rPr>
  </w:style>
  <w:style w:type="character" w:customStyle="1" w:styleId="TabletextheadingChar">
    <w:name w:val="Table text heading Char"/>
    <w:link w:val="Tabletextheading"/>
    <w:uiPriority w:val="6"/>
    <w:rsid w:val="00810B92"/>
    <w:rPr>
      <w:rFonts w:ascii="Calibri" w:eastAsia="Calibri" w:hAnsi="Calibri" w:cs="Times New Roman"/>
      <w:color w:val="F2F2F2" w:themeColor="background1" w:themeShade="F2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06FB2"/>
    <w:rPr>
      <w:rFonts w:asciiTheme="majorHAnsi" w:eastAsiaTheme="majorEastAsia" w:hAnsiTheme="majorHAnsi" w:cstheme="majorBidi"/>
      <w:b/>
      <w:bCs/>
      <w:color w:val="4F81BD" w:themeColor="accent1"/>
      <w:spacing w:val="2"/>
      <w:lang w:eastAsia="en-AU"/>
    </w:rPr>
  </w:style>
  <w:style w:type="paragraph" w:styleId="ListParagraph">
    <w:name w:val="List Paragraph"/>
    <w:basedOn w:val="Normal"/>
    <w:uiPriority w:val="34"/>
    <w:semiHidden/>
    <w:qFormat/>
    <w:rsid w:val="00A743AA"/>
    <w:pPr>
      <w:ind w:left="720"/>
      <w:contextualSpacing/>
    </w:pPr>
  </w:style>
  <w:style w:type="table" w:styleId="TableGrid">
    <w:name w:val="Table Grid"/>
    <w:basedOn w:val="TableNormal"/>
    <w:uiPriority w:val="59"/>
    <w:rsid w:val="00CE6E53"/>
    <w:pPr>
      <w:spacing w:before="20" w:after="20" w:line="240" w:lineRule="auto"/>
      <w:jc w:val="right"/>
    </w:pPr>
    <w:rPr>
      <w:spacing w:val="2"/>
      <w:sz w:val="17"/>
      <w:szCs w:val="21"/>
    </w:rPr>
    <w:tblPr>
      <w:tblStyleRowBandSize w:val="1"/>
      <w:tblStyleColBandSize w:val="1"/>
      <w:tblBorders>
        <w:bottom w:val="single" w:sz="12" w:space="0" w:color="4F81BD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4F81BD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4F81BD" w:themeColor="accent1"/>
          <w:left w:val="nil"/>
          <w:bottom w:val="single" w:sz="12" w:space="0" w:color="4F81BD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AF1DD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AF1DD" w:themeFill="accent3" w:themeFillTint="33"/>
      </w:tcPr>
    </w:tblStylePr>
  </w:style>
  <w:style w:type="paragraph" w:customStyle="1" w:styleId="Refnum1">
    <w:name w:val="Ref num 1"/>
    <w:basedOn w:val="Normal"/>
    <w:uiPriority w:val="7"/>
    <w:rsid w:val="00CE6E53"/>
    <w:pPr>
      <w:numPr>
        <w:numId w:val="19"/>
      </w:numPr>
      <w:spacing w:line="240" w:lineRule="auto"/>
    </w:pPr>
    <w:rPr>
      <w:rFonts w:eastAsia="Calibri" w:cs="Times New Roman"/>
      <w:color w:val="FFFFFF" w:themeColor="background1"/>
      <w:spacing w:val="0"/>
      <w:sz w:val="18"/>
      <w:szCs w:val="21"/>
      <w:lang w:eastAsia="en-US"/>
    </w:rPr>
  </w:style>
  <w:style w:type="paragraph" w:customStyle="1" w:styleId="Refnum2">
    <w:name w:val="Ref num 2"/>
    <w:basedOn w:val="Refnum1"/>
    <w:uiPriority w:val="7"/>
    <w:rsid w:val="00CE6E53"/>
    <w:pPr>
      <w:numPr>
        <w:ilvl w:val="2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CE6E5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text">
    <w:name w:val="Table text"/>
    <w:basedOn w:val="Normal"/>
    <w:uiPriority w:val="9"/>
    <w:qFormat/>
    <w:rsid w:val="00CE6E53"/>
    <w:pPr>
      <w:spacing w:before="60" w:after="60" w:line="264" w:lineRule="auto"/>
    </w:pPr>
    <w:rPr>
      <w:sz w:val="17"/>
    </w:rPr>
  </w:style>
  <w:style w:type="paragraph" w:customStyle="1" w:styleId="FRDHeader">
    <w:name w:val="FRD Header"/>
    <w:basedOn w:val="Normal"/>
    <w:semiHidden/>
    <w:rsid w:val="00CE6E53"/>
    <w:pPr>
      <w:spacing w:before="40" w:after="40" w:line="240" w:lineRule="auto"/>
    </w:pPr>
    <w:rPr>
      <w:rFonts w:eastAsia="Calibri" w:cs="Times New Roman"/>
      <w:color w:val="FFFFFF" w:themeColor="background1"/>
      <w:spacing w:val="0"/>
      <w:sz w:val="30"/>
      <w:szCs w:val="3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6E53"/>
    <w:rPr>
      <w:rFonts w:eastAsiaTheme="minorEastAsia"/>
      <w:spacing w:val="2"/>
      <w:sz w:val="20"/>
      <w:szCs w:val="20"/>
      <w:lang w:eastAsia="en-AU"/>
    </w:rPr>
  </w:style>
  <w:style w:type="paragraph" w:customStyle="1" w:styleId="FRDNumber">
    <w:name w:val="FRD Number"/>
    <w:basedOn w:val="FRDHeader"/>
    <w:semiHidden/>
    <w:rsid w:val="00CE6E53"/>
  </w:style>
  <w:style w:type="paragraph" w:customStyle="1" w:styleId="Normalgrey">
    <w:name w:val="Normal grey"/>
    <w:basedOn w:val="Normal"/>
    <w:uiPriority w:val="2"/>
    <w:unhideWhenUsed/>
    <w:qFormat/>
    <w:rsid w:val="00CE6E53"/>
    <w:pPr>
      <w:spacing w:line="264" w:lineRule="auto"/>
    </w:pPr>
    <w:rPr>
      <w:rFonts w:eastAsiaTheme="minorHAnsi"/>
      <w:color w:val="4D4D4D"/>
      <w:sz w:val="18"/>
      <w:szCs w:val="18"/>
      <w:lang w:eastAsia="en-US"/>
    </w:rPr>
  </w:style>
  <w:style w:type="paragraph" w:styleId="NormalIndent">
    <w:name w:val="Normal Indent"/>
    <w:basedOn w:val="Normal"/>
    <w:qFormat/>
    <w:rsid w:val="00CE6E53"/>
    <w:pPr>
      <w:spacing w:line="252" w:lineRule="auto"/>
      <w:ind w:left="792"/>
    </w:pPr>
  </w:style>
  <w:style w:type="paragraph" w:customStyle="1" w:styleId="Bullet1grey">
    <w:name w:val="Bullet 1 grey"/>
    <w:basedOn w:val="Normal"/>
    <w:uiPriority w:val="3"/>
    <w:unhideWhenUsed/>
    <w:qFormat/>
    <w:rsid w:val="00C06FB2"/>
    <w:pPr>
      <w:numPr>
        <w:numId w:val="16"/>
      </w:numPr>
      <w:spacing w:after="0" w:line="240" w:lineRule="auto"/>
      <w:contextualSpacing/>
    </w:pPr>
    <w:rPr>
      <w:rFonts w:eastAsia="Times New Roman" w:cs="Calibri"/>
      <w:color w:val="4D4D4D"/>
      <w:sz w:val="18"/>
      <w:szCs w:val="18"/>
      <w:lang w:eastAsia="en-US"/>
    </w:rPr>
  </w:style>
  <w:style w:type="paragraph" w:customStyle="1" w:styleId="Bullet2grey">
    <w:name w:val="Bullet 2 grey"/>
    <w:basedOn w:val="Normal"/>
    <w:uiPriority w:val="3"/>
    <w:qFormat/>
    <w:rsid w:val="00C06FB2"/>
    <w:pPr>
      <w:numPr>
        <w:ilvl w:val="1"/>
        <w:numId w:val="16"/>
      </w:numPr>
      <w:spacing w:before="0" w:after="0" w:line="240" w:lineRule="auto"/>
      <w:contextualSpacing/>
    </w:pPr>
    <w:rPr>
      <w:rFonts w:eastAsia="Times New Roman" w:cs="Calibri"/>
      <w:color w:val="4D4D4D"/>
      <w:sz w:val="18"/>
      <w:szCs w:val="21"/>
      <w:lang w:eastAsia="en-US"/>
    </w:rPr>
  </w:style>
  <w:style w:type="paragraph" w:styleId="Footer">
    <w:name w:val="footer"/>
    <w:basedOn w:val="Normal"/>
    <w:link w:val="FooterChar"/>
    <w:uiPriority w:val="24"/>
    <w:rsid w:val="00CE6E53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CE6E53"/>
    <w:rPr>
      <w:rFonts w:eastAsiaTheme="minorEastAsia"/>
      <w:noProof/>
      <w:spacing w:val="2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CE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53"/>
    <w:rPr>
      <w:rFonts w:ascii="Tahoma" w:eastAsiaTheme="minorEastAsia" w:hAnsi="Tahoma" w:cs="Tahoma"/>
      <w:spacing w:val="2"/>
      <w:sz w:val="16"/>
      <w:szCs w:val="16"/>
      <w:lang w:eastAsia="en-AU"/>
    </w:rPr>
  </w:style>
  <w:style w:type="paragraph" w:customStyle="1" w:styleId="Normalindentgrey">
    <w:name w:val="Normal indent grey"/>
    <w:basedOn w:val="Normalgrey"/>
    <w:uiPriority w:val="3"/>
    <w:unhideWhenUsed/>
    <w:qFormat/>
    <w:rsid w:val="003A3FB2"/>
    <w:pPr>
      <w:ind w:left="360"/>
    </w:pPr>
  </w:style>
  <w:style w:type="paragraph" w:styleId="Revision">
    <w:name w:val="Revision"/>
    <w:hidden/>
    <w:uiPriority w:val="99"/>
    <w:semiHidden/>
    <w:rsid w:val="00F77ED6"/>
    <w:pPr>
      <w:spacing w:after="0" w:line="240" w:lineRule="auto"/>
    </w:pPr>
    <w:rPr>
      <w:rFonts w:ascii="Calibri" w:eastAsia="Calibri" w:hAnsi="Calibri" w:cs="Times New Roman"/>
      <w:color w:val="000000" w:themeColor="text1"/>
      <w:szCs w:val="21"/>
    </w:rPr>
  </w:style>
  <w:style w:type="character" w:styleId="CommentReference">
    <w:name w:val="annotation reference"/>
    <w:basedOn w:val="DefaultParagraphFont"/>
    <w:uiPriority w:val="99"/>
    <w:semiHidden/>
    <w:rsid w:val="00C03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3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C47"/>
    <w:rPr>
      <w:rFonts w:ascii="Calibri" w:eastAsia="Calibri" w:hAnsi="Calibri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3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C47"/>
    <w:rPr>
      <w:rFonts w:ascii="Calibri" w:eastAsia="Calibri" w:hAnsi="Calibri" w:cs="Times New Roman"/>
      <w:b/>
      <w:bCs/>
      <w:color w:val="000000" w:themeColor="text1"/>
      <w:sz w:val="20"/>
      <w:szCs w:val="20"/>
    </w:rPr>
  </w:style>
  <w:style w:type="table" w:customStyle="1" w:styleId="DTFtexttable">
    <w:name w:val="DTF text table"/>
    <w:basedOn w:val="TableGrid"/>
    <w:uiPriority w:val="99"/>
    <w:rsid w:val="00CE6E53"/>
    <w:pPr>
      <w:spacing w:before="30" w:after="30" w:line="264" w:lineRule="auto"/>
      <w:jc w:val="left"/>
    </w:pPr>
    <w:rPr>
      <w:sz w:val="18"/>
    </w:rPr>
    <w:tblPr>
      <w:tblBorders>
        <w:bottom w:val="single" w:sz="12" w:space="0" w:color="auto"/>
      </w:tblBorders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4F81BD" w:themeColor="accent1"/>
          <w:left w:val="nil"/>
          <w:bottom w:val="single" w:sz="12" w:space="0" w:color="4F81BD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ormalbold">
    <w:name w:val="Normal bold"/>
    <w:basedOn w:val="Normal"/>
    <w:qFormat/>
    <w:rsid w:val="00CE6E53"/>
    <w:pPr>
      <w:spacing w:line="264" w:lineRule="auto"/>
    </w:pPr>
    <w:rPr>
      <w:rFonts w:eastAsiaTheme="minorHAnsi"/>
      <w:b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E6E53"/>
    <w:rPr>
      <w:rFonts w:asciiTheme="majorHAnsi" w:eastAsiaTheme="majorEastAsia" w:hAnsiTheme="majorHAnsi" w:cstheme="majorBidi"/>
      <w:b/>
      <w:bCs/>
      <w:iCs/>
      <w:color w:val="53565A"/>
      <w:spacing w:val="2"/>
      <w:sz w:val="20"/>
      <w:szCs w:val="20"/>
      <w:lang w:eastAsia="en-AU"/>
    </w:rPr>
  </w:style>
  <w:style w:type="table" w:styleId="LightShading">
    <w:name w:val="Light Shading"/>
    <w:basedOn w:val="TableNormal"/>
    <w:uiPriority w:val="60"/>
    <w:rsid w:val="00CE6E53"/>
    <w:pPr>
      <w:spacing w:after="0" w:line="240" w:lineRule="auto"/>
    </w:pPr>
    <w:rPr>
      <w:rFonts w:eastAsiaTheme="minorEastAsia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CE6E53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CE6E53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CE6E53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CE6E53"/>
    <w:pPr>
      <w:tabs>
        <w:tab w:val="right" w:leader="dot" w:pos="9000"/>
      </w:tabs>
      <w:spacing w:after="100"/>
      <w:ind w:left="446" w:right="432"/>
      <w:contextualSpacing/>
    </w:pPr>
    <w:rPr>
      <w:rFonts w:eastAsiaTheme="minorEastAsia"/>
      <w:noProof/>
      <w:spacing w:val="2"/>
      <w:sz w:val="20"/>
      <w:szCs w:val="20"/>
      <w:lang w:eastAsia="en-AU"/>
    </w:rPr>
  </w:style>
  <w:style w:type="paragraph" w:styleId="TOC3">
    <w:name w:val="toc 3"/>
    <w:basedOn w:val="Normal"/>
    <w:next w:val="Normal"/>
    <w:uiPriority w:val="39"/>
    <w:rsid w:val="00CE6E53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CE6E53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CE6E53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C06FB2"/>
    <w:rPr>
      <w:color w:val="7F7F7F" w:themeColor="text1" w:themeTint="80"/>
      <w:u w:val="none"/>
    </w:rPr>
  </w:style>
  <w:style w:type="paragraph" w:customStyle="1" w:styleId="Heading1numbered">
    <w:name w:val="Heading 1 numbered"/>
    <w:basedOn w:val="Heading1"/>
    <w:next w:val="NormalIndent"/>
    <w:uiPriority w:val="4"/>
    <w:semiHidden/>
    <w:qFormat/>
    <w:rsid w:val="00CE6E53"/>
    <w:pPr>
      <w:numPr>
        <w:ilvl w:val="2"/>
        <w:numId w:val="17"/>
      </w:numPr>
    </w:pPr>
  </w:style>
  <w:style w:type="paragraph" w:customStyle="1" w:styleId="Heading2numbered">
    <w:name w:val="Heading 2 numbered"/>
    <w:basedOn w:val="Heading2"/>
    <w:next w:val="NormalIndent"/>
    <w:uiPriority w:val="4"/>
    <w:semiHidden/>
    <w:qFormat/>
    <w:rsid w:val="00CE6E53"/>
    <w:pPr>
      <w:numPr>
        <w:ilvl w:val="3"/>
        <w:numId w:val="17"/>
      </w:numPr>
    </w:pPr>
  </w:style>
  <w:style w:type="paragraph" w:customStyle="1" w:styleId="Heading3numbered">
    <w:name w:val="Heading 3 numbered"/>
    <w:basedOn w:val="Heading3"/>
    <w:next w:val="NormalIndent"/>
    <w:uiPriority w:val="4"/>
    <w:semiHidden/>
    <w:qFormat/>
    <w:rsid w:val="00CE6E53"/>
    <w:pPr>
      <w:numPr>
        <w:ilvl w:val="4"/>
        <w:numId w:val="17"/>
      </w:numPr>
    </w:pPr>
  </w:style>
  <w:style w:type="paragraph" w:customStyle="1" w:styleId="Heading4numbered">
    <w:name w:val="Heading 4 numbered"/>
    <w:basedOn w:val="Heading4"/>
    <w:next w:val="NormalIndent"/>
    <w:uiPriority w:val="4"/>
    <w:semiHidden/>
    <w:qFormat/>
    <w:rsid w:val="00CE6E53"/>
    <w:pPr>
      <w:numPr>
        <w:ilvl w:val="5"/>
        <w:numId w:val="17"/>
      </w:numPr>
    </w:pPr>
  </w:style>
  <w:style w:type="paragraph" w:customStyle="1" w:styleId="NoteNormal">
    <w:name w:val="Note Normal"/>
    <w:basedOn w:val="Normal"/>
    <w:uiPriority w:val="49"/>
    <w:rsid w:val="00CE6E53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styleId="Subtitle">
    <w:name w:val="Subtitle"/>
    <w:link w:val="SubtitleChar"/>
    <w:uiPriority w:val="99"/>
    <w:semiHidden/>
    <w:rsid w:val="00CE6E53"/>
    <w:pPr>
      <w:spacing w:after="0" w:line="440" w:lineRule="exact"/>
    </w:pPr>
    <w:rPr>
      <w:rFonts w:asciiTheme="majorHAnsi" w:eastAsia="Times New Roman" w:hAnsiTheme="majorHAnsi" w:cstheme="majorHAnsi"/>
      <w:color w:val="4F81BD" w:themeColor="accent1"/>
      <w:spacing w:val="-2"/>
      <w:sz w:val="4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CE6E53"/>
    <w:rPr>
      <w:rFonts w:asciiTheme="majorHAnsi" w:eastAsia="Times New Roman" w:hAnsiTheme="majorHAnsi" w:cstheme="majorHAnsi"/>
      <w:color w:val="4F81BD" w:themeColor="accent1"/>
      <w:spacing w:val="-2"/>
      <w:sz w:val="40"/>
      <w:szCs w:val="24"/>
      <w:lang w:eastAsia="en-AU"/>
    </w:rPr>
  </w:style>
  <w:style w:type="paragraph" w:customStyle="1" w:styleId="TertiaryTitle">
    <w:name w:val="Tertiary Title"/>
    <w:next w:val="Normal"/>
    <w:uiPriority w:val="99"/>
    <w:semiHidden/>
    <w:rsid w:val="00CE6E53"/>
    <w:pPr>
      <w:spacing w:after="0" w:line="440" w:lineRule="exact"/>
    </w:pPr>
    <w:rPr>
      <w:rFonts w:asciiTheme="majorHAnsi" w:eastAsia="Times New Roman" w:hAnsiTheme="majorHAnsi" w:cstheme="majorHAnsi"/>
      <w:color w:val="4F81BD" w:themeColor="accent1"/>
      <w:spacing w:val="-2"/>
      <w:sz w:val="36"/>
      <w:szCs w:val="40"/>
    </w:rPr>
  </w:style>
  <w:style w:type="paragraph" w:styleId="Title">
    <w:name w:val="Title"/>
    <w:link w:val="TitleChar"/>
    <w:uiPriority w:val="99"/>
    <w:semiHidden/>
    <w:rsid w:val="00CE6E53"/>
    <w:pPr>
      <w:spacing w:after="300" w:line="252" w:lineRule="auto"/>
    </w:pPr>
    <w:rPr>
      <w:rFonts w:asciiTheme="majorHAnsi" w:eastAsia="Times New Roman" w:hAnsiTheme="majorHAnsi" w:cstheme="majorHAnsi"/>
      <w:b/>
      <w:color w:val="4F81BD" w:themeColor="accent1"/>
      <w:spacing w:val="-2"/>
      <w:sz w:val="6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E6E53"/>
    <w:rPr>
      <w:rFonts w:asciiTheme="majorHAnsi" w:eastAsia="Times New Roman" w:hAnsiTheme="majorHAnsi" w:cstheme="majorHAnsi"/>
      <w:b/>
      <w:color w:val="4F81BD" w:themeColor="accent1"/>
      <w:spacing w:val="-2"/>
      <w:sz w:val="60"/>
      <w:lang w:eastAsia="en-AU"/>
    </w:rPr>
  </w:style>
  <w:style w:type="paragraph" w:styleId="IndexHeading">
    <w:name w:val="index heading"/>
    <w:basedOn w:val="Normal"/>
    <w:next w:val="Index1"/>
    <w:uiPriority w:val="99"/>
    <w:semiHidden/>
    <w:rsid w:val="00CE6E53"/>
    <w:rPr>
      <w:rFonts w:asciiTheme="majorHAnsi" w:eastAsiaTheme="majorEastAsia" w:hAnsiTheme="majorHAnsi" w:cstheme="majorBidi"/>
      <w:b/>
      <w:bCs/>
    </w:rPr>
  </w:style>
  <w:style w:type="character" w:styleId="PageNumber">
    <w:name w:val="page number"/>
    <w:uiPriority w:val="49"/>
    <w:semiHidden/>
    <w:rsid w:val="00CE6E5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rsid w:val="00CE6E53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CE6E53"/>
    <w:pPr>
      <w:spacing w:after="0" w:line="240" w:lineRule="auto"/>
      <w:ind w:right="2366"/>
    </w:pPr>
    <w:rPr>
      <w:rFonts w:eastAsia="Times New Roman" w:cs="Calibri"/>
      <w:sz w:val="18"/>
      <w:szCs w:val="19"/>
    </w:rPr>
  </w:style>
  <w:style w:type="paragraph" w:styleId="BodyText">
    <w:name w:val="Body Text"/>
    <w:basedOn w:val="Normal"/>
    <w:link w:val="BodyTextChar"/>
    <w:uiPriority w:val="49"/>
    <w:semiHidden/>
    <w:rsid w:val="00CE6E53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CE6E53"/>
    <w:rPr>
      <w:rFonts w:ascii="Calibri" w:eastAsia="Times New Roman" w:hAnsi="Calibri" w:cs="Calibri"/>
      <w:lang w:eastAsia="en-AU"/>
    </w:rPr>
  </w:style>
  <w:style w:type="paragraph" w:customStyle="1" w:styleId="Insidecoverspacer">
    <w:name w:val="Inside cover spacer"/>
    <w:basedOn w:val="NormalTight"/>
    <w:uiPriority w:val="99"/>
    <w:semiHidden/>
    <w:qFormat/>
    <w:rsid w:val="00CE6E53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semiHidden/>
    <w:rsid w:val="00CE6E53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CE6E53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CE6E53"/>
    <w:pPr>
      <w:ind w:left="1800" w:hanging="720"/>
    </w:pPr>
    <w:rPr>
      <w:lang w:eastAsia="en-US"/>
    </w:rPr>
  </w:style>
  <w:style w:type="table" w:customStyle="1" w:styleId="DTFfinancialtable">
    <w:name w:val="DTF financial table"/>
    <w:basedOn w:val="TableGrid"/>
    <w:uiPriority w:val="99"/>
    <w:rsid w:val="00CE6E53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4F81BD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4F81BD" w:themeColor="accent1"/>
          <w:left w:val="nil"/>
          <w:bottom w:val="single" w:sz="12" w:space="0" w:color="4F81BD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AF1DD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AF1DD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right">
    <w:name w:val="Table text right"/>
    <w:basedOn w:val="Tabletext"/>
    <w:uiPriority w:val="8"/>
    <w:qFormat/>
    <w:rsid w:val="00CE6E53"/>
    <w:pPr>
      <w:jc w:val="right"/>
    </w:pPr>
  </w:style>
  <w:style w:type="paragraph" w:customStyle="1" w:styleId="Listnum">
    <w:name w:val="List num"/>
    <w:basedOn w:val="Normal"/>
    <w:uiPriority w:val="1"/>
    <w:qFormat/>
    <w:rsid w:val="00CE6E53"/>
    <w:pPr>
      <w:numPr>
        <w:numId w:val="17"/>
      </w:numPr>
      <w:contextualSpacing/>
    </w:pPr>
    <w:rPr>
      <w:sz w:val="18"/>
    </w:rPr>
  </w:style>
  <w:style w:type="paragraph" w:customStyle="1" w:styleId="Listnum2">
    <w:name w:val="List num 2"/>
    <w:basedOn w:val="Normal"/>
    <w:uiPriority w:val="1"/>
    <w:qFormat/>
    <w:rsid w:val="00CE6E53"/>
    <w:pPr>
      <w:numPr>
        <w:ilvl w:val="1"/>
        <w:numId w:val="17"/>
      </w:numPr>
      <w:contextualSpacing/>
    </w:pPr>
    <w:rPr>
      <w:sz w:val="18"/>
    </w:rPr>
  </w:style>
  <w:style w:type="paragraph" w:customStyle="1" w:styleId="Tabletextcentred">
    <w:name w:val="Table text centred"/>
    <w:basedOn w:val="Tabletext"/>
    <w:uiPriority w:val="8"/>
    <w:qFormat/>
    <w:rsid w:val="00CE6E53"/>
    <w:pPr>
      <w:jc w:val="center"/>
    </w:pPr>
  </w:style>
  <w:style w:type="paragraph" w:customStyle="1" w:styleId="Tableheader">
    <w:name w:val="Table header"/>
    <w:basedOn w:val="Tabletext"/>
    <w:uiPriority w:val="8"/>
    <w:qFormat/>
    <w:rsid w:val="00CE6E53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9"/>
    <w:rsid w:val="00CE6E53"/>
    <w:pPr>
      <w:numPr>
        <w:numId w:val="18"/>
      </w:numPr>
    </w:pPr>
  </w:style>
  <w:style w:type="paragraph" w:customStyle="1" w:styleId="Tabledash">
    <w:name w:val="Table dash"/>
    <w:basedOn w:val="Tablebullet"/>
    <w:uiPriority w:val="9"/>
    <w:rsid w:val="00CE6E53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8"/>
    <w:qFormat/>
    <w:rsid w:val="00CE6E53"/>
    <w:pPr>
      <w:ind w:left="288"/>
    </w:pPr>
  </w:style>
  <w:style w:type="paragraph" w:customStyle="1" w:styleId="Listnumgrey">
    <w:name w:val="List num grey"/>
    <w:basedOn w:val="Listnum"/>
    <w:uiPriority w:val="3"/>
    <w:qFormat/>
    <w:rsid w:val="00CE6E53"/>
    <w:pPr>
      <w:spacing w:line="264" w:lineRule="auto"/>
    </w:pPr>
    <w:rPr>
      <w:rFonts w:eastAsiaTheme="minorHAnsi"/>
      <w:color w:val="4D4D4D"/>
      <w:szCs w:val="21"/>
      <w:lang w:eastAsia="en-US"/>
    </w:rPr>
  </w:style>
  <w:style w:type="paragraph" w:customStyle="1" w:styleId="Listnum2grey">
    <w:name w:val="List num 2 grey"/>
    <w:basedOn w:val="Listnum2"/>
    <w:uiPriority w:val="4"/>
    <w:qFormat/>
    <w:rsid w:val="00CE6E53"/>
    <w:pPr>
      <w:spacing w:line="264" w:lineRule="auto"/>
    </w:pPr>
    <w:rPr>
      <w:rFonts w:eastAsiaTheme="minorHAnsi"/>
      <w:color w:val="4D4D4D"/>
      <w:szCs w:val="21"/>
      <w:lang w:eastAsia="en-US"/>
    </w:rPr>
  </w:style>
  <w:style w:type="paragraph" w:customStyle="1" w:styleId="Refnum1grey">
    <w:name w:val="Ref num 1 grey"/>
    <w:basedOn w:val="Refnum1"/>
    <w:uiPriority w:val="7"/>
    <w:qFormat/>
    <w:rsid w:val="00CE6E53"/>
    <w:rPr>
      <w:color w:val="F2F2F2" w:themeColor="background1" w:themeShade="F2"/>
    </w:rPr>
  </w:style>
  <w:style w:type="paragraph" w:customStyle="1" w:styleId="Refnum2grey">
    <w:name w:val="Ref num 2 grey"/>
    <w:basedOn w:val="Normal"/>
    <w:rsid w:val="00CE6E53"/>
    <w:pPr>
      <w:numPr>
        <w:ilvl w:val="1"/>
        <w:numId w:val="19"/>
      </w:numPr>
    </w:pPr>
  </w:style>
  <w:style w:type="paragraph" w:customStyle="1" w:styleId="Normalgreybold">
    <w:name w:val="Normal grey bold"/>
    <w:basedOn w:val="Normalgrey"/>
    <w:qFormat/>
    <w:rsid w:val="00CE6E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F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C4E2376-2322-428E-B28E-47530D4C8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73D06-2C62-4B30-9683-BE3071A14C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FRD template.dotx</Template>
  <TotalTime>0</TotalTime>
  <Pages>3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Lam</dc:creator>
  <cp:lastModifiedBy>Natalie Maroki (DTF)</cp:lastModifiedBy>
  <cp:revision>2</cp:revision>
  <cp:lastPrinted>2016-06-06T05:12:00Z</cp:lastPrinted>
  <dcterms:created xsi:type="dcterms:W3CDTF">2022-04-28T02:43:00Z</dcterms:created>
  <dcterms:modified xsi:type="dcterms:W3CDTF">2022-04-28T02:43:00Z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0745118c-3b5b-4d59-9d85-6e3daa054494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2022-04-28T02:43:46Z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8c67cee2-2755-4ee4-bfb4-cc6faf87bc87</vt:lpwstr>
  </property>
  <property fmtid="{D5CDD505-2E9C-101B-9397-08002B2CF9AE}" pid="10" name="MSIP_Label_7158ebbd-6c5e-441f-bfc9-4eb8c11e3978_ContentBits">
    <vt:lpwstr>2</vt:lpwstr>
  </property>
</Properties>
</file>