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3C5E9F" w14:paraId="59DC5015" w14:textId="77777777" w:rsidTr="00A642CF">
        <w:trPr>
          <w:cnfStyle w:val="100000000000" w:firstRow="1" w:lastRow="0" w:firstColumn="0" w:lastColumn="0" w:oddVBand="0" w:evenVBand="0" w:oddHBand="0" w:evenHBand="0" w:firstRowFirstColumn="0" w:firstRowLastColumn="0" w:lastRowFirstColumn="0" w:lastRowLastColumn="0"/>
          <w:cantSplit/>
        </w:trPr>
        <w:tc>
          <w:tcPr>
            <w:tcW w:w="2293" w:type="dxa"/>
          </w:tcPr>
          <w:p w14:paraId="103B6B8A" w14:textId="025B3793" w:rsidR="006C78FB" w:rsidRPr="003C5E9F" w:rsidRDefault="006C78FB" w:rsidP="00B8224B">
            <w:pPr>
              <w:pStyle w:val="FRDNumber"/>
            </w:pPr>
            <w:r w:rsidRPr="002E50A4">
              <w:t>FRD</w:t>
            </w:r>
            <w:r w:rsidRPr="003C5E9F">
              <w:t xml:space="preserve"> </w:t>
            </w:r>
            <w:r w:rsidR="00442BCD">
              <w:t>8</w:t>
            </w:r>
          </w:p>
        </w:tc>
        <w:tc>
          <w:tcPr>
            <w:tcW w:w="270" w:type="dxa"/>
          </w:tcPr>
          <w:p w14:paraId="5299470D" w14:textId="77777777" w:rsidR="006C78FB" w:rsidRPr="00E43EFA" w:rsidRDefault="006C78FB" w:rsidP="00B8224B"/>
        </w:tc>
        <w:tc>
          <w:tcPr>
            <w:tcW w:w="540" w:type="dxa"/>
          </w:tcPr>
          <w:p w14:paraId="5D47A738" w14:textId="77777777" w:rsidR="006C78FB" w:rsidRPr="00E43EFA" w:rsidRDefault="006C78FB" w:rsidP="00B8224B"/>
        </w:tc>
        <w:tc>
          <w:tcPr>
            <w:tcW w:w="6134" w:type="dxa"/>
          </w:tcPr>
          <w:p w14:paraId="20E705F5" w14:textId="17A94B84" w:rsidR="006C78FB" w:rsidRPr="002E50A4" w:rsidRDefault="00442BCD" w:rsidP="00442BCD">
            <w:pPr>
              <w:pStyle w:val="FRDHeader"/>
            </w:pPr>
            <w:r w:rsidRPr="00442BCD">
              <w:t xml:space="preserve">Consistency of </w:t>
            </w:r>
            <w:r w:rsidR="0095749B" w:rsidRPr="00442BCD">
              <w:t xml:space="preserve">budget and </w:t>
            </w:r>
            <w:r w:rsidR="0095749B">
              <w:t>departmental reporting</w:t>
            </w:r>
            <w:r>
              <w:t xml:space="preserve"> (</w:t>
            </w:r>
            <w:r w:rsidR="00E81F41">
              <w:t>April</w:t>
            </w:r>
            <w:r w:rsidR="00744F99">
              <w:t xml:space="preserve"> </w:t>
            </w:r>
            <w:r w:rsidR="009F2FBA">
              <w:t>2024</w:t>
            </w:r>
            <w:r w:rsidRPr="00442BCD">
              <w:t>)</w:t>
            </w:r>
          </w:p>
        </w:tc>
      </w:tr>
      <w:tr w:rsidR="006C78FB" w:rsidRPr="00E10ADB" w14:paraId="3861394C" w14:textId="77777777" w:rsidTr="00A642CF">
        <w:trPr>
          <w:trHeight w:hRule="exact" w:val="120"/>
        </w:trPr>
        <w:tc>
          <w:tcPr>
            <w:tcW w:w="2293" w:type="dxa"/>
          </w:tcPr>
          <w:p w14:paraId="73F92BCA" w14:textId="77777777" w:rsidR="006C78FB" w:rsidRPr="008A601F" w:rsidRDefault="006C78FB" w:rsidP="00B8224B">
            <w:pPr>
              <w:pStyle w:val="Tabletext"/>
            </w:pPr>
          </w:p>
        </w:tc>
        <w:tc>
          <w:tcPr>
            <w:tcW w:w="270" w:type="dxa"/>
          </w:tcPr>
          <w:p w14:paraId="3911CF62" w14:textId="77777777" w:rsidR="006C78FB" w:rsidRPr="008A601F" w:rsidRDefault="006C78FB" w:rsidP="00B8224B"/>
        </w:tc>
        <w:tc>
          <w:tcPr>
            <w:tcW w:w="540" w:type="dxa"/>
          </w:tcPr>
          <w:p w14:paraId="7B4DA4C3" w14:textId="77777777" w:rsidR="006C78FB" w:rsidRPr="008A601F" w:rsidRDefault="006C78FB" w:rsidP="00B8224B"/>
        </w:tc>
        <w:tc>
          <w:tcPr>
            <w:tcW w:w="6134" w:type="dxa"/>
          </w:tcPr>
          <w:p w14:paraId="6CB6B596" w14:textId="77777777" w:rsidR="006C78FB" w:rsidRPr="008A601F" w:rsidRDefault="006C78FB" w:rsidP="00B8224B"/>
        </w:tc>
      </w:tr>
      <w:tr w:rsidR="00023E6C" w:rsidRPr="005828FE" w14:paraId="187FF426" w14:textId="77777777" w:rsidTr="00A642CF">
        <w:tc>
          <w:tcPr>
            <w:tcW w:w="2293" w:type="dxa"/>
          </w:tcPr>
          <w:p w14:paraId="6F1ABAAA" w14:textId="77777777" w:rsidR="00023E6C" w:rsidRPr="008A601F" w:rsidRDefault="00023E6C" w:rsidP="00F41318">
            <w:pPr>
              <w:pStyle w:val="Normalgrey"/>
            </w:pPr>
            <w:r w:rsidRPr="008A601F">
              <w:t>Purpose</w:t>
            </w:r>
          </w:p>
        </w:tc>
        <w:tc>
          <w:tcPr>
            <w:tcW w:w="270" w:type="dxa"/>
          </w:tcPr>
          <w:p w14:paraId="6F78037E" w14:textId="77777777" w:rsidR="00023E6C" w:rsidRPr="00CA484A" w:rsidRDefault="00023E6C" w:rsidP="00AC471E">
            <w:pPr>
              <w:pStyle w:val="Refnum1"/>
              <w:numPr>
                <w:ilvl w:val="0"/>
                <w:numId w:val="0"/>
              </w:numPr>
            </w:pPr>
          </w:p>
        </w:tc>
        <w:tc>
          <w:tcPr>
            <w:tcW w:w="540" w:type="dxa"/>
          </w:tcPr>
          <w:p w14:paraId="6A2ADCCD" w14:textId="77777777" w:rsidR="00023E6C" w:rsidRPr="00CA484A" w:rsidRDefault="00023E6C" w:rsidP="00023E6C">
            <w:pPr>
              <w:pStyle w:val="Refnum2"/>
            </w:pPr>
          </w:p>
        </w:tc>
        <w:tc>
          <w:tcPr>
            <w:tcW w:w="6134" w:type="dxa"/>
          </w:tcPr>
          <w:p w14:paraId="09659132" w14:textId="3F051705" w:rsidR="00023E6C" w:rsidRDefault="00735739" w:rsidP="00F41318">
            <w:pPr>
              <w:pStyle w:val="Normalgrey"/>
            </w:pPr>
            <w:r w:rsidRPr="00735739">
              <w:t>To specify the disclosure requirements for budget and departmental portfolio outcomes</w:t>
            </w:r>
            <w:r w:rsidR="003942BC">
              <w:t xml:space="preserve"> </w:t>
            </w:r>
            <w:r w:rsidR="00DF1026">
              <w:t>and</w:t>
            </w:r>
            <w:r w:rsidRPr="00735739">
              <w:t xml:space="preserve"> meet the disclosure requirements under AASB 1055 </w:t>
            </w:r>
            <w:r w:rsidRPr="007703DB">
              <w:rPr>
                <w:i/>
                <w:iCs/>
              </w:rPr>
              <w:t>Budgetary Reporting</w:t>
            </w:r>
            <w:r w:rsidRPr="00735739">
              <w:t>.</w:t>
            </w:r>
          </w:p>
        </w:tc>
      </w:tr>
      <w:tr w:rsidR="00023E6C" w:rsidRPr="00771F53" w14:paraId="155D64DB" w14:textId="77777777" w:rsidTr="00A642CF">
        <w:tc>
          <w:tcPr>
            <w:tcW w:w="2293" w:type="dxa"/>
            <w:shd w:val="clear" w:color="auto" w:fill="F2F2F2" w:themeFill="background1" w:themeFillShade="F2"/>
          </w:tcPr>
          <w:p w14:paraId="7FC60621" w14:textId="77777777" w:rsidR="00023E6C" w:rsidRPr="00771F53" w:rsidRDefault="00023E6C" w:rsidP="00571935">
            <w:pPr>
              <w:pStyle w:val="Normalbold"/>
            </w:pPr>
            <w:r w:rsidRPr="00771F53">
              <w:t>Application</w:t>
            </w:r>
          </w:p>
        </w:tc>
        <w:tc>
          <w:tcPr>
            <w:tcW w:w="270" w:type="dxa"/>
            <w:shd w:val="clear" w:color="auto" w:fill="F2F2F2" w:themeFill="background1" w:themeFillShade="F2"/>
          </w:tcPr>
          <w:p w14:paraId="6AE62642" w14:textId="77777777" w:rsidR="00023E6C" w:rsidRPr="00B44379" w:rsidRDefault="00023E6C" w:rsidP="00AC471E">
            <w:pPr>
              <w:pStyle w:val="Refnum1grey"/>
              <w:numPr>
                <w:ilvl w:val="0"/>
                <w:numId w:val="0"/>
              </w:numPr>
            </w:pPr>
          </w:p>
        </w:tc>
        <w:tc>
          <w:tcPr>
            <w:tcW w:w="540" w:type="dxa"/>
            <w:shd w:val="clear" w:color="auto" w:fill="F2F2F2" w:themeFill="background1" w:themeFillShade="F2"/>
          </w:tcPr>
          <w:p w14:paraId="7029FAE4" w14:textId="77777777" w:rsidR="00EA5F01" w:rsidRPr="00EA5F01" w:rsidRDefault="00EA5F01" w:rsidP="00EA5F01">
            <w:pPr>
              <w:pStyle w:val="ListParagraph"/>
              <w:numPr>
                <w:ilvl w:val="0"/>
                <w:numId w:val="27"/>
              </w:numPr>
              <w:spacing w:before="160" w:after="100"/>
              <w:contextualSpacing w:val="0"/>
              <w:rPr>
                <w:rFonts w:asciiTheme="minorHAnsi" w:hAnsiTheme="minorHAnsi"/>
                <w:vanish/>
                <w:color w:val="FFFFFF" w:themeColor="background1"/>
                <w:sz w:val="18"/>
              </w:rPr>
            </w:pPr>
          </w:p>
          <w:p w14:paraId="45FEFA7E" w14:textId="77777777" w:rsidR="00EA5F01" w:rsidRPr="00EA5F01" w:rsidRDefault="00EA5F01" w:rsidP="00EA5F01">
            <w:pPr>
              <w:pStyle w:val="ListParagraph"/>
              <w:numPr>
                <w:ilvl w:val="1"/>
                <w:numId w:val="27"/>
              </w:numPr>
              <w:spacing w:before="160" w:after="100" w:line="264" w:lineRule="auto"/>
              <w:contextualSpacing w:val="0"/>
              <w:rPr>
                <w:rFonts w:asciiTheme="minorHAnsi" w:eastAsiaTheme="minorHAnsi" w:hAnsiTheme="minorHAnsi" w:cstheme="minorBidi"/>
                <w:vanish/>
                <w:color w:val="auto"/>
                <w:spacing w:val="2"/>
                <w:sz w:val="18"/>
              </w:rPr>
            </w:pPr>
          </w:p>
          <w:p w14:paraId="1A569F00" w14:textId="312DD2DB" w:rsidR="00023E6C" w:rsidRPr="00771F53" w:rsidRDefault="00023E6C" w:rsidP="00EA5F01">
            <w:pPr>
              <w:pStyle w:val="Refnum2"/>
            </w:pPr>
          </w:p>
        </w:tc>
        <w:tc>
          <w:tcPr>
            <w:tcW w:w="6134" w:type="dxa"/>
            <w:shd w:val="clear" w:color="auto" w:fill="F2F2F2" w:themeFill="background1" w:themeFillShade="F2"/>
          </w:tcPr>
          <w:p w14:paraId="081E8192" w14:textId="4532EFF2" w:rsidR="00023E6C" w:rsidRPr="00771F53" w:rsidRDefault="00023E6C" w:rsidP="002013CF">
            <w:pPr>
              <w:rPr>
                <w:b/>
              </w:rPr>
            </w:pPr>
            <w:r w:rsidRPr="00771F53">
              <w:rPr>
                <w:b/>
              </w:rPr>
              <w:t xml:space="preserve">Applies to all entities as defined </w:t>
            </w:r>
            <w:r w:rsidR="00C42B98">
              <w:rPr>
                <w:b/>
              </w:rPr>
              <w:t xml:space="preserve">as a </w:t>
            </w:r>
            <w:r w:rsidRPr="00771F53">
              <w:rPr>
                <w:b/>
              </w:rPr>
              <w:t xml:space="preserve">‘department’ under section 3 of the </w:t>
            </w:r>
            <w:r w:rsidRPr="00771F53">
              <w:rPr>
                <w:b/>
                <w:i/>
                <w:iCs/>
              </w:rPr>
              <w:t xml:space="preserve">Financial Management Act </w:t>
            </w:r>
            <w:r w:rsidRPr="00771F53">
              <w:rPr>
                <w:b/>
                <w:i/>
              </w:rPr>
              <w:t>1994</w:t>
            </w:r>
            <w:r w:rsidRPr="00771F53">
              <w:rPr>
                <w:b/>
              </w:rPr>
              <w:t xml:space="preserve">. </w:t>
            </w:r>
          </w:p>
        </w:tc>
      </w:tr>
      <w:tr w:rsidR="00023E6C" w:rsidRPr="00771F53" w14:paraId="2470D105" w14:textId="77777777" w:rsidTr="00A642CF">
        <w:tc>
          <w:tcPr>
            <w:tcW w:w="2293" w:type="dxa"/>
            <w:shd w:val="clear" w:color="auto" w:fill="F2F2F2" w:themeFill="background1" w:themeFillShade="F2"/>
          </w:tcPr>
          <w:p w14:paraId="3AF2DC7B" w14:textId="77777777" w:rsidR="00023E6C" w:rsidRPr="00771F53" w:rsidRDefault="00023E6C" w:rsidP="003C6C0D">
            <w:pPr>
              <w:rPr>
                <w:b/>
              </w:rPr>
            </w:pPr>
            <w:r w:rsidRPr="00771F53">
              <w:rPr>
                <w:b/>
              </w:rPr>
              <w:t>Operative date</w:t>
            </w:r>
          </w:p>
        </w:tc>
        <w:tc>
          <w:tcPr>
            <w:tcW w:w="270" w:type="dxa"/>
            <w:shd w:val="clear" w:color="auto" w:fill="F2F2F2" w:themeFill="background1" w:themeFillShade="F2"/>
          </w:tcPr>
          <w:p w14:paraId="120139FF" w14:textId="77777777" w:rsidR="00023E6C" w:rsidRPr="00B44379" w:rsidRDefault="00023E6C" w:rsidP="00F52BF6">
            <w:pPr>
              <w:pStyle w:val="Refnum1grey"/>
            </w:pPr>
          </w:p>
        </w:tc>
        <w:tc>
          <w:tcPr>
            <w:tcW w:w="540" w:type="dxa"/>
            <w:shd w:val="clear" w:color="auto" w:fill="F2F2F2" w:themeFill="background1" w:themeFillShade="F2"/>
          </w:tcPr>
          <w:p w14:paraId="541AA0E9" w14:textId="77777777" w:rsidR="00023E6C" w:rsidRPr="00771F53" w:rsidRDefault="00023E6C" w:rsidP="002013CF">
            <w:pPr>
              <w:pStyle w:val="Refnum2"/>
              <w:rPr>
                <w:b/>
              </w:rPr>
            </w:pPr>
          </w:p>
        </w:tc>
        <w:tc>
          <w:tcPr>
            <w:tcW w:w="6134" w:type="dxa"/>
            <w:shd w:val="clear" w:color="auto" w:fill="F2F2F2" w:themeFill="background1" w:themeFillShade="F2"/>
          </w:tcPr>
          <w:p w14:paraId="1C9BEA1B" w14:textId="2CF6BDBF" w:rsidR="00023E6C" w:rsidRPr="00771F53" w:rsidRDefault="00023E6C" w:rsidP="002013CF">
            <w:pPr>
              <w:rPr>
                <w:b/>
              </w:rPr>
            </w:pPr>
            <w:r w:rsidRPr="00771F53">
              <w:rPr>
                <w:b/>
              </w:rPr>
              <w:t>Reporting periods commencing 1 July 20</w:t>
            </w:r>
            <w:r w:rsidR="00735739">
              <w:rPr>
                <w:b/>
              </w:rPr>
              <w:t>23</w:t>
            </w:r>
            <w:r w:rsidRPr="00771F53">
              <w:rPr>
                <w:b/>
              </w:rPr>
              <w:t>.</w:t>
            </w:r>
          </w:p>
        </w:tc>
      </w:tr>
      <w:tr w:rsidR="00023E6C" w:rsidRPr="00771F53" w14:paraId="70D1E011" w14:textId="77777777" w:rsidTr="00A642CF">
        <w:tc>
          <w:tcPr>
            <w:tcW w:w="2293" w:type="dxa"/>
            <w:shd w:val="clear" w:color="auto" w:fill="F2F2F2" w:themeFill="background1" w:themeFillShade="F2"/>
          </w:tcPr>
          <w:p w14:paraId="65D3D8CF" w14:textId="77777777" w:rsidR="00023E6C" w:rsidRPr="00771F53" w:rsidRDefault="00023E6C" w:rsidP="002423FB">
            <w:pPr>
              <w:rPr>
                <w:b/>
              </w:rPr>
            </w:pPr>
            <w:r w:rsidRPr="00771F53">
              <w:rPr>
                <w:b/>
              </w:rPr>
              <w:t>Requirements</w:t>
            </w:r>
            <w:r w:rsidRPr="00771F53" w:rsidDel="003E352F">
              <w:rPr>
                <w:b/>
              </w:rPr>
              <w:t xml:space="preserve"> </w:t>
            </w:r>
          </w:p>
        </w:tc>
        <w:tc>
          <w:tcPr>
            <w:tcW w:w="270" w:type="dxa"/>
            <w:shd w:val="clear" w:color="auto" w:fill="F2F2F2" w:themeFill="background1" w:themeFillShade="F2"/>
          </w:tcPr>
          <w:p w14:paraId="0B316940" w14:textId="77777777" w:rsidR="00023E6C" w:rsidRPr="00B44379" w:rsidRDefault="00023E6C" w:rsidP="00F52BF6">
            <w:pPr>
              <w:pStyle w:val="Refnum1grey"/>
            </w:pPr>
          </w:p>
        </w:tc>
        <w:tc>
          <w:tcPr>
            <w:tcW w:w="540" w:type="dxa"/>
            <w:shd w:val="clear" w:color="auto" w:fill="F2F2F2" w:themeFill="background1" w:themeFillShade="F2"/>
          </w:tcPr>
          <w:p w14:paraId="019F6CE2" w14:textId="77777777" w:rsidR="00023E6C" w:rsidRPr="00771F53" w:rsidRDefault="00023E6C" w:rsidP="002013CF">
            <w:pPr>
              <w:pStyle w:val="Refnum2"/>
              <w:rPr>
                <w:b/>
              </w:rPr>
            </w:pPr>
          </w:p>
        </w:tc>
        <w:tc>
          <w:tcPr>
            <w:tcW w:w="6134" w:type="dxa"/>
            <w:shd w:val="clear" w:color="auto" w:fill="F2F2F2" w:themeFill="background1" w:themeFillShade="F2"/>
          </w:tcPr>
          <w:p w14:paraId="5C20C928" w14:textId="25C0F1BA" w:rsidR="00023E6C" w:rsidRPr="00771F53" w:rsidRDefault="00023E6C" w:rsidP="002013CF">
            <w:pPr>
              <w:rPr>
                <w:b/>
              </w:rPr>
            </w:pPr>
            <w:r w:rsidRPr="00771F53">
              <w:rPr>
                <w:b/>
              </w:rPr>
              <w:t xml:space="preserve">Entities as defined in Application </w:t>
            </w:r>
            <w:r w:rsidR="00735739">
              <w:rPr>
                <w:b/>
              </w:rPr>
              <w:t>2</w:t>
            </w:r>
            <w:r w:rsidRPr="00771F53">
              <w:rPr>
                <w:b/>
              </w:rPr>
              <w:t>.1 are required to:</w:t>
            </w:r>
          </w:p>
        </w:tc>
      </w:tr>
      <w:tr w:rsidR="00023E6C" w:rsidRPr="00771F53" w14:paraId="2B981A3F" w14:textId="77777777" w:rsidTr="00A642CF">
        <w:tc>
          <w:tcPr>
            <w:tcW w:w="2293" w:type="dxa"/>
            <w:shd w:val="clear" w:color="auto" w:fill="F2F2F2" w:themeFill="background1" w:themeFillShade="F2"/>
          </w:tcPr>
          <w:p w14:paraId="3E8DDDFE" w14:textId="77777777" w:rsidR="00023E6C" w:rsidRPr="00771F53" w:rsidRDefault="00023E6C" w:rsidP="006D07B9">
            <w:pPr>
              <w:rPr>
                <w:b/>
              </w:rPr>
            </w:pPr>
          </w:p>
        </w:tc>
        <w:tc>
          <w:tcPr>
            <w:tcW w:w="270" w:type="dxa"/>
            <w:shd w:val="clear" w:color="auto" w:fill="F2F2F2" w:themeFill="background1" w:themeFillShade="F2"/>
          </w:tcPr>
          <w:p w14:paraId="638A2FD0" w14:textId="77777777" w:rsidR="00023E6C" w:rsidRPr="00B44379" w:rsidRDefault="00023E6C" w:rsidP="006D07B9">
            <w:pPr>
              <w:pStyle w:val="Normalgrey"/>
              <w:rPr>
                <w:b/>
                <w:color w:val="F2F2F2" w:themeColor="background1" w:themeShade="F2"/>
              </w:rPr>
            </w:pPr>
          </w:p>
        </w:tc>
        <w:tc>
          <w:tcPr>
            <w:tcW w:w="540" w:type="dxa"/>
            <w:shd w:val="clear" w:color="auto" w:fill="F2F2F2" w:themeFill="background1" w:themeFillShade="F2"/>
          </w:tcPr>
          <w:p w14:paraId="475936E6" w14:textId="77777777" w:rsidR="00023E6C" w:rsidRPr="00771F53" w:rsidRDefault="00023E6C" w:rsidP="002013CF">
            <w:pPr>
              <w:pStyle w:val="Refnum2"/>
              <w:rPr>
                <w:b/>
              </w:rPr>
            </w:pPr>
          </w:p>
        </w:tc>
        <w:tc>
          <w:tcPr>
            <w:tcW w:w="6134" w:type="dxa"/>
            <w:shd w:val="clear" w:color="auto" w:fill="F2F2F2" w:themeFill="background1" w:themeFillShade="F2"/>
          </w:tcPr>
          <w:p w14:paraId="449BE474" w14:textId="77777777" w:rsidR="00023E6C" w:rsidRPr="00771F53" w:rsidRDefault="00023E6C" w:rsidP="002013CF">
            <w:pPr>
              <w:rPr>
                <w:b/>
              </w:rPr>
            </w:pPr>
            <w:r w:rsidRPr="00771F53">
              <w:rPr>
                <w:b/>
              </w:rPr>
              <w:t>Report in their annual report in the Report of Operations section:</w:t>
            </w:r>
          </w:p>
        </w:tc>
      </w:tr>
      <w:tr w:rsidR="00023E6C" w:rsidRPr="00771F53" w14:paraId="363E5C55" w14:textId="77777777" w:rsidTr="00A642CF">
        <w:tc>
          <w:tcPr>
            <w:tcW w:w="2293" w:type="dxa"/>
            <w:shd w:val="clear" w:color="auto" w:fill="F2F2F2" w:themeFill="background1" w:themeFillShade="F2"/>
          </w:tcPr>
          <w:p w14:paraId="0533B024" w14:textId="77777777" w:rsidR="00023E6C" w:rsidRPr="00771F53" w:rsidRDefault="00023E6C" w:rsidP="006D07B9">
            <w:pPr>
              <w:rPr>
                <w:b/>
              </w:rPr>
            </w:pPr>
          </w:p>
        </w:tc>
        <w:tc>
          <w:tcPr>
            <w:tcW w:w="270" w:type="dxa"/>
            <w:shd w:val="clear" w:color="auto" w:fill="F2F2F2" w:themeFill="background1" w:themeFillShade="F2"/>
          </w:tcPr>
          <w:p w14:paraId="2AF912F8" w14:textId="77777777" w:rsidR="00023E6C" w:rsidRPr="00771F53" w:rsidRDefault="00023E6C" w:rsidP="006D07B9">
            <w:pPr>
              <w:pStyle w:val="Normalgrey"/>
              <w:rPr>
                <w:b/>
              </w:rPr>
            </w:pPr>
          </w:p>
        </w:tc>
        <w:tc>
          <w:tcPr>
            <w:tcW w:w="540" w:type="dxa"/>
            <w:shd w:val="clear" w:color="auto" w:fill="F2F2F2" w:themeFill="background1" w:themeFillShade="F2"/>
          </w:tcPr>
          <w:p w14:paraId="30598F48" w14:textId="77777777" w:rsidR="00023E6C" w:rsidRPr="00771F53" w:rsidRDefault="00023E6C" w:rsidP="00E76FA3">
            <w:pPr>
              <w:pStyle w:val="Refnum2"/>
              <w:numPr>
                <w:ilvl w:val="0"/>
                <w:numId w:val="0"/>
              </w:numPr>
              <w:ind w:left="504" w:hanging="504"/>
              <w:rPr>
                <w:b/>
              </w:rPr>
            </w:pPr>
          </w:p>
        </w:tc>
        <w:tc>
          <w:tcPr>
            <w:tcW w:w="6134" w:type="dxa"/>
            <w:shd w:val="clear" w:color="auto" w:fill="F2F2F2" w:themeFill="background1" w:themeFillShade="F2"/>
          </w:tcPr>
          <w:p w14:paraId="76DA992A" w14:textId="77777777" w:rsidR="00023E6C" w:rsidRPr="00771F53" w:rsidRDefault="00023E6C" w:rsidP="009B70C7">
            <w:pPr>
              <w:pStyle w:val="Listnum"/>
              <w:rPr>
                <w:b/>
              </w:rPr>
            </w:pPr>
            <w:r w:rsidRPr="00771F53">
              <w:rPr>
                <w:b/>
              </w:rPr>
              <w:t xml:space="preserve">departmental objectives and objective indicators as published in the Budget Papers for the relevant period and report on their progress towards achievement of these </w:t>
            </w:r>
            <w:proofErr w:type="gramStart"/>
            <w:r w:rsidRPr="00771F53">
              <w:rPr>
                <w:b/>
              </w:rPr>
              <w:t>objectives;</w:t>
            </w:r>
            <w:proofErr w:type="gramEnd"/>
            <w:r w:rsidRPr="00771F53">
              <w:rPr>
                <w:b/>
              </w:rPr>
              <w:t xml:space="preserve"> </w:t>
            </w:r>
          </w:p>
          <w:p w14:paraId="3B32E28F" w14:textId="6D72DEDC" w:rsidR="00023E6C" w:rsidRPr="00771F53" w:rsidRDefault="00023E6C" w:rsidP="009B70C7">
            <w:pPr>
              <w:pStyle w:val="Listnum"/>
              <w:rPr>
                <w:b/>
              </w:rPr>
            </w:pPr>
            <w:r w:rsidRPr="00771F53">
              <w:rPr>
                <w:b/>
              </w:rPr>
              <w:t>a comparison of the output targets published in the Budget Papers and actual performance for the portfolio for the corresponding financial year; and</w:t>
            </w:r>
          </w:p>
          <w:p w14:paraId="2A2A5CFF" w14:textId="5A0F6698" w:rsidR="00023E6C" w:rsidRPr="00771F53" w:rsidRDefault="00023E6C" w:rsidP="009B70C7">
            <w:pPr>
              <w:pStyle w:val="Listnum"/>
              <w:rPr>
                <w:b/>
              </w:rPr>
            </w:pPr>
            <w:r w:rsidRPr="00771F53">
              <w:rPr>
                <w:b/>
              </w:rPr>
              <w:t>the reasons for any significant or material variances between the initial output targets and the actual results.</w:t>
            </w:r>
            <w:r w:rsidR="00735739">
              <w:t xml:space="preserve"> </w:t>
            </w:r>
            <w:r w:rsidR="00735739" w:rsidRPr="00735739">
              <w:rPr>
                <w:b/>
              </w:rPr>
              <w:t xml:space="preserve">This </w:t>
            </w:r>
            <w:r w:rsidR="00032D55">
              <w:rPr>
                <w:b/>
              </w:rPr>
              <w:t xml:space="preserve">also </w:t>
            </w:r>
            <w:r w:rsidR="00735739" w:rsidRPr="00735739">
              <w:rPr>
                <w:b/>
              </w:rPr>
              <w:t>includes commenting on any significant output underspending and the subsequent impact this has on the delivery of services.</w:t>
            </w:r>
          </w:p>
        </w:tc>
      </w:tr>
      <w:tr w:rsidR="00A642CF" w:rsidRPr="00771F53" w14:paraId="31EA50E4" w14:textId="77777777" w:rsidTr="00A642CF">
        <w:tc>
          <w:tcPr>
            <w:tcW w:w="2293" w:type="dxa"/>
            <w:shd w:val="clear" w:color="auto" w:fill="F2F2F2" w:themeFill="background1" w:themeFillShade="F2"/>
          </w:tcPr>
          <w:p w14:paraId="1168FD7A" w14:textId="77777777" w:rsidR="00A642CF" w:rsidRPr="00771F53" w:rsidRDefault="00A642CF" w:rsidP="00E724FF">
            <w:pPr>
              <w:rPr>
                <w:b/>
              </w:rPr>
            </w:pPr>
          </w:p>
        </w:tc>
        <w:tc>
          <w:tcPr>
            <w:tcW w:w="270" w:type="dxa"/>
            <w:shd w:val="clear" w:color="auto" w:fill="F2F2F2" w:themeFill="background1" w:themeFillShade="F2"/>
          </w:tcPr>
          <w:p w14:paraId="03D0E793" w14:textId="77777777" w:rsidR="00A642CF" w:rsidRPr="00771F53" w:rsidRDefault="00A642CF" w:rsidP="00E724FF">
            <w:pPr>
              <w:pStyle w:val="Normalgrey"/>
              <w:rPr>
                <w:b/>
              </w:rPr>
            </w:pPr>
          </w:p>
        </w:tc>
        <w:tc>
          <w:tcPr>
            <w:tcW w:w="540" w:type="dxa"/>
            <w:shd w:val="clear" w:color="auto" w:fill="F2F2F2" w:themeFill="background1" w:themeFillShade="F2"/>
          </w:tcPr>
          <w:p w14:paraId="00509300" w14:textId="77777777" w:rsidR="00A642CF" w:rsidRPr="00771F53" w:rsidRDefault="00A642CF" w:rsidP="00E724FF">
            <w:pPr>
              <w:pStyle w:val="Refnum2"/>
              <w:rPr>
                <w:b/>
              </w:rPr>
            </w:pPr>
          </w:p>
        </w:tc>
        <w:tc>
          <w:tcPr>
            <w:tcW w:w="6134" w:type="dxa"/>
            <w:shd w:val="clear" w:color="auto" w:fill="F2F2F2" w:themeFill="background1" w:themeFillShade="F2"/>
          </w:tcPr>
          <w:p w14:paraId="2E241B00" w14:textId="77777777" w:rsidR="00A642CF" w:rsidRPr="00771F53" w:rsidRDefault="00A642CF" w:rsidP="00E724FF">
            <w:pPr>
              <w:rPr>
                <w:b/>
              </w:rPr>
            </w:pPr>
            <w:r w:rsidRPr="00771F53">
              <w:rPr>
                <w:b/>
              </w:rPr>
              <w:t>Report in their annual report, but not forming part of the audited financial report:</w:t>
            </w:r>
          </w:p>
          <w:p w14:paraId="3A2CAB17" w14:textId="0E893569" w:rsidR="00A642CF" w:rsidRPr="00771F53" w:rsidRDefault="00A642CF" w:rsidP="00E724FF">
            <w:pPr>
              <w:pStyle w:val="Listnum"/>
              <w:numPr>
                <w:ilvl w:val="0"/>
                <w:numId w:val="26"/>
              </w:numPr>
              <w:rPr>
                <w:b/>
              </w:rPr>
            </w:pPr>
            <w:r w:rsidRPr="00771F53">
              <w:rPr>
                <w:b/>
              </w:rPr>
              <w:t xml:space="preserve">a comparison between their initial budget estimates as presented in the portfolio financial statements published in the Budget Papers and the actual results for the portfolio for the corresponding financial </w:t>
            </w:r>
            <w:proofErr w:type="gramStart"/>
            <w:r w:rsidRPr="00771F53">
              <w:rPr>
                <w:b/>
              </w:rPr>
              <w:t>year;</w:t>
            </w:r>
            <w:proofErr w:type="gramEnd"/>
          </w:p>
          <w:p w14:paraId="5EAC5C48" w14:textId="77777777" w:rsidR="00A642CF" w:rsidRPr="00771F53" w:rsidRDefault="00A642CF" w:rsidP="00E724FF">
            <w:pPr>
              <w:pStyle w:val="Listnum"/>
              <w:rPr>
                <w:b/>
              </w:rPr>
            </w:pPr>
            <w:r w:rsidRPr="00771F53">
              <w:rPr>
                <w:b/>
              </w:rPr>
              <w:t>the reasons for any significant or material variances between the initial budget estimates and the actual results; and</w:t>
            </w:r>
          </w:p>
          <w:p w14:paraId="155D2893" w14:textId="0A90C4B5" w:rsidR="00A642CF" w:rsidRPr="00771F53" w:rsidRDefault="00A642CF" w:rsidP="00E724FF">
            <w:pPr>
              <w:pStyle w:val="Listnum"/>
              <w:rPr>
                <w:b/>
              </w:rPr>
            </w:pPr>
            <w:r w:rsidRPr="00771F53">
              <w:rPr>
                <w:b/>
              </w:rPr>
              <w:t>the comparison between initial budget estimates and actual figures referred to above</w:t>
            </w:r>
            <w:r w:rsidR="00735739">
              <w:rPr>
                <w:b/>
              </w:rPr>
              <w:t>,</w:t>
            </w:r>
            <w:r w:rsidRPr="00771F53">
              <w:rPr>
                <w:b/>
              </w:rPr>
              <w:t xml:space="preserve"> must be presented as a set of financial statements in the same format and consolidation basis as those set out in the Budget Papers for the financial year. These financial statements are to be referred to as ‘budget portfolio </w:t>
            </w:r>
            <w:proofErr w:type="gramStart"/>
            <w:r w:rsidRPr="00771F53">
              <w:rPr>
                <w:b/>
              </w:rPr>
              <w:t>outcomes’</w:t>
            </w:r>
            <w:proofErr w:type="gramEnd"/>
            <w:r w:rsidRPr="00771F53">
              <w:rPr>
                <w:b/>
              </w:rPr>
              <w:t>.</w:t>
            </w:r>
          </w:p>
        </w:tc>
      </w:tr>
      <w:tr w:rsidR="00A642CF" w:rsidRPr="00771F53" w14:paraId="14F9FAD0" w14:textId="77777777" w:rsidTr="00A642CF">
        <w:tc>
          <w:tcPr>
            <w:tcW w:w="2293" w:type="dxa"/>
            <w:shd w:val="clear" w:color="auto" w:fill="F2F2F2" w:themeFill="background1" w:themeFillShade="F2"/>
          </w:tcPr>
          <w:p w14:paraId="052E0B3B" w14:textId="77777777" w:rsidR="00A642CF" w:rsidRPr="00771F53" w:rsidRDefault="00A642CF" w:rsidP="00E724FF">
            <w:pPr>
              <w:rPr>
                <w:b/>
              </w:rPr>
            </w:pPr>
          </w:p>
        </w:tc>
        <w:tc>
          <w:tcPr>
            <w:tcW w:w="270" w:type="dxa"/>
            <w:shd w:val="clear" w:color="auto" w:fill="F2F2F2" w:themeFill="background1" w:themeFillShade="F2"/>
          </w:tcPr>
          <w:p w14:paraId="52718616" w14:textId="77777777" w:rsidR="00A642CF" w:rsidRPr="00771F53" w:rsidRDefault="00A642CF" w:rsidP="00E724FF">
            <w:pPr>
              <w:pStyle w:val="Normalgrey"/>
              <w:rPr>
                <w:b/>
              </w:rPr>
            </w:pPr>
          </w:p>
        </w:tc>
        <w:tc>
          <w:tcPr>
            <w:tcW w:w="540" w:type="dxa"/>
            <w:shd w:val="clear" w:color="auto" w:fill="F2F2F2" w:themeFill="background1" w:themeFillShade="F2"/>
          </w:tcPr>
          <w:p w14:paraId="6831E7E9" w14:textId="77777777" w:rsidR="00A642CF" w:rsidRPr="00771F53" w:rsidRDefault="00A642CF" w:rsidP="00E924D1">
            <w:pPr>
              <w:pStyle w:val="Refnum2"/>
              <w:rPr>
                <w:b/>
              </w:rPr>
            </w:pPr>
          </w:p>
        </w:tc>
        <w:tc>
          <w:tcPr>
            <w:tcW w:w="6134" w:type="dxa"/>
            <w:shd w:val="clear" w:color="auto" w:fill="F2F2F2" w:themeFill="background1" w:themeFillShade="F2"/>
          </w:tcPr>
          <w:p w14:paraId="5D9AC164" w14:textId="42A989FF" w:rsidR="00A642CF" w:rsidRPr="00771F53" w:rsidRDefault="00A642CF" w:rsidP="00E724FF">
            <w:pPr>
              <w:rPr>
                <w:b/>
              </w:rPr>
            </w:pPr>
            <w:r w:rsidRPr="00771F53">
              <w:rPr>
                <w:b/>
              </w:rPr>
              <w:t>Report to the Department of Treasury and Finance (DTF)</w:t>
            </w:r>
            <w:r w:rsidR="00735739">
              <w:rPr>
                <w:b/>
              </w:rPr>
              <w:t xml:space="preserve"> on</w:t>
            </w:r>
            <w:r w:rsidRPr="00771F53">
              <w:rPr>
                <w:b/>
              </w:rPr>
              <w:t xml:space="preserve"> their portfolio performance against outputs as set out in the Budget Papers.</w:t>
            </w:r>
            <w:r w:rsidR="00B5100A">
              <w:rPr>
                <w:b/>
              </w:rPr>
              <w:t xml:space="preserve"> </w:t>
            </w:r>
            <w:r w:rsidR="00B5100A" w:rsidRPr="00B5100A">
              <w:rPr>
                <w:b/>
              </w:rPr>
              <w:t>This reporting must be in accordance with the yearly timetable advised by DTF.</w:t>
            </w:r>
          </w:p>
        </w:tc>
      </w:tr>
      <w:tr w:rsidR="00A642CF" w:rsidRPr="00771F53" w14:paraId="624E5045" w14:textId="77777777" w:rsidTr="00A642CF">
        <w:tc>
          <w:tcPr>
            <w:tcW w:w="2293" w:type="dxa"/>
            <w:shd w:val="clear" w:color="auto" w:fill="F2F2F2" w:themeFill="background1" w:themeFillShade="F2"/>
          </w:tcPr>
          <w:p w14:paraId="5517BD1A" w14:textId="77777777" w:rsidR="00A642CF" w:rsidRPr="00771F53" w:rsidRDefault="00A642CF" w:rsidP="00E724FF">
            <w:pPr>
              <w:rPr>
                <w:b/>
              </w:rPr>
            </w:pPr>
          </w:p>
        </w:tc>
        <w:tc>
          <w:tcPr>
            <w:tcW w:w="270" w:type="dxa"/>
            <w:shd w:val="clear" w:color="auto" w:fill="F2F2F2" w:themeFill="background1" w:themeFillShade="F2"/>
          </w:tcPr>
          <w:p w14:paraId="0ABE697D" w14:textId="77777777" w:rsidR="00A642CF" w:rsidRPr="00771F53" w:rsidRDefault="00A642CF" w:rsidP="00E724FF">
            <w:pPr>
              <w:pStyle w:val="Normalgrey"/>
              <w:rPr>
                <w:b/>
              </w:rPr>
            </w:pPr>
          </w:p>
        </w:tc>
        <w:tc>
          <w:tcPr>
            <w:tcW w:w="540" w:type="dxa"/>
            <w:shd w:val="clear" w:color="auto" w:fill="F2F2F2" w:themeFill="background1" w:themeFillShade="F2"/>
          </w:tcPr>
          <w:p w14:paraId="45E1881F" w14:textId="77777777" w:rsidR="00A642CF" w:rsidRPr="00771F53" w:rsidRDefault="00A642CF" w:rsidP="00E924D1">
            <w:pPr>
              <w:pStyle w:val="Refnum2"/>
              <w:rPr>
                <w:b/>
              </w:rPr>
            </w:pPr>
          </w:p>
        </w:tc>
        <w:tc>
          <w:tcPr>
            <w:tcW w:w="6134" w:type="dxa"/>
            <w:shd w:val="clear" w:color="auto" w:fill="F2F2F2" w:themeFill="background1" w:themeFillShade="F2"/>
          </w:tcPr>
          <w:p w14:paraId="782FF170" w14:textId="173BB302" w:rsidR="00A642CF" w:rsidRPr="00771F53" w:rsidRDefault="00A642CF" w:rsidP="00E724FF">
            <w:pPr>
              <w:pStyle w:val="ListParagraph"/>
              <w:ind w:left="0"/>
              <w:rPr>
                <w:b/>
              </w:rPr>
            </w:pPr>
            <w:r w:rsidRPr="00771F53">
              <w:rPr>
                <w:b/>
              </w:rPr>
              <w:t>Report to DTF their portfolio financial aggregates at a consolidated budget portfolio trial balance level.</w:t>
            </w:r>
            <w:r w:rsidR="00B5100A">
              <w:rPr>
                <w:b/>
              </w:rPr>
              <w:t xml:space="preserve"> </w:t>
            </w:r>
            <w:r w:rsidR="00B5100A" w:rsidRPr="00B5100A">
              <w:rPr>
                <w:b/>
              </w:rPr>
              <w:t>This reporting must occur on a monthly basis.</w:t>
            </w:r>
          </w:p>
        </w:tc>
      </w:tr>
      <w:tr w:rsidR="00A642CF" w:rsidRPr="00771F53" w14:paraId="52842308" w14:textId="77777777" w:rsidTr="00A642CF">
        <w:tc>
          <w:tcPr>
            <w:tcW w:w="2293" w:type="dxa"/>
            <w:shd w:val="clear" w:color="auto" w:fill="F2F2F2" w:themeFill="background1" w:themeFillShade="F2"/>
          </w:tcPr>
          <w:p w14:paraId="716A4732" w14:textId="77777777" w:rsidR="00A642CF" w:rsidRPr="00771F53" w:rsidRDefault="00A642CF" w:rsidP="00E724FF">
            <w:pPr>
              <w:rPr>
                <w:b/>
              </w:rPr>
            </w:pPr>
          </w:p>
        </w:tc>
        <w:tc>
          <w:tcPr>
            <w:tcW w:w="270" w:type="dxa"/>
            <w:shd w:val="clear" w:color="auto" w:fill="F2F2F2" w:themeFill="background1" w:themeFillShade="F2"/>
          </w:tcPr>
          <w:p w14:paraId="153A4B18" w14:textId="77777777" w:rsidR="00A642CF" w:rsidRPr="00771F53" w:rsidRDefault="00A642CF" w:rsidP="00E724FF">
            <w:pPr>
              <w:pStyle w:val="Normalgrey"/>
              <w:rPr>
                <w:b/>
              </w:rPr>
            </w:pPr>
          </w:p>
        </w:tc>
        <w:tc>
          <w:tcPr>
            <w:tcW w:w="540" w:type="dxa"/>
            <w:shd w:val="clear" w:color="auto" w:fill="F2F2F2" w:themeFill="background1" w:themeFillShade="F2"/>
          </w:tcPr>
          <w:p w14:paraId="785F89FE" w14:textId="77777777" w:rsidR="00A642CF" w:rsidRPr="00771F53" w:rsidRDefault="00A642CF" w:rsidP="00E924D1">
            <w:pPr>
              <w:pStyle w:val="Refnum2"/>
              <w:rPr>
                <w:b/>
              </w:rPr>
            </w:pPr>
          </w:p>
        </w:tc>
        <w:tc>
          <w:tcPr>
            <w:tcW w:w="6134" w:type="dxa"/>
            <w:shd w:val="clear" w:color="auto" w:fill="F2F2F2" w:themeFill="background1" w:themeFillShade="F2"/>
          </w:tcPr>
          <w:p w14:paraId="043DD0E9" w14:textId="0035D2A7" w:rsidR="00A642CF" w:rsidRPr="00771F53" w:rsidRDefault="00A642CF" w:rsidP="00E724FF">
            <w:pPr>
              <w:rPr>
                <w:b/>
              </w:rPr>
            </w:pPr>
            <w:r w:rsidRPr="00771F53">
              <w:rPr>
                <w:b/>
              </w:rPr>
              <w:t xml:space="preserve">Classify all entities, financial </w:t>
            </w:r>
            <w:proofErr w:type="gramStart"/>
            <w:r w:rsidRPr="00771F53">
              <w:rPr>
                <w:b/>
              </w:rPr>
              <w:t>transactions</w:t>
            </w:r>
            <w:proofErr w:type="gramEnd"/>
            <w:r w:rsidRPr="00771F53">
              <w:rPr>
                <w:b/>
              </w:rPr>
              <w:t xml:space="preserve"> and balances into their departmental or administered categories as required under applicable Australian Accounting Standards</w:t>
            </w:r>
            <w:r w:rsidR="00C42B98">
              <w:rPr>
                <w:b/>
              </w:rPr>
              <w:t>.</w:t>
            </w:r>
          </w:p>
        </w:tc>
      </w:tr>
      <w:tr w:rsidR="0012743A" w:rsidRPr="005828FE" w14:paraId="308CBD8D" w14:textId="77777777" w:rsidTr="00A642CF">
        <w:tc>
          <w:tcPr>
            <w:tcW w:w="2293" w:type="dxa"/>
          </w:tcPr>
          <w:p w14:paraId="3240C013" w14:textId="77777777" w:rsidR="0012743A" w:rsidRPr="0012743A" w:rsidRDefault="0012743A" w:rsidP="00C5037C">
            <w:pPr>
              <w:pStyle w:val="Normalgrey"/>
            </w:pPr>
            <w:r w:rsidRPr="00E2009B">
              <w:lastRenderedPageBreak/>
              <w:t>Definitions</w:t>
            </w:r>
          </w:p>
        </w:tc>
        <w:tc>
          <w:tcPr>
            <w:tcW w:w="270" w:type="dxa"/>
          </w:tcPr>
          <w:p w14:paraId="79156E64" w14:textId="77777777" w:rsidR="0012743A" w:rsidRPr="00CA484A" w:rsidRDefault="0012743A" w:rsidP="00F52BF6">
            <w:pPr>
              <w:pStyle w:val="Refnum1"/>
            </w:pPr>
          </w:p>
        </w:tc>
        <w:tc>
          <w:tcPr>
            <w:tcW w:w="540" w:type="dxa"/>
          </w:tcPr>
          <w:p w14:paraId="4638FC32" w14:textId="77777777" w:rsidR="0012743A" w:rsidRPr="00CA484A" w:rsidRDefault="0012743A" w:rsidP="00C5037C">
            <w:pPr>
              <w:pStyle w:val="Refnum2"/>
            </w:pPr>
          </w:p>
        </w:tc>
        <w:tc>
          <w:tcPr>
            <w:tcW w:w="6134" w:type="dxa"/>
          </w:tcPr>
          <w:p w14:paraId="132FEC66" w14:textId="77777777" w:rsidR="0012743A" w:rsidRPr="0048491D" w:rsidRDefault="0012743A" w:rsidP="00C5037C">
            <w:pPr>
              <w:pStyle w:val="Normalgrey"/>
              <w:rPr>
                <w:iCs/>
              </w:rPr>
            </w:pPr>
            <w:r w:rsidRPr="00413135">
              <w:rPr>
                <w:b/>
                <w:iCs/>
              </w:rPr>
              <w:t>Budget Papers</w:t>
            </w:r>
            <w:r w:rsidRPr="00413135">
              <w:rPr>
                <w:iCs/>
              </w:rPr>
              <w:t>:</w:t>
            </w:r>
            <w:r w:rsidRPr="00214BAE">
              <w:rPr>
                <w:iCs/>
              </w:rPr>
              <w:t xml:space="preserve"> are the Budget Papers for the State of Victoria released as part of the State Budget </w:t>
            </w:r>
            <w:r w:rsidRPr="0048491D">
              <w:rPr>
                <w:iCs/>
              </w:rPr>
              <w:t>for the corresponding financial year.</w:t>
            </w:r>
          </w:p>
        </w:tc>
      </w:tr>
      <w:tr w:rsidR="0012743A" w:rsidRPr="005828FE" w14:paraId="3495D7E0" w14:textId="77777777" w:rsidTr="00A642CF">
        <w:tc>
          <w:tcPr>
            <w:tcW w:w="2293" w:type="dxa"/>
          </w:tcPr>
          <w:p w14:paraId="2250A26A" w14:textId="77777777" w:rsidR="0012743A" w:rsidRPr="00E2009B" w:rsidRDefault="0012743A" w:rsidP="00C5037C">
            <w:pPr>
              <w:pStyle w:val="Normalgrey"/>
            </w:pPr>
          </w:p>
        </w:tc>
        <w:tc>
          <w:tcPr>
            <w:tcW w:w="270" w:type="dxa"/>
          </w:tcPr>
          <w:p w14:paraId="0A738E55" w14:textId="77777777" w:rsidR="0012743A" w:rsidRPr="00D27CF0" w:rsidRDefault="0012743A" w:rsidP="00C5037C">
            <w:pPr>
              <w:pStyle w:val="Refnum1"/>
              <w:numPr>
                <w:ilvl w:val="0"/>
                <w:numId w:val="25"/>
              </w:numPr>
              <w:spacing w:before="60" w:after="60"/>
            </w:pPr>
          </w:p>
        </w:tc>
        <w:tc>
          <w:tcPr>
            <w:tcW w:w="540" w:type="dxa"/>
          </w:tcPr>
          <w:p w14:paraId="328E0B74" w14:textId="77777777" w:rsidR="0012743A" w:rsidRPr="00D27CF0" w:rsidRDefault="0012743A" w:rsidP="00547DFD">
            <w:pPr>
              <w:pStyle w:val="Refnum2"/>
            </w:pPr>
          </w:p>
        </w:tc>
        <w:tc>
          <w:tcPr>
            <w:tcW w:w="6134" w:type="dxa"/>
          </w:tcPr>
          <w:p w14:paraId="0E5A2DA5" w14:textId="23BC30B6" w:rsidR="0012743A" w:rsidRPr="00E81F41" w:rsidRDefault="0012743A" w:rsidP="00C5037C">
            <w:pPr>
              <w:pStyle w:val="Normalgrey"/>
              <w:rPr>
                <w:iCs/>
              </w:rPr>
            </w:pPr>
            <w:r w:rsidRPr="00413135">
              <w:rPr>
                <w:b/>
                <w:iCs/>
              </w:rPr>
              <w:t xml:space="preserve">Departmental objectives: </w:t>
            </w:r>
            <w:r w:rsidRPr="00214BAE">
              <w:rPr>
                <w:iCs/>
              </w:rPr>
              <w:t xml:space="preserve">Departmental objectives are results-based and reflect the extent of </w:t>
            </w:r>
            <w:r w:rsidRPr="0048491D">
              <w:rPr>
                <w:iCs/>
              </w:rPr>
              <w:t xml:space="preserve">the department’s service delivery ambitions over the forward estimates period. They are not vision or mission statements. They are quantifiable steppingstones that help take a department </w:t>
            </w:r>
            <w:r w:rsidRPr="00E81F41">
              <w:rPr>
                <w:iCs/>
              </w:rPr>
              <w:t>towards its desired vision or mission statement.</w:t>
            </w:r>
          </w:p>
        </w:tc>
      </w:tr>
      <w:tr w:rsidR="0012743A" w:rsidRPr="005828FE" w14:paraId="5314F332" w14:textId="77777777" w:rsidTr="00A642CF">
        <w:tc>
          <w:tcPr>
            <w:tcW w:w="2293" w:type="dxa"/>
          </w:tcPr>
          <w:p w14:paraId="73878A68" w14:textId="77777777" w:rsidR="0012743A" w:rsidRPr="00FC0574" w:rsidRDefault="0012743A" w:rsidP="00C5037C">
            <w:pPr>
              <w:pStyle w:val="Normalgrey"/>
            </w:pPr>
          </w:p>
        </w:tc>
        <w:tc>
          <w:tcPr>
            <w:tcW w:w="270" w:type="dxa"/>
          </w:tcPr>
          <w:p w14:paraId="31D5B669" w14:textId="77777777" w:rsidR="0012743A" w:rsidRPr="00FC0574" w:rsidRDefault="0012743A" w:rsidP="00C5037C">
            <w:pPr>
              <w:pStyle w:val="Refnum1"/>
              <w:numPr>
                <w:ilvl w:val="0"/>
                <w:numId w:val="0"/>
              </w:numPr>
            </w:pPr>
          </w:p>
        </w:tc>
        <w:tc>
          <w:tcPr>
            <w:tcW w:w="540" w:type="dxa"/>
          </w:tcPr>
          <w:p w14:paraId="6EC3B315" w14:textId="77777777" w:rsidR="0012743A" w:rsidRPr="00FC0574" w:rsidRDefault="0012743A" w:rsidP="00C5037C">
            <w:pPr>
              <w:pStyle w:val="Refnum2"/>
            </w:pPr>
          </w:p>
        </w:tc>
        <w:tc>
          <w:tcPr>
            <w:tcW w:w="6134" w:type="dxa"/>
          </w:tcPr>
          <w:p w14:paraId="64BA1DC5" w14:textId="77777777" w:rsidR="0012743A" w:rsidRPr="00413135" w:rsidRDefault="0012743A" w:rsidP="00C5037C">
            <w:pPr>
              <w:pStyle w:val="Normalgrey"/>
              <w:rPr>
                <w:b/>
                <w:iCs/>
              </w:rPr>
            </w:pPr>
            <w:r w:rsidRPr="00413135">
              <w:rPr>
                <w:b/>
                <w:iCs/>
              </w:rPr>
              <w:t>Objective indicators:</w:t>
            </w:r>
            <w:r w:rsidRPr="00214BAE">
              <w:rPr>
                <w:iCs/>
              </w:rPr>
              <w:t xml:space="preserve"> Departmental objective indicators are</w:t>
            </w:r>
            <w:r w:rsidRPr="0048491D">
              <w:rPr>
                <w:iCs/>
              </w:rPr>
              <w:t xml:space="preserve"> pieces of data that demonstrate progress towards the achievement of a department’s objectives. Indicators provide evidence to support measurement and management of performance.</w:t>
            </w:r>
          </w:p>
        </w:tc>
      </w:tr>
      <w:tr w:rsidR="0012743A" w:rsidRPr="005828FE" w14:paraId="3A991FD0" w14:textId="77777777" w:rsidTr="00A642CF">
        <w:tc>
          <w:tcPr>
            <w:tcW w:w="2293" w:type="dxa"/>
          </w:tcPr>
          <w:p w14:paraId="65C29CD4" w14:textId="77777777" w:rsidR="0012743A" w:rsidRPr="00FC0574" w:rsidRDefault="0012743A" w:rsidP="00C5037C">
            <w:pPr>
              <w:pStyle w:val="Normalgrey"/>
            </w:pPr>
          </w:p>
        </w:tc>
        <w:tc>
          <w:tcPr>
            <w:tcW w:w="270" w:type="dxa"/>
          </w:tcPr>
          <w:p w14:paraId="76075EC8" w14:textId="77777777" w:rsidR="0012743A" w:rsidRPr="00FC0574" w:rsidRDefault="0012743A" w:rsidP="00C5037C">
            <w:pPr>
              <w:pStyle w:val="Refnum1"/>
              <w:numPr>
                <w:ilvl w:val="0"/>
                <w:numId w:val="0"/>
              </w:numPr>
            </w:pPr>
          </w:p>
        </w:tc>
        <w:tc>
          <w:tcPr>
            <w:tcW w:w="540" w:type="dxa"/>
          </w:tcPr>
          <w:p w14:paraId="13CC22D5" w14:textId="77777777" w:rsidR="0012743A" w:rsidRPr="00FC0574" w:rsidRDefault="0012743A" w:rsidP="00C5037C">
            <w:pPr>
              <w:pStyle w:val="Refnum2"/>
            </w:pPr>
          </w:p>
        </w:tc>
        <w:tc>
          <w:tcPr>
            <w:tcW w:w="6134" w:type="dxa"/>
          </w:tcPr>
          <w:p w14:paraId="196108BE" w14:textId="77777777" w:rsidR="0012743A" w:rsidRPr="00413135" w:rsidRDefault="0012743A" w:rsidP="00C5037C">
            <w:pPr>
              <w:pStyle w:val="Normalgrey"/>
              <w:rPr>
                <w:b/>
                <w:iCs/>
              </w:rPr>
            </w:pPr>
            <w:r w:rsidRPr="00413135">
              <w:rPr>
                <w:b/>
                <w:iCs/>
              </w:rPr>
              <w:t>Outputs:</w:t>
            </w:r>
            <w:r w:rsidRPr="00214BAE">
              <w:rPr>
                <w:iCs/>
              </w:rPr>
              <w:t xml:space="preserve"> Outputs are final products or goods and services produced or delivered and </w:t>
            </w:r>
            <w:r w:rsidRPr="0048491D">
              <w:rPr>
                <w:iCs/>
              </w:rPr>
              <w:t>include products and services delivered to the community by departments or entities on behalf of the State (</w:t>
            </w:r>
            <w:proofErr w:type="gramStart"/>
            <w:r w:rsidRPr="0048491D">
              <w:rPr>
                <w:iCs/>
              </w:rPr>
              <w:t>e.g.</w:t>
            </w:r>
            <w:proofErr w:type="gramEnd"/>
            <w:r w:rsidRPr="0048491D">
              <w:rPr>
                <w:iCs/>
              </w:rPr>
              <w:t xml:space="preserve"> education, health services), or products and services provided to other departments (e.g. services provided by the State Services Aut</w:t>
            </w:r>
            <w:r w:rsidRPr="00E81F41">
              <w:rPr>
                <w:iCs/>
              </w:rPr>
              <w:t>hority to support the public sector).</w:t>
            </w:r>
          </w:p>
        </w:tc>
      </w:tr>
      <w:tr w:rsidR="0012743A" w:rsidRPr="005828FE" w14:paraId="2B736661" w14:textId="77777777" w:rsidTr="00A642CF">
        <w:tc>
          <w:tcPr>
            <w:tcW w:w="2293" w:type="dxa"/>
          </w:tcPr>
          <w:p w14:paraId="1F6650A5" w14:textId="77777777" w:rsidR="0012743A" w:rsidRPr="00FC0574" w:rsidRDefault="0012743A" w:rsidP="00C5037C">
            <w:pPr>
              <w:pStyle w:val="Normalgrey"/>
            </w:pPr>
          </w:p>
        </w:tc>
        <w:tc>
          <w:tcPr>
            <w:tcW w:w="270" w:type="dxa"/>
          </w:tcPr>
          <w:p w14:paraId="33309ADD" w14:textId="77777777" w:rsidR="0012743A" w:rsidRPr="00FC0574" w:rsidRDefault="0012743A" w:rsidP="00C5037C">
            <w:pPr>
              <w:pStyle w:val="Refnum1"/>
              <w:numPr>
                <w:ilvl w:val="0"/>
                <w:numId w:val="0"/>
              </w:numPr>
            </w:pPr>
          </w:p>
        </w:tc>
        <w:tc>
          <w:tcPr>
            <w:tcW w:w="540" w:type="dxa"/>
          </w:tcPr>
          <w:p w14:paraId="6AB1F0B7" w14:textId="77777777" w:rsidR="0012743A" w:rsidRPr="00FC0574" w:rsidRDefault="0012743A" w:rsidP="00C5037C">
            <w:pPr>
              <w:pStyle w:val="Refnum2"/>
            </w:pPr>
          </w:p>
        </w:tc>
        <w:tc>
          <w:tcPr>
            <w:tcW w:w="6134" w:type="dxa"/>
          </w:tcPr>
          <w:p w14:paraId="476C93EB" w14:textId="451535FA" w:rsidR="0012743A" w:rsidRPr="00413135" w:rsidRDefault="0012743A" w:rsidP="00C5037C">
            <w:pPr>
              <w:pStyle w:val="Normalgrey"/>
              <w:rPr>
                <w:b/>
                <w:iCs/>
              </w:rPr>
            </w:pPr>
            <w:r w:rsidRPr="00413135">
              <w:rPr>
                <w:b/>
                <w:iCs/>
              </w:rPr>
              <w:t>Output targets:</w:t>
            </w:r>
            <w:r w:rsidRPr="00214BAE">
              <w:rPr>
                <w:iCs/>
              </w:rPr>
              <w:t xml:space="preserve"> Output targets express a specific level of output the department is aiming to achieve within a given </w:t>
            </w:r>
            <w:proofErr w:type="gramStart"/>
            <w:r w:rsidR="00CB1129">
              <w:rPr>
                <w:iCs/>
              </w:rPr>
              <w:t>period of time</w:t>
            </w:r>
            <w:proofErr w:type="gramEnd"/>
            <w:r w:rsidRPr="00214BAE">
              <w:rPr>
                <w:iCs/>
              </w:rPr>
              <w:t>.</w:t>
            </w:r>
          </w:p>
        </w:tc>
      </w:tr>
      <w:tr w:rsidR="00481FBE" w:rsidRPr="005828FE" w14:paraId="509D73E9" w14:textId="77777777" w:rsidTr="00A642CF">
        <w:tc>
          <w:tcPr>
            <w:tcW w:w="2293" w:type="dxa"/>
          </w:tcPr>
          <w:p w14:paraId="48A909A2" w14:textId="1C42CF60" w:rsidR="00481FBE" w:rsidRPr="00FC0574" w:rsidRDefault="0071114A" w:rsidP="00C5037C">
            <w:pPr>
              <w:pStyle w:val="Normalgrey"/>
            </w:pPr>
            <w:r w:rsidRPr="0071114A">
              <w:t>Procedure</w:t>
            </w:r>
          </w:p>
        </w:tc>
        <w:tc>
          <w:tcPr>
            <w:tcW w:w="270" w:type="dxa"/>
          </w:tcPr>
          <w:p w14:paraId="17E3671E" w14:textId="77777777" w:rsidR="00481FBE" w:rsidRPr="00FC0574" w:rsidRDefault="00481FBE" w:rsidP="00C5037C">
            <w:pPr>
              <w:pStyle w:val="Refnum1"/>
              <w:numPr>
                <w:ilvl w:val="0"/>
                <w:numId w:val="0"/>
              </w:numPr>
            </w:pPr>
          </w:p>
        </w:tc>
        <w:tc>
          <w:tcPr>
            <w:tcW w:w="540" w:type="dxa"/>
          </w:tcPr>
          <w:p w14:paraId="5CDB1D68" w14:textId="77777777" w:rsidR="001B3BAA" w:rsidRPr="001B3BAA" w:rsidRDefault="001B3BAA" w:rsidP="001B3BAA">
            <w:pPr>
              <w:pStyle w:val="ListParagraph"/>
              <w:numPr>
                <w:ilvl w:val="0"/>
                <w:numId w:val="27"/>
              </w:numPr>
              <w:spacing w:before="160" w:after="100"/>
              <w:contextualSpacing w:val="0"/>
              <w:rPr>
                <w:rFonts w:asciiTheme="minorHAnsi" w:hAnsiTheme="minorHAnsi"/>
                <w:vanish/>
                <w:color w:val="FFFFFF" w:themeColor="background1"/>
                <w:sz w:val="18"/>
              </w:rPr>
            </w:pPr>
          </w:p>
          <w:p w14:paraId="173F46AD" w14:textId="77777777" w:rsidR="001B3BAA" w:rsidRPr="001B3BAA" w:rsidRDefault="001B3BAA" w:rsidP="001B3BAA">
            <w:pPr>
              <w:pStyle w:val="ListParagraph"/>
              <w:numPr>
                <w:ilvl w:val="1"/>
                <w:numId w:val="27"/>
              </w:numPr>
              <w:spacing w:before="160" w:after="100" w:line="264" w:lineRule="auto"/>
              <w:contextualSpacing w:val="0"/>
              <w:rPr>
                <w:rFonts w:asciiTheme="minorHAnsi" w:eastAsiaTheme="minorHAnsi" w:hAnsiTheme="minorHAnsi" w:cstheme="minorBidi"/>
                <w:vanish/>
                <w:color w:val="auto"/>
                <w:spacing w:val="2"/>
                <w:sz w:val="18"/>
              </w:rPr>
            </w:pPr>
          </w:p>
          <w:p w14:paraId="09F7A685" w14:textId="18C9F817" w:rsidR="00481FBE" w:rsidRPr="00FC0574" w:rsidRDefault="00481FBE" w:rsidP="001B3BAA">
            <w:pPr>
              <w:pStyle w:val="Refnum2"/>
            </w:pPr>
          </w:p>
        </w:tc>
        <w:tc>
          <w:tcPr>
            <w:tcW w:w="6134" w:type="dxa"/>
          </w:tcPr>
          <w:p w14:paraId="7CBBEDC4" w14:textId="1FD7F6E0" w:rsidR="00481FBE" w:rsidRPr="00895AE1" w:rsidRDefault="00895AE1" w:rsidP="00C5037C">
            <w:pPr>
              <w:pStyle w:val="Normalgrey"/>
              <w:rPr>
                <w:bCs/>
                <w:iCs/>
              </w:rPr>
            </w:pPr>
            <w:r w:rsidRPr="00895AE1">
              <w:rPr>
                <w:bCs/>
                <w:iCs/>
              </w:rPr>
              <w:t>The comparison between portfolio budget and actual figures must be presented as a set of financial statements in the same format and consolidation basis as those for the portfolio set out in the Budget Papers for that financial year. The presentation of the non-financial information on outputs is illustrated in the Model Report.</w:t>
            </w:r>
          </w:p>
        </w:tc>
      </w:tr>
      <w:tr w:rsidR="00481FBE" w:rsidRPr="005828FE" w14:paraId="662A7340" w14:textId="77777777" w:rsidTr="00A642CF">
        <w:tc>
          <w:tcPr>
            <w:tcW w:w="2293" w:type="dxa"/>
          </w:tcPr>
          <w:p w14:paraId="4ED7D5AB" w14:textId="179824B2" w:rsidR="00481FBE" w:rsidRPr="00FC0574" w:rsidRDefault="00413CFF" w:rsidP="00C5037C">
            <w:pPr>
              <w:pStyle w:val="Normalgrey"/>
            </w:pPr>
            <w:r w:rsidRPr="00413CFF">
              <w:t>Relevant pronouncements</w:t>
            </w:r>
          </w:p>
        </w:tc>
        <w:tc>
          <w:tcPr>
            <w:tcW w:w="270" w:type="dxa"/>
          </w:tcPr>
          <w:p w14:paraId="492CE719" w14:textId="77777777" w:rsidR="00481FBE" w:rsidRPr="00FC0574" w:rsidRDefault="00481FBE" w:rsidP="00C5037C">
            <w:pPr>
              <w:pStyle w:val="Refnum1"/>
              <w:numPr>
                <w:ilvl w:val="0"/>
                <w:numId w:val="0"/>
              </w:numPr>
            </w:pPr>
          </w:p>
        </w:tc>
        <w:tc>
          <w:tcPr>
            <w:tcW w:w="540" w:type="dxa"/>
          </w:tcPr>
          <w:p w14:paraId="5AAA8C16" w14:textId="77777777" w:rsidR="00481FBE" w:rsidRPr="00FC0574" w:rsidRDefault="00481FBE" w:rsidP="00C5037C">
            <w:pPr>
              <w:pStyle w:val="Refnum2"/>
            </w:pPr>
          </w:p>
        </w:tc>
        <w:tc>
          <w:tcPr>
            <w:tcW w:w="6134" w:type="dxa"/>
          </w:tcPr>
          <w:p w14:paraId="511DDD97" w14:textId="77777777" w:rsidR="00082E19" w:rsidRDefault="00082E19" w:rsidP="00082E19">
            <w:pPr>
              <w:pStyle w:val="Bullet1grey"/>
            </w:pPr>
            <w:r>
              <w:t xml:space="preserve">AASB 101 </w:t>
            </w:r>
            <w:r w:rsidRPr="00FA4796">
              <w:rPr>
                <w:i/>
              </w:rPr>
              <w:t>Presentation of Financial Statements</w:t>
            </w:r>
          </w:p>
          <w:p w14:paraId="1566B802" w14:textId="77777777" w:rsidR="00082E19" w:rsidRPr="00082E19" w:rsidRDefault="00082E19" w:rsidP="00082E19">
            <w:pPr>
              <w:pStyle w:val="Bullet1grey"/>
            </w:pPr>
            <w:r>
              <w:t xml:space="preserve">AASB 1055 </w:t>
            </w:r>
            <w:r w:rsidRPr="00FA4796">
              <w:rPr>
                <w:i/>
              </w:rPr>
              <w:t>Budgetary Reporting</w:t>
            </w:r>
          </w:p>
          <w:p w14:paraId="5BCD184F" w14:textId="322375B0" w:rsidR="00481FBE" w:rsidRPr="00082E19" w:rsidRDefault="00082E19" w:rsidP="00082E19">
            <w:pPr>
              <w:pStyle w:val="Bullet1grey"/>
            </w:pPr>
            <w:r>
              <w:t xml:space="preserve">FRD 13 </w:t>
            </w:r>
            <w:r w:rsidRPr="00082E19">
              <w:rPr>
                <w:i/>
              </w:rPr>
              <w:t>Disclosure of Parliamentary Appropriations</w:t>
            </w:r>
          </w:p>
        </w:tc>
      </w:tr>
      <w:tr w:rsidR="00481FBE" w:rsidRPr="005828FE" w14:paraId="0B69ED4C" w14:textId="77777777" w:rsidTr="00A642CF">
        <w:tc>
          <w:tcPr>
            <w:tcW w:w="2293" w:type="dxa"/>
          </w:tcPr>
          <w:p w14:paraId="601F86FF" w14:textId="25E02CDF" w:rsidR="00481FBE" w:rsidRPr="00FC0574" w:rsidRDefault="00C6277F" w:rsidP="00C5037C">
            <w:pPr>
              <w:pStyle w:val="Normalgrey"/>
            </w:pPr>
            <w:r w:rsidRPr="00C6277F">
              <w:lastRenderedPageBreak/>
              <w:t>Background</w:t>
            </w:r>
          </w:p>
        </w:tc>
        <w:tc>
          <w:tcPr>
            <w:tcW w:w="270" w:type="dxa"/>
          </w:tcPr>
          <w:p w14:paraId="348ABC01" w14:textId="77777777" w:rsidR="00481FBE" w:rsidRPr="00FC0574" w:rsidRDefault="00481FBE" w:rsidP="00C5037C">
            <w:pPr>
              <w:pStyle w:val="Refnum1"/>
              <w:numPr>
                <w:ilvl w:val="0"/>
                <w:numId w:val="0"/>
              </w:numPr>
            </w:pPr>
          </w:p>
        </w:tc>
        <w:tc>
          <w:tcPr>
            <w:tcW w:w="540" w:type="dxa"/>
          </w:tcPr>
          <w:p w14:paraId="60FD573A" w14:textId="77777777" w:rsidR="00990343" w:rsidRPr="00990343" w:rsidRDefault="00990343" w:rsidP="00990343">
            <w:pPr>
              <w:pStyle w:val="ListParagraph"/>
              <w:numPr>
                <w:ilvl w:val="0"/>
                <w:numId w:val="27"/>
              </w:numPr>
              <w:spacing w:before="160" w:after="100"/>
              <w:contextualSpacing w:val="0"/>
              <w:rPr>
                <w:rFonts w:asciiTheme="minorHAnsi" w:hAnsiTheme="minorHAnsi"/>
                <w:vanish/>
                <w:color w:val="FFFFFF" w:themeColor="background1"/>
                <w:sz w:val="18"/>
              </w:rPr>
            </w:pPr>
          </w:p>
          <w:p w14:paraId="3318FC3A" w14:textId="77777777" w:rsidR="00990343" w:rsidRPr="00990343" w:rsidRDefault="00990343" w:rsidP="00990343">
            <w:pPr>
              <w:pStyle w:val="ListParagraph"/>
              <w:numPr>
                <w:ilvl w:val="1"/>
                <w:numId w:val="27"/>
              </w:numPr>
              <w:spacing w:before="160" w:after="100" w:line="264" w:lineRule="auto"/>
              <w:contextualSpacing w:val="0"/>
              <w:rPr>
                <w:rFonts w:asciiTheme="minorHAnsi" w:eastAsiaTheme="minorHAnsi" w:hAnsiTheme="minorHAnsi" w:cstheme="minorBidi"/>
                <w:vanish/>
                <w:color w:val="auto"/>
                <w:spacing w:val="2"/>
                <w:sz w:val="18"/>
              </w:rPr>
            </w:pPr>
          </w:p>
          <w:p w14:paraId="495B4442" w14:textId="48139A73" w:rsidR="00481FBE" w:rsidRPr="00FC0574" w:rsidRDefault="00481FBE" w:rsidP="00990343">
            <w:pPr>
              <w:pStyle w:val="Refnum2"/>
            </w:pPr>
          </w:p>
        </w:tc>
        <w:tc>
          <w:tcPr>
            <w:tcW w:w="6134" w:type="dxa"/>
          </w:tcPr>
          <w:p w14:paraId="3A2A7C06" w14:textId="77777777" w:rsidR="000B7185" w:rsidRPr="000B7185" w:rsidRDefault="000B7185" w:rsidP="000B7185">
            <w:pPr>
              <w:pStyle w:val="Normalgrey"/>
              <w:rPr>
                <w:bCs/>
                <w:iCs/>
              </w:rPr>
            </w:pPr>
            <w:r w:rsidRPr="000B7185">
              <w:rPr>
                <w:bCs/>
                <w:iCs/>
              </w:rPr>
              <w:t xml:space="preserve">Under the accrual output based appropriation, budgeting, performance monitoring and reporting model introduced by the Victorian Government through the 1998-99 budget, the accountability loop for departments commences with the publication of budget portfolio financial statements in the annual Budget Papers and ends with the publication of actual results in departmental annual reports. </w:t>
            </w:r>
          </w:p>
          <w:p w14:paraId="0AE4B4A5" w14:textId="77777777" w:rsidR="000B7185" w:rsidRPr="000B7185" w:rsidRDefault="000B7185" w:rsidP="000B7185">
            <w:pPr>
              <w:pStyle w:val="Normalgrey"/>
              <w:rPr>
                <w:bCs/>
                <w:iCs/>
              </w:rPr>
            </w:pPr>
            <w:r w:rsidRPr="000B7185">
              <w:rPr>
                <w:bCs/>
                <w:iCs/>
              </w:rPr>
              <w:t>In the 2008-09 Budget Papers, AASB 1049 Whole of Government and General Government Sector Financial Reporting was implemented at the general government level. It requires a financial statement presentation format that reflects harmonisation of Government Financial Statistics and Generally Accepted Accounting Principles. However, the presentation formats of the departmental statements in the 2008-09 Budget Papers were unchanged.</w:t>
            </w:r>
          </w:p>
          <w:p w14:paraId="02F2D5D8" w14:textId="77777777" w:rsidR="000B7185" w:rsidRPr="000B7185" w:rsidRDefault="000B7185" w:rsidP="000B7185">
            <w:pPr>
              <w:pStyle w:val="Normalgrey"/>
              <w:rPr>
                <w:bCs/>
                <w:iCs/>
              </w:rPr>
            </w:pPr>
            <w:r w:rsidRPr="000B7185">
              <w:rPr>
                <w:bCs/>
                <w:iCs/>
              </w:rPr>
              <w:t xml:space="preserve">Consistent with AASB 101 (September 2007), DTF has decided that by early adopting this standard from 1 July 2008, the presentation formats of departmental statements should be aligned with the formats required at the whole of government and general government levels. Departments started implementing these new formats in their 2008-09 annual reports. </w:t>
            </w:r>
          </w:p>
          <w:p w14:paraId="39025FEA" w14:textId="77777777" w:rsidR="000B7185" w:rsidRPr="000B7185" w:rsidRDefault="000B7185" w:rsidP="000B7185">
            <w:pPr>
              <w:pStyle w:val="Normalgrey"/>
              <w:rPr>
                <w:bCs/>
                <w:iCs/>
              </w:rPr>
            </w:pPr>
            <w:r w:rsidRPr="000B7185">
              <w:rPr>
                <w:bCs/>
                <w:iCs/>
              </w:rPr>
              <w:t>Transitional arrangements enabled the departmental statements to be presented in a common format for the comparison of the budget and actuals in their 2008-09 annual report.</w:t>
            </w:r>
          </w:p>
          <w:p w14:paraId="4D568645" w14:textId="2B266070" w:rsidR="00481FBE" w:rsidRPr="000B7185" w:rsidRDefault="000B7185" w:rsidP="000B7185">
            <w:pPr>
              <w:pStyle w:val="Normalgrey"/>
              <w:rPr>
                <w:bCs/>
                <w:iCs/>
              </w:rPr>
            </w:pPr>
            <w:r w:rsidRPr="000B7185">
              <w:rPr>
                <w:bCs/>
                <w:iCs/>
              </w:rPr>
              <w:t>AASB 2013-1 (March 2013) amends AASB 1049 Whole of Government and General Government Sector by relocating the disclosure requirements of budgetary information to AASB 1055 Budgetary Reporting.</w:t>
            </w:r>
          </w:p>
        </w:tc>
      </w:tr>
      <w:tr w:rsidR="001D6A0A" w:rsidRPr="005828FE" w14:paraId="35AAA15F" w14:textId="77777777" w:rsidTr="00A642CF">
        <w:tc>
          <w:tcPr>
            <w:tcW w:w="2293" w:type="dxa"/>
          </w:tcPr>
          <w:p w14:paraId="645E163E" w14:textId="77777777" w:rsidR="001D6A0A" w:rsidRPr="00FC0574" w:rsidRDefault="001D6A0A" w:rsidP="00C5037C">
            <w:pPr>
              <w:pStyle w:val="Normalgrey"/>
            </w:pPr>
          </w:p>
        </w:tc>
        <w:tc>
          <w:tcPr>
            <w:tcW w:w="270" w:type="dxa"/>
          </w:tcPr>
          <w:p w14:paraId="088834CC" w14:textId="77777777" w:rsidR="001D6A0A" w:rsidRPr="00FC0574" w:rsidRDefault="001D6A0A" w:rsidP="00C5037C">
            <w:pPr>
              <w:pStyle w:val="Refnum1"/>
              <w:numPr>
                <w:ilvl w:val="0"/>
                <w:numId w:val="0"/>
              </w:numPr>
            </w:pPr>
          </w:p>
        </w:tc>
        <w:tc>
          <w:tcPr>
            <w:tcW w:w="540" w:type="dxa"/>
          </w:tcPr>
          <w:p w14:paraId="6C5E3BA4" w14:textId="77777777" w:rsidR="001D6A0A" w:rsidRPr="00FC0574" w:rsidRDefault="001D6A0A" w:rsidP="00C5037C">
            <w:pPr>
              <w:pStyle w:val="Refnum2"/>
            </w:pPr>
          </w:p>
        </w:tc>
        <w:tc>
          <w:tcPr>
            <w:tcW w:w="6134" w:type="dxa"/>
          </w:tcPr>
          <w:p w14:paraId="3D29780D" w14:textId="77777777" w:rsidR="003E2399" w:rsidRDefault="003E2399" w:rsidP="003E2399">
            <w:pPr>
              <w:pStyle w:val="Normalgrey"/>
            </w:pPr>
            <w:r>
              <w:t>This FRD was updated in:</w:t>
            </w:r>
          </w:p>
          <w:p w14:paraId="7AEF4E61" w14:textId="77777777" w:rsidR="003E2399" w:rsidRPr="0012743A" w:rsidRDefault="003E2399" w:rsidP="003E2399">
            <w:pPr>
              <w:pStyle w:val="Bullet1grey"/>
            </w:pPr>
            <w:r>
              <w:t xml:space="preserve">April 2006 to </w:t>
            </w:r>
            <w:r w:rsidRPr="0012743A">
              <w:t>reflect budget and presentation changes.</w:t>
            </w:r>
          </w:p>
          <w:p w14:paraId="499EE044" w14:textId="77777777" w:rsidR="003E2399" w:rsidRPr="0012743A" w:rsidRDefault="003E2399" w:rsidP="003E2399">
            <w:pPr>
              <w:pStyle w:val="Bullet1grey"/>
            </w:pPr>
            <w:r w:rsidRPr="0012743A">
              <w:t>January 2009 to reflect transitional arrangements for 2008-09.</w:t>
            </w:r>
          </w:p>
          <w:p w14:paraId="6F0E6273" w14:textId="77777777" w:rsidR="003E2399" w:rsidRPr="00790A89" w:rsidRDefault="003E2399" w:rsidP="003E2399">
            <w:pPr>
              <w:pStyle w:val="Bullet1grey"/>
            </w:pPr>
            <w:r w:rsidRPr="0012743A">
              <w:t>April 2015 to:</w:t>
            </w:r>
          </w:p>
          <w:p w14:paraId="15E3B623" w14:textId="77777777" w:rsidR="003E2399" w:rsidRPr="00BF6EED" w:rsidRDefault="003E2399" w:rsidP="003E2399">
            <w:pPr>
              <w:pStyle w:val="Bullet2grey"/>
            </w:pPr>
            <w:r w:rsidRPr="00BF6EED">
              <w:t xml:space="preserve">update references from AASB 1049 to AASB </w:t>
            </w:r>
            <w:proofErr w:type="gramStart"/>
            <w:r w:rsidRPr="00BF6EED">
              <w:t>1055;</w:t>
            </w:r>
            <w:proofErr w:type="gramEnd"/>
          </w:p>
          <w:p w14:paraId="5BCF26F8" w14:textId="77777777" w:rsidR="003E2399" w:rsidRPr="00FA4DCC" w:rsidRDefault="003E2399" w:rsidP="003E2399">
            <w:pPr>
              <w:pStyle w:val="Bullet2grey"/>
            </w:pPr>
            <w:r w:rsidRPr="00BE6A67">
              <w:t>delete the transitional arrangements for 20</w:t>
            </w:r>
            <w:r w:rsidRPr="00FA4DCC">
              <w:t xml:space="preserve">08-09 </w:t>
            </w:r>
            <w:r>
              <w:t xml:space="preserve">as </w:t>
            </w:r>
            <w:r w:rsidRPr="00FA4DCC">
              <w:t xml:space="preserve">they are no longer </w:t>
            </w:r>
            <w:proofErr w:type="gramStart"/>
            <w:r w:rsidRPr="00FA4DCC">
              <w:t>applicable;</w:t>
            </w:r>
            <w:proofErr w:type="gramEnd"/>
          </w:p>
          <w:p w14:paraId="3516D229" w14:textId="77777777" w:rsidR="003E2399" w:rsidRPr="00790A89" w:rsidRDefault="003E2399" w:rsidP="003E2399">
            <w:pPr>
              <w:pStyle w:val="Bullet2grey"/>
            </w:pPr>
            <w:r>
              <w:t xml:space="preserve">relocate the requirement for entities </w:t>
            </w:r>
            <w:r w:rsidRPr="00790A89">
              <w:t xml:space="preserve">to report their departmental objectives and objective indicators from the Budget Papers and report on </w:t>
            </w:r>
            <w:r>
              <w:t xml:space="preserve">their </w:t>
            </w:r>
            <w:r w:rsidRPr="00790A89">
              <w:t xml:space="preserve">progress towards achievement of these objectives </w:t>
            </w:r>
            <w:r>
              <w:t>from FRD 22 to this FRD</w:t>
            </w:r>
            <w:r w:rsidRPr="00790A89">
              <w:t>;</w:t>
            </w:r>
            <w:r>
              <w:t xml:space="preserve"> and</w:t>
            </w:r>
          </w:p>
          <w:p w14:paraId="47892F1C" w14:textId="77777777" w:rsidR="003E2399" w:rsidRDefault="003E2399" w:rsidP="003E2399">
            <w:pPr>
              <w:pStyle w:val="Bullet2grey"/>
            </w:pPr>
            <w:r>
              <w:t xml:space="preserve">require </w:t>
            </w:r>
            <w:r w:rsidRPr="00790A89">
              <w:t xml:space="preserve">a comparison of the output targets </w:t>
            </w:r>
            <w:r>
              <w:t>published</w:t>
            </w:r>
            <w:r w:rsidRPr="00790A89">
              <w:t xml:space="preserve"> in the </w:t>
            </w:r>
            <w:r>
              <w:t>Budget Papers</w:t>
            </w:r>
            <w:r w:rsidRPr="00790A89">
              <w:t xml:space="preserve"> with actual performance against those targets</w:t>
            </w:r>
            <w:r>
              <w:t xml:space="preserve"> required under Standing Direction 4.2(k).</w:t>
            </w:r>
          </w:p>
          <w:p w14:paraId="21C80BA5" w14:textId="77777777" w:rsidR="001D6A0A" w:rsidRPr="007703DB" w:rsidRDefault="003E2399" w:rsidP="00975E67">
            <w:pPr>
              <w:pStyle w:val="Bullet1"/>
              <w:rPr>
                <w:b/>
                <w:iCs/>
              </w:rPr>
            </w:pPr>
            <w:r>
              <w:t xml:space="preserve">January 2016 to relocate section 4.2 (m) from the Standing Directions of the Minister for Finance, as part of the </w:t>
            </w:r>
            <w:r w:rsidRPr="00A96340">
              <w:t>Standing Directions review project. Reporting requirements in the ann</w:t>
            </w:r>
            <w:r>
              <w:t xml:space="preserve">ual report are being relocated </w:t>
            </w:r>
            <w:r w:rsidRPr="00A96340">
              <w:t>to FRDs, to remove duplication between the Standing Directions and FRDs and centralise the reporting requirements in a more appropriate instrument.</w:t>
            </w:r>
          </w:p>
          <w:p w14:paraId="7622F1FE" w14:textId="62C8CF88" w:rsidR="00372FC6" w:rsidRPr="007703DB" w:rsidRDefault="008A42F5" w:rsidP="00975E67">
            <w:pPr>
              <w:pStyle w:val="Bullet1"/>
              <w:rPr>
                <w:bCs/>
                <w:iCs/>
              </w:rPr>
            </w:pPr>
            <w:r w:rsidRPr="007703DB">
              <w:rPr>
                <w:bCs/>
                <w:iCs/>
              </w:rPr>
              <w:t xml:space="preserve">April 2024 to require additional disclosures on </w:t>
            </w:r>
            <w:r w:rsidR="00032D55">
              <w:rPr>
                <w:bCs/>
                <w:iCs/>
              </w:rPr>
              <w:t xml:space="preserve">the subsequent impact </w:t>
            </w:r>
            <w:r w:rsidRPr="007703DB">
              <w:rPr>
                <w:bCs/>
                <w:iCs/>
              </w:rPr>
              <w:t>any significant output underspending has on service delivery.</w:t>
            </w:r>
          </w:p>
        </w:tc>
      </w:tr>
    </w:tbl>
    <w:p w14:paraId="79C3016C" w14:textId="77777777" w:rsidR="00565CF3" w:rsidRDefault="00565CF3" w:rsidP="006C78FB"/>
    <w:sectPr w:rsidR="00565CF3" w:rsidSect="005828FE">
      <w:headerReference w:type="even" r:id="rId9"/>
      <w:headerReference w:type="default" r:id="rId10"/>
      <w:footerReference w:type="even" r:id="rId11"/>
      <w:footerReference w:type="default" r:id="rId12"/>
      <w:headerReference w:type="first" r:id="rId13"/>
      <w:footerReference w:type="first" r:id="rId14"/>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4FC3" w14:textId="77777777" w:rsidR="00442BCD" w:rsidRDefault="00442BCD" w:rsidP="002D711A">
      <w:pPr>
        <w:spacing w:after="0" w:line="240" w:lineRule="auto"/>
      </w:pPr>
      <w:r>
        <w:separator/>
      </w:r>
    </w:p>
    <w:p w14:paraId="2EA7E334" w14:textId="77777777" w:rsidR="00442BCD" w:rsidRDefault="00442BCD"/>
  </w:endnote>
  <w:endnote w:type="continuationSeparator" w:id="0">
    <w:p w14:paraId="6FB41148" w14:textId="77777777" w:rsidR="00442BCD" w:rsidRDefault="00442BCD" w:rsidP="002D711A">
      <w:pPr>
        <w:spacing w:after="0" w:line="240" w:lineRule="auto"/>
      </w:pPr>
      <w:r>
        <w:continuationSeparator/>
      </w:r>
    </w:p>
    <w:p w14:paraId="6A07E1C7" w14:textId="77777777" w:rsidR="00442BCD" w:rsidRDefault="00442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1266" w14:textId="77777777" w:rsidR="00014213" w:rsidRPr="00014213" w:rsidRDefault="00014213" w:rsidP="00C022F9">
    <w:pPr>
      <w:pStyle w:val="Footer"/>
    </w:pPr>
    <w:r>
      <w:drawing>
        <wp:anchor distT="0" distB="0" distL="114300" distR="114300" simplePos="0" relativeHeight="251656192" behindDoc="0" locked="0" layoutInCell="1" allowOverlap="1" wp14:anchorId="658246F1" wp14:editId="51E87D97">
          <wp:simplePos x="0" y="0"/>
          <wp:positionH relativeFrom="column">
            <wp:posOffset>4240861</wp:posOffset>
          </wp:positionH>
          <wp:positionV relativeFrom="page">
            <wp:posOffset>9493250</wp:posOffset>
          </wp:positionV>
          <wp:extent cx="1956435" cy="582930"/>
          <wp:effectExtent l="0" t="0" r="571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5B51DC2C"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1E6D" w14:textId="77777777" w:rsidR="00A516DE" w:rsidRDefault="00744F99" w:rsidP="00A516DE">
    <w:pPr>
      <w:pStyle w:val="Spacer"/>
    </w:pPr>
    <w:r>
      <w:rPr>
        <w:noProof/>
      </w:rPr>
      <mc:AlternateContent>
        <mc:Choice Requires="wps">
          <w:drawing>
            <wp:anchor distT="0" distB="0" distL="114300" distR="114300" simplePos="0" relativeHeight="251659264" behindDoc="0" locked="0" layoutInCell="0" allowOverlap="1" wp14:anchorId="5F26F53A" wp14:editId="749A9712">
              <wp:simplePos x="0" y="0"/>
              <wp:positionH relativeFrom="page">
                <wp:posOffset>0</wp:posOffset>
              </wp:positionH>
              <wp:positionV relativeFrom="page">
                <wp:posOffset>10234930</wp:posOffset>
              </wp:positionV>
              <wp:extent cx="7560310" cy="266700"/>
              <wp:effectExtent l="0" t="0" r="0" b="0"/>
              <wp:wrapNone/>
              <wp:docPr id="1" name="MSIPCM39f7424ba3dd0b33f3c03f9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2880B" w14:textId="2DA94428" w:rsidR="00744F99" w:rsidRPr="00744F99" w:rsidRDefault="00744F99" w:rsidP="00744F99">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26F53A" id="_x0000_t202" coordsize="21600,21600" o:spt="202" path="m,l,21600r21600,l21600,xe">
              <v:stroke joinstyle="miter"/>
              <v:path gradientshapeok="t" o:connecttype="rect"/>
            </v:shapetype>
            <v:shape id="MSIPCM39f7424ba3dd0b33f3c03f9e"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9A2880B" w14:textId="2DA94428" w:rsidR="00744F99" w:rsidRPr="00744F99" w:rsidRDefault="00744F99" w:rsidP="00744F99">
                    <w:pPr>
                      <w:spacing w:before="0" w:after="0"/>
                      <w:rPr>
                        <w:rFonts w:ascii="Calibri" w:hAnsi="Calibri" w:cs="Calibri"/>
                        <w:color w:val="000000"/>
                        <w:sz w:val="22"/>
                      </w:rPr>
                    </w:pPr>
                  </w:p>
                </w:txbxContent>
              </v:textbox>
              <w10:wrap anchorx="page" anchory="page"/>
            </v:shape>
          </w:pict>
        </mc:Fallback>
      </mc:AlternateContent>
    </w:r>
  </w:p>
  <w:p w14:paraId="283E07F4" w14:textId="1F556992"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574D7C">
      <w:rPr>
        <w:b/>
      </w:rPr>
      <w:t>FRD 8</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574D7C">
      <w:t>Consistency of budget and departmental reporting (April 2024)</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7E586B">
      <w:rPr>
        <w:rStyle w:val="PageNumber"/>
        <w:color w:val="auto"/>
      </w:rPr>
      <w:t>1</w:t>
    </w:r>
    <w:r w:rsidRPr="005828FE">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C685" w14:textId="77777777" w:rsidR="0033175E" w:rsidRDefault="00331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756F" w14:textId="77777777" w:rsidR="00442BCD" w:rsidRDefault="00442BCD" w:rsidP="002D711A">
      <w:pPr>
        <w:spacing w:after="0" w:line="240" w:lineRule="auto"/>
      </w:pPr>
      <w:r>
        <w:separator/>
      </w:r>
    </w:p>
    <w:p w14:paraId="1717FE11" w14:textId="77777777" w:rsidR="00442BCD" w:rsidRDefault="00442BCD"/>
  </w:footnote>
  <w:footnote w:type="continuationSeparator" w:id="0">
    <w:p w14:paraId="0D354B8B" w14:textId="77777777" w:rsidR="00442BCD" w:rsidRDefault="00442BCD" w:rsidP="002D711A">
      <w:pPr>
        <w:spacing w:after="0" w:line="240" w:lineRule="auto"/>
      </w:pPr>
      <w:r>
        <w:continuationSeparator/>
      </w:r>
    </w:p>
    <w:p w14:paraId="509FBFDA" w14:textId="77777777" w:rsidR="00442BCD" w:rsidRDefault="00442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1610" w14:textId="77777777" w:rsidR="0033175E" w:rsidRDefault="00331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4ABE" w14:textId="77777777" w:rsidR="0041689E" w:rsidRPr="0041689E" w:rsidRDefault="005828FE" w:rsidP="005828FE">
    <w:pPr>
      <w:pStyle w:val="Header"/>
      <w:tabs>
        <w:tab w:val="clear" w:pos="9026"/>
      </w:tabs>
      <w:ind w:right="-694"/>
      <w:jc w:val="right"/>
    </w:pPr>
    <w:r>
      <w:rPr>
        <w:noProof/>
      </w:rPr>
      <w:drawing>
        <wp:inline distT="0" distB="0" distL="0" distR="0" wp14:anchorId="3740C0CE" wp14:editId="4A316F29">
          <wp:extent cx="813816" cy="46634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7081177D" w14:textId="77777777" w:rsidR="0057703D" w:rsidRDefault="005770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29A2" w14:textId="77777777" w:rsidR="0033175E" w:rsidRDefault="00331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8A6"/>
    <w:multiLevelType w:val="multilevel"/>
    <w:tmpl w:val="CE60E3D4"/>
    <w:lvl w:ilvl="0">
      <w:start w:val="6"/>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rFonts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40234E"/>
    <w:multiLevelType w:val="hybridMultilevel"/>
    <w:tmpl w:val="55F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A311C2"/>
    <w:multiLevelType w:val="hybridMultilevel"/>
    <w:tmpl w:val="0742EA96"/>
    <w:lvl w:ilvl="0" w:tplc="12A0D8B2">
      <w:start w:val="1"/>
      <w:numFmt w:val="bullet"/>
      <w:lvlText w:val="—"/>
      <w:lvlJc w:val="left"/>
      <w:pPr>
        <w:ind w:left="720" w:hanging="360"/>
      </w:pPr>
      <w:rPr>
        <w:rFonts w:ascii="Calibri" w:hAnsi="Calibri" w:hint="default"/>
        <w:b w:val="0"/>
        <w:i w:val="0"/>
        <w:color w:val="595959"/>
        <w:sz w:val="20"/>
        <w:szCs w:val="20"/>
      </w:rPr>
    </w:lvl>
    <w:lvl w:ilvl="1" w:tplc="6AD4DBF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499926B9"/>
    <w:multiLevelType w:val="hybridMultilevel"/>
    <w:tmpl w:val="10F61C96"/>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D40173"/>
    <w:multiLevelType w:val="hybridMultilevel"/>
    <w:tmpl w:val="A17A3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3307E9"/>
    <w:multiLevelType w:val="multilevel"/>
    <w:tmpl w:val="CE60E3D4"/>
    <w:lvl w:ilvl="0">
      <w:start w:val="6"/>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rFonts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62D96678"/>
    <w:multiLevelType w:val="multilevel"/>
    <w:tmpl w:val="CE60E3D4"/>
    <w:lvl w:ilvl="0">
      <w:start w:val="6"/>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rFonts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6C0124D7"/>
    <w:multiLevelType w:val="multilevel"/>
    <w:tmpl w:val="59D6E4B0"/>
    <w:lvl w:ilvl="0">
      <w:start w:val="1"/>
      <w:numFmt w:val="decimal"/>
      <w:pStyle w:val="Refnum1"/>
      <w:suff w:val="nothing"/>
      <w:lvlText w:val="%1."/>
      <w:lvlJc w:val="left"/>
      <w:pPr>
        <w:ind w:left="0" w:firstLine="0"/>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715220A2"/>
    <w:multiLevelType w:val="hybridMultilevel"/>
    <w:tmpl w:val="3142027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1D676AD"/>
    <w:multiLevelType w:val="hybridMultilevel"/>
    <w:tmpl w:val="51B8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7FD44514"/>
    <w:multiLevelType w:val="multilevel"/>
    <w:tmpl w:val="827E8410"/>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34087575">
    <w:abstractNumId w:val="4"/>
  </w:num>
  <w:num w:numId="2" w16cid:durableId="375276196">
    <w:abstractNumId w:val="4"/>
  </w:num>
  <w:num w:numId="3" w16cid:durableId="762459113">
    <w:abstractNumId w:val="4"/>
  </w:num>
  <w:num w:numId="4" w16cid:durableId="80034039">
    <w:abstractNumId w:val="14"/>
  </w:num>
  <w:num w:numId="5" w16cid:durableId="1200510269">
    <w:abstractNumId w:val="4"/>
  </w:num>
  <w:num w:numId="6" w16cid:durableId="1375740221">
    <w:abstractNumId w:val="4"/>
  </w:num>
  <w:num w:numId="7" w16cid:durableId="1938976104">
    <w:abstractNumId w:val="4"/>
  </w:num>
  <w:num w:numId="8" w16cid:durableId="1476683923">
    <w:abstractNumId w:val="4"/>
  </w:num>
  <w:num w:numId="9" w16cid:durableId="796919161">
    <w:abstractNumId w:val="14"/>
  </w:num>
  <w:num w:numId="10" w16cid:durableId="926614294">
    <w:abstractNumId w:val="14"/>
  </w:num>
  <w:num w:numId="11" w16cid:durableId="354844290">
    <w:abstractNumId w:val="14"/>
  </w:num>
  <w:num w:numId="12" w16cid:durableId="405300832">
    <w:abstractNumId w:val="14"/>
  </w:num>
  <w:num w:numId="13" w16cid:durableId="1240410989">
    <w:abstractNumId w:val="14"/>
  </w:num>
  <w:num w:numId="14" w16cid:durableId="424226711">
    <w:abstractNumId w:val="14"/>
  </w:num>
  <w:num w:numId="15" w16cid:durableId="1716662857">
    <w:abstractNumId w:val="14"/>
  </w:num>
  <w:num w:numId="16" w16cid:durableId="1666976002">
    <w:abstractNumId w:val="14"/>
  </w:num>
  <w:num w:numId="17" w16cid:durableId="1110204813">
    <w:abstractNumId w:val="1"/>
  </w:num>
  <w:num w:numId="18" w16cid:durableId="1530756636">
    <w:abstractNumId w:val="1"/>
  </w:num>
  <w:num w:numId="19" w16cid:durableId="1809929938">
    <w:abstractNumId w:val="6"/>
  </w:num>
  <w:num w:numId="20" w16cid:durableId="1946378314">
    <w:abstractNumId w:val="13"/>
  </w:num>
  <w:num w:numId="21" w16cid:durableId="1618832386">
    <w:abstractNumId w:val="2"/>
  </w:num>
  <w:num w:numId="22" w16cid:durableId="804277331">
    <w:abstractNumId w:val="3"/>
  </w:num>
  <w:num w:numId="23" w16cid:durableId="719741695">
    <w:abstractNumId w:val="11"/>
  </w:num>
  <w:num w:numId="24" w16cid:durableId="1257516712">
    <w:abstractNumId w:val="5"/>
  </w:num>
  <w:num w:numId="25" w16cid:durableId="108340786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9432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936567">
    <w:abstractNumId w:val="10"/>
  </w:num>
  <w:num w:numId="28" w16cid:durableId="1629511787">
    <w:abstractNumId w:val="10"/>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9" w16cid:durableId="322129192">
    <w:abstractNumId w:val="10"/>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0" w16cid:durableId="104692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7734572">
    <w:abstractNumId w:val="9"/>
  </w:num>
  <w:num w:numId="32" w16cid:durableId="1770392577">
    <w:abstractNumId w:val="0"/>
  </w:num>
  <w:num w:numId="33" w16cid:durableId="162015383">
    <w:abstractNumId w:val="12"/>
  </w:num>
  <w:num w:numId="34" w16cid:durableId="962541517">
    <w:abstractNumId w:val="8"/>
  </w:num>
  <w:num w:numId="35" w16cid:durableId="1443912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BCD"/>
    <w:rsid w:val="00012335"/>
    <w:rsid w:val="00012F6F"/>
    <w:rsid w:val="00014213"/>
    <w:rsid w:val="00014B55"/>
    <w:rsid w:val="00020E3E"/>
    <w:rsid w:val="00021F8F"/>
    <w:rsid w:val="00023BF3"/>
    <w:rsid w:val="00023E6C"/>
    <w:rsid w:val="00026811"/>
    <w:rsid w:val="00032D55"/>
    <w:rsid w:val="0004356D"/>
    <w:rsid w:val="00045296"/>
    <w:rsid w:val="00052783"/>
    <w:rsid w:val="00075E6C"/>
    <w:rsid w:val="00082E19"/>
    <w:rsid w:val="000B29AD"/>
    <w:rsid w:val="000B38E8"/>
    <w:rsid w:val="000B7185"/>
    <w:rsid w:val="000C6372"/>
    <w:rsid w:val="000E392D"/>
    <w:rsid w:val="000F4288"/>
    <w:rsid w:val="000F7165"/>
    <w:rsid w:val="00102379"/>
    <w:rsid w:val="001065D6"/>
    <w:rsid w:val="00121252"/>
    <w:rsid w:val="00124609"/>
    <w:rsid w:val="001254CE"/>
    <w:rsid w:val="0012743A"/>
    <w:rsid w:val="00132719"/>
    <w:rsid w:val="00134657"/>
    <w:rsid w:val="00134CEA"/>
    <w:rsid w:val="001422CC"/>
    <w:rsid w:val="001617B6"/>
    <w:rsid w:val="00165E66"/>
    <w:rsid w:val="001B3BAA"/>
    <w:rsid w:val="001C7BAE"/>
    <w:rsid w:val="001D6A0A"/>
    <w:rsid w:val="001E31FA"/>
    <w:rsid w:val="001E64F6"/>
    <w:rsid w:val="002013CF"/>
    <w:rsid w:val="00214BAE"/>
    <w:rsid w:val="00222BEB"/>
    <w:rsid w:val="00224281"/>
    <w:rsid w:val="00225E60"/>
    <w:rsid w:val="00230A1E"/>
    <w:rsid w:val="0023202C"/>
    <w:rsid w:val="00236203"/>
    <w:rsid w:val="002439E0"/>
    <w:rsid w:val="00245043"/>
    <w:rsid w:val="00257760"/>
    <w:rsid w:val="00292D36"/>
    <w:rsid w:val="00297281"/>
    <w:rsid w:val="002B36EF"/>
    <w:rsid w:val="002C54E0"/>
    <w:rsid w:val="002D711A"/>
    <w:rsid w:val="002D7336"/>
    <w:rsid w:val="002E3396"/>
    <w:rsid w:val="0031149C"/>
    <w:rsid w:val="0033175E"/>
    <w:rsid w:val="00353242"/>
    <w:rsid w:val="00354370"/>
    <w:rsid w:val="00372FC6"/>
    <w:rsid w:val="00376CD7"/>
    <w:rsid w:val="00382EE1"/>
    <w:rsid w:val="0038771C"/>
    <w:rsid w:val="0039405B"/>
    <w:rsid w:val="003942BC"/>
    <w:rsid w:val="003A1C92"/>
    <w:rsid w:val="003A541A"/>
    <w:rsid w:val="003A6923"/>
    <w:rsid w:val="003C2C67"/>
    <w:rsid w:val="003C5BA4"/>
    <w:rsid w:val="003E2399"/>
    <w:rsid w:val="003E3E26"/>
    <w:rsid w:val="003F1295"/>
    <w:rsid w:val="003F76FC"/>
    <w:rsid w:val="004002EB"/>
    <w:rsid w:val="00413135"/>
    <w:rsid w:val="00413CFF"/>
    <w:rsid w:val="0041689E"/>
    <w:rsid w:val="004236C8"/>
    <w:rsid w:val="00427681"/>
    <w:rsid w:val="00433DB7"/>
    <w:rsid w:val="00442BCD"/>
    <w:rsid w:val="00453750"/>
    <w:rsid w:val="00456941"/>
    <w:rsid w:val="004702EA"/>
    <w:rsid w:val="00481FBE"/>
    <w:rsid w:val="00482D02"/>
    <w:rsid w:val="0048491D"/>
    <w:rsid w:val="004A7519"/>
    <w:rsid w:val="004B5B68"/>
    <w:rsid w:val="004D3518"/>
    <w:rsid w:val="004D62D6"/>
    <w:rsid w:val="004E3C64"/>
    <w:rsid w:val="0053416C"/>
    <w:rsid w:val="00534E9F"/>
    <w:rsid w:val="00541C2F"/>
    <w:rsid w:val="00547DFD"/>
    <w:rsid w:val="00550ED1"/>
    <w:rsid w:val="00563527"/>
    <w:rsid w:val="00565CF3"/>
    <w:rsid w:val="00574D7C"/>
    <w:rsid w:val="0057703D"/>
    <w:rsid w:val="0058124E"/>
    <w:rsid w:val="005828FE"/>
    <w:rsid w:val="005875A3"/>
    <w:rsid w:val="005A3416"/>
    <w:rsid w:val="005B112A"/>
    <w:rsid w:val="005B27FE"/>
    <w:rsid w:val="005C3E6D"/>
    <w:rsid w:val="005C7441"/>
    <w:rsid w:val="005F61DF"/>
    <w:rsid w:val="006023F9"/>
    <w:rsid w:val="00610456"/>
    <w:rsid w:val="00610559"/>
    <w:rsid w:val="006332F6"/>
    <w:rsid w:val="00652625"/>
    <w:rsid w:val="006534B2"/>
    <w:rsid w:val="0065615D"/>
    <w:rsid w:val="00657011"/>
    <w:rsid w:val="006650B5"/>
    <w:rsid w:val="006651B1"/>
    <w:rsid w:val="00665778"/>
    <w:rsid w:val="006A5B34"/>
    <w:rsid w:val="006A5F5B"/>
    <w:rsid w:val="006C77A9"/>
    <w:rsid w:val="006C78FB"/>
    <w:rsid w:val="006D2009"/>
    <w:rsid w:val="006F6693"/>
    <w:rsid w:val="00702B69"/>
    <w:rsid w:val="00707FE8"/>
    <w:rsid w:val="0071114A"/>
    <w:rsid w:val="00721915"/>
    <w:rsid w:val="007231FB"/>
    <w:rsid w:val="00724962"/>
    <w:rsid w:val="00724A0F"/>
    <w:rsid w:val="00732162"/>
    <w:rsid w:val="00735739"/>
    <w:rsid w:val="00736732"/>
    <w:rsid w:val="00744F99"/>
    <w:rsid w:val="00750CBE"/>
    <w:rsid w:val="00766B5A"/>
    <w:rsid w:val="007703DB"/>
    <w:rsid w:val="007706BB"/>
    <w:rsid w:val="00771F53"/>
    <w:rsid w:val="007834F2"/>
    <w:rsid w:val="00791020"/>
    <w:rsid w:val="007A5F82"/>
    <w:rsid w:val="007D2E43"/>
    <w:rsid w:val="007E586B"/>
    <w:rsid w:val="007F1A4C"/>
    <w:rsid w:val="008022C3"/>
    <w:rsid w:val="008041E6"/>
    <w:rsid w:val="008065D2"/>
    <w:rsid w:val="0081060C"/>
    <w:rsid w:val="00816810"/>
    <w:rsid w:val="0082194C"/>
    <w:rsid w:val="008220C4"/>
    <w:rsid w:val="008222FF"/>
    <w:rsid w:val="008241FF"/>
    <w:rsid w:val="00824918"/>
    <w:rsid w:val="008332DA"/>
    <w:rsid w:val="008411E9"/>
    <w:rsid w:val="0084200F"/>
    <w:rsid w:val="00843B2C"/>
    <w:rsid w:val="00845F76"/>
    <w:rsid w:val="0086542F"/>
    <w:rsid w:val="00876241"/>
    <w:rsid w:val="00895AE1"/>
    <w:rsid w:val="008A3486"/>
    <w:rsid w:val="008A42F5"/>
    <w:rsid w:val="008A4900"/>
    <w:rsid w:val="008D0281"/>
    <w:rsid w:val="008E342C"/>
    <w:rsid w:val="008E3C4E"/>
    <w:rsid w:val="008F6D45"/>
    <w:rsid w:val="009356B0"/>
    <w:rsid w:val="00945C64"/>
    <w:rsid w:val="0095749B"/>
    <w:rsid w:val="00963C94"/>
    <w:rsid w:val="009661BE"/>
    <w:rsid w:val="00973360"/>
    <w:rsid w:val="00975E67"/>
    <w:rsid w:val="009834C0"/>
    <w:rsid w:val="00986AAC"/>
    <w:rsid w:val="00990343"/>
    <w:rsid w:val="0099631F"/>
    <w:rsid w:val="009A1DA2"/>
    <w:rsid w:val="009A3704"/>
    <w:rsid w:val="009A4739"/>
    <w:rsid w:val="009A674F"/>
    <w:rsid w:val="009B199C"/>
    <w:rsid w:val="009B54C8"/>
    <w:rsid w:val="009B61F1"/>
    <w:rsid w:val="009B62E0"/>
    <w:rsid w:val="009B70C7"/>
    <w:rsid w:val="009C3D88"/>
    <w:rsid w:val="009E1CF6"/>
    <w:rsid w:val="009E3858"/>
    <w:rsid w:val="009E70DD"/>
    <w:rsid w:val="009F2ED9"/>
    <w:rsid w:val="009F2FBA"/>
    <w:rsid w:val="009F3231"/>
    <w:rsid w:val="009F5C58"/>
    <w:rsid w:val="00A023A0"/>
    <w:rsid w:val="00A1562B"/>
    <w:rsid w:val="00A170F4"/>
    <w:rsid w:val="00A2559E"/>
    <w:rsid w:val="00A25FD9"/>
    <w:rsid w:val="00A31C19"/>
    <w:rsid w:val="00A46BA8"/>
    <w:rsid w:val="00A46FA9"/>
    <w:rsid w:val="00A47634"/>
    <w:rsid w:val="00A516DE"/>
    <w:rsid w:val="00A612FE"/>
    <w:rsid w:val="00A63040"/>
    <w:rsid w:val="00A642CF"/>
    <w:rsid w:val="00A66C95"/>
    <w:rsid w:val="00AA26B8"/>
    <w:rsid w:val="00AA4D53"/>
    <w:rsid w:val="00AB2983"/>
    <w:rsid w:val="00AB3FE2"/>
    <w:rsid w:val="00AC471E"/>
    <w:rsid w:val="00AD3322"/>
    <w:rsid w:val="00AD7E4E"/>
    <w:rsid w:val="00AE0917"/>
    <w:rsid w:val="00AF3D47"/>
    <w:rsid w:val="00AF4D58"/>
    <w:rsid w:val="00AF6666"/>
    <w:rsid w:val="00B000DF"/>
    <w:rsid w:val="00B10154"/>
    <w:rsid w:val="00B44379"/>
    <w:rsid w:val="00B50405"/>
    <w:rsid w:val="00B5100A"/>
    <w:rsid w:val="00B638BF"/>
    <w:rsid w:val="00B81B44"/>
    <w:rsid w:val="00B87015"/>
    <w:rsid w:val="00B9053B"/>
    <w:rsid w:val="00B9616C"/>
    <w:rsid w:val="00BC2DCA"/>
    <w:rsid w:val="00BC3422"/>
    <w:rsid w:val="00BC6691"/>
    <w:rsid w:val="00BF5445"/>
    <w:rsid w:val="00BF6EED"/>
    <w:rsid w:val="00C015B9"/>
    <w:rsid w:val="00C022F9"/>
    <w:rsid w:val="00C032EA"/>
    <w:rsid w:val="00C06EB5"/>
    <w:rsid w:val="00C1145F"/>
    <w:rsid w:val="00C35CDF"/>
    <w:rsid w:val="00C42B98"/>
    <w:rsid w:val="00C465BB"/>
    <w:rsid w:val="00C6277F"/>
    <w:rsid w:val="00C637E1"/>
    <w:rsid w:val="00C70D50"/>
    <w:rsid w:val="00C907D7"/>
    <w:rsid w:val="00C92338"/>
    <w:rsid w:val="00CA7C3A"/>
    <w:rsid w:val="00CB1129"/>
    <w:rsid w:val="00CB4622"/>
    <w:rsid w:val="00CC2DB2"/>
    <w:rsid w:val="00CD0307"/>
    <w:rsid w:val="00CD3D1B"/>
    <w:rsid w:val="00CF7DCA"/>
    <w:rsid w:val="00D211E9"/>
    <w:rsid w:val="00D2312F"/>
    <w:rsid w:val="00D269C1"/>
    <w:rsid w:val="00D44953"/>
    <w:rsid w:val="00D529F1"/>
    <w:rsid w:val="00D542F3"/>
    <w:rsid w:val="00D5644B"/>
    <w:rsid w:val="00D56E25"/>
    <w:rsid w:val="00D718D7"/>
    <w:rsid w:val="00D814B7"/>
    <w:rsid w:val="00D90688"/>
    <w:rsid w:val="00DA3AAD"/>
    <w:rsid w:val="00DB312B"/>
    <w:rsid w:val="00DB7D83"/>
    <w:rsid w:val="00DC1EAF"/>
    <w:rsid w:val="00DC5654"/>
    <w:rsid w:val="00DC658F"/>
    <w:rsid w:val="00DE60CC"/>
    <w:rsid w:val="00DF1026"/>
    <w:rsid w:val="00DF5FA5"/>
    <w:rsid w:val="00E02081"/>
    <w:rsid w:val="00E2185C"/>
    <w:rsid w:val="00E26B32"/>
    <w:rsid w:val="00E3232B"/>
    <w:rsid w:val="00E32F35"/>
    <w:rsid w:val="00E407B6"/>
    <w:rsid w:val="00E41EF1"/>
    <w:rsid w:val="00E4246C"/>
    <w:rsid w:val="00E42942"/>
    <w:rsid w:val="00E468A6"/>
    <w:rsid w:val="00E71BDF"/>
    <w:rsid w:val="00E7251F"/>
    <w:rsid w:val="00E76FA3"/>
    <w:rsid w:val="00E81F41"/>
    <w:rsid w:val="00E83C90"/>
    <w:rsid w:val="00E83CA7"/>
    <w:rsid w:val="00E865E7"/>
    <w:rsid w:val="00E924D1"/>
    <w:rsid w:val="00EA5F01"/>
    <w:rsid w:val="00EC02E6"/>
    <w:rsid w:val="00EC171D"/>
    <w:rsid w:val="00ED487E"/>
    <w:rsid w:val="00EE55D6"/>
    <w:rsid w:val="00EE7A0D"/>
    <w:rsid w:val="00F17CE1"/>
    <w:rsid w:val="00F2115C"/>
    <w:rsid w:val="00F21A4E"/>
    <w:rsid w:val="00F22ABA"/>
    <w:rsid w:val="00F36B12"/>
    <w:rsid w:val="00F52BF6"/>
    <w:rsid w:val="00F60F9F"/>
    <w:rsid w:val="00F64F08"/>
    <w:rsid w:val="00F65A10"/>
    <w:rsid w:val="00F72771"/>
    <w:rsid w:val="00F734F5"/>
    <w:rsid w:val="00F966B1"/>
    <w:rsid w:val="00F97D48"/>
    <w:rsid w:val="00FA0311"/>
    <w:rsid w:val="00FA4796"/>
    <w:rsid w:val="00FC42E5"/>
    <w:rsid w:val="00FD640F"/>
    <w:rsid w:val="00FD6B4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75DD8FA"/>
  <w15:docId w15:val="{010C3446-3B99-4B17-8840-E38C26E0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F6"/>
    <w:pPr>
      <w:spacing w:before="160" w:after="100"/>
    </w:pPr>
    <w:rPr>
      <w:spacing w:val="2"/>
    </w:rPr>
  </w:style>
  <w:style w:type="paragraph" w:styleId="Heading1">
    <w:name w:val="heading 1"/>
    <w:next w:val="Normal"/>
    <w:link w:val="Heading1Char"/>
    <w:qFormat/>
    <w:rsid w:val="00F52BF6"/>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F52BF6"/>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F52BF6"/>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F52BF6"/>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F52B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52BF6"/>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F52BF6"/>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F52BF6"/>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F52BF6"/>
    <w:pPr>
      <w:tabs>
        <w:tab w:val="right" w:leader="dot" w:pos="9000"/>
      </w:tabs>
      <w:ind w:right="432"/>
    </w:pPr>
    <w:rPr>
      <w:sz w:val="24"/>
      <w:szCs w:val="24"/>
    </w:rPr>
  </w:style>
  <w:style w:type="paragraph" w:styleId="TOC2">
    <w:name w:val="toc 2"/>
    <w:next w:val="Normal"/>
    <w:uiPriority w:val="39"/>
    <w:rsid w:val="00F52BF6"/>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F52BF6"/>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F52BF6"/>
    <w:pPr>
      <w:spacing w:after="60" w:line="240" w:lineRule="auto"/>
    </w:pPr>
    <w:rPr>
      <w:sz w:val="16"/>
    </w:rPr>
  </w:style>
  <w:style w:type="paragraph" w:styleId="Index2">
    <w:name w:val="index 2"/>
    <w:basedOn w:val="Normal"/>
    <w:next w:val="Normal"/>
    <w:uiPriority w:val="99"/>
    <w:semiHidden/>
    <w:rsid w:val="00F52BF6"/>
    <w:pPr>
      <w:spacing w:after="0" w:line="240" w:lineRule="auto"/>
      <w:ind w:left="216"/>
    </w:pPr>
    <w:rPr>
      <w:sz w:val="16"/>
      <w:szCs w:val="16"/>
    </w:rPr>
  </w:style>
  <w:style w:type="character" w:styleId="Hyperlink">
    <w:name w:val="Hyperlink"/>
    <w:basedOn w:val="DefaultParagraphFont"/>
    <w:uiPriority w:val="99"/>
    <w:rsid w:val="00F52BF6"/>
    <w:rPr>
      <w:color w:val="53565A" w:themeColor="hyperlink"/>
      <w:u w:val="none"/>
    </w:rPr>
  </w:style>
  <w:style w:type="character" w:customStyle="1" w:styleId="Heading1Char">
    <w:name w:val="Heading 1 Char"/>
    <w:basedOn w:val="DefaultParagraphFont"/>
    <w:link w:val="Heading1"/>
    <w:rsid w:val="00F52BF6"/>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F52BF6"/>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2"/>
    <w:qFormat/>
    <w:rsid w:val="00F52BF6"/>
    <w:pPr>
      <w:numPr>
        <w:numId w:val="1"/>
      </w:numPr>
      <w:spacing w:before="160" w:after="0" w:line="240" w:lineRule="auto"/>
      <w:contextualSpacing/>
    </w:pPr>
    <w:rPr>
      <w:rFonts w:eastAsia="Times New Roman" w:cs="Calibri"/>
      <w:spacing w:val="2"/>
    </w:rPr>
  </w:style>
  <w:style w:type="paragraph" w:customStyle="1" w:styleId="Bullet2">
    <w:name w:val="Bullet 2"/>
    <w:basedOn w:val="Bullet1"/>
    <w:uiPriority w:val="2"/>
    <w:qFormat/>
    <w:rsid w:val="00F52BF6"/>
    <w:pPr>
      <w:numPr>
        <w:ilvl w:val="1"/>
      </w:numPr>
      <w:spacing w:before="0"/>
    </w:pPr>
  </w:style>
  <w:style w:type="paragraph" w:customStyle="1" w:styleId="Bulletindent">
    <w:name w:val="Bullet indent"/>
    <w:basedOn w:val="Bullet2"/>
    <w:uiPriority w:val="7"/>
    <w:qFormat/>
    <w:rsid w:val="00F52BF6"/>
    <w:pPr>
      <w:numPr>
        <w:ilvl w:val="2"/>
      </w:numPr>
    </w:pPr>
  </w:style>
  <w:style w:type="paragraph" w:customStyle="1" w:styleId="Heading1numbered">
    <w:name w:val="Heading 1 numbered"/>
    <w:basedOn w:val="Heading1"/>
    <w:next w:val="NormalIndent"/>
    <w:uiPriority w:val="4"/>
    <w:qFormat/>
    <w:rsid w:val="00F52BF6"/>
    <w:pPr>
      <w:numPr>
        <w:ilvl w:val="2"/>
        <w:numId w:val="4"/>
      </w:numPr>
    </w:pPr>
  </w:style>
  <w:style w:type="paragraph" w:customStyle="1" w:styleId="Heading2numbered">
    <w:name w:val="Heading 2 numbered"/>
    <w:basedOn w:val="Heading2"/>
    <w:next w:val="NormalIndent"/>
    <w:uiPriority w:val="4"/>
    <w:qFormat/>
    <w:rsid w:val="00F52BF6"/>
    <w:pPr>
      <w:numPr>
        <w:ilvl w:val="3"/>
        <w:numId w:val="4"/>
      </w:numPr>
    </w:pPr>
  </w:style>
  <w:style w:type="paragraph" w:customStyle="1" w:styleId="Heading3numbered">
    <w:name w:val="Heading 3 numbered"/>
    <w:basedOn w:val="Heading3"/>
    <w:next w:val="NormalIndent"/>
    <w:uiPriority w:val="4"/>
    <w:qFormat/>
    <w:rsid w:val="00F52BF6"/>
    <w:pPr>
      <w:numPr>
        <w:ilvl w:val="4"/>
        <w:numId w:val="4"/>
      </w:numPr>
    </w:pPr>
  </w:style>
  <w:style w:type="character" w:customStyle="1" w:styleId="Heading3Char">
    <w:name w:val="Heading 3 Char"/>
    <w:basedOn w:val="DefaultParagraphFont"/>
    <w:link w:val="Heading3"/>
    <w:rsid w:val="00F52BF6"/>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qFormat/>
    <w:rsid w:val="00F52BF6"/>
    <w:pPr>
      <w:numPr>
        <w:ilvl w:val="5"/>
        <w:numId w:val="4"/>
      </w:numPr>
    </w:pPr>
  </w:style>
  <w:style w:type="character" w:customStyle="1" w:styleId="Heading4Char">
    <w:name w:val="Heading 4 Char"/>
    <w:basedOn w:val="DefaultParagraphFont"/>
    <w:link w:val="Heading4"/>
    <w:rsid w:val="00F52BF6"/>
    <w:rPr>
      <w:rFonts w:asciiTheme="majorHAnsi" w:eastAsiaTheme="majorEastAsia" w:hAnsiTheme="majorHAnsi" w:cstheme="majorBidi"/>
      <w:b/>
      <w:bCs/>
      <w:iCs/>
      <w:color w:val="53565A"/>
      <w:spacing w:val="2"/>
    </w:rPr>
  </w:style>
  <w:style w:type="paragraph" w:styleId="NormalIndent">
    <w:name w:val="Normal Indent"/>
    <w:basedOn w:val="Normal"/>
    <w:qFormat/>
    <w:rsid w:val="00F52BF6"/>
    <w:pPr>
      <w:spacing w:line="252" w:lineRule="auto"/>
      <w:ind w:left="792"/>
    </w:pPr>
  </w:style>
  <w:style w:type="paragraph" w:customStyle="1" w:styleId="NoteNormal">
    <w:name w:val="Note Normal"/>
    <w:basedOn w:val="Normal"/>
    <w:uiPriority w:val="49"/>
    <w:rsid w:val="00F52BF6"/>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F52BF6"/>
    <w:pPr>
      <w:spacing w:before="0" w:after="0" w:line="120" w:lineRule="atLeast"/>
    </w:pPr>
    <w:rPr>
      <w:rFonts w:eastAsia="Times New Roman" w:cs="Calibri"/>
      <w:spacing w:val="0"/>
      <w:sz w:val="10"/>
      <w:szCs w:val="22"/>
    </w:rPr>
  </w:style>
  <w:style w:type="paragraph" w:styleId="Subtitle">
    <w:name w:val="Subtitle"/>
    <w:link w:val="SubtitleChar"/>
    <w:uiPriority w:val="99"/>
    <w:rsid w:val="00F52BF6"/>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F52BF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F52BF6"/>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F52BF6"/>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F52BF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F52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BF6"/>
    <w:rPr>
      <w:rFonts w:ascii="Tahoma" w:hAnsi="Tahoma" w:cs="Tahoma"/>
      <w:spacing w:val="2"/>
      <w:sz w:val="16"/>
      <w:szCs w:val="16"/>
    </w:rPr>
  </w:style>
  <w:style w:type="paragraph" w:customStyle="1" w:styleId="Bulletindent2">
    <w:name w:val="Bullet indent 2"/>
    <w:basedOn w:val="Normal"/>
    <w:uiPriority w:val="7"/>
    <w:qFormat/>
    <w:rsid w:val="00F52BF6"/>
    <w:pPr>
      <w:numPr>
        <w:ilvl w:val="3"/>
        <w:numId w:val="1"/>
      </w:numPr>
      <w:spacing w:before="100"/>
      <w:contextualSpacing/>
    </w:pPr>
  </w:style>
  <w:style w:type="paragraph" w:styleId="IndexHeading">
    <w:name w:val="index heading"/>
    <w:basedOn w:val="Normal"/>
    <w:next w:val="Index1"/>
    <w:uiPriority w:val="99"/>
    <w:semiHidden/>
    <w:rsid w:val="00F52BF6"/>
    <w:rPr>
      <w:rFonts w:asciiTheme="majorHAnsi" w:eastAsiaTheme="majorEastAsia" w:hAnsiTheme="majorHAnsi" w:cstheme="majorBidi"/>
      <w:b/>
      <w:bCs/>
    </w:rPr>
  </w:style>
  <w:style w:type="paragraph" w:styleId="Header">
    <w:name w:val="header"/>
    <w:basedOn w:val="Normal"/>
    <w:link w:val="HeaderChar"/>
    <w:uiPriority w:val="99"/>
    <w:semiHidden/>
    <w:rsid w:val="00F52B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2BF6"/>
    <w:rPr>
      <w:spacing w:val="2"/>
    </w:rPr>
  </w:style>
  <w:style w:type="paragraph" w:styleId="Footer">
    <w:name w:val="footer"/>
    <w:basedOn w:val="Normal"/>
    <w:link w:val="FooterChar"/>
    <w:uiPriority w:val="24"/>
    <w:rsid w:val="00F52BF6"/>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F52BF6"/>
    <w:rPr>
      <w:noProof/>
      <w:spacing w:val="2"/>
      <w:sz w:val="18"/>
      <w:szCs w:val="18"/>
    </w:rPr>
  </w:style>
  <w:style w:type="character" w:styleId="PageNumber">
    <w:name w:val="page number"/>
    <w:uiPriority w:val="49"/>
    <w:semiHidden/>
    <w:rsid w:val="00F52BF6"/>
    <w:rPr>
      <w:b w:val="0"/>
      <w:color w:val="4C4C4C"/>
    </w:rPr>
  </w:style>
  <w:style w:type="paragraph" w:styleId="TOCHeading">
    <w:name w:val="TOC Heading"/>
    <w:basedOn w:val="Heading1"/>
    <w:next w:val="Normal"/>
    <w:uiPriority w:val="39"/>
    <w:rsid w:val="00F52BF6"/>
    <w:pPr>
      <w:spacing w:before="480" w:after="720"/>
      <w:outlineLvl w:val="9"/>
    </w:pPr>
    <w:rPr>
      <w:spacing w:val="2"/>
    </w:rPr>
  </w:style>
  <w:style w:type="paragraph" w:customStyle="1" w:styleId="NormalTight">
    <w:name w:val="Normal Tight"/>
    <w:uiPriority w:val="99"/>
    <w:semiHidden/>
    <w:rsid w:val="00F52BF6"/>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F52BF6"/>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F52BF6"/>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F52BF6"/>
    <w:pPr>
      <w:spacing w:before="5800"/>
      <w:ind w:right="1382"/>
    </w:pPr>
  </w:style>
  <w:style w:type="paragraph" w:styleId="TOC4">
    <w:name w:val="toc 4"/>
    <w:basedOn w:val="TOC1"/>
    <w:next w:val="Normal"/>
    <w:uiPriority w:val="39"/>
    <w:rsid w:val="00F52BF6"/>
    <w:pPr>
      <w:ind w:left="450" w:hanging="450"/>
    </w:pPr>
    <w:rPr>
      <w:noProof/>
      <w:lang w:eastAsia="en-US"/>
    </w:rPr>
  </w:style>
  <w:style w:type="paragraph" w:styleId="TOC5">
    <w:name w:val="toc 5"/>
    <w:basedOn w:val="TOC2"/>
    <w:next w:val="Normal"/>
    <w:uiPriority w:val="39"/>
    <w:rsid w:val="00F52BF6"/>
    <w:pPr>
      <w:ind w:left="1080" w:hanging="634"/>
    </w:pPr>
    <w:rPr>
      <w:lang w:eastAsia="en-US"/>
    </w:rPr>
  </w:style>
  <w:style w:type="paragraph" w:styleId="TOC6">
    <w:name w:val="toc 6"/>
    <w:basedOn w:val="TOC3"/>
    <w:next w:val="Normal"/>
    <w:uiPriority w:val="39"/>
    <w:rsid w:val="00F52BF6"/>
    <w:pPr>
      <w:ind w:left="1800" w:hanging="720"/>
    </w:pPr>
    <w:rPr>
      <w:lang w:eastAsia="en-US"/>
    </w:rPr>
  </w:style>
  <w:style w:type="table" w:customStyle="1" w:styleId="DTFtexttable">
    <w:name w:val="DTF text table"/>
    <w:basedOn w:val="TableGrid"/>
    <w:uiPriority w:val="99"/>
    <w:rsid w:val="00F52BF6"/>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F52BF6"/>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F52BF6"/>
    <w:pPr>
      <w:spacing w:before="60" w:after="60" w:line="264" w:lineRule="auto"/>
    </w:pPr>
    <w:rPr>
      <w:sz w:val="17"/>
    </w:rPr>
  </w:style>
  <w:style w:type="paragraph" w:customStyle="1" w:styleId="Tabletextright">
    <w:name w:val="Table text right"/>
    <w:basedOn w:val="Tabletext"/>
    <w:uiPriority w:val="8"/>
    <w:qFormat/>
    <w:rsid w:val="00F52BF6"/>
    <w:pPr>
      <w:jc w:val="right"/>
    </w:pPr>
  </w:style>
  <w:style w:type="paragraph" w:customStyle="1" w:styleId="Listnumindent2">
    <w:name w:val="List num indent 2"/>
    <w:basedOn w:val="Normal"/>
    <w:uiPriority w:val="7"/>
    <w:qFormat/>
    <w:rsid w:val="00F52BF6"/>
    <w:pPr>
      <w:numPr>
        <w:ilvl w:val="7"/>
        <w:numId w:val="4"/>
      </w:numPr>
      <w:spacing w:before="100"/>
      <w:contextualSpacing/>
    </w:pPr>
  </w:style>
  <w:style w:type="paragraph" w:customStyle="1" w:styleId="Listnumindent">
    <w:name w:val="List num indent"/>
    <w:basedOn w:val="Normal"/>
    <w:uiPriority w:val="7"/>
    <w:qFormat/>
    <w:rsid w:val="00F52BF6"/>
    <w:pPr>
      <w:numPr>
        <w:ilvl w:val="6"/>
        <w:numId w:val="4"/>
      </w:numPr>
      <w:spacing w:before="100"/>
    </w:pPr>
  </w:style>
  <w:style w:type="paragraph" w:customStyle="1" w:styleId="Listnum">
    <w:name w:val="List num"/>
    <w:basedOn w:val="Normal"/>
    <w:uiPriority w:val="1"/>
    <w:qFormat/>
    <w:rsid w:val="00F52BF6"/>
    <w:pPr>
      <w:numPr>
        <w:numId w:val="4"/>
      </w:numPr>
      <w:contextualSpacing/>
    </w:pPr>
    <w:rPr>
      <w:sz w:val="18"/>
    </w:rPr>
  </w:style>
  <w:style w:type="paragraph" w:customStyle="1" w:styleId="Listnum2">
    <w:name w:val="List num 2"/>
    <w:basedOn w:val="Normal"/>
    <w:uiPriority w:val="1"/>
    <w:qFormat/>
    <w:rsid w:val="00F52BF6"/>
    <w:pPr>
      <w:numPr>
        <w:ilvl w:val="1"/>
        <w:numId w:val="4"/>
      </w:numPr>
      <w:contextualSpacing/>
    </w:pPr>
    <w:rPr>
      <w:sz w:val="18"/>
    </w:rPr>
  </w:style>
  <w:style w:type="paragraph" w:customStyle="1" w:styleId="Tabletextcentred">
    <w:name w:val="Table text centred"/>
    <w:basedOn w:val="Tabletext"/>
    <w:uiPriority w:val="8"/>
    <w:qFormat/>
    <w:rsid w:val="00F52BF6"/>
    <w:pPr>
      <w:jc w:val="center"/>
    </w:pPr>
  </w:style>
  <w:style w:type="paragraph" w:customStyle="1" w:styleId="Tableheader">
    <w:name w:val="Table header"/>
    <w:basedOn w:val="Tabletext"/>
    <w:uiPriority w:val="8"/>
    <w:qFormat/>
    <w:rsid w:val="00F52BF6"/>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9"/>
    <w:rsid w:val="00F52BF6"/>
    <w:pPr>
      <w:numPr>
        <w:numId w:val="17"/>
      </w:numPr>
    </w:pPr>
  </w:style>
  <w:style w:type="paragraph" w:customStyle="1" w:styleId="Tabledash">
    <w:name w:val="Table dash"/>
    <w:basedOn w:val="Tablebullet"/>
    <w:uiPriority w:val="9"/>
    <w:rsid w:val="00F52BF6"/>
    <w:pPr>
      <w:numPr>
        <w:ilvl w:val="1"/>
      </w:numPr>
    </w:pPr>
  </w:style>
  <w:style w:type="paragraph" w:customStyle="1" w:styleId="Tabletextindent">
    <w:name w:val="Table text indent"/>
    <w:basedOn w:val="Tabletext"/>
    <w:uiPriority w:val="8"/>
    <w:qFormat/>
    <w:rsid w:val="00F52BF6"/>
    <w:pPr>
      <w:ind w:left="288"/>
    </w:pPr>
  </w:style>
  <w:style w:type="paragraph" w:customStyle="1" w:styleId="FRDHeader">
    <w:name w:val="FRD Header"/>
    <w:basedOn w:val="Normal"/>
    <w:semiHidden/>
    <w:rsid w:val="00F52BF6"/>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F52BF6"/>
  </w:style>
  <w:style w:type="paragraph" w:customStyle="1" w:styleId="Normalgrey">
    <w:name w:val="Normal grey"/>
    <w:basedOn w:val="Normal"/>
    <w:uiPriority w:val="2"/>
    <w:unhideWhenUsed/>
    <w:qFormat/>
    <w:rsid w:val="00F52BF6"/>
    <w:pPr>
      <w:spacing w:line="264" w:lineRule="auto"/>
    </w:pPr>
    <w:rPr>
      <w:rFonts w:eastAsiaTheme="minorHAnsi"/>
      <w:color w:val="4D4D4D"/>
      <w:sz w:val="18"/>
      <w:szCs w:val="18"/>
      <w:lang w:eastAsia="en-US"/>
    </w:rPr>
  </w:style>
  <w:style w:type="paragraph" w:customStyle="1" w:styleId="Bullet1grey">
    <w:name w:val="Bullet 1 grey"/>
    <w:basedOn w:val="Bullet1"/>
    <w:uiPriority w:val="3"/>
    <w:unhideWhenUsed/>
    <w:qFormat/>
    <w:rsid w:val="00F52BF6"/>
    <w:rPr>
      <w:color w:val="4D4D4D"/>
      <w:sz w:val="18"/>
      <w:szCs w:val="18"/>
      <w:lang w:eastAsia="en-US"/>
    </w:rPr>
  </w:style>
  <w:style w:type="paragraph" w:customStyle="1" w:styleId="Normalbold">
    <w:name w:val="Normal bold"/>
    <w:basedOn w:val="Normal"/>
    <w:qFormat/>
    <w:rsid w:val="00F52BF6"/>
    <w:pPr>
      <w:spacing w:line="264" w:lineRule="auto"/>
    </w:pPr>
    <w:rPr>
      <w:rFonts w:eastAsiaTheme="minorHAnsi"/>
      <w:b/>
      <w:sz w:val="18"/>
      <w:szCs w:val="18"/>
      <w:lang w:eastAsia="en-US"/>
    </w:rPr>
  </w:style>
  <w:style w:type="paragraph" w:customStyle="1" w:styleId="Refnum1">
    <w:name w:val="Ref num 1"/>
    <w:basedOn w:val="Normal"/>
    <w:uiPriority w:val="7"/>
    <w:rsid w:val="00F52BF6"/>
    <w:pPr>
      <w:numPr>
        <w:numId w:val="27"/>
      </w:numPr>
      <w:spacing w:line="240" w:lineRule="auto"/>
    </w:pPr>
    <w:rPr>
      <w:rFonts w:eastAsia="Calibri" w:cs="Times New Roman"/>
      <w:color w:val="FFFFFF" w:themeColor="background1"/>
      <w:spacing w:val="0"/>
      <w:sz w:val="18"/>
      <w:szCs w:val="21"/>
      <w:lang w:eastAsia="en-US"/>
    </w:rPr>
  </w:style>
  <w:style w:type="paragraph" w:customStyle="1" w:styleId="Refnum2">
    <w:name w:val="Ref num 2"/>
    <w:basedOn w:val="Refnum1"/>
    <w:uiPriority w:val="7"/>
    <w:rsid w:val="00F52BF6"/>
    <w:pPr>
      <w:numPr>
        <w:ilvl w:val="2"/>
      </w:numPr>
    </w:pPr>
    <w:rPr>
      <w:color w:val="auto"/>
    </w:rPr>
  </w:style>
  <w:style w:type="paragraph" w:styleId="ListParagraph">
    <w:name w:val="List Paragraph"/>
    <w:basedOn w:val="Normal"/>
    <w:uiPriority w:val="34"/>
    <w:semiHidden/>
    <w:qFormat/>
    <w:rsid w:val="00376CD7"/>
    <w:pPr>
      <w:spacing w:before="60" w:after="60" w:line="240" w:lineRule="auto"/>
      <w:ind w:left="720"/>
      <w:contextualSpacing/>
    </w:pPr>
    <w:rPr>
      <w:rFonts w:ascii="Calibri" w:eastAsia="Calibri" w:hAnsi="Calibri" w:cs="Times New Roman"/>
      <w:color w:val="000000" w:themeColor="text1"/>
      <w:spacing w:val="0"/>
      <w:sz w:val="22"/>
      <w:szCs w:val="21"/>
      <w:lang w:eastAsia="en-US"/>
    </w:rPr>
  </w:style>
  <w:style w:type="paragraph" w:customStyle="1" w:styleId="Bullet3">
    <w:name w:val="Bullet 3"/>
    <w:basedOn w:val="Normal"/>
    <w:uiPriority w:val="2"/>
    <w:qFormat/>
    <w:rsid w:val="00376CD7"/>
    <w:pPr>
      <w:spacing w:before="60" w:after="60" w:line="240" w:lineRule="auto"/>
      <w:ind w:left="1080" w:hanging="360"/>
    </w:pPr>
    <w:rPr>
      <w:rFonts w:ascii="Calibri" w:eastAsia="Calibri" w:hAnsi="Calibri" w:cs="Times New Roman"/>
      <w:color w:val="000000" w:themeColor="text1"/>
      <w:spacing w:val="0"/>
      <w:sz w:val="22"/>
      <w:szCs w:val="21"/>
      <w:lang w:eastAsia="en-US"/>
    </w:rPr>
  </w:style>
  <w:style w:type="paragraph" w:customStyle="1" w:styleId="Bullet2grey">
    <w:name w:val="Bullet 2 grey"/>
    <w:basedOn w:val="Bullet2"/>
    <w:uiPriority w:val="3"/>
    <w:qFormat/>
    <w:rsid w:val="00F52BF6"/>
    <w:rPr>
      <w:color w:val="4D4D4D"/>
      <w:sz w:val="18"/>
      <w:szCs w:val="21"/>
      <w:lang w:eastAsia="en-US"/>
    </w:rPr>
  </w:style>
  <w:style w:type="paragraph" w:customStyle="1" w:styleId="Listnumgrey">
    <w:name w:val="List num grey"/>
    <w:basedOn w:val="Listnum"/>
    <w:uiPriority w:val="3"/>
    <w:qFormat/>
    <w:rsid w:val="00F52BF6"/>
    <w:pPr>
      <w:spacing w:line="264" w:lineRule="auto"/>
    </w:pPr>
    <w:rPr>
      <w:rFonts w:eastAsiaTheme="minorHAnsi"/>
      <w:color w:val="4D4D4D"/>
      <w:szCs w:val="21"/>
      <w:lang w:eastAsia="en-US"/>
    </w:rPr>
  </w:style>
  <w:style w:type="paragraph" w:customStyle="1" w:styleId="Listnum2grey">
    <w:name w:val="List num 2 grey"/>
    <w:basedOn w:val="Listnum2"/>
    <w:uiPriority w:val="4"/>
    <w:qFormat/>
    <w:rsid w:val="00F52BF6"/>
    <w:pPr>
      <w:spacing w:line="264" w:lineRule="auto"/>
    </w:pPr>
    <w:rPr>
      <w:rFonts w:eastAsiaTheme="minorHAnsi"/>
      <w:color w:val="4D4D4D"/>
      <w:szCs w:val="21"/>
      <w:lang w:eastAsia="en-US"/>
    </w:rPr>
  </w:style>
  <w:style w:type="paragraph" w:customStyle="1" w:styleId="Refnum1grey">
    <w:name w:val="Ref num 1 grey"/>
    <w:basedOn w:val="Refnum1"/>
    <w:uiPriority w:val="7"/>
    <w:qFormat/>
    <w:rsid w:val="00F52BF6"/>
    <w:rPr>
      <w:color w:val="F2F2F2" w:themeColor="background1" w:themeShade="F2"/>
    </w:rPr>
  </w:style>
  <w:style w:type="paragraph" w:customStyle="1" w:styleId="Refnum2grey">
    <w:name w:val="Ref num 2 grey"/>
    <w:basedOn w:val="Normal"/>
    <w:rsid w:val="00F52BF6"/>
    <w:pPr>
      <w:numPr>
        <w:ilvl w:val="1"/>
        <w:numId w:val="27"/>
      </w:numPr>
    </w:pPr>
  </w:style>
  <w:style w:type="paragraph" w:styleId="Revision">
    <w:name w:val="Revision"/>
    <w:hidden/>
    <w:uiPriority w:val="99"/>
    <w:semiHidden/>
    <w:rsid w:val="00413135"/>
    <w:pPr>
      <w:spacing w:after="0" w:line="240" w:lineRule="auto"/>
    </w:pPr>
    <w:rPr>
      <w:spacing w:val="2"/>
    </w:rPr>
  </w:style>
  <w:style w:type="character" w:styleId="CommentReference">
    <w:name w:val="annotation reference"/>
    <w:basedOn w:val="DefaultParagraphFont"/>
    <w:uiPriority w:val="99"/>
    <w:semiHidden/>
    <w:unhideWhenUsed/>
    <w:rsid w:val="00A63040"/>
    <w:rPr>
      <w:sz w:val="16"/>
      <w:szCs w:val="16"/>
    </w:rPr>
  </w:style>
  <w:style w:type="paragraph" w:styleId="CommentText">
    <w:name w:val="annotation text"/>
    <w:basedOn w:val="Normal"/>
    <w:link w:val="CommentTextChar"/>
    <w:uiPriority w:val="99"/>
    <w:unhideWhenUsed/>
    <w:rsid w:val="00A63040"/>
    <w:pPr>
      <w:spacing w:line="240" w:lineRule="auto"/>
    </w:pPr>
  </w:style>
  <w:style w:type="character" w:customStyle="1" w:styleId="CommentTextChar">
    <w:name w:val="Comment Text Char"/>
    <w:basedOn w:val="DefaultParagraphFont"/>
    <w:link w:val="CommentText"/>
    <w:uiPriority w:val="99"/>
    <w:rsid w:val="00A63040"/>
    <w:rPr>
      <w:spacing w:val="2"/>
    </w:rPr>
  </w:style>
  <w:style w:type="paragraph" w:styleId="CommentSubject">
    <w:name w:val="annotation subject"/>
    <w:basedOn w:val="CommentText"/>
    <w:next w:val="CommentText"/>
    <w:link w:val="CommentSubjectChar"/>
    <w:uiPriority w:val="99"/>
    <w:semiHidden/>
    <w:unhideWhenUsed/>
    <w:rsid w:val="00A63040"/>
    <w:rPr>
      <w:b/>
      <w:bCs/>
    </w:rPr>
  </w:style>
  <w:style w:type="character" w:customStyle="1" w:styleId="CommentSubjectChar">
    <w:name w:val="Comment Subject Char"/>
    <w:basedOn w:val="CommentTextChar"/>
    <w:link w:val="CommentSubject"/>
    <w:uiPriority w:val="99"/>
    <w:semiHidden/>
    <w:rsid w:val="00A63040"/>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427DB78-1635-4D51-92F9-3BEBF9FAC725}">
  <ds:schemaRefs>
    <ds:schemaRef ds:uri="http://schemas.openxmlformats.org/officeDocument/2006/bibliography"/>
  </ds:schemaRefs>
</ds:datastoreItem>
</file>

<file path=customXml/itemProps2.xml><?xml version="1.0" encoding="utf-8"?>
<ds:datastoreItem xmlns:ds="http://schemas.openxmlformats.org/officeDocument/2006/customXml" ds:itemID="{3E016FBC-857D-43A9-A654-F34DC7C70BA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29</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Ryan Arthur (DTF)</cp:lastModifiedBy>
  <cp:revision>27</cp:revision>
  <cp:lastPrinted>2016-03-03T04:13:00Z</cp:lastPrinted>
  <dcterms:created xsi:type="dcterms:W3CDTF">2024-01-02T19:35:00Z</dcterms:created>
  <dcterms:modified xsi:type="dcterms:W3CDTF">2024-04-17T04:46:00Z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2022-04-28T02:53:54Z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4705a71f-d06c-4064-b62e-63c4920b12b6</vt:lpwstr>
  </property>
  <property fmtid="{D5CDD505-2E9C-101B-9397-08002B2CF9AE}" pid="10" name="MSIP_Label_7158ebbd-6c5e-441f-bfc9-4eb8c11e3978_ContentBits">
    <vt:lpwstr>2</vt:lpwstr>
  </property>
</Properties>
</file>