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37" w:type="dxa"/>
        <w:tblLayout w:type="fixed"/>
        <w:tblLook w:val="0620" w:firstRow="1" w:lastRow="0" w:firstColumn="0" w:lastColumn="0" w:noHBand="1" w:noVBand="1"/>
      </w:tblPr>
      <w:tblGrid>
        <w:gridCol w:w="2293"/>
        <w:gridCol w:w="270"/>
        <w:gridCol w:w="540"/>
        <w:gridCol w:w="6134"/>
      </w:tblGrid>
      <w:tr w:rsidR="006C78FB" w:rsidRPr="00231BD3" w14:paraId="5984ECCF" w14:textId="77777777" w:rsidTr="00FF051E">
        <w:trPr>
          <w:cnfStyle w:val="100000000000" w:firstRow="1" w:lastRow="0" w:firstColumn="0" w:lastColumn="0" w:oddVBand="0" w:evenVBand="0" w:oddHBand="0" w:evenHBand="0" w:firstRowFirstColumn="0" w:firstRowLastColumn="0" w:lastRowFirstColumn="0" w:lastRowLastColumn="0"/>
        </w:trPr>
        <w:tc>
          <w:tcPr>
            <w:tcW w:w="2293" w:type="dxa"/>
          </w:tcPr>
          <w:p w14:paraId="2FE40360" w14:textId="15909B44" w:rsidR="006C78FB" w:rsidRPr="00231BD3" w:rsidRDefault="006C78FB" w:rsidP="00B8224B">
            <w:pPr>
              <w:pStyle w:val="FRDNumber"/>
            </w:pPr>
            <w:r w:rsidRPr="00231BD3">
              <w:t xml:space="preserve">FRD </w:t>
            </w:r>
            <w:r w:rsidR="00E7266D">
              <w:t>101</w:t>
            </w:r>
          </w:p>
        </w:tc>
        <w:tc>
          <w:tcPr>
            <w:tcW w:w="270" w:type="dxa"/>
          </w:tcPr>
          <w:p w14:paraId="5962446D" w14:textId="77777777" w:rsidR="006C78FB" w:rsidRPr="00231BD3" w:rsidRDefault="006C78FB" w:rsidP="00B8224B"/>
        </w:tc>
        <w:tc>
          <w:tcPr>
            <w:tcW w:w="540" w:type="dxa"/>
          </w:tcPr>
          <w:p w14:paraId="29E7FF89" w14:textId="77777777" w:rsidR="006C78FB" w:rsidRPr="00231BD3" w:rsidRDefault="006C78FB" w:rsidP="00B8224B"/>
        </w:tc>
        <w:tc>
          <w:tcPr>
            <w:tcW w:w="6134" w:type="dxa"/>
          </w:tcPr>
          <w:p w14:paraId="444300DD" w14:textId="2955C4AC" w:rsidR="006C78FB" w:rsidRPr="00231BD3" w:rsidRDefault="00F110C9" w:rsidP="00B8224B">
            <w:pPr>
              <w:pStyle w:val="FRDHeader"/>
            </w:pPr>
            <w:r>
              <w:t xml:space="preserve">Application of </w:t>
            </w:r>
            <w:r w:rsidR="001C4E41">
              <w:t>T</w:t>
            </w:r>
            <w:r w:rsidR="00F06D73">
              <w:t>ier</w:t>
            </w:r>
            <w:r>
              <w:t>s</w:t>
            </w:r>
            <w:r w:rsidR="00F06D73">
              <w:t xml:space="preserve"> </w:t>
            </w:r>
            <w:r>
              <w:t>of Australian Accounting Standards</w:t>
            </w:r>
          </w:p>
        </w:tc>
      </w:tr>
      <w:tr w:rsidR="006C78FB" w:rsidRPr="00E10ADB" w14:paraId="751E93A0" w14:textId="77777777" w:rsidTr="00B8224B">
        <w:trPr>
          <w:trHeight w:hRule="exact" w:val="120"/>
        </w:trPr>
        <w:tc>
          <w:tcPr>
            <w:tcW w:w="2293" w:type="dxa"/>
          </w:tcPr>
          <w:p w14:paraId="5B7DA8D3" w14:textId="77777777" w:rsidR="006C78FB" w:rsidRPr="008A601F" w:rsidRDefault="006C78FB" w:rsidP="00B8224B">
            <w:pPr>
              <w:pStyle w:val="Tabletext"/>
            </w:pPr>
          </w:p>
        </w:tc>
        <w:tc>
          <w:tcPr>
            <w:tcW w:w="270" w:type="dxa"/>
          </w:tcPr>
          <w:p w14:paraId="7EC28881" w14:textId="77777777" w:rsidR="006C78FB" w:rsidRPr="008A601F" w:rsidRDefault="006C78FB" w:rsidP="006D66F9">
            <w:pPr>
              <w:pStyle w:val="Normalgrey"/>
            </w:pPr>
          </w:p>
        </w:tc>
        <w:tc>
          <w:tcPr>
            <w:tcW w:w="540" w:type="dxa"/>
          </w:tcPr>
          <w:p w14:paraId="07FBC59C" w14:textId="77777777" w:rsidR="006C78FB" w:rsidRPr="008A601F" w:rsidRDefault="006C78FB" w:rsidP="00B8224B"/>
        </w:tc>
        <w:tc>
          <w:tcPr>
            <w:tcW w:w="6134" w:type="dxa"/>
          </w:tcPr>
          <w:p w14:paraId="60D8B82D" w14:textId="77777777" w:rsidR="006C78FB" w:rsidRPr="008A601F" w:rsidRDefault="006C78FB" w:rsidP="00B8224B"/>
        </w:tc>
      </w:tr>
      <w:tr w:rsidR="005828FE" w:rsidRPr="005828FE" w14:paraId="5DCB0064" w14:textId="77777777" w:rsidTr="00B8224B">
        <w:tc>
          <w:tcPr>
            <w:tcW w:w="2293" w:type="dxa"/>
          </w:tcPr>
          <w:p w14:paraId="311255F0" w14:textId="77777777" w:rsidR="006C78FB" w:rsidRPr="005828FE" w:rsidRDefault="006C78FB" w:rsidP="00382EE1">
            <w:pPr>
              <w:pStyle w:val="Normalgrey"/>
            </w:pPr>
            <w:r w:rsidRPr="005828FE">
              <w:t>Purpose</w:t>
            </w:r>
          </w:p>
        </w:tc>
        <w:tc>
          <w:tcPr>
            <w:tcW w:w="270" w:type="dxa"/>
          </w:tcPr>
          <w:p w14:paraId="2777B8EC" w14:textId="77777777" w:rsidR="006C78FB" w:rsidRPr="005828FE" w:rsidRDefault="006C78FB" w:rsidP="00286F9A">
            <w:pPr>
              <w:pStyle w:val="Normalgrey"/>
            </w:pPr>
          </w:p>
        </w:tc>
        <w:tc>
          <w:tcPr>
            <w:tcW w:w="540" w:type="dxa"/>
          </w:tcPr>
          <w:p w14:paraId="36FDFC51" w14:textId="1F67C538" w:rsidR="006C78FB" w:rsidRPr="005828FE" w:rsidRDefault="00F06D73" w:rsidP="006519F6">
            <w:pPr>
              <w:pStyle w:val="Normalgrey"/>
            </w:pPr>
            <w:r>
              <w:t>1.1</w:t>
            </w:r>
          </w:p>
        </w:tc>
        <w:tc>
          <w:tcPr>
            <w:tcW w:w="6134" w:type="dxa"/>
          </w:tcPr>
          <w:p w14:paraId="48C58D50" w14:textId="691D1CE9" w:rsidR="006C78FB" w:rsidRPr="005828FE" w:rsidRDefault="00F06D73" w:rsidP="00F06D73">
            <w:pPr>
              <w:pStyle w:val="Normalgrey"/>
            </w:pPr>
            <w:r>
              <w:t xml:space="preserve">To prescribe </w:t>
            </w:r>
            <w:r w:rsidR="00153625">
              <w:t xml:space="preserve">two </w:t>
            </w:r>
            <w:r w:rsidR="00E7266D">
              <w:t>tier</w:t>
            </w:r>
            <w:r w:rsidR="00153625">
              <w:t>s</w:t>
            </w:r>
            <w:r w:rsidR="00E7266D">
              <w:t xml:space="preserve"> </w:t>
            </w:r>
            <w:r w:rsidR="00153625">
              <w:t xml:space="preserve">of </w:t>
            </w:r>
            <w:r w:rsidR="00E7266D">
              <w:t xml:space="preserve">reporting </w:t>
            </w:r>
            <w:r w:rsidR="00E85D31">
              <w:t xml:space="preserve">requirements </w:t>
            </w:r>
            <w:r w:rsidR="00153625">
              <w:t xml:space="preserve">for preparing general purpose financial statements </w:t>
            </w:r>
            <w:r w:rsidR="00F110C9">
              <w:t xml:space="preserve">in </w:t>
            </w:r>
            <w:r w:rsidR="00153625">
              <w:t xml:space="preserve">accordance with </w:t>
            </w:r>
            <w:r w:rsidR="00F110C9">
              <w:t xml:space="preserve">AASB 1053 </w:t>
            </w:r>
            <w:r w:rsidR="001C4E41">
              <w:rPr>
                <w:i/>
                <w:iCs/>
              </w:rPr>
              <w:t>Application of Tiers of Australian Accounting Standards</w:t>
            </w:r>
            <w:r w:rsidR="00E7266D">
              <w:t>.</w:t>
            </w:r>
          </w:p>
        </w:tc>
      </w:tr>
      <w:tr w:rsidR="006C78FB" w:rsidRPr="005828FE" w14:paraId="3D59383A" w14:textId="77777777" w:rsidTr="00963C94">
        <w:tc>
          <w:tcPr>
            <w:tcW w:w="2293" w:type="dxa"/>
            <w:shd w:val="clear" w:color="auto" w:fill="F2F2F2" w:themeFill="background1" w:themeFillShade="F2"/>
          </w:tcPr>
          <w:p w14:paraId="4FDADD5C" w14:textId="77777777" w:rsidR="006C78FB" w:rsidRPr="005828FE" w:rsidRDefault="006C78FB" w:rsidP="00A516DE">
            <w:pPr>
              <w:pStyle w:val="Normalbold"/>
            </w:pPr>
            <w:r w:rsidRPr="005828FE">
              <w:t>Application</w:t>
            </w:r>
          </w:p>
        </w:tc>
        <w:tc>
          <w:tcPr>
            <w:tcW w:w="270" w:type="dxa"/>
            <w:shd w:val="clear" w:color="auto" w:fill="F2F2F2" w:themeFill="background1" w:themeFillShade="F2"/>
          </w:tcPr>
          <w:p w14:paraId="1A6AF4E1" w14:textId="77777777" w:rsidR="006C78FB" w:rsidRPr="008B2A17" w:rsidRDefault="006C78FB" w:rsidP="00286F9A">
            <w:pPr>
              <w:pStyle w:val="Normalgrey"/>
            </w:pPr>
          </w:p>
        </w:tc>
        <w:tc>
          <w:tcPr>
            <w:tcW w:w="540" w:type="dxa"/>
            <w:shd w:val="clear" w:color="auto" w:fill="F2F2F2" w:themeFill="background1" w:themeFillShade="F2"/>
          </w:tcPr>
          <w:p w14:paraId="14412924" w14:textId="0E33C76F" w:rsidR="006C78FB" w:rsidRPr="005828FE" w:rsidRDefault="00F06D73" w:rsidP="00286F9A">
            <w:pPr>
              <w:pStyle w:val="Normalgrey"/>
            </w:pPr>
            <w:r>
              <w:t>2.1</w:t>
            </w:r>
          </w:p>
        </w:tc>
        <w:tc>
          <w:tcPr>
            <w:tcW w:w="6134" w:type="dxa"/>
            <w:shd w:val="clear" w:color="auto" w:fill="F2F2F2" w:themeFill="background1" w:themeFillShade="F2"/>
          </w:tcPr>
          <w:p w14:paraId="22D415E8" w14:textId="3218BB17" w:rsidR="006C78FB" w:rsidRPr="005828FE" w:rsidRDefault="00F06D73" w:rsidP="00A516DE">
            <w:pPr>
              <w:pStyle w:val="Normalbold"/>
            </w:pPr>
            <w:r w:rsidRPr="00F06D73">
              <w:t xml:space="preserve">Applies to all entities defined as either a public body or a department under section 3 of the </w:t>
            </w:r>
            <w:r w:rsidRPr="00BB7905">
              <w:rPr>
                <w:i/>
                <w:iCs/>
              </w:rPr>
              <w:t>Financial Management Act</w:t>
            </w:r>
            <w:r w:rsidRPr="00F06D73">
              <w:t xml:space="preserve"> </w:t>
            </w:r>
            <w:r w:rsidRPr="00A41E4D">
              <w:rPr>
                <w:i/>
                <w:iCs/>
              </w:rPr>
              <w:t>1994</w:t>
            </w:r>
            <w:r w:rsidR="001C4E41">
              <w:rPr>
                <w:i/>
                <w:iCs/>
              </w:rPr>
              <w:t>,</w:t>
            </w:r>
            <w:r w:rsidR="00E43885">
              <w:t xml:space="preserve"> except</w:t>
            </w:r>
            <w:r w:rsidRPr="00F06D73">
              <w:t xml:space="preserve"> universities. </w:t>
            </w:r>
          </w:p>
        </w:tc>
      </w:tr>
      <w:tr w:rsidR="006C78FB" w:rsidRPr="005828FE" w14:paraId="74A81D4F" w14:textId="77777777" w:rsidTr="00963C94">
        <w:tc>
          <w:tcPr>
            <w:tcW w:w="2293" w:type="dxa"/>
            <w:shd w:val="clear" w:color="auto" w:fill="F2F2F2" w:themeFill="background1" w:themeFillShade="F2"/>
          </w:tcPr>
          <w:p w14:paraId="22CEE5D5" w14:textId="77777777" w:rsidR="006C78FB" w:rsidRPr="005828FE" w:rsidRDefault="006C78FB" w:rsidP="00A516DE">
            <w:pPr>
              <w:pStyle w:val="Normalbold"/>
            </w:pPr>
            <w:r w:rsidRPr="005828FE">
              <w:t>Operative date</w:t>
            </w:r>
          </w:p>
        </w:tc>
        <w:tc>
          <w:tcPr>
            <w:tcW w:w="270" w:type="dxa"/>
            <w:shd w:val="clear" w:color="auto" w:fill="F2F2F2" w:themeFill="background1" w:themeFillShade="F2"/>
          </w:tcPr>
          <w:p w14:paraId="7653F145" w14:textId="77777777" w:rsidR="006C78FB" w:rsidRPr="008B2A17" w:rsidRDefault="006C78FB" w:rsidP="00286F9A">
            <w:pPr>
              <w:pStyle w:val="Normalgrey"/>
            </w:pPr>
          </w:p>
        </w:tc>
        <w:tc>
          <w:tcPr>
            <w:tcW w:w="540" w:type="dxa"/>
            <w:shd w:val="clear" w:color="auto" w:fill="F2F2F2" w:themeFill="background1" w:themeFillShade="F2"/>
          </w:tcPr>
          <w:p w14:paraId="0D5BDC8E" w14:textId="16CF866C" w:rsidR="001C4E41" w:rsidRPr="005828FE" w:rsidRDefault="00F06D73" w:rsidP="00286F9A">
            <w:pPr>
              <w:pStyle w:val="Normalgrey"/>
            </w:pPr>
            <w:r>
              <w:t>3.1</w:t>
            </w:r>
          </w:p>
        </w:tc>
        <w:tc>
          <w:tcPr>
            <w:tcW w:w="6134" w:type="dxa"/>
            <w:shd w:val="clear" w:color="auto" w:fill="F2F2F2" w:themeFill="background1" w:themeFillShade="F2"/>
          </w:tcPr>
          <w:p w14:paraId="1828EA10" w14:textId="47A9E190" w:rsidR="006C78FB" w:rsidRPr="005828FE" w:rsidRDefault="0038348D" w:rsidP="001C4E41">
            <w:pPr>
              <w:pStyle w:val="Normalbold"/>
            </w:pPr>
            <w:r>
              <w:t>Annual r</w:t>
            </w:r>
            <w:r w:rsidRPr="00186551">
              <w:t xml:space="preserve">eporting </w:t>
            </w:r>
            <w:r w:rsidR="00186551" w:rsidRPr="00186551">
              <w:t>periods commencing on or after 1 July 202</w:t>
            </w:r>
            <w:r w:rsidR="008072F9">
              <w:t>4</w:t>
            </w:r>
            <w:r w:rsidR="00FD36E4">
              <w:t xml:space="preserve">. </w:t>
            </w:r>
          </w:p>
        </w:tc>
      </w:tr>
      <w:tr w:rsidR="001C4E41" w:rsidRPr="005828FE" w14:paraId="7BA8DA0D" w14:textId="77777777" w:rsidTr="00963C94">
        <w:tc>
          <w:tcPr>
            <w:tcW w:w="2293" w:type="dxa"/>
            <w:shd w:val="clear" w:color="auto" w:fill="F2F2F2" w:themeFill="background1" w:themeFillShade="F2"/>
          </w:tcPr>
          <w:p w14:paraId="44474A0A" w14:textId="77777777" w:rsidR="001C4E41" w:rsidRPr="005828FE" w:rsidRDefault="001C4E41" w:rsidP="00A516DE">
            <w:pPr>
              <w:pStyle w:val="Normalbold"/>
            </w:pPr>
          </w:p>
        </w:tc>
        <w:tc>
          <w:tcPr>
            <w:tcW w:w="270" w:type="dxa"/>
            <w:shd w:val="clear" w:color="auto" w:fill="F2F2F2" w:themeFill="background1" w:themeFillShade="F2"/>
          </w:tcPr>
          <w:p w14:paraId="7DF03493" w14:textId="77777777" w:rsidR="001C4E41" w:rsidRPr="008B2A17" w:rsidRDefault="001C4E41" w:rsidP="00286F9A">
            <w:pPr>
              <w:pStyle w:val="Normalgrey"/>
            </w:pPr>
          </w:p>
        </w:tc>
        <w:tc>
          <w:tcPr>
            <w:tcW w:w="540" w:type="dxa"/>
            <w:shd w:val="clear" w:color="auto" w:fill="F2F2F2" w:themeFill="background1" w:themeFillShade="F2"/>
          </w:tcPr>
          <w:p w14:paraId="031DEE88" w14:textId="4A7B6D0A" w:rsidR="001C4E41" w:rsidRDefault="001C4E41" w:rsidP="00286F9A">
            <w:pPr>
              <w:pStyle w:val="Normalgrey"/>
            </w:pPr>
            <w:r>
              <w:t>3.2</w:t>
            </w:r>
          </w:p>
        </w:tc>
        <w:tc>
          <w:tcPr>
            <w:tcW w:w="6134" w:type="dxa"/>
            <w:shd w:val="clear" w:color="auto" w:fill="F2F2F2" w:themeFill="background1" w:themeFillShade="F2"/>
          </w:tcPr>
          <w:p w14:paraId="2E548617" w14:textId="21FF85D5" w:rsidR="001C4E41" w:rsidRPr="00186551" w:rsidRDefault="001C4E41" w:rsidP="00FD36E4">
            <w:pPr>
              <w:pStyle w:val="Normalbold"/>
            </w:pPr>
            <w:r w:rsidRPr="00961B88">
              <w:t>Early adoption is permitted</w:t>
            </w:r>
            <w:r>
              <w:t xml:space="preserve"> for </w:t>
            </w:r>
            <w:r w:rsidR="0038348D">
              <w:t xml:space="preserve">annual </w:t>
            </w:r>
            <w:r>
              <w:t>reporting period</w:t>
            </w:r>
            <w:r w:rsidR="0038348D">
              <w:t xml:space="preserve">s commencing </w:t>
            </w:r>
            <w:r w:rsidR="003616B1">
              <w:t xml:space="preserve">on or after </w:t>
            </w:r>
            <w:r w:rsidR="0038348D">
              <w:t>1 January 2024</w:t>
            </w:r>
            <w:r w:rsidR="00D52A6A">
              <w:t xml:space="preserve"> </w:t>
            </w:r>
            <w:r w:rsidR="0038348D">
              <w:t>but before 1 July 2024</w:t>
            </w:r>
            <w:r>
              <w:t>.</w:t>
            </w:r>
            <w:r w:rsidR="0038348D">
              <w:t xml:space="preserve"> When an entity applies this Direction to such an annual reporting period, it shall disclose that fact.</w:t>
            </w:r>
          </w:p>
        </w:tc>
      </w:tr>
      <w:tr w:rsidR="006972A0" w:rsidRPr="005828FE" w14:paraId="25A8DC5B" w14:textId="77777777" w:rsidTr="00A0322D">
        <w:tc>
          <w:tcPr>
            <w:tcW w:w="2293" w:type="dxa"/>
            <w:shd w:val="clear" w:color="auto" w:fill="F2F2F2" w:themeFill="background1" w:themeFillShade="F2"/>
          </w:tcPr>
          <w:p w14:paraId="3EF46E22" w14:textId="76E97CB9" w:rsidR="006972A0" w:rsidRPr="005828FE" w:rsidRDefault="006972A0" w:rsidP="00A0322D">
            <w:pPr>
              <w:pStyle w:val="Normalbold"/>
            </w:pPr>
            <w:r w:rsidRPr="005828FE">
              <w:t>Requirement</w:t>
            </w:r>
            <w:r>
              <w:t>s</w:t>
            </w:r>
          </w:p>
        </w:tc>
        <w:tc>
          <w:tcPr>
            <w:tcW w:w="270" w:type="dxa"/>
            <w:shd w:val="clear" w:color="auto" w:fill="F2F2F2" w:themeFill="background1" w:themeFillShade="F2"/>
          </w:tcPr>
          <w:p w14:paraId="4231F66E" w14:textId="77777777" w:rsidR="006972A0" w:rsidRPr="008B2A17" w:rsidRDefault="006972A0" w:rsidP="00286F9A">
            <w:pPr>
              <w:pStyle w:val="Normalgrey"/>
            </w:pPr>
          </w:p>
        </w:tc>
        <w:tc>
          <w:tcPr>
            <w:tcW w:w="540" w:type="dxa"/>
            <w:shd w:val="clear" w:color="auto" w:fill="F2F2F2" w:themeFill="background1" w:themeFillShade="F2"/>
          </w:tcPr>
          <w:p w14:paraId="11C7A45E" w14:textId="1D0F2528" w:rsidR="006972A0" w:rsidRDefault="006972A0" w:rsidP="00286F9A">
            <w:pPr>
              <w:pStyle w:val="Normalgrey"/>
            </w:pPr>
            <w:r>
              <w:t>4.1</w:t>
            </w:r>
          </w:p>
        </w:tc>
        <w:tc>
          <w:tcPr>
            <w:tcW w:w="6134" w:type="dxa"/>
            <w:shd w:val="clear" w:color="auto" w:fill="F2F2F2" w:themeFill="background1" w:themeFillShade="F2"/>
          </w:tcPr>
          <w:p w14:paraId="69362CA3" w14:textId="220B2178" w:rsidR="006972A0" w:rsidRPr="00A41E4D" w:rsidRDefault="00A670F8" w:rsidP="00A0322D">
            <w:pPr>
              <w:pStyle w:val="Normalbold"/>
            </w:pPr>
            <w:r w:rsidRPr="00A41E4D">
              <w:t xml:space="preserve">Tiers of </w:t>
            </w:r>
            <w:r w:rsidR="00603CC0">
              <w:t>g</w:t>
            </w:r>
            <w:r w:rsidR="00841183" w:rsidRPr="00A41E4D">
              <w:t xml:space="preserve">eneral </w:t>
            </w:r>
            <w:r w:rsidR="00603CC0">
              <w:t>p</w:t>
            </w:r>
            <w:r w:rsidRPr="00A41E4D">
              <w:t xml:space="preserve">urpose </w:t>
            </w:r>
            <w:r w:rsidR="00603CC0">
              <w:t>f</w:t>
            </w:r>
            <w:r w:rsidRPr="00A41E4D">
              <w:t xml:space="preserve">inancial </w:t>
            </w:r>
            <w:r w:rsidR="00603CC0">
              <w:t>s</w:t>
            </w:r>
            <w:r>
              <w:t>tatements</w:t>
            </w:r>
          </w:p>
          <w:p w14:paraId="20CAF09E" w14:textId="77777777" w:rsidR="00C53E83" w:rsidRDefault="00841183" w:rsidP="00841183">
            <w:pPr>
              <w:pStyle w:val="Normalbold"/>
            </w:pPr>
            <w:r>
              <w:t xml:space="preserve">AASB 1053 </w:t>
            </w:r>
            <w:r w:rsidRPr="002D3B9B">
              <w:rPr>
                <w:i/>
                <w:iCs/>
              </w:rPr>
              <w:t>Application of Tiers of Australian Accounting Standards</w:t>
            </w:r>
            <w:r>
              <w:t xml:space="preserve"> establishes two tiers of reporting requirements</w:t>
            </w:r>
            <w:r w:rsidR="00A670F8">
              <w:t xml:space="preserve"> for preparing general purpose financial statements</w:t>
            </w:r>
            <w:r w:rsidR="00C53E83">
              <w:t>:</w:t>
            </w:r>
          </w:p>
          <w:p w14:paraId="7271CF58" w14:textId="7F4DD523" w:rsidR="00C53E83" w:rsidRDefault="00C53E83" w:rsidP="00A41E4D">
            <w:pPr>
              <w:pStyle w:val="Normalbold"/>
              <w:numPr>
                <w:ilvl w:val="0"/>
                <w:numId w:val="36"/>
              </w:numPr>
            </w:pPr>
            <w:r>
              <w:t>Tier 1: Australian Accounting Standards; and</w:t>
            </w:r>
          </w:p>
          <w:p w14:paraId="723280F0" w14:textId="2722075B" w:rsidR="00C53E83" w:rsidRDefault="00C53E83" w:rsidP="00A41E4D">
            <w:pPr>
              <w:pStyle w:val="Normalbold"/>
              <w:numPr>
                <w:ilvl w:val="0"/>
                <w:numId w:val="36"/>
              </w:numPr>
            </w:pPr>
            <w:r>
              <w:t>Tier 2: Australian Accounting Standards – Simplified Disclosures.</w:t>
            </w:r>
          </w:p>
          <w:p w14:paraId="579550B6" w14:textId="436BFA6E" w:rsidR="00C53E83" w:rsidRDefault="00841183" w:rsidP="00841183">
            <w:pPr>
              <w:pStyle w:val="Normalbold"/>
            </w:pPr>
            <w:r>
              <w:t xml:space="preserve">Tier 1 </w:t>
            </w:r>
            <w:r w:rsidR="00C53E83">
              <w:t xml:space="preserve">financial statements comply with </w:t>
            </w:r>
            <w:r>
              <w:t xml:space="preserve">the full recognition, </w:t>
            </w:r>
            <w:proofErr w:type="gramStart"/>
            <w:r>
              <w:t>measurement</w:t>
            </w:r>
            <w:proofErr w:type="gramEnd"/>
            <w:r w:rsidR="003616B1">
              <w:t xml:space="preserve"> </w:t>
            </w:r>
            <w:r>
              <w:t>and disclosure requirements of all Australian Accounting Standards</w:t>
            </w:r>
            <w:r w:rsidR="00153625">
              <w:t>.</w:t>
            </w:r>
          </w:p>
          <w:p w14:paraId="5F34507F" w14:textId="06E8F6C6" w:rsidR="00C1357F" w:rsidRDefault="00841183" w:rsidP="00841183">
            <w:pPr>
              <w:pStyle w:val="Normalbold"/>
              <w:rPr>
                <w:bCs/>
              </w:rPr>
            </w:pPr>
            <w:r>
              <w:t xml:space="preserve">Tier 2 </w:t>
            </w:r>
            <w:r w:rsidR="00C53E83">
              <w:t xml:space="preserve">financial statements comply with </w:t>
            </w:r>
            <w:r w:rsidR="000822EA">
              <w:t xml:space="preserve">all the recognition and measurement requirements, </w:t>
            </w:r>
            <w:r w:rsidR="00603CC0">
              <w:t>however benefit from</w:t>
            </w:r>
            <w:r w:rsidR="000822EA">
              <w:t xml:space="preserve"> </w:t>
            </w:r>
            <w:r w:rsidR="00F267F4" w:rsidRPr="004B4D48">
              <w:t>a</w:t>
            </w:r>
            <w:r w:rsidR="00F267F4" w:rsidRPr="0046115B">
              <w:t xml:space="preserve"> </w:t>
            </w:r>
            <w:r w:rsidR="000822EA">
              <w:t>reduced level of disclosures.</w:t>
            </w:r>
            <w:r w:rsidR="00183A4A">
              <w:t xml:space="preserve"> Tier 2 disclosure requirements are contained in AASB 1060 </w:t>
            </w:r>
            <w:r w:rsidR="00183A4A" w:rsidRPr="00A41E4D">
              <w:rPr>
                <w:i/>
                <w:iCs/>
              </w:rPr>
              <w:t>General Purpose Financial Statements</w:t>
            </w:r>
            <w:r w:rsidR="00B0586E" w:rsidRPr="00151C74">
              <w:rPr>
                <w:i/>
                <w:iCs/>
              </w:rPr>
              <w:t xml:space="preserve"> </w:t>
            </w:r>
            <w:r w:rsidR="00183A4A" w:rsidRPr="00A41E4D">
              <w:rPr>
                <w:i/>
                <w:iCs/>
              </w:rPr>
              <w:t>– Simplified Disclosures for For-Profit and Not-for-Profit Tier 2 Entities</w:t>
            </w:r>
            <w:r w:rsidR="00153625" w:rsidRPr="00151C74">
              <w:t>.</w:t>
            </w:r>
          </w:p>
          <w:p w14:paraId="32F96BC9" w14:textId="6D4C40C7" w:rsidR="00841183" w:rsidRDefault="00C1357F" w:rsidP="00841183">
            <w:pPr>
              <w:pStyle w:val="Normalbold"/>
            </w:pPr>
            <w:r>
              <w:t>Under AASB 1053, all Victorian public sector entity financial statements (other than the Whole of State Annual Financial Report) are eligible to be prepared using Tier 2 reporting requirements. AASB 1053 leaves the determination of the Tiers of reporting requirements under which public sector entities should report to relevant public sector regulators in each jurisdiction (DTF in the context of Victoria). DTF’s determination of the Tiers of reporting requirements for Victorian public sector entities is outlined in this Direction.</w:t>
            </w:r>
          </w:p>
        </w:tc>
      </w:tr>
      <w:tr w:rsidR="00BC6691" w:rsidRPr="005828FE" w14:paraId="3BB238F3" w14:textId="77777777" w:rsidTr="00A0322D">
        <w:tc>
          <w:tcPr>
            <w:tcW w:w="2293" w:type="dxa"/>
            <w:shd w:val="clear" w:color="auto" w:fill="F2F2F2" w:themeFill="background1" w:themeFillShade="F2"/>
          </w:tcPr>
          <w:p w14:paraId="7079540F" w14:textId="55BD1E7A" w:rsidR="00BC6691" w:rsidRPr="005828FE" w:rsidRDefault="00BC6691" w:rsidP="00A0322D">
            <w:pPr>
              <w:pStyle w:val="Normalbold"/>
            </w:pPr>
          </w:p>
        </w:tc>
        <w:tc>
          <w:tcPr>
            <w:tcW w:w="270" w:type="dxa"/>
            <w:shd w:val="clear" w:color="auto" w:fill="F2F2F2" w:themeFill="background1" w:themeFillShade="F2"/>
          </w:tcPr>
          <w:p w14:paraId="799AC718" w14:textId="77777777" w:rsidR="00BC6691" w:rsidRPr="008B2A17" w:rsidRDefault="00BC6691" w:rsidP="00286F9A">
            <w:pPr>
              <w:pStyle w:val="Normalgrey"/>
            </w:pPr>
          </w:p>
        </w:tc>
        <w:tc>
          <w:tcPr>
            <w:tcW w:w="540" w:type="dxa"/>
            <w:shd w:val="clear" w:color="auto" w:fill="F2F2F2" w:themeFill="background1" w:themeFillShade="F2"/>
          </w:tcPr>
          <w:p w14:paraId="41D4E977" w14:textId="215DF86C" w:rsidR="00BC6691" w:rsidRPr="005828FE" w:rsidRDefault="00F06D73" w:rsidP="00286F9A">
            <w:pPr>
              <w:pStyle w:val="Normalgrey"/>
            </w:pPr>
            <w:r>
              <w:t>4.</w:t>
            </w:r>
            <w:r w:rsidR="00C1357F">
              <w:t>2</w:t>
            </w:r>
          </w:p>
        </w:tc>
        <w:tc>
          <w:tcPr>
            <w:tcW w:w="6134" w:type="dxa"/>
            <w:shd w:val="clear" w:color="auto" w:fill="F2F2F2" w:themeFill="background1" w:themeFillShade="F2"/>
          </w:tcPr>
          <w:p w14:paraId="602B17A3" w14:textId="6A4C15D1" w:rsidR="00603CC0" w:rsidRDefault="00183A4A" w:rsidP="00A0322D">
            <w:pPr>
              <w:pStyle w:val="Normalbold"/>
            </w:pPr>
            <w:r>
              <w:t>Tier 1 and Tier 2 c</w:t>
            </w:r>
            <w:r w:rsidR="007C2F24">
              <w:t xml:space="preserve">lassification </w:t>
            </w:r>
            <w:r>
              <w:t>criteria</w:t>
            </w:r>
          </w:p>
          <w:p w14:paraId="496034B4" w14:textId="43F83C82" w:rsidR="00BC6691" w:rsidRDefault="00E7266D" w:rsidP="00A0322D">
            <w:pPr>
              <w:pStyle w:val="Normalbold"/>
            </w:pPr>
            <w:r>
              <w:t>A</w:t>
            </w:r>
            <w:r w:rsidR="00F06D73" w:rsidRPr="00F06D73">
              <w:t xml:space="preserve">n entity that meets the definition of a ‘significant entity’ </w:t>
            </w:r>
            <w:r w:rsidR="00603CC0">
              <w:t>(as defined in this Direction) shall</w:t>
            </w:r>
            <w:r w:rsidR="00D51F91" w:rsidRPr="00F06D73">
              <w:t xml:space="preserve"> </w:t>
            </w:r>
            <w:r w:rsidR="00F06D73" w:rsidRPr="00F06D73">
              <w:t xml:space="preserve">prepare </w:t>
            </w:r>
            <w:r w:rsidR="00603CC0">
              <w:t xml:space="preserve">Tier 1 </w:t>
            </w:r>
            <w:r w:rsidR="00F06D73" w:rsidRPr="00F06D73">
              <w:t xml:space="preserve">financial </w:t>
            </w:r>
            <w:r w:rsidR="00E43885">
              <w:t>statements</w:t>
            </w:r>
            <w:r w:rsidR="00603CC0">
              <w:t xml:space="preserve"> in accordance with Australian Accounting Standards</w:t>
            </w:r>
            <w:r w:rsidR="00E43885">
              <w:t>.</w:t>
            </w:r>
            <w:r w:rsidR="007B4EED">
              <w:t xml:space="preserve"> </w:t>
            </w:r>
          </w:p>
          <w:p w14:paraId="200D5CEA" w14:textId="6CB0E33B" w:rsidR="00183A4A" w:rsidRPr="005828FE" w:rsidRDefault="00183A4A" w:rsidP="00A0322D">
            <w:pPr>
              <w:pStyle w:val="Normalbold"/>
            </w:pPr>
            <w:r>
              <w:t>An entity that does not meet the definition of a ‘significant entity’ shall prepare Tier 2 financial statements in accordance with Australian Accounting Standards – Simplified Disclosures.</w:t>
            </w:r>
          </w:p>
        </w:tc>
      </w:tr>
      <w:tr w:rsidR="00F06D73" w:rsidRPr="005828FE" w14:paraId="3E3B9F7D" w14:textId="77777777" w:rsidTr="00526266">
        <w:tc>
          <w:tcPr>
            <w:tcW w:w="2293" w:type="dxa"/>
            <w:shd w:val="clear" w:color="auto" w:fill="F2F2F2" w:themeFill="background1" w:themeFillShade="F2"/>
          </w:tcPr>
          <w:p w14:paraId="393F288F" w14:textId="77777777" w:rsidR="00F06D73" w:rsidRPr="005828FE" w:rsidRDefault="00F06D73" w:rsidP="00A0322D">
            <w:pPr>
              <w:pStyle w:val="Normalbold"/>
            </w:pPr>
          </w:p>
        </w:tc>
        <w:tc>
          <w:tcPr>
            <w:tcW w:w="270" w:type="dxa"/>
            <w:shd w:val="clear" w:color="auto" w:fill="F2F2F2" w:themeFill="background1" w:themeFillShade="F2"/>
          </w:tcPr>
          <w:p w14:paraId="4703D196" w14:textId="77777777" w:rsidR="00F06D73" w:rsidRPr="008B2A17" w:rsidRDefault="00F06D73" w:rsidP="00286F9A">
            <w:pPr>
              <w:pStyle w:val="Normalgrey"/>
            </w:pPr>
          </w:p>
        </w:tc>
        <w:tc>
          <w:tcPr>
            <w:tcW w:w="540" w:type="dxa"/>
            <w:shd w:val="clear" w:color="auto" w:fill="F2F2F2" w:themeFill="background1" w:themeFillShade="F2"/>
          </w:tcPr>
          <w:p w14:paraId="788C46F3" w14:textId="253613CE" w:rsidR="00F06D73" w:rsidRDefault="009832A3" w:rsidP="00286F9A">
            <w:pPr>
              <w:pStyle w:val="Normalgrey"/>
            </w:pPr>
            <w:r>
              <w:t>4.</w:t>
            </w:r>
            <w:r w:rsidR="00C1357F">
              <w:t>3</w:t>
            </w:r>
          </w:p>
        </w:tc>
        <w:tc>
          <w:tcPr>
            <w:tcW w:w="6134" w:type="dxa"/>
            <w:shd w:val="clear" w:color="auto" w:fill="F2F2F2" w:themeFill="background1" w:themeFillShade="F2"/>
          </w:tcPr>
          <w:p w14:paraId="14018923" w14:textId="4B5300E3" w:rsidR="007C2F24" w:rsidRDefault="00183A4A" w:rsidP="00131366">
            <w:pPr>
              <w:pStyle w:val="Normalbold"/>
            </w:pPr>
            <w:r>
              <w:t>Significant entity definition</w:t>
            </w:r>
          </w:p>
          <w:p w14:paraId="1DED9FC2" w14:textId="45BDD993" w:rsidR="007624C6" w:rsidRPr="007624C6" w:rsidRDefault="00131366" w:rsidP="00A41E4D">
            <w:pPr>
              <w:pStyle w:val="Normalbold"/>
            </w:pPr>
            <w:r>
              <w:t xml:space="preserve">An entity is a ‘significant entity’ if any of the following </w:t>
            </w:r>
            <w:r w:rsidR="00E7266D">
              <w:t>criteria is</w:t>
            </w:r>
            <w:r>
              <w:t xml:space="preserve"> met:</w:t>
            </w:r>
          </w:p>
          <w:p w14:paraId="3DABBDB3" w14:textId="7397B452" w:rsidR="00F60D73" w:rsidRDefault="00131366" w:rsidP="007624C6">
            <w:pPr>
              <w:pStyle w:val="Normalbold"/>
              <w:numPr>
                <w:ilvl w:val="2"/>
                <w:numId w:val="35"/>
              </w:numPr>
            </w:pPr>
            <w:r>
              <w:t xml:space="preserve">the entity is a Government Department or Public Financial </w:t>
            </w:r>
            <w:proofErr w:type="gramStart"/>
            <w:r>
              <w:t>Corporation;</w:t>
            </w:r>
            <w:proofErr w:type="gramEnd"/>
          </w:p>
          <w:p w14:paraId="30B6985D" w14:textId="0BD8F6ED" w:rsidR="00F60D73" w:rsidRDefault="00131366" w:rsidP="007624C6">
            <w:pPr>
              <w:pStyle w:val="Normalbold"/>
              <w:numPr>
                <w:ilvl w:val="2"/>
                <w:numId w:val="35"/>
              </w:numPr>
            </w:pPr>
            <w:r>
              <w:t xml:space="preserve">the entity’s total expenses </w:t>
            </w:r>
            <w:r w:rsidR="00E7266D">
              <w:t>are</w:t>
            </w:r>
            <w:r>
              <w:t xml:space="preserve"> greater than $1 billion for each of the two preceding financial </w:t>
            </w:r>
            <w:proofErr w:type="gramStart"/>
            <w:r>
              <w:t>years;</w:t>
            </w:r>
            <w:proofErr w:type="gramEnd"/>
          </w:p>
          <w:p w14:paraId="5D5CAB2A" w14:textId="0A1F0187" w:rsidR="00F60D73" w:rsidRDefault="00131366" w:rsidP="007624C6">
            <w:pPr>
              <w:pStyle w:val="Normalbold"/>
              <w:numPr>
                <w:ilvl w:val="2"/>
                <w:numId w:val="35"/>
              </w:numPr>
            </w:pPr>
            <w:r>
              <w:t>the entity’s total assets are greater than $4 billion for each of the two preceding financial years; or</w:t>
            </w:r>
          </w:p>
          <w:p w14:paraId="388AC1DA" w14:textId="5E72C7CE" w:rsidR="00F60D73" w:rsidRDefault="00131366" w:rsidP="00A41E4D">
            <w:pPr>
              <w:pStyle w:val="Normalbold"/>
              <w:numPr>
                <w:ilvl w:val="2"/>
                <w:numId w:val="35"/>
              </w:numPr>
            </w:pPr>
            <w:r>
              <w:t xml:space="preserve">the entity is deemed to be a significant entity by the DTF Deputy Secretary </w:t>
            </w:r>
            <w:r w:rsidR="005F7E23">
              <w:t>–</w:t>
            </w:r>
            <w:r>
              <w:t xml:space="preserve"> Budget and Finance based on qualitative considerations</w:t>
            </w:r>
            <w:r w:rsidR="003616B1">
              <w:t>.</w:t>
            </w:r>
          </w:p>
        </w:tc>
      </w:tr>
      <w:tr w:rsidR="001C4CB5" w:rsidRPr="005828FE" w14:paraId="39821559" w14:textId="77777777" w:rsidTr="00A0322D">
        <w:tc>
          <w:tcPr>
            <w:tcW w:w="2293" w:type="dxa"/>
            <w:shd w:val="clear" w:color="auto" w:fill="F2F2F2" w:themeFill="background1" w:themeFillShade="F2"/>
          </w:tcPr>
          <w:p w14:paraId="6AB83414" w14:textId="77777777" w:rsidR="001C4CB5" w:rsidRPr="005828FE" w:rsidRDefault="001C4CB5" w:rsidP="00A0322D">
            <w:pPr>
              <w:pStyle w:val="Normalbold"/>
            </w:pPr>
          </w:p>
        </w:tc>
        <w:tc>
          <w:tcPr>
            <w:tcW w:w="270" w:type="dxa"/>
            <w:shd w:val="clear" w:color="auto" w:fill="F2F2F2" w:themeFill="background1" w:themeFillShade="F2"/>
          </w:tcPr>
          <w:p w14:paraId="37B2C31A" w14:textId="77777777" w:rsidR="001C4CB5" w:rsidRPr="008B2A17" w:rsidRDefault="001C4CB5" w:rsidP="00286F9A">
            <w:pPr>
              <w:pStyle w:val="Normalgrey"/>
            </w:pPr>
          </w:p>
        </w:tc>
        <w:tc>
          <w:tcPr>
            <w:tcW w:w="540" w:type="dxa"/>
            <w:shd w:val="clear" w:color="auto" w:fill="F2F2F2" w:themeFill="background1" w:themeFillShade="F2"/>
          </w:tcPr>
          <w:p w14:paraId="5FF37C22" w14:textId="3FA89E83" w:rsidR="001C4CB5" w:rsidRDefault="001C4CB5" w:rsidP="00286F9A">
            <w:pPr>
              <w:pStyle w:val="Normalgrey"/>
            </w:pPr>
            <w:r>
              <w:t>4.4</w:t>
            </w:r>
          </w:p>
        </w:tc>
        <w:tc>
          <w:tcPr>
            <w:tcW w:w="6134" w:type="dxa"/>
            <w:shd w:val="clear" w:color="auto" w:fill="F2F2F2" w:themeFill="background1" w:themeFillShade="F2"/>
          </w:tcPr>
          <w:p w14:paraId="1AEE0D54" w14:textId="74681FD8" w:rsidR="001C4CB5" w:rsidRDefault="001C4CB5" w:rsidP="00131366">
            <w:pPr>
              <w:pStyle w:val="Normalbold"/>
            </w:pPr>
            <w:r>
              <w:t xml:space="preserve">An entity’s significant entity assessment in paragraph 4.3 shall be performed at the level at which the entity </w:t>
            </w:r>
            <w:r w:rsidR="009B6E66">
              <w:t xml:space="preserve">is required to </w:t>
            </w:r>
            <w:r>
              <w:t xml:space="preserve">prepare its financial statements. This means where an entity’s financial statements are prepared on a consolidated basis, the significant entity assessment </w:t>
            </w:r>
            <w:r w:rsidR="00151C74">
              <w:t xml:space="preserve">must be </w:t>
            </w:r>
            <w:r>
              <w:t xml:space="preserve">performed at the consolidated level. </w:t>
            </w:r>
          </w:p>
        </w:tc>
      </w:tr>
      <w:tr w:rsidR="003616B1" w:rsidRPr="005828FE" w14:paraId="4D0F22FB" w14:textId="77777777" w:rsidTr="00A0322D">
        <w:tc>
          <w:tcPr>
            <w:tcW w:w="2293" w:type="dxa"/>
            <w:shd w:val="clear" w:color="auto" w:fill="F2F2F2" w:themeFill="background1" w:themeFillShade="F2"/>
          </w:tcPr>
          <w:p w14:paraId="2922BE95" w14:textId="77777777" w:rsidR="003616B1" w:rsidRPr="005828FE" w:rsidRDefault="003616B1" w:rsidP="00A0322D">
            <w:pPr>
              <w:pStyle w:val="Normalbold"/>
            </w:pPr>
          </w:p>
        </w:tc>
        <w:tc>
          <w:tcPr>
            <w:tcW w:w="270" w:type="dxa"/>
            <w:shd w:val="clear" w:color="auto" w:fill="F2F2F2" w:themeFill="background1" w:themeFillShade="F2"/>
          </w:tcPr>
          <w:p w14:paraId="34F611CD" w14:textId="77777777" w:rsidR="003616B1" w:rsidRPr="008B2A17" w:rsidRDefault="003616B1" w:rsidP="00286F9A">
            <w:pPr>
              <w:pStyle w:val="Normalgrey"/>
            </w:pPr>
          </w:p>
        </w:tc>
        <w:tc>
          <w:tcPr>
            <w:tcW w:w="540" w:type="dxa"/>
            <w:shd w:val="clear" w:color="auto" w:fill="F2F2F2" w:themeFill="background1" w:themeFillShade="F2"/>
          </w:tcPr>
          <w:p w14:paraId="5F15BDBD" w14:textId="1FD060AF" w:rsidR="003616B1" w:rsidRDefault="003616B1" w:rsidP="00286F9A">
            <w:pPr>
              <w:pStyle w:val="Normalgrey"/>
            </w:pPr>
            <w:r>
              <w:t>4.</w:t>
            </w:r>
            <w:r w:rsidR="00832188">
              <w:t>5</w:t>
            </w:r>
          </w:p>
        </w:tc>
        <w:tc>
          <w:tcPr>
            <w:tcW w:w="6134" w:type="dxa"/>
            <w:shd w:val="clear" w:color="auto" w:fill="F2F2F2" w:themeFill="background1" w:themeFillShade="F2"/>
          </w:tcPr>
          <w:p w14:paraId="601CD473" w14:textId="1864F744" w:rsidR="0020285A" w:rsidRPr="005F7E23" w:rsidRDefault="00941C9F" w:rsidP="00B6289A">
            <w:pPr>
              <w:pStyle w:val="Normalbold"/>
            </w:pPr>
            <w:r>
              <w:t xml:space="preserve">An entity that prepares Tier 1 or Tier 2 financial statements </w:t>
            </w:r>
            <w:proofErr w:type="gramStart"/>
            <w:r>
              <w:t xml:space="preserve">on the basis </w:t>
            </w:r>
            <w:r w:rsidR="00151C74">
              <w:t>of</w:t>
            </w:r>
            <w:proofErr w:type="gramEnd"/>
            <w:r>
              <w:t xml:space="preserve"> </w:t>
            </w:r>
            <w:r w:rsidR="00151C74">
              <w:t xml:space="preserve">the </w:t>
            </w:r>
            <w:r>
              <w:t>total expense or total asset thresholds in paragraphs 4.</w:t>
            </w:r>
            <w:r w:rsidR="007624C6">
              <w:t>3</w:t>
            </w:r>
            <w:r>
              <w:t>.2 and 4.</w:t>
            </w:r>
            <w:r w:rsidR="007624C6">
              <w:t>3</w:t>
            </w:r>
            <w:r>
              <w:t>.</w:t>
            </w:r>
            <w:r w:rsidR="007624C6">
              <w:t>3</w:t>
            </w:r>
            <w:r w:rsidR="00D16233">
              <w:t xml:space="preserve"> is required to self-assess its reporting status on an ongoing basis. Where the entity’s total expense or total asset amounts</w:t>
            </w:r>
            <w:r w:rsidR="00B6289A">
              <w:t xml:space="preserve"> </w:t>
            </w:r>
            <w:r>
              <w:t>subsequently</w:t>
            </w:r>
            <w:r w:rsidR="00482D93">
              <w:t xml:space="preserve"> </w:t>
            </w:r>
            <w:r w:rsidR="00095335">
              <w:t xml:space="preserve">change </w:t>
            </w:r>
            <w:r w:rsidR="00B6289A">
              <w:t xml:space="preserve">(or </w:t>
            </w:r>
            <w:r w:rsidR="00C278B9">
              <w:t xml:space="preserve">are </w:t>
            </w:r>
            <w:r w:rsidR="00B6289A">
              <w:t xml:space="preserve">expected to </w:t>
            </w:r>
            <w:r>
              <w:t>change</w:t>
            </w:r>
            <w:r w:rsidR="00095335">
              <w:t>)</w:t>
            </w:r>
            <w:r>
              <w:t xml:space="preserve"> for two consecutive financial years</w:t>
            </w:r>
            <w:r w:rsidR="00151C74">
              <w:t xml:space="preserve">, </w:t>
            </w:r>
            <w:r>
              <w:t xml:space="preserve">impacting the entity’s significant entity status, the entity’s Chief Finance and Accounting Officer (CFAO) must consult with </w:t>
            </w:r>
            <w:r w:rsidR="00F34EA3">
              <w:t xml:space="preserve">the </w:t>
            </w:r>
            <w:r>
              <w:t>DTF Principal Accounting Officer</w:t>
            </w:r>
            <w:r w:rsidR="00D656A3">
              <w:t xml:space="preserve"> to assist DTF</w:t>
            </w:r>
            <w:r>
              <w:t xml:space="preserve"> in determining whether the entity prepares Tier 1 or Tier 2 financial statements</w:t>
            </w:r>
            <w:r w:rsidR="00095335">
              <w:t>.</w:t>
            </w:r>
          </w:p>
        </w:tc>
      </w:tr>
      <w:tr w:rsidR="00941C9F" w:rsidRPr="005828FE" w14:paraId="122D16EF" w14:textId="77777777" w:rsidTr="00A0322D">
        <w:tc>
          <w:tcPr>
            <w:tcW w:w="2293" w:type="dxa"/>
            <w:shd w:val="clear" w:color="auto" w:fill="F2F2F2" w:themeFill="background1" w:themeFillShade="F2"/>
          </w:tcPr>
          <w:p w14:paraId="1207999F" w14:textId="77777777" w:rsidR="00941C9F" w:rsidRPr="005828FE" w:rsidRDefault="00941C9F" w:rsidP="00A0322D">
            <w:pPr>
              <w:pStyle w:val="Normalbold"/>
            </w:pPr>
          </w:p>
        </w:tc>
        <w:tc>
          <w:tcPr>
            <w:tcW w:w="270" w:type="dxa"/>
            <w:shd w:val="clear" w:color="auto" w:fill="F2F2F2" w:themeFill="background1" w:themeFillShade="F2"/>
          </w:tcPr>
          <w:p w14:paraId="489D303E" w14:textId="77777777" w:rsidR="00941C9F" w:rsidRPr="008B2A17" w:rsidRDefault="00941C9F" w:rsidP="00286F9A">
            <w:pPr>
              <w:pStyle w:val="Normalgrey"/>
            </w:pPr>
          </w:p>
        </w:tc>
        <w:tc>
          <w:tcPr>
            <w:tcW w:w="540" w:type="dxa"/>
            <w:shd w:val="clear" w:color="auto" w:fill="F2F2F2" w:themeFill="background1" w:themeFillShade="F2"/>
          </w:tcPr>
          <w:p w14:paraId="51509F4D" w14:textId="2342FD90" w:rsidR="00941C9F" w:rsidRDefault="00941C9F" w:rsidP="00286F9A">
            <w:pPr>
              <w:pStyle w:val="Normalgrey"/>
            </w:pPr>
            <w:r>
              <w:t>4.</w:t>
            </w:r>
            <w:r w:rsidR="006063C4">
              <w:t>6</w:t>
            </w:r>
          </w:p>
        </w:tc>
        <w:tc>
          <w:tcPr>
            <w:tcW w:w="6134" w:type="dxa"/>
            <w:shd w:val="clear" w:color="auto" w:fill="F2F2F2" w:themeFill="background1" w:themeFillShade="F2"/>
          </w:tcPr>
          <w:p w14:paraId="66ED8865" w14:textId="77777777" w:rsidR="000800CA" w:rsidRDefault="00941C9F" w:rsidP="000800CA">
            <w:pPr>
              <w:pStyle w:val="Normalbold"/>
            </w:pPr>
            <w:r>
              <w:t>With respect to paragraph 4.</w:t>
            </w:r>
            <w:r w:rsidR="007624C6">
              <w:t>3</w:t>
            </w:r>
            <w:r>
              <w:t>.4</w:t>
            </w:r>
            <w:r w:rsidR="000800CA">
              <w:t>:</w:t>
            </w:r>
          </w:p>
          <w:p w14:paraId="5E603D67" w14:textId="7BFDCB0F" w:rsidR="000800CA" w:rsidRPr="004B4D48" w:rsidRDefault="000800CA" w:rsidP="000800CA">
            <w:pPr>
              <w:pStyle w:val="Normalbold"/>
              <w:numPr>
                <w:ilvl w:val="0"/>
                <w:numId w:val="40"/>
              </w:numPr>
            </w:pPr>
            <w:r w:rsidRPr="004B4D48">
              <w:t xml:space="preserve">DTF Deputy Secretary – Budget and Finance will consider a range of factors such as an entity’s expected future growth, financial and operational complexity and risk factors in determining whether the entity needs to prepare Tier 1 financial </w:t>
            </w:r>
            <w:proofErr w:type="gramStart"/>
            <w:r w:rsidRPr="004B4D48">
              <w:t>statements</w:t>
            </w:r>
            <w:r w:rsidR="001977D9">
              <w:t>;</w:t>
            </w:r>
            <w:proofErr w:type="gramEnd"/>
          </w:p>
          <w:p w14:paraId="67B4379B" w14:textId="6208ABC4" w:rsidR="000800CA" w:rsidRPr="004B4D48" w:rsidRDefault="000800CA" w:rsidP="000800CA">
            <w:pPr>
              <w:pStyle w:val="Normalbold"/>
              <w:numPr>
                <w:ilvl w:val="0"/>
                <w:numId w:val="40"/>
              </w:numPr>
            </w:pPr>
            <w:r w:rsidRPr="004B4D48">
              <w:t xml:space="preserve">DTF will maintain a register of all entities which are deemed </w:t>
            </w:r>
            <w:r w:rsidR="00D656A3" w:rsidRPr="004B4D48">
              <w:t xml:space="preserve">by the Deputy Secretary </w:t>
            </w:r>
            <w:r w:rsidR="001B7F93" w:rsidRPr="004B4D48">
              <w:t>to be</w:t>
            </w:r>
            <w:r w:rsidRPr="004B4D48">
              <w:t xml:space="preserve"> Tier 1</w:t>
            </w:r>
            <w:r w:rsidR="001B7F93" w:rsidRPr="004B4D48">
              <w:t xml:space="preserve"> and this register will be available upon request; and</w:t>
            </w:r>
          </w:p>
          <w:p w14:paraId="1CFC3294" w14:textId="7BDED2C1" w:rsidR="00941C9F" w:rsidRDefault="00941C9F" w:rsidP="00095335">
            <w:pPr>
              <w:pStyle w:val="Normalbold"/>
              <w:numPr>
                <w:ilvl w:val="0"/>
                <w:numId w:val="40"/>
              </w:numPr>
            </w:pPr>
            <w:r>
              <w:t xml:space="preserve">entities are not required to perform any self-assessments or seek annual confirmations of their </w:t>
            </w:r>
            <w:r w:rsidR="00194550">
              <w:t xml:space="preserve">tiered </w:t>
            </w:r>
            <w:r>
              <w:t xml:space="preserve">reporting status from DTF. Where </w:t>
            </w:r>
            <w:r w:rsidR="00F34EA3">
              <w:t xml:space="preserve">the </w:t>
            </w:r>
            <w:r>
              <w:t xml:space="preserve">DTF Deputy Secretary – Budget and Finance deems an entity as Tier </w:t>
            </w:r>
            <w:r w:rsidR="00DD604F">
              <w:t>1</w:t>
            </w:r>
            <w:r>
              <w:t>, DTF will communicate this decision to the relevant entity’s Chief Finance and Accounting Officer (CFAO).</w:t>
            </w:r>
            <w:r w:rsidR="00194550">
              <w:t xml:space="preserve"> </w:t>
            </w:r>
          </w:p>
        </w:tc>
      </w:tr>
      <w:tr w:rsidR="00CE4487" w:rsidRPr="005828FE" w14:paraId="5897B1B5" w14:textId="77777777" w:rsidTr="00A0322D">
        <w:tc>
          <w:tcPr>
            <w:tcW w:w="2293" w:type="dxa"/>
            <w:shd w:val="clear" w:color="auto" w:fill="F2F2F2" w:themeFill="background1" w:themeFillShade="F2"/>
          </w:tcPr>
          <w:p w14:paraId="521C44E7" w14:textId="77777777" w:rsidR="00CE4487" w:rsidRPr="005828FE" w:rsidRDefault="00CE4487" w:rsidP="00A0322D">
            <w:pPr>
              <w:pStyle w:val="Normalbold"/>
            </w:pPr>
          </w:p>
        </w:tc>
        <w:tc>
          <w:tcPr>
            <w:tcW w:w="270" w:type="dxa"/>
            <w:shd w:val="clear" w:color="auto" w:fill="F2F2F2" w:themeFill="background1" w:themeFillShade="F2"/>
          </w:tcPr>
          <w:p w14:paraId="218C241E" w14:textId="77777777" w:rsidR="00CE4487" w:rsidRPr="00095335" w:rsidRDefault="00CE4487" w:rsidP="00286F9A">
            <w:pPr>
              <w:pStyle w:val="Normalgrey"/>
              <w:rPr>
                <w:color w:val="auto"/>
              </w:rPr>
            </w:pPr>
          </w:p>
        </w:tc>
        <w:tc>
          <w:tcPr>
            <w:tcW w:w="540" w:type="dxa"/>
            <w:shd w:val="clear" w:color="auto" w:fill="F2F2F2" w:themeFill="background1" w:themeFillShade="F2"/>
          </w:tcPr>
          <w:p w14:paraId="18525058" w14:textId="2E483F29" w:rsidR="00CE4487" w:rsidRPr="00095335" w:rsidRDefault="00144D53" w:rsidP="00286F9A">
            <w:pPr>
              <w:pStyle w:val="Normalgrey"/>
              <w:rPr>
                <w:color w:val="auto"/>
              </w:rPr>
            </w:pPr>
            <w:r w:rsidRPr="00C23DFE">
              <w:rPr>
                <w:color w:val="808080" w:themeColor="background1" w:themeShade="80"/>
              </w:rPr>
              <w:t>4.</w:t>
            </w:r>
            <w:r w:rsidR="006063C4" w:rsidRPr="00C23DFE">
              <w:rPr>
                <w:color w:val="808080" w:themeColor="background1" w:themeShade="80"/>
              </w:rPr>
              <w:t>7</w:t>
            </w:r>
          </w:p>
        </w:tc>
        <w:tc>
          <w:tcPr>
            <w:tcW w:w="6134" w:type="dxa"/>
            <w:shd w:val="clear" w:color="auto" w:fill="F2F2F2" w:themeFill="background1" w:themeFillShade="F2"/>
          </w:tcPr>
          <w:p w14:paraId="677993E2" w14:textId="1342F1C1" w:rsidR="00C14B64" w:rsidRPr="004B4D48" w:rsidRDefault="00C14B64" w:rsidP="00131366">
            <w:pPr>
              <w:pStyle w:val="Normalbold"/>
            </w:pPr>
            <w:r w:rsidRPr="004B4D48">
              <w:t>Entities that are newly established or with less than 2 years of operations</w:t>
            </w:r>
          </w:p>
          <w:p w14:paraId="28E0F159" w14:textId="71AE3D9F" w:rsidR="00CE4487" w:rsidRPr="004B4D48" w:rsidRDefault="00C14B64" w:rsidP="00131366">
            <w:pPr>
              <w:pStyle w:val="Normalbold"/>
            </w:pPr>
            <w:r w:rsidRPr="004B4D48">
              <w:rPr>
                <w:bCs/>
              </w:rPr>
              <w:t xml:space="preserve">An entity that is newly established or with less than 2 years of </w:t>
            </w:r>
            <w:r w:rsidR="00D656A3" w:rsidRPr="004B4D48">
              <w:rPr>
                <w:bCs/>
              </w:rPr>
              <w:t xml:space="preserve">financial </w:t>
            </w:r>
            <w:r w:rsidRPr="004B4D48">
              <w:rPr>
                <w:bCs/>
              </w:rPr>
              <w:t xml:space="preserve">operating history must consult with the DTF Principal Accounting Officer </w:t>
            </w:r>
            <w:r w:rsidR="00D656A3" w:rsidRPr="004B4D48">
              <w:rPr>
                <w:bCs/>
              </w:rPr>
              <w:t xml:space="preserve">to assist DTF </w:t>
            </w:r>
            <w:r w:rsidRPr="004B4D48">
              <w:rPr>
                <w:bCs/>
              </w:rPr>
              <w:t xml:space="preserve">in determining whether the entity prepares Tier 1 or Tier 2 financial statements. </w:t>
            </w:r>
          </w:p>
        </w:tc>
      </w:tr>
      <w:tr w:rsidR="003D41B7" w:rsidRPr="005828FE" w14:paraId="1780290A" w14:textId="77777777" w:rsidTr="00A0322D">
        <w:tc>
          <w:tcPr>
            <w:tcW w:w="2293" w:type="dxa"/>
            <w:shd w:val="clear" w:color="auto" w:fill="F2F2F2" w:themeFill="background1" w:themeFillShade="F2"/>
          </w:tcPr>
          <w:p w14:paraId="6D153F7B" w14:textId="77777777" w:rsidR="003D41B7" w:rsidRPr="005828FE" w:rsidRDefault="003D41B7" w:rsidP="00A0322D">
            <w:pPr>
              <w:pStyle w:val="Normalbold"/>
            </w:pPr>
          </w:p>
        </w:tc>
        <w:tc>
          <w:tcPr>
            <w:tcW w:w="270" w:type="dxa"/>
            <w:shd w:val="clear" w:color="auto" w:fill="F2F2F2" w:themeFill="background1" w:themeFillShade="F2"/>
          </w:tcPr>
          <w:p w14:paraId="633132CA" w14:textId="77777777" w:rsidR="003D41B7" w:rsidRPr="003D41B7" w:rsidRDefault="003D41B7" w:rsidP="00286F9A">
            <w:pPr>
              <w:pStyle w:val="Normalgrey"/>
              <w:rPr>
                <w:color w:val="auto"/>
              </w:rPr>
            </w:pPr>
          </w:p>
        </w:tc>
        <w:tc>
          <w:tcPr>
            <w:tcW w:w="540" w:type="dxa"/>
            <w:shd w:val="clear" w:color="auto" w:fill="F2F2F2" w:themeFill="background1" w:themeFillShade="F2"/>
          </w:tcPr>
          <w:p w14:paraId="717658CE" w14:textId="2A6AAD14" w:rsidR="003D41B7" w:rsidRPr="003D41B7" w:rsidRDefault="006063C4" w:rsidP="00286F9A">
            <w:pPr>
              <w:pStyle w:val="Normalgrey"/>
              <w:rPr>
                <w:color w:val="auto"/>
              </w:rPr>
            </w:pPr>
            <w:r w:rsidRPr="00C23DFE">
              <w:rPr>
                <w:color w:val="808080" w:themeColor="background1" w:themeShade="80"/>
              </w:rPr>
              <w:t>4.8</w:t>
            </w:r>
          </w:p>
        </w:tc>
        <w:tc>
          <w:tcPr>
            <w:tcW w:w="6134" w:type="dxa"/>
            <w:shd w:val="clear" w:color="auto" w:fill="F2F2F2" w:themeFill="background1" w:themeFillShade="F2"/>
          </w:tcPr>
          <w:p w14:paraId="584E9F43" w14:textId="30C4C335" w:rsidR="003D41B7" w:rsidRPr="004B4D48" w:rsidRDefault="006063C4" w:rsidP="00131366">
            <w:pPr>
              <w:pStyle w:val="Normalbold"/>
            </w:pPr>
            <w:r w:rsidRPr="004B4D48">
              <w:t>‘</w:t>
            </w:r>
            <w:r w:rsidR="003D41B7" w:rsidRPr="004B4D48">
              <w:t>Significant entity</w:t>
            </w:r>
            <w:r w:rsidRPr="004B4D48">
              <w:t>’</w:t>
            </w:r>
            <w:r w:rsidR="003D41B7" w:rsidRPr="004B4D48">
              <w:t xml:space="preserve"> </w:t>
            </w:r>
            <w:r w:rsidR="00E67BB5" w:rsidRPr="004B4D48">
              <w:t xml:space="preserve">assessment </w:t>
            </w:r>
            <w:r w:rsidR="003D41B7" w:rsidRPr="004B4D48">
              <w:t>information requ</w:t>
            </w:r>
            <w:r w:rsidR="00E67BB5" w:rsidRPr="004B4D48">
              <w:t>ests</w:t>
            </w:r>
            <w:r w:rsidR="003D41B7" w:rsidRPr="004B4D48">
              <w:t xml:space="preserve"> </w:t>
            </w:r>
          </w:p>
          <w:p w14:paraId="6439C67A" w14:textId="3736FD79" w:rsidR="003D41B7" w:rsidRPr="004B4D48" w:rsidRDefault="006063C4" w:rsidP="00131366">
            <w:pPr>
              <w:pStyle w:val="Normalbold"/>
            </w:pPr>
            <w:r w:rsidRPr="004B4D48">
              <w:t xml:space="preserve">When requested by DTF, </w:t>
            </w:r>
            <w:r w:rsidR="003D41B7" w:rsidRPr="004B4D48">
              <w:t>the entity’s Chief Finance and Accounting Officer (CFAO) must provide DTF with th</w:t>
            </w:r>
            <w:r w:rsidR="00C23DFE" w:rsidRPr="004B4D48">
              <w:t>e</w:t>
            </w:r>
            <w:r w:rsidR="003D41B7" w:rsidRPr="004B4D48">
              <w:t xml:space="preserve"> relevant information (such as </w:t>
            </w:r>
            <w:r w:rsidR="00C23DFE" w:rsidRPr="004B4D48">
              <w:t xml:space="preserve">the entity’s </w:t>
            </w:r>
            <w:r w:rsidR="003D41B7" w:rsidRPr="004B4D48">
              <w:t>budgets and corporate plans) to support an appropriate determination of the entity’s reporting tier.</w:t>
            </w:r>
          </w:p>
        </w:tc>
      </w:tr>
      <w:tr w:rsidR="00005A04" w:rsidRPr="005828FE" w14:paraId="09710C9F" w14:textId="77777777" w:rsidTr="00A0322D">
        <w:tc>
          <w:tcPr>
            <w:tcW w:w="2293" w:type="dxa"/>
            <w:shd w:val="clear" w:color="auto" w:fill="F2F2F2" w:themeFill="background1" w:themeFillShade="F2"/>
          </w:tcPr>
          <w:p w14:paraId="3BB9F36D" w14:textId="77777777" w:rsidR="00005A04" w:rsidRPr="005828FE" w:rsidRDefault="00005A04" w:rsidP="00A0322D">
            <w:pPr>
              <w:pStyle w:val="Normalbold"/>
            </w:pPr>
          </w:p>
        </w:tc>
        <w:tc>
          <w:tcPr>
            <w:tcW w:w="270" w:type="dxa"/>
            <w:shd w:val="clear" w:color="auto" w:fill="F2F2F2" w:themeFill="background1" w:themeFillShade="F2"/>
          </w:tcPr>
          <w:p w14:paraId="67BC7CA7" w14:textId="77777777" w:rsidR="00005A04" w:rsidRPr="008B2A17" w:rsidRDefault="00005A04" w:rsidP="00286F9A">
            <w:pPr>
              <w:pStyle w:val="Normalgrey"/>
            </w:pPr>
          </w:p>
        </w:tc>
        <w:tc>
          <w:tcPr>
            <w:tcW w:w="540" w:type="dxa"/>
            <w:shd w:val="clear" w:color="auto" w:fill="F2F2F2" w:themeFill="background1" w:themeFillShade="F2"/>
          </w:tcPr>
          <w:p w14:paraId="45070DA0" w14:textId="268D01C4" w:rsidR="00005A04" w:rsidRDefault="00B0586E" w:rsidP="00286F9A">
            <w:pPr>
              <w:pStyle w:val="Normalgrey"/>
            </w:pPr>
            <w:r>
              <w:t>4.</w:t>
            </w:r>
            <w:r w:rsidR="00165476">
              <w:t>9</w:t>
            </w:r>
          </w:p>
        </w:tc>
        <w:tc>
          <w:tcPr>
            <w:tcW w:w="6134" w:type="dxa"/>
            <w:shd w:val="clear" w:color="auto" w:fill="F2F2F2" w:themeFill="background1" w:themeFillShade="F2"/>
          </w:tcPr>
          <w:p w14:paraId="135B0473" w14:textId="76C7ACB7" w:rsidR="00A94586" w:rsidRDefault="00A94586" w:rsidP="00131366">
            <w:pPr>
              <w:pStyle w:val="Normalbold"/>
            </w:pPr>
            <w:r>
              <w:t>Whole of State Annual Financial Report</w:t>
            </w:r>
          </w:p>
          <w:p w14:paraId="3AA28FBD" w14:textId="33FD6AAD" w:rsidR="00B0586E" w:rsidRDefault="00F96A4C" w:rsidP="00131366">
            <w:pPr>
              <w:pStyle w:val="Normalbold"/>
            </w:pPr>
            <w:r>
              <w:t xml:space="preserve">Notwithstanding </w:t>
            </w:r>
            <w:r w:rsidR="00A94586">
              <w:t>paragraph</w:t>
            </w:r>
            <w:r w:rsidR="009B6E66">
              <w:t>s</w:t>
            </w:r>
            <w:r w:rsidR="00A94586">
              <w:t xml:space="preserve"> </w:t>
            </w:r>
            <w:r>
              <w:t>4.</w:t>
            </w:r>
            <w:r w:rsidR="007624C6">
              <w:t>2</w:t>
            </w:r>
            <w:r>
              <w:t xml:space="preserve"> and 4.</w:t>
            </w:r>
            <w:r w:rsidR="007624C6">
              <w:t>3</w:t>
            </w:r>
            <w:r>
              <w:t>, t</w:t>
            </w:r>
            <w:r w:rsidRPr="00A41E4D">
              <w:t>he Whole of State Annual Financial Report must be prepared using Tier 1 reporting requirements</w:t>
            </w:r>
            <w:r w:rsidR="00D07776">
              <w:t xml:space="preserve"> as required by AASB 1053</w:t>
            </w:r>
            <w:r w:rsidRPr="00A41E4D">
              <w:t>.</w:t>
            </w:r>
          </w:p>
        </w:tc>
      </w:tr>
      <w:tr w:rsidR="009832A3" w:rsidRPr="005828FE" w14:paraId="7C188DE9" w14:textId="77777777" w:rsidTr="00A0322D">
        <w:tc>
          <w:tcPr>
            <w:tcW w:w="2293" w:type="dxa"/>
            <w:shd w:val="clear" w:color="auto" w:fill="F2F2F2" w:themeFill="background1" w:themeFillShade="F2"/>
          </w:tcPr>
          <w:p w14:paraId="715B95A5" w14:textId="77777777" w:rsidR="009832A3" w:rsidRPr="005828FE" w:rsidRDefault="009832A3" w:rsidP="00A0322D">
            <w:pPr>
              <w:pStyle w:val="Normalbold"/>
            </w:pPr>
          </w:p>
        </w:tc>
        <w:tc>
          <w:tcPr>
            <w:tcW w:w="270" w:type="dxa"/>
            <w:shd w:val="clear" w:color="auto" w:fill="F2F2F2" w:themeFill="background1" w:themeFillShade="F2"/>
          </w:tcPr>
          <w:p w14:paraId="6188D872" w14:textId="77777777" w:rsidR="009832A3" w:rsidRPr="008B2A17" w:rsidRDefault="009832A3" w:rsidP="00286F9A">
            <w:pPr>
              <w:pStyle w:val="Normalgrey"/>
            </w:pPr>
          </w:p>
        </w:tc>
        <w:tc>
          <w:tcPr>
            <w:tcW w:w="540" w:type="dxa"/>
            <w:shd w:val="clear" w:color="auto" w:fill="F2F2F2" w:themeFill="background1" w:themeFillShade="F2"/>
          </w:tcPr>
          <w:p w14:paraId="59E470D8" w14:textId="0A898C01" w:rsidR="009832A3" w:rsidRDefault="00794DDA" w:rsidP="00286F9A">
            <w:pPr>
              <w:pStyle w:val="Normalgrey"/>
            </w:pPr>
            <w:r>
              <w:t>4.</w:t>
            </w:r>
            <w:r w:rsidR="00194550">
              <w:t>1</w:t>
            </w:r>
            <w:r w:rsidR="00165476">
              <w:t>0</w:t>
            </w:r>
          </w:p>
        </w:tc>
        <w:tc>
          <w:tcPr>
            <w:tcW w:w="6134" w:type="dxa"/>
            <w:shd w:val="clear" w:color="auto" w:fill="F2F2F2" w:themeFill="background1" w:themeFillShade="F2"/>
          </w:tcPr>
          <w:p w14:paraId="3BE5FC76" w14:textId="5130D65A" w:rsidR="0022794E" w:rsidRDefault="0022794E" w:rsidP="00131366">
            <w:pPr>
              <w:pStyle w:val="Normalbold"/>
            </w:pPr>
            <w:r>
              <w:t xml:space="preserve">Information required for Whole of State Financial </w:t>
            </w:r>
            <w:r w:rsidR="00D07776">
              <w:t>Statements</w:t>
            </w:r>
          </w:p>
          <w:p w14:paraId="76E20441" w14:textId="561D8143" w:rsidR="00A17EFA" w:rsidRDefault="00A17EFA" w:rsidP="00131366">
            <w:pPr>
              <w:pStyle w:val="Normalbold"/>
            </w:pPr>
            <w:r>
              <w:t>This section applies to information of a</w:t>
            </w:r>
            <w:r w:rsidR="00D07776">
              <w:t xml:space="preserve">n </w:t>
            </w:r>
            <w:r>
              <w:t>entity if the information:</w:t>
            </w:r>
          </w:p>
          <w:p w14:paraId="69FB4383" w14:textId="3521048C" w:rsidR="00A17EFA" w:rsidRDefault="00A17EFA" w:rsidP="00A17EFA">
            <w:pPr>
              <w:pStyle w:val="Normalbold"/>
              <w:numPr>
                <w:ilvl w:val="0"/>
                <w:numId w:val="37"/>
              </w:numPr>
            </w:pPr>
            <w:r>
              <w:t>is required for consolidation in the Victorian Whole of State Financial Statements; and</w:t>
            </w:r>
          </w:p>
          <w:p w14:paraId="5B352A96" w14:textId="10E3F683" w:rsidR="00A17EFA" w:rsidRDefault="00A17EFA" w:rsidP="00A41E4D">
            <w:pPr>
              <w:pStyle w:val="Normalbold"/>
              <w:numPr>
                <w:ilvl w:val="0"/>
                <w:numId w:val="37"/>
              </w:numPr>
            </w:pPr>
            <w:r>
              <w:t>is not reported in the entity’s financial statements.</w:t>
            </w:r>
          </w:p>
          <w:p w14:paraId="5E5B0C71" w14:textId="6C62C563" w:rsidR="00A17EFA" w:rsidRDefault="00A17EFA" w:rsidP="00131366">
            <w:pPr>
              <w:pStyle w:val="Normalbold"/>
            </w:pPr>
            <w:r>
              <w:t>The reporting entity must:</w:t>
            </w:r>
          </w:p>
          <w:p w14:paraId="04A67D6C" w14:textId="4A71BDB3" w:rsidR="00A17EFA" w:rsidRDefault="00A17EFA" w:rsidP="00A17EFA">
            <w:pPr>
              <w:pStyle w:val="Normalbold"/>
              <w:numPr>
                <w:ilvl w:val="0"/>
                <w:numId w:val="38"/>
              </w:numPr>
            </w:pPr>
            <w:r>
              <w:t xml:space="preserve">prepare the information on the basis of accounts and records kept in accordance with </w:t>
            </w:r>
            <w:r w:rsidR="00702AD6">
              <w:t xml:space="preserve">the </w:t>
            </w:r>
            <w:r w:rsidRPr="00A41E4D">
              <w:rPr>
                <w:i/>
                <w:iCs/>
              </w:rPr>
              <w:t>Financial Management Act 1994</w:t>
            </w:r>
            <w:r>
              <w:t xml:space="preserve"> and </w:t>
            </w:r>
            <w:r w:rsidRPr="00A41E4D">
              <w:rPr>
                <w:i/>
                <w:iCs/>
              </w:rPr>
              <w:t xml:space="preserve">Standing Directions </w:t>
            </w:r>
            <w:proofErr w:type="gramStart"/>
            <w:r w:rsidRPr="00A41E4D">
              <w:rPr>
                <w:i/>
                <w:iCs/>
              </w:rPr>
              <w:t>2018</w:t>
            </w:r>
            <w:r>
              <w:t>;</w:t>
            </w:r>
            <w:proofErr w:type="gramEnd"/>
          </w:p>
          <w:p w14:paraId="2BD83844" w14:textId="64C01F5C" w:rsidR="00A17EFA" w:rsidRDefault="00A17EFA" w:rsidP="00A17EFA">
            <w:pPr>
              <w:pStyle w:val="Normalbold"/>
              <w:numPr>
                <w:ilvl w:val="0"/>
                <w:numId w:val="38"/>
              </w:numPr>
            </w:pPr>
            <w:r>
              <w:t>ensure that the information</w:t>
            </w:r>
            <w:r w:rsidR="002F776D">
              <w:t xml:space="preserve"> is reviewed, </w:t>
            </w:r>
            <w:proofErr w:type="gramStart"/>
            <w:r w:rsidR="002F776D">
              <w:t>approved</w:t>
            </w:r>
            <w:proofErr w:type="gramEnd"/>
            <w:r w:rsidR="002F776D">
              <w:t xml:space="preserve"> and authorised by the entity’s CFAO</w:t>
            </w:r>
            <w:r>
              <w:t>; and</w:t>
            </w:r>
          </w:p>
          <w:p w14:paraId="2BC9E9BC" w14:textId="3035FFFE" w:rsidR="005A7447" w:rsidRDefault="00A17EFA" w:rsidP="00A41E4D">
            <w:pPr>
              <w:pStyle w:val="Normalbold"/>
              <w:numPr>
                <w:ilvl w:val="0"/>
                <w:numId w:val="38"/>
              </w:numPr>
            </w:pPr>
            <w:r>
              <w:t xml:space="preserve">make the information available to DTF at the time </w:t>
            </w:r>
            <w:r w:rsidR="002F776D">
              <w:t xml:space="preserve">(as contained in the annual DTF information request) </w:t>
            </w:r>
            <w:r>
              <w:t>and in the format requested by DTF.</w:t>
            </w:r>
          </w:p>
        </w:tc>
      </w:tr>
      <w:tr w:rsidR="00BA55B1" w:rsidRPr="005828FE" w14:paraId="13614407" w14:textId="77777777" w:rsidTr="00A0322D">
        <w:tc>
          <w:tcPr>
            <w:tcW w:w="2293" w:type="dxa"/>
            <w:shd w:val="clear" w:color="auto" w:fill="F2F2F2" w:themeFill="background1" w:themeFillShade="F2"/>
          </w:tcPr>
          <w:p w14:paraId="6EDAAF94" w14:textId="25203D97" w:rsidR="00BA55B1" w:rsidRPr="005828FE" w:rsidRDefault="00BA55B1" w:rsidP="00A0322D">
            <w:pPr>
              <w:pStyle w:val="Normalbold"/>
            </w:pPr>
          </w:p>
        </w:tc>
        <w:tc>
          <w:tcPr>
            <w:tcW w:w="270" w:type="dxa"/>
            <w:shd w:val="clear" w:color="auto" w:fill="F2F2F2" w:themeFill="background1" w:themeFillShade="F2"/>
          </w:tcPr>
          <w:p w14:paraId="568EC0E4" w14:textId="77777777" w:rsidR="00BA55B1" w:rsidRPr="008B2A17" w:rsidRDefault="00BA55B1" w:rsidP="00286F9A">
            <w:pPr>
              <w:pStyle w:val="Normalgrey"/>
            </w:pPr>
          </w:p>
        </w:tc>
        <w:tc>
          <w:tcPr>
            <w:tcW w:w="540" w:type="dxa"/>
            <w:shd w:val="clear" w:color="auto" w:fill="F2F2F2" w:themeFill="background1" w:themeFillShade="F2"/>
          </w:tcPr>
          <w:p w14:paraId="3D8ADC0C" w14:textId="59CCC6FF" w:rsidR="00BA55B1" w:rsidRDefault="00D07776" w:rsidP="00286F9A">
            <w:pPr>
              <w:pStyle w:val="Normalgrey"/>
            </w:pPr>
            <w:r>
              <w:t>4.</w:t>
            </w:r>
            <w:r w:rsidR="00194550">
              <w:t>1</w:t>
            </w:r>
            <w:r w:rsidR="00165476">
              <w:t>1</w:t>
            </w:r>
          </w:p>
        </w:tc>
        <w:tc>
          <w:tcPr>
            <w:tcW w:w="6134" w:type="dxa"/>
            <w:shd w:val="clear" w:color="auto" w:fill="F2F2F2" w:themeFill="background1" w:themeFillShade="F2"/>
          </w:tcPr>
          <w:p w14:paraId="13287D72" w14:textId="43549571" w:rsidR="00BA55B1" w:rsidRPr="007C783E" w:rsidRDefault="00A71A56" w:rsidP="00131366">
            <w:pPr>
              <w:pStyle w:val="Normalbold"/>
            </w:pPr>
            <w:r>
              <w:t>D</w:t>
            </w:r>
            <w:r w:rsidR="00C1357F">
              <w:t xml:space="preserve">isclosures under Tier 2 reporting requirements are the minimum disclosures required to be included in general purpose financial statements. Entities may </w:t>
            </w:r>
            <w:r w:rsidR="00F34EA3">
              <w:t>i</w:t>
            </w:r>
            <w:r w:rsidR="00C1357F">
              <w:t>nclude additional disclosures using Tier 1 reporting requirements as a guide if, in their judgement, such additional disclosures are consistent with the objective of general purpose financial statements</w:t>
            </w:r>
            <w:r w:rsidR="000B4C68" w:rsidRPr="00A41E4D">
              <w:t>.</w:t>
            </w:r>
          </w:p>
        </w:tc>
      </w:tr>
      <w:tr w:rsidR="009068AB" w:rsidRPr="005828FE" w14:paraId="2878EB43" w14:textId="77777777" w:rsidTr="00A0322D">
        <w:tc>
          <w:tcPr>
            <w:tcW w:w="2293" w:type="dxa"/>
            <w:shd w:val="clear" w:color="auto" w:fill="F2F2F2" w:themeFill="background1" w:themeFillShade="F2"/>
          </w:tcPr>
          <w:p w14:paraId="013BCB81" w14:textId="77777777" w:rsidR="009068AB" w:rsidRPr="005828FE" w:rsidRDefault="009068AB" w:rsidP="00A0322D">
            <w:pPr>
              <w:pStyle w:val="Normalbold"/>
            </w:pPr>
          </w:p>
        </w:tc>
        <w:tc>
          <w:tcPr>
            <w:tcW w:w="270" w:type="dxa"/>
            <w:shd w:val="clear" w:color="auto" w:fill="F2F2F2" w:themeFill="background1" w:themeFillShade="F2"/>
          </w:tcPr>
          <w:p w14:paraId="6DFAB488" w14:textId="77777777" w:rsidR="009068AB" w:rsidRPr="008B2A17" w:rsidRDefault="009068AB" w:rsidP="00286F9A">
            <w:pPr>
              <w:pStyle w:val="Normalgrey"/>
            </w:pPr>
          </w:p>
        </w:tc>
        <w:tc>
          <w:tcPr>
            <w:tcW w:w="540" w:type="dxa"/>
            <w:shd w:val="clear" w:color="auto" w:fill="F2F2F2" w:themeFill="background1" w:themeFillShade="F2"/>
          </w:tcPr>
          <w:p w14:paraId="45ECB23D" w14:textId="1FFB0D2A" w:rsidR="009068AB" w:rsidRDefault="009068AB" w:rsidP="00286F9A">
            <w:pPr>
              <w:pStyle w:val="Normalgrey"/>
            </w:pPr>
            <w:r>
              <w:t>4.</w:t>
            </w:r>
            <w:r w:rsidR="0022794E">
              <w:t>1</w:t>
            </w:r>
            <w:r w:rsidR="00165476">
              <w:t>2</w:t>
            </w:r>
          </w:p>
        </w:tc>
        <w:tc>
          <w:tcPr>
            <w:tcW w:w="6134" w:type="dxa"/>
            <w:shd w:val="clear" w:color="auto" w:fill="F2F2F2" w:themeFill="background1" w:themeFillShade="F2"/>
          </w:tcPr>
          <w:p w14:paraId="247E9DD0" w14:textId="0EDE6098" w:rsidR="009068AB" w:rsidRPr="009068AB" w:rsidRDefault="009068AB" w:rsidP="00131366">
            <w:pPr>
              <w:pStyle w:val="Normalbold"/>
            </w:pPr>
            <w:r w:rsidRPr="009068AB">
              <w:t xml:space="preserve">Tier 2 general purpose financial statements must </w:t>
            </w:r>
            <w:r w:rsidR="00BF1D48">
              <w:t>state</w:t>
            </w:r>
            <w:r w:rsidR="00BF1D48" w:rsidRPr="009068AB">
              <w:t xml:space="preserve"> </w:t>
            </w:r>
            <w:r w:rsidRPr="009068AB">
              <w:t>compliance with Australian Accounting Standards</w:t>
            </w:r>
            <w:r w:rsidR="00C278B9">
              <w:t xml:space="preserve"> </w:t>
            </w:r>
            <w:r w:rsidRPr="009068AB">
              <w:t xml:space="preserve">- Simplified Disclosures. Entities </w:t>
            </w:r>
            <w:r w:rsidR="00BF1D48">
              <w:t xml:space="preserve">preparing Tier 2 financial statements </w:t>
            </w:r>
            <w:r w:rsidRPr="009068AB">
              <w:t>are unable to state compliance with International Financial Reporting Standards (IFRS).</w:t>
            </w:r>
          </w:p>
        </w:tc>
      </w:tr>
      <w:tr w:rsidR="000B4C68" w:rsidRPr="005828FE" w14:paraId="66D6ED77" w14:textId="77777777" w:rsidTr="00A0322D">
        <w:tc>
          <w:tcPr>
            <w:tcW w:w="2293" w:type="dxa"/>
            <w:shd w:val="clear" w:color="auto" w:fill="F2F2F2" w:themeFill="background1" w:themeFillShade="F2"/>
          </w:tcPr>
          <w:p w14:paraId="78FA0C7D" w14:textId="77777777" w:rsidR="000B4C68" w:rsidRPr="005828FE" w:rsidRDefault="000B4C68" w:rsidP="00A0322D">
            <w:pPr>
              <w:pStyle w:val="Normalbold"/>
            </w:pPr>
          </w:p>
        </w:tc>
        <w:tc>
          <w:tcPr>
            <w:tcW w:w="270" w:type="dxa"/>
            <w:shd w:val="clear" w:color="auto" w:fill="F2F2F2" w:themeFill="background1" w:themeFillShade="F2"/>
          </w:tcPr>
          <w:p w14:paraId="2BBE1D89" w14:textId="77777777" w:rsidR="000B4C68" w:rsidRPr="008B2A17" w:rsidRDefault="000B4C68" w:rsidP="00286F9A">
            <w:pPr>
              <w:pStyle w:val="Normalgrey"/>
            </w:pPr>
          </w:p>
        </w:tc>
        <w:tc>
          <w:tcPr>
            <w:tcW w:w="540" w:type="dxa"/>
            <w:shd w:val="clear" w:color="auto" w:fill="F2F2F2" w:themeFill="background1" w:themeFillShade="F2"/>
          </w:tcPr>
          <w:p w14:paraId="377FC9A4" w14:textId="7D34C6A4" w:rsidR="000B4C68" w:rsidRDefault="000B4C68" w:rsidP="00286F9A">
            <w:pPr>
              <w:pStyle w:val="Normalgrey"/>
            </w:pPr>
            <w:r>
              <w:t>4.1</w:t>
            </w:r>
            <w:r w:rsidR="00165476">
              <w:t>3</w:t>
            </w:r>
          </w:p>
        </w:tc>
        <w:tc>
          <w:tcPr>
            <w:tcW w:w="6134" w:type="dxa"/>
            <w:shd w:val="clear" w:color="auto" w:fill="F2F2F2" w:themeFill="background1" w:themeFillShade="F2"/>
          </w:tcPr>
          <w:p w14:paraId="37A9B9A8" w14:textId="77777777" w:rsidR="000B4C68" w:rsidRDefault="000B4C68" w:rsidP="00131366">
            <w:pPr>
              <w:pStyle w:val="Normalbold"/>
            </w:pPr>
            <w:r>
              <w:t>Transitional requirements</w:t>
            </w:r>
          </w:p>
          <w:p w14:paraId="0B45C374" w14:textId="6D24BA09" w:rsidR="000B4C68" w:rsidRDefault="009B6E66" w:rsidP="00131366">
            <w:pPr>
              <w:pStyle w:val="Normalbold"/>
            </w:pPr>
            <w:r>
              <w:t xml:space="preserve">An entity </w:t>
            </w:r>
            <w:r w:rsidR="000B4C68">
              <w:t xml:space="preserve">transitioning from Tier 1 to Tier 2 (or vice versa): </w:t>
            </w:r>
          </w:p>
          <w:p w14:paraId="64D34188" w14:textId="0D779E35" w:rsidR="00832188" w:rsidRDefault="000B4C68" w:rsidP="000B4C68">
            <w:pPr>
              <w:pStyle w:val="Normalbold"/>
              <w:numPr>
                <w:ilvl w:val="0"/>
                <w:numId w:val="39"/>
              </w:numPr>
            </w:pPr>
            <w:r>
              <w:t xml:space="preserve">must adjust the relevant comparative period disclosures, as necessary, to ensure consistency between the current and comparative periods. Where such adjustment is impracticable, the entity’s Chief Finance and Accounting Officer (CFAO) must seek written approval from </w:t>
            </w:r>
            <w:r w:rsidR="00151C74">
              <w:t xml:space="preserve">the </w:t>
            </w:r>
            <w:r>
              <w:t xml:space="preserve">DTF Principal Accounting Officer for not adjusting </w:t>
            </w:r>
            <w:r w:rsidR="009B6E66">
              <w:t>any</w:t>
            </w:r>
            <w:r>
              <w:t xml:space="preserve"> comparative </w:t>
            </w:r>
            <w:proofErr w:type="gramStart"/>
            <w:r>
              <w:t>disclosures;</w:t>
            </w:r>
            <w:proofErr w:type="gramEnd"/>
            <w:r>
              <w:t xml:space="preserve"> </w:t>
            </w:r>
          </w:p>
          <w:p w14:paraId="49DCE266" w14:textId="4429CCD3" w:rsidR="000B4C68" w:rsidRDefault="00832188" w:rsidP="000B4C68">
            <w:pPr>
              <w:pStyle w:val="Normalbold"/>
              <w:numPr>
                <w:ilvl w:val="0"/>
                <w:numId w:val="39"/>
              </w:numPr>
            </w:pPr>
            <w:r>
              <w:t xml:space="preserve">must disclose that fact the entity has changed </w:t>
            </w:r>
            <w:r w:rsidR="009B6E66">
              <w:t xml:space="preserve">its </w:t>
            </w:r>
            <w:r>
              <w:t xml:space="preserve">tiers for the reporting period and the reason for the change; </w:t>
            </w:r>
            <w:r w:rsidR="000B4C68">
              <w:t>and</w:t>
            </w:r>
          </w:p>
          <w:p w14:paraId="3C676D3F" w14:textId="092D1C88" w:rsidR="000B4C68" w:rsidRPr="009068AB" w:rsidRDefault="000B4C68" w:rsidP="000B4C68">
            <w:pPr>
              <w:pStyle w:val="Normalbold"/>
              <w:numPr>
                <w:ilvl w:val="0"/>
                <w:numId w:val="39"/>
              </w:numPr>
            </w:pPr>
            <w:r>
              <w:t xml:space="preserve">shall not apply </w:t>
            </w:r>
            <w:r w:rsidRPr="00314957">
              <w:rPr>
                <w:i/>
                <w:iCs/>
              </w:rPr>
              <w:t xml:space="preserve">AASB 1 </w:t>
            </w:r>
            <w:r w:rsidRPr="009D52AB">
              <w:rPr>
                <w:i/>
                <w:iCs/>
              </w:rPr>
              <w:t>First-time Adoption of Australian Accounting Standards</w:t>
            </w:r>
            <w:r w:rsidRPr="0036064E">
              <w:t xml:space="preserve"> </w:t>
            </w:r>
            <w:r>
              <w:t xml:space="preserve">or </w:t>
            </w:r>
            <w:r w:rsidRPr="00314957">
              <w:rPr>
                <w:i/>
                <w:iCs/>
              </w:rPr>
              <w:t xml:space="preserve">AASB 108 </w:t>
            </w:r>
            <w:r w:rsidRPr="009D52AB">
              <w:rPr>
                <w:i/>
                <w:iCs/>
              </w:rPr>
              <w:t>Accounting Policies, Changes in Accounting Estimates and Errors</w:t>
            </w:r>
            <w:r w:rsidRPr="00314957">
              <w:t xml:space="preserve"> </w:t>
            </w:r>
            <w:r w:rsidR="009D52AB" w:rsidRPr="00314957">
              <w:t>for the transition between tiers.</w:t>
            </w:r>
          </w:p>
        </w:tc>
      </w:tr>
      <w:tr w:rsidR="005828FE" w:rsidRPr="005828FE" w14:paraId="38092B77" w14:textId="77777777" w:rsidTr="00B8224B">
        <w:tc>
          <w:tcPr>
            <w:tcW w:w="2293" w:type="dxa"/>
          </w:tcPr>
          <w:p w14:paraId="1C3355D0" w14:textId="77777777" w:rsidR="006C78FB" w:rsidRPr="005828FE" w:rsidRDefault="006C78FB" w:rsidP="00382EE1">
            <w:pPr>
              <w:pStyle w:val="Normalgrey"/>
            </w:pPr>
            <w:r w:rsidRPr="005828FE">
              <w:t>Definitions</w:t>
            </w:r>
          </w:p>
        </w:tc>
        <w:tc>
          <w:tcPr>
            <w:tcW w:w="270" w:type="dxa"/>
          </w:tcPr>
          <w:p w14:paraId="786FBFE3" w14:textId="77777777" w:rsidR="006C78FB" w:rsidRPr="005828FE" w:rsidRDefault="006C78FB" w:rsidP="00286F9A">
            <w:pPr>
              <w:pStyle w:val="Normalgrey"/>
            </w:pPr>
          </w:p>
        </w:tc>
        <w:tc>
          <w:tcPr>
            <w:tcW w:w="540" w:type="dxa"/>
          </w:tcPr>
          <w:p w14:paraId="72215190" w14:textId="27B284E4" w:rsidR="006C78FB" w:rsidRPr="005828FE" w:rsidRDefault="003C594C" w:rsidP="00286F9A">
            <w:pPr>
              <w:pStyle w:val="Normalgrey"/>
            </w:pPr>
            <w:r>
              <w:t>5</w:t>
            </w:r>
            <w:r w:rsidR="00192429">
              <w:t>.1</w:t>
            </w:r>
          </w:p>
        </w:tc>
        <w:tc>
          <w:tcPr>
            <w:tcW w:w="6134" w:type="dxa"/>
          </w:tcPr>
          <w:p w14:paraId="0342E2F3" w14:textId="335B6EE9" w:rsidR="00D67E5C" w:rsidRPr="00E20142" w:rsidRDefault="001374D6" w:rsidP="00870100">
            <w:pPr>
              <w:pStyle w:val="Normalgrey"/>
            </w:pPr>
            <w:r w:rsidRPr="00AC6EE2">
              <w:rPr>
                <w:b/>
                <w:bCs/>
              </w:rPr>
              <w:t>General purpose financial statements:</w:t>
            </w:r>
            <w:r w:rsidR="00D67E5C">
              <w:rPr>
                <w:b/>
                <w:bCs/>
              </w:rPr>
              <w:t xml:space="preserve"> </w:t>
            </w:r>
            <w:r w:rsidR="00D67E5C">
              <w:t>A</w:t>
            </w:r>
            <w:r w:rsidR="00D67E5C" w:rsidRPr="00D67E5C">
              <w:t xml:space="preserve"> financial report intended to meet the information needs common to users who are unable to command the preparation of reports tailored </w:t>
            </w:r>
            <w:proofErr w:type="gramStart"/>
            <w:r w:rsidR="00D67E5C" w:rsidRPr="00D67E5C">
              <w:t>so as to</w:t>
            </w:r>
            <w:proofErr w:type="gramEnd"/>
            <w:r w:rsidR="00D67E5C" w:rsidRPr="00D67E5C">
              <w:t xml:space="preserve"> satisfy, specifically, all of their information needs</w:t>
            </w:r>
          </w:p>
        </w:tc>
      </w:tr>
      <w:tr w:rsidR="00523215" w:rsidRPr="005828FE" w14:paraId="459A5F6C" w14:textId="77777777" w:rsidTr="00B8224B">
        <w:tc>
          <w:tcPr>
            <w:tcW w:w="2293" w:type="dxa"/>
          </w:tcPr>
          <w:p w14:paraId="13552719" w14:textId="50E36A22" w:rsidR="00523215" w:rsidRPr="005828FE" w:rsidRDefault="00523215" w:rsidP="00426D7B">
            <w:pPr>
              <w:pStyle w:val="Normalgrey"/>
              <w:jc w:val="right"/>
            </w:pPr>
          </w:p>
        </w:tc>
        <w:tc>
          <w:tcPr>
            <w:tcW w:w="270" w:type="dxa"/>
          </w:tcPr>
          <w:p w14:paraId="44C9ADAB" w14:textId="77777777" w:rsidR="00523215" w:rsidRPr="005828FE" w:rsidRDefault="00523215" w:rsidP="00286F9A">
            <w:pPr>
              <w:pStyle w:val="Normalgrey"/>
            </w:pPr>
          </w:p>
        </w:tc>
        <w:tc>
          <w:tcPr>
            <w:tcW w:w="540" w:type="dxa"/>
          </w:tcPr>
          <w:p w14:paraId="081863D3" w14:textId="7BC0ED14" w:rsidR="00523215" w:rsidRPr="005828FE" w:rsidRDefault="003C594C" w:rsidP="00286F9A">
            <w:pPr>
              <w:pStyle w:val="Normalgrey"/>
            </w:pPr>
            <w:r>
              <w:t>5</w:t>
            </w:r>
            <w:r w:rsidR="00CB262A">
              <w:t>.</w:t>
            </w:r>
            <w:r w:rsidR="00870100">
              <w:t>2</w:t>
            </w:r>
          </w:p>
        </w:tc>
        <w:tc>
          <w:tcPr>
            <w:tcW w:w="6134" w:type="dxa"/>
          </w:tcPr>
          <w:p w14:paraId="7C40238B" w14:textId="4F7E026B" w:rsidR="00870100" w:rsidRDefault="00870100" w:rsidP="00B42A73">
            <w:pPr>
              <w:pStyle w:val="Normalgrey"/>
              <w:rPr>
                <w:b/>
                <w:bCs/>
              </w:rPr>
            </w:pPr>
            <w:r>
              <w:t>Australian Accounting Standards consist of two Tiers of reporting requirements for preparing general purpose financial statements:</w:t>
            </w:r>
          </w:p>
          <w:p w14:paraId="2ABA3BF1" w14:textId="0670779A" w:rsidR="00523215" w:rsidRDefault="00B42A73" w:rsidP="00B42A73">
            <w:pPr>
              <w:pStyle w:val="Normalgrey"/>
            </w:pPr>
            <w:r w:rsidRPr="004D7AB8">
              <w:rPr>
                <w:b/>
                <w:bCs/>
              </w:rPr>
              <w:t>Tier 1</w:t>
            </w:r>
            <w:r w:rsidR="004D7AB8" w:rsidRPr="004D7AB8">
              <w:rPr>
                <w:b/>
                <w:bCs/>
              </w:rPr>
              <w:t>: Australian Accounting Standards:</w:t>
            </w:r>
            <w:r w:rsidR="004D7AB8">
              <w:t xml:space="preserve"> I</w:t>
            </w:r>
            <w:r>
              <w:t>ncorporates International Financial Reporting Standards (IFRSs) issued by the International Accounting Standards Board (IASB) and include requirements that are specific to Australian entities</w:t>
            </w:r>
            <w:r w:rsidR="00870100">
              <w:t>; and</w:t>
            </w:r>
          </w:p>
        </w:tc>
      </w:tr>
      <w:tr w:rsidR="00523215" w:rsidRPr="005828FE" w14:paraId="7E88289B" w14:textId="77777777" w:rsidTr="00B8224B">
        <w:tc>
          <w:tcPr>
            <w:tcW w:w="2293" w:type="dxa"/>
          </w:tcPr>
          <w:p w14:paraId="54854C8E" w14:textId="77777777" w:rsidR="00523215" w:rsidRPr="005828FE" w:rsidRDefault="00523215" w:rsidP="00382EE1">
            <w:pPr>
              <w:pStyle w:val="Normalgrey"/>
            </w:pPr>
          </w:p>
        </w:tc>
        <w:tc>
          <w:tcPr>
            <w:tcW w:w="270" w:type="dxa"/>
          </w:tcPr>
          <w:p w14:paraId="18D6CFDC" w14:textId="77777777" w:rsidR="00523215" w:rsidRPr="005828FE" w:rsidRDefault="00523215" w:rsidP="00286F9A">
            <w:pPr>
              <w:pStyle w:val="Normalgrey"/>
            </w:pPr>
          </w:p>
        </w:tc>
        <w:tc>
          <w:tcPr>
            <w:tcW w:w="540" w:type="dxa"/>
          </w:tcPr>
          <w:p w14:paraId="03F0F076" w14:textId="77777777" w:rsidR="00523215" w:rsidRPr="005828FE" w:rsidRDefault="00523215" w:rsidP="00286F9A">
            <w:pPr>
              <w:pStyle w:val="Normalgrey"/>
            </w:pPr>
          </w:p>
        </w:tc>
        <w:tc>
          <w:tcPr>
            <w:tcW w:w="6134" w:type="dxa"/>
          </w:tcPr>
          <w:p w14:paraId="4D45818F" w14:textId="5C9F246C" w:rsidR="00523215" w:rsidRDefault="004D7AB8" w:rsidP="004D7AB8">
            <w:pPr>
              <w:pStyle w:val="Normalgrey"/>
            </w:pPr>
            <w:r w:rsidRPr="004D7AB8">
              <w:rPr>
                <w:b/>
                <w:bCs/>
              </w:rPr>
              <w:t xml:space="preserve">Tier 2: Australian Accounting Standards – </w:t>
            </w:r>
            <w:r w:rsidR="00396318">
              <w:rPr>
                <w:b/>
                <w:bCs/>
              </w:rPr>
              <w:t>Simplified Disclosures</w:t>
            </w:r>
            <w:r w:rsidRPr="004D7AB8">
              <w:rPr>
                <w:b/>
                <w:bCs/>
              </w:rPr>
              <w:t>:</w:t>
            </w:r>
            <w:r>
              <w:t xml:space="preserve"> </w:t>
            </w:r>
            <w:r w:rsidR="00B30669">
              <w:t>C</w:t>
            </w:r>
            <w:r w:rsidR="007B5A8A">
              <w:t>omprises the recognition and measurement requirements of Tier 1 (including consolidation and the equity method of accounting) but substantially reduced disclosure requirements.</w:t>
            </w:r>
          </w:p>
        </w:tc>
      </w:tr>
      <w:tr w:rsidR="00251C58" w:rsidRPr="005828FE" w14:paraId="279206CD" w14:textId="77777777" w:rsidTr="00B8224B">
        <w:tc>
          <w:tcPr>
            <w:tcW w:w="2293" w:type="dxa"/>
          </w:tcPr>
          <w:p w14:paraId="737B1628" w14:textId="77777777" w:rsidR="00251C58" w:rsidRPr="005828FE" w:rsidRDefault="00251C58" w:rsidP="00382EE1">
            <w:pPr>
              <w:pStyle w:val="Normalgrey"/>
            </w:pPr>
          </w:p>
        </w:tc>
        <w:tc>
          <w:tcPr>
            <w:tcW w:w="270" w:type="dxa"/>
          </w:tcPr>
          <w:p w14:paraId="540DE6D1" w14:textId="77777777" w:rsidR="00251C58" w:rsidRPr="005828FE" w:rsidRDefault="00251C58" w:rsidP="00286F9A">
            <w:pPr>
              <w:pStyle w:val="Normalgrey"/>
            </w:pPr>
          </w:p>
        </w:tc>
        <w:tc>
          <w:tcPr>
            <w:tcW w:w="540" w:type="dxa"/>
          </w:tcPr>
          <w:p w14:paraId="345CBFE9" w14:textId="33541F83" w:rsidR="00251C58" w:rsidRPr="005828FE" w:rsidRDefault="003C594C" w:rsidP="00286F9A">
            <w:pPr>
              <w:pStyle w:val="Normalgrey"/>
            </w:pPr>
            <w:r>
              <w:t>5</w:t>
            </w:r>
            <w:r w:rsidR="00251C58">
              <w:t>.3</w:t>
            </w:r>
          </w:p>
        </w:tc>
        <w:tc>
          <w:tcPr>
            <w:tcW w:w="6134" w:type="dxa"/>
          </w:tcPr>
          <w:p w14:paraId="653B1B45" w14:textId="50521CAF" w:rsidR="00251C58" w:rsidRPr="004D7AB8" w:rsidRDefault="00251C58" w:rsidP="004D7AB8">
            <w:pPr>
              <w:pStyle w:val="Normalgrey"/>
              <w:rPr>
                <w:b/>
                <w:bCs/>
              </w:rPr>
            </w:pPr>
            <w:r w:rsidRPr="00251C58">
              <w:rPr>
                <w:b/>
                <w:bCs/>
              </w:rPr>
              <w:t xml:space="preserve">Chief finance and accounting officer </w:t>
            </w:r>
            <w:r w:rsidRPr="00426D7B">
              <w:t xml:space="preserve">– the officer responsible for the accounting and financial management of that department/entity in accordance with </w:t>
            </w:r>
            <w:r w:rsidRPr="00426D7B">
              <w:rPr>
                <w:i/>
                <w:iCs/>
              </w:rPr>
              <w:t xml:space="preserve">the Financial Management Act 1994 </w:t>
            </w:r>
            <w:r w:rsidRPr="00426D7B">
              <w:t xml:space="preserve">and </w:t>
            </w:r>
            <w:r w:rsidR="00BD513A">
              <w:t xml:space="preserve">the </w:t>
            </w:r>
            <w:r w:rsidRPr="00426D7B">
              <w:rPr>
                <w:i/>
                <w:iCs/>
              </w:rPr>
              <w:t>Standing Directions 2018</w:t>
            </w:r>
            <w:r w:rsidRPr="00426D7B">
              <w:t xml:space="preserve"> </w:t>
            </w:r>
            <w:r w:rsidR="00BD513A">
              <w:t xml:space="preserve">issued </w:t>
            </w:r>
            <w:r w:rsidRPr="00426D7B">
              <w:t xml:space="preserve">under the </w:t>
            </w:r>
            <w:r w:rsidRPr="00426D7B">
              <w:rPr>
                <w:i/>
                <w:iCs/>
              </w:rPr>
              <w:t>Financial Management Act 1994.</w:t>
            </w:r>
          </w:p>
        </w:tc>
      </w:tr>
      <w:tr w:rsidR="005828FE" w:rsidRPr="005828FE" w14:paraId="7C05A045" w14:textId="77777777" w:rsidTr="00B8224B">
        <w:tc>
          <w:tcPr>
            <w:tcW w:w="2293" w:type="dxa"/>
          </w:tcPr>
          <w:p w14:paraId="52D54DFF" w14:textId="77777777" w:rsidR="006C78FB" w:rsidRPr="005828FE" w:rsidRDefault="006C78FB" w:rsidP="00382EE1">
            <w:pPr>
              <w:pStyle w:val="Normalgrey"/>
            </w:pPr>
            <w:r w:rsidRPr="005828FE">
              <w:t>Guidance</w:t>
            </w:r>
          </w:p>
        </w:tc>
        <w:tc>
          <w:tcPr>
            <w:tcW w:w="270" w:type="dxa"/>
          </w:tcPr>
          <w:p w14:paraId="5C1E1158" w14:textId="77777777" w:rsidR="006C78FB" w:rsidRPr="005828FE" w:rsidRDefault="006C78FB" w:rsidP="00286F9A">
            <w:pPr>
              <w:pStyle w:val="Normalgrey"/>
            </w:pPr>
          </w:p>
        </w:tc>
        <w:tc>
          <w:tcPr>
            <w:tcW w:w="540" w:type="dxa"/>
          </w:tcPr>
          <w:p w14:paraId="088C316B" w14:textId="792352E4" w:rsidR="006C78FB" w:rsidRPr="005828FE" w:rsidRDefault="003C594C" w:rsidP="00286F9A">
            <w:pPr>
              <w:pStyle w:val="Normalgrey"/>
            </w:pPr>
            <w:r>
              <w:t>6</w:t>
            </w:r>
            <w:r w:rsidR="002D3F4E">
              <w:t>.1</w:t>
            </w:r>
          </w:p>
        </w:tc>
        <w:tc>
          <w:tcPr>
            <w:tcW w:w="6134" w:type="dxa"/>
          </w:tcPr>
          <w:p w14:paraId="05507E30" w14:textId="0ECCC5A0" w:rsidR="006E4FF3" w:rsidRPr="005828FE" w:rsidRDefault="006137ED" w:rsidP="00426D7B">
            <w:pPr>
              <w:pStyle w:val="Bullet1grey"/>
              <w:numPr>
                <w:ilvl w:val="0"/>
                <w:numId w:val="0"/>
              </w:numPr>
            </w:pPr>
            <w:r>
              <w:t xml:space="preserve">Further guidance has been issued on the application of </w:t>
            </w:r>
            <w:r w:rsidR="008F6A7E">
              <w:t>this FRD</w:t>
            </w:r>
            <w:r>
              <w:t>.</w:t>
            </w:r>
            <w:r w:rsidR="00CE1479">
              <w:t xml:space="preserve"> </w:t>
            </w:r>
            <w:r>
              <w:t xml:space="preserve">Refer to </w:t>
            </w:r>
            <w:r w:rsidRPr="006137ED">
              <w:rPr>
                <w:i/>
                <w:iCs/>
              </w:rPr>
              <w:t xml:space="preserve">Guidance on the application of FRD 101 </w:t>
            </w:r>
            <w:r w:rsidR="009B6E66">
              <w:rPr>
                <w:i/>
                <w:iCs/>
              </w:rPr>
              <w:t>Application of Tiers of Australian Accounting Standards</w:t>
            </w:r>
            <w:r>
              <w:t>.</w:t>
            </w:r>
          </w:p>
        </w:tc>
      </w:tr>
      <w:tr w:rsidR="005828FE" w:rsidRPr="005828FE" w14:paraId="32B854D1" w14:textId="77777777" w:rsidTr="00B8224B">
        <w:tc>
          <w:tcPr>
            <w:tcW w:w="2293" w:type="dxa"/>
          </w:tcPr>
          <w:p w14:paraId="7EE2770A" w14:textId="77777777" w:rsidR="006C78FB" w:rsidRPr="005828FE" w:rsidRDefault="006C78FB" w:rsidP="00382EE1">
            <w:pPr>
              <w:pStyle w:val="Normalgrey"/>
            </w:pPr>
            <w:r w:rsidRPr="005828FE">
              <w:t>Relevant pronouncements</w:t>
            </w:r>
          </w:p>
        </w:tc>
        <w:tc>
          <w:tcPr>
            <w:tcW w:w="270" w:type="dxa"/>
          </w:tcPr>
          <w:p w14:paraId="50FDC420" w14:textId="77777777" w:rsidR="006C78FB" w:rsidRPr="005828FE" w:rsidRDefault="006C78FB" w:rsidP="00286F9A">
            <w:pPr>
              <w:pStyle w:val="Normalgrey"/>
            </w:pPr>
          </w:p>
        </w:tc>
        <w:tc>
          <w:tcPr>
            <w:tcW w:w="540" w:type="dxa"/>
          </w:tcPr>
          <w:p w14:paraId="3259E574" w14:textId="78101637" w:rsidR="006C78FB" w:rsidRPr="005828FE" w:rsidRDefault="003C594C" w:rsidP="00286F9A">
            <w:pPr>
              <w:pStyle w:val="Normalgrey"/>
            </w:pPr>
            <w:r>
              <w:t>7</w:t>
            </w:r>
            <w:r w:rsidR="00580C3B">
              <w:t>.1</w:t>
            </w:r>
          </w:p>
        </w:tc>
        <w:tc>
          <w:tcPr>
            <w:tcW w:w="6134" w:type="dxa"/>
          </w:tcPr>
          <w:p w14:paraId="00E81261" w14:textId="1C31307F" w:rsidR="00421F2E" w:rsidRDefault="00F75976" w:rsidP="00863669">
            <w:pPr>
              <w:pStyle w:val="Bullet1grey"/>
            </w:pPr>
            <w:r>
              <w:t xml:space="preserve">AASB 1 </w:t>
            </w:r>
            <w:r w:rsidR="00D964CD" w:rsidRPr="00AC6EE2">
              <w:rPr>
                <w:i/>
                <w:iCs/>
              </w:rPr>
              <w:t>First-time Adoption of Australian Accounting Standards</w:t>
            </w:r>
          </w:p>
          <w:p w14:paraId="221F8DCC" w14:textId="261E3CFF" w:rsidR="00C42517" w:rsidRDefault="00C42517" w:rsidP="004F7442">
            <w:pPr>
              <w:pStyle w:val="Bullet1grey"/>
            </w:pPr>
            <w:r>
              <w:t xml:space="preserve">AASB 108 </w:t>
            </w:r>
            <w:r w:rsidR="004F7442" w:rsidRPr="00AC6EE2">
              <w:rPr>
                <w:i/>
                <w:iCs/>
              </w:rPr>
              <w:t>Accounting Policies, Changes in Accounting Estimates and Errors</w:t>
            </w:r>
          </w:p>
          <w:p w14:paraId="42E340B8" w14:textId="7116D9B3" w:rsidR="004F7442" w:rsidRDefault="004F7442" w:rsidP="004F7442">
            <w:pPr>
              <w:pStyle w:val="Bullet1grey"/>
            </w:pPr>
            <w:r>
              <w:t xml:space="preserve">AASB 1053 </w:t>
            </w:r>
            <w:r w:rsidRPr="00AC6EE2">
              <w:rPr>
                <w:i/>
                <w:iCs/>
              </w:rPr>
              <w:t>Application of Tiers of Australian Accounting Standards</w:t>
            </w:r>
          </w:p>
          <w:p w14:paraId="3DC46736" w14:textId="14AAAAC8" w:rsidR="004F7442" w:rsidRPr="005828FE" w:rsidRDefault="004F7442" w:rsidP="00171C02">
            <w:pPr>
              <w:pStyle w:val="Bullet1grey"/>
            </w:pPr>
            <w:r>
              <w:t>AASB 1</w:t>
            </w:r>
            <w:r w:rsidR="00953D3F">
              <w:t xml:space="preserve">060 </w:t>
            </w:r>
            <w:r w:rsidR="00171C02" w:rsidRPr="00AC6EE2">
              <w:rPr>
                <w:i/>
                <w:iCs/>
              </w:rPr>
              <w:t>General Purpose Financial Statements – Simplified Disclosures for For-Profit and Not-for-Profit Tier 2 Entities</w:t>
            </w:r>
            <w:r w:rsidR="00365EF4" w:rsidRPr="00AC6EE2">
              <w:rPr>
                <w:i/>
                <w:iCs/>
              </w:rPr>
              <w:t>.</w:t>
            </w:r>
          </w:p>
        </w:tc>
      </w:tr>
      <w:tr w:rsidR="005828FE" w:rsidRPr="005828FE" w14:paraId="69B6D0DD" w14:textId="77777777" w:rsidTr="00B8224B">
        <w:tc>
          <w:tcPr>
            <w:tcW w:w="2293" w:type="dxa"/>
          </w:tcPr>
          <w:p w14:paraId="649A935D" w14:textId="77777777" w:rsidR="006C78FB" w:rsidRPr="005828FE" w:rsidRDefault="006C78FB" w:rsidP="00382EE1">
            <w:pPr>
              <w:pStyle w:val="Normalgrey"/>
            </w:pPr>
            <w:r w:rsidRPr="005828FE">
              <w:lastRenderedPageBreak/>
              <w:t>Background</w:t>
            </w:r>
          </w:p>
        </w:tc>
        <w:tc>
          <w:tcPr>
            <w:tcW w:w="270" w:type="dxa"/>
          </w:tcPr>
          <w:p w14:paraId="191454E4" w14:textId="77777777" w:rsidR="006C78FB" w:rsidRPr="005828FE" w:rsidRDefault="006C78FB" w:rsidP="00286F9A">
            <w:pPr>
              <w:pStyle w:val="Normalgrey"/>
            </w:pPr>
          </w:p>
        </w:tc>
        <w:tc>
          <w:tcPr>
            <w:tcW w:w="540" w:type="dxa"/>
          </w:tcPr>
          <w:p w14:paraId="3C097D34" w14:textId="72666CC8" w:rsidR="006C78FB" w:rsidRPr="005828FE" w:rsidRDefault="003C594C" w:rsidP="00286F9A">
            <w:pPr>
              <w:pStyle w:val="Normalgrey"/>
            </w:pPr>
            <w:r>
              <w:t>8</w:t>
            </w:r>
            <w:r w:rsidR="00580C3B">
              <w:t>.1</w:t>
            </w:r>
          </w:p>
        </w:tc>
        <w:tc>
          <w:tcPr>
            <w:tcW w:w="6134" w:type="dxa"/>
          </w:tcPr>
          <w:p w14:paraId="2D9983FF" w14:textId="4EFB57E2" w:rsidR="00740302" w:rsidRDefault="00593170" w:rsidP="00740302">
            <w:pPr>
              <w:pStyle w:val="Bullet1grey"/>
            </w:pPr>
            <w:r>
              <w:t>Pr</w:t>
            </w:r>
            <w:r w:rsidR="00BA7862">
              <w:t>ior to</w:t>
            </w:r>
            <w:r w:rsidR="0029258E">
              <w:t xml:space="preserve"> </w:t>
            </w:r>
            <w:r>
              <w:t xml:space="preserve">2013, </w:t>
            </w:r>
            <w:r w:rsidR="006A2293">
              <w:t>general purpose financial reports (GPFRs)</w:t>
            </w:r>
            <w:r>
              <w:t xml:space="preserve"> produced in Australia needed to comply </w:t>
            </w:r>
            <w:r w:rsidR="00F852ED">
              <w:t xml:space="preserve">with all requirements </w:t>
            </w:r>
            <w:r w:rsidR="00D84C36">
              <w:t>of Australian Accounting Standards</w:t>
            </w:r>
            <w:r w:rsidR="0029258E">
              <w:t xml:space="preserve"> (AAS)</w:t>
            </w:r>
            <w:r w:rsidR="00437F04">
              <w:t xml:space="preserve">. This meant </w:t>
            </w:r>
            <w:r w:rsidR="00D27451">
              <w:t xml:space="preserve">GPFRs complied </w:t>
            </w:r>
            <w:r w:rsidR="00D366F3">
              <w:t xml:space="preserve">with all </w:t>
            </w:r>
            <w:r w:rsidR="00EF4615">
              <w:t>AAS recognition</w:t>
            </w:r>
            <w:r w:rsidR="00210743">
              <w:t xml:space="preserve">, </w:t>
            </w:r>
            <w:proofErr w:type="gramStart"/>
            <w:r w:rsidR="00210743">
              <w:t>measurement</w:t>
            </w:r>
            <w:proofErr w:type="gramEnd"/>
            <w:r w:rsidR="00210743">
              <w:t xml:space="preserve"> and disclosure requirements.</w:t>
            </w:r>
          </w:p>
          <w:p w14:paraId="60B6359B" w14:textId="0A654FC0" w:rsidR="00210743" w:rsidRDefault="008667E9" w:rsidP="00A67AED">
            <w:pPr>
              <w:pStyle w:val="Bullet1grey"/>
              <w:spacing w:before="60"/>
              <w:ind w:left="289" w:hanging="289"/>
              <w:contextualSpacing w:val="0"/>
            </w:pPr>
            <w:r>
              <w:t xml:space="preserve">In July </w:t>
            </w:r>
            <w:r w:rsidR="00DD604F">
              <w:t>2010</w:t>
            </w:r>
            <w:r>
              <w:t xml:space="preserve">, </w:t>
            </w:r>
            <w:r w:rsidR="003C16AE">
              <w:t xml:space="preserve">the </w:t>
            </w:r>
            <w:r w:rsidR="00BA7862">
              <w:t>Australian Accounting Standards Board (</w:t>
            </w:r>
            <w:r w:rsidR="004E33AE">
              <w:t>AASB</w:t>
            </w:r>
            <w:r w:rsidR="00BA7862">
              <w:t xml:space="preserve">) </w:t>
            </w:r>
            <w:r w:rsidR="008823EA">
              <w:t>released</w:t>
            </w:r>
            <w:r w:rsidR="004E33AE">
              <w:t xml:space="preserve"> a differential </w:t>
            </w:r>
            <w:r w:rsidR="00C609D0">
              <w:t xml:space="preserve">reporting framework </w:t>
            </w:r>
            <w:r w:rsidR="003C594C">
              <w:t xml:space="preserve">(comprising two tiers of reporting), allowing </w:t>
            </w:r>
            <w:r w:rsidR="00C609D0">
              <w:t xml:space="preserve">eligible entities </w:t>
            </w:r>
            <w:r w:rsidR="005145F0">
              <w:t xml:space="preserve">to adopt </w:t>
            </w:r>
            <w:r w:rsidR="003C594C">
              <w:t xml:space="preserve">Tier 2: </w:t>
            </w:r>
            <w:r w:rsidR="006A2293">
              <w:t>R</w:t>
            </w:r>
            <w:r w:rsidR="00C31C0A">
              <w:t>educed Disclosure Requirements</w:t>
            </w:r>
            <w:r w:rsidR="006A2293">
              <w:t xml:space="preserve"> (RDR)</w:t>
            </w:r>
            <w:r w:rsidR="00CD68F2">
              <w:t xml:space="preserve">. </w:t>
            </w:r>
            <w:r w:rsidR="0029258E">
              <w:t>The RDR framework</w:t>
            </w:r>
            <w:r w:rsidR="00BA7862">
              <w:t xml:space="preserve"> </w:t>
            </w:r>
            <w:r w:rsidR="00BD0DB2">
              <w:t xml:space="preserve">complied with all </w:t>
            </w:r>
            <w:r w:rsidR="00E40EFB">
              <w:t>recognition and measurement requirements</w:t>
            </w:r>
            <w:r w:rsidR="00A70571">
              <w:t xml:space="preserve"> </w:t>
            </w:r>
            <w:r w:rsidR="0029258E">
              <w:t xml:space="preserve">while offering </w:t>
            </w:r>
            <w:r w:rsidR="00A70571">
              <w:t xml:space="preserve">reduced </w:t>
            </w:r>
            <w:r w:rsidR="003C594C">
              <w:t xml:space="preserve">level of </w:t>
            </w:r>
            <w:r w:rsidR="008823EA">
              <w:t>disclosure</w:t>
            </w:r>
            <w:r w:rsidR="0029258E">
              <w:t>s</w:t>
            </w:r>
            <w:r w:rsidR="00BA7862">
              <w:t>.</w:t>
            </w:r>
          </w:p>
          <w:p w14:paraId="066B1D61" w14:textId="559ACD58" w:rsidR="0029258E" w:rsidRDefault="00DD604F" w:rsidP="00A67AED">
            <w:pPr>
              <w:pStyle w:val="Bullet1grey"/>
              <w:spacing w:before="60"/>
              <w:ind w:left="289" w:hanging="289"/>
              <w:contextualSpacing w:val="0"/>
            </w:pPr>
            <w:r>
              <w:t>In March 2020</w:t>
            </w:r>
            <w:r w:rsidR="00BA7862">
              <w:t xml:space="preserve">, </w:t>
            </w:r>
            <w:r w:rsidR="003C16AE">
              <w:t xml:space="preserve">the AASB issued AASB 1060: </w:t>
            </w:r>
            <w:r w:rsidR="003C16AE" w:rsidRPr="003C16AE">
              <w:rPr>
                <w:i/>
                <w:iCs/>
              </w:rPr>
              <w:t>General Purpose Financial Statements – Simplified Disclosures for For-Profit and</w:t>
            </w:r>
            <w:r w:rsidR="003C16AE">
              <w:rPr>
                <w:i/>
                <w:iCs/>
              </w:rPr>
              <w:t xml:space="preserve"> </w:t>
            </w:r>
            <w:r w:rsidR="003C16AE" w:rsidRPr="003C16AE">
              <w:rPr>
                <w:i/>
                <w:iCs/>
              </w:rPr>
              <w:t>Not-for-Profit Tier 2 Entities</w:t>
            </w:r>
            <w:r w:rsidR="003C594C">
              <w:t>, replacing RDR with a more refined and simpler Tier 2 reporting framework</w:t>
            </w:r>
            <w:r w:rsidR="00BA7862">
              <w:t>.</w:t>
            </w:r>
          </w:p>
          <w:p w14:paraId="32EFF61B" w14:textId="3E700DCB" w:rsidR="003C594C" w:rsidRDefault="00B30669" w:rsidP="00A67AED">
            <w:pPr>
              <w:pStyle w:val="Bullet1grey"/>
              <w:spacing w:before="60"/>
              <w:ind w:left="289" w:hanging="289"/>
              <w:contextualSpacing w:val="0"/>
            </w:pPr>
            <w:r>
              <w:t xml:space="preserve">In </w:t>
            </w:r>
            <w:r w:rsidR="003C594C">
              <w:t xml:space="preserve">May </w:t>
            </w:r>
            <w:r>
              <w:t>2024,</w:t>
            </w:r>
            <w:r w:rsidR="00FD54F6">
              <w:t xml:space="preserve"> </w:t>
            </w:r>
            <w:r>
              <w:t xml:space="preserve">DTF </w:t>
            </w:r>
            <w:r w:rsidR="003C594C">
              <w:t xml:space="preserve">approved the </w:t>
            </w:r>
            <w:r>
              <w:t>implement</w:t>
            </w:r>
            <w:r w:rsidR="003C594C">
              <w:t>ation of</w:t>
            </w:r>
            <w:r>
              <w:t xml:space="preserve"> </w:t>
            </w:r>
            <w:r w:rsidR="00BA7862">
              <w:t xml:space="preserve">tiered financial reporting </w:t>
            </w:r>
            <w:r w:rsidR="003C594C">
              <w:t xml:space="preserve">within </w:t>
            </w:r>
            <w:r w:rsidR="00BA7862">
              <w:t>the Victorian public sector</w:t>
            </w:r>
            <w:r w:rsidR="003C594C">
              <w:t xml:space="preserve"> by releasing </w:t>
            </w:r>
            <w:r w:rsidR="00182982">
              <w:t xml:space="preserve">FRD 101 </w:t>
            </w:r>
            <w:r w:rsidR="003C594C">
              <w:t>(this Direction)</w:t>
            </w:r>
            <w:r w:rsidR="00182982">
              <w:rPr>
                <w:i/>
                <w:iCs/>
              </w:rPr>
              <w:t>.</w:t>
            </w:r>
          </w:p>
          <w:p w14:paraId="53150D94" w14:textId="267D4F04" w:rsidR="00BA7862" w:rsidRPr="005828FE" w:rsidRDefault="00BA7862" w:rsidP="003C594C">
            <w:pPr>
              <w:pStyle w:val="Bullet1grey"/>
              <w:numPr>
                <w:ilvl w:val="0"/>
                <w:numId w:val="0"/>
              </w:numPr>
              <w:ind w:left="288"/>
            </w:pPr>
          </w:p>
        </w:tc>
      </w:tr>
    </w:tbl>
    <w:p w14:paraId="059F4565" w14:textId="77777777" w:rsidR="00A87565" w:rsidRDefault="00A87565" w:rsidP="00FE782F"/>
    <w:sectPr w:rsidR="00A87565" w:rsidSect="005828FE">
      <w:headerReference w:type="even" r:id="rId9"/>
      <w:headerReference w:type="default" r:id="rId10"/>
      <w:footerReference w:type="even" r:id="rId11"/>
      <w:footerReference w:type="default" r:id="rId12"/>
      <w:headerReference w:type="first" r:id="rId13"/>
      <w:footerReference w:type="first" r:id="rId14"/>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EB68" w14:textId="77777777" w:rsidR="00F06D73" w:rsidRDefault="00F06D73" w:rsidP="002D711A">
      <w:pPr>
        <w:spacing w:after="0" w:line="240" w:lineRule="auto"/>
      </w:pPr>
      <w:r>
        <w:separator/>
      </w:r>
    </w:p>
    <w:p w14:paraId="2EADBA77" w14:textId="77777777" w:rsidR="00F06D73" w:rsidRDefault="00F06D73"/>
  </w:endnote>
  <w:endnote w:type="continuationSeparator" w:id="0">
    <w:p w14:paraId="317AE620" w14:textId="77777777" w:rsidR="00F06D73" w:rsidRDefault="00F06D73" w:rsidP="002D711A">
      <w:pPr>
        <w:spacing w:after="0" w:line="240" w:lineRule="auto"/>
      </w:pPr>
      <w:r>
        <w:continuationSeparator/>
      </w:r>
    </w:p>
    <w:p w14:paraId="52DB3629" w14:textId="77777777" w:rsidR="00F06D73" w:rsidRDefault="00F06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66CD" w14:textId="722944CB" w:rsidR="00014213" w:rsidRPr="00014213" w:rsidRDefault="00F06D73" w:rsidP="00C022F9">
    <w:pPr>
      <w:pStyle w:val="Footer"/>
    </w:pPr>
    <w:r>
      <mc:AlternateContent>
        <mc:Choice Requires="wps">
          <w:drawing>
            <wp:anchor distT="0" distB="0" distL="0" distR="0" simplePos="0" relativeHeight="251669504" behindDoc="0" locked="0" layoutInCell="1" allowOverlap="1" wp14:anchorId="34411FA6" wp14:editId="387198AD">
              <wp:simplePos x="635" y="635"/>
              <wp:positionH relativeFrom="page">
                <wp:align>left</wp:align>
              </wp:positionH>
              <wp:positionV relativeFrom="page">
                <wp:align>bottom</wp:align>
              </wp:positionV>
              <wp:extent cx="443865" cy="443865"/>
              <wp:effectExtent l="0" t="0" r="1143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C6DC6D" w14:textId="26031BD0" w:rsidR="00F06D73" w:rsidRPr="00F06D73" w:rsidRDefault="00F06D73" w:rsidP="00F06D73">
                          <w:pPr>
                            <w:spacing w:after="0"/>
                            <w:rPr>
                              <w:rFonts w:ascii="Calibri" w:eastAsia="Calibri" w:hAnsi="Calibri" w:cs="Calibri"/>
                              <w:noProof/>
                              <w:color w:val="000000"/>
                              <w:sz w:val="22"/>
                              <w:szCs w:val="22"/>
                            </w:rPr>
                          </w:pPr>
                          <w:r w:rsidRPr="00F06D73">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411FA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6C6DC6D" w14:textId="26031BD0" w:rsidR="00F06D73" w:rsidRPr="00F06D73" w:rsidRDefault="00F06D73" w:rsidP="00F06D73">
                    <w:pPr>
                      <w:spacing w:after="0"/>
                      <w:rPr>
                        <w:rFonts w:ascii="Calibri" w:eastAsia="Calibri" w:hAnsi="Calibri" w:cs="Calibri"/>
                        <w:noProof/>
                        <w:color w:val="000000"/>
                        <w:sz w:val="22"/>
                        <w:szCs w:val="22"/>
                      </w:rPr>
                    </w:pPr>
                    <w:r w:rsidRPr="00F06D73">
                      <w:rPr>
                        <w:rFonts w:ascii="Calibri" w:eastAsia="Calibri" w:hAnsi="Calibri" w:cs="Calibri"/>
                        <w:noProof/>
                        <w:color w:val="000000"/>
                        <w:sz w:val="22"/>
                        <w:szCs w:val="22"/>
                      </w:rPr>
                      <w:t>OFFICIAL</w:t>
                    </w:r>
                  </w:p>
                </w:txbxContent>
              </v:textbox>
              <w10:wrap anchorx="page" anchory="page"/>
            </v:shape>
          </w:pict>
        </mc:Fallback>
      </mc:AlternateContent>
    </w:r>
    <w:r w:rsidR="00014213">
      <w:drawing>
        <wp:anchor distT="0" distB="0" distL="114300" distR="114300" simplePos="0" relativeHeight="251667456" behindDoc="0" locked="0" layoutInCell="1" allowOverlap="1" wp14:anchorId="5DE46E49" wp14:editId="1F67DE8F">
          <wp:simplePos x="0" y="0"/>
          <wp:positionH relativeFrom="column">
            <wp:posOffset>4240861</wp:posOffset>
          </wp:positionH>
          <wp:positionV relativeFrom="page">
            <wp:posOffset>9493250</wp:posOffset>
          </wp:positionV>
          <wp:extent cx="1956435" cy="582930"/>
          <wp:effectExtent l="0" t="0" r="5715" b="762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3CC9C46D" w14:textId="77777777" w:rsidR="0057703D" w:rsidRDefault="005770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BADC" w14:textId="0E965760" w:rsidR="00A516DE" w:rsidRDefault="00A516DE" w:rsidP="00A516DE">
    <w:pPr>
      <w:pStyle w:val="Spacer"/>
    </w:pPr>
  </w:p>
  <w:p w14:paraId="114148CA" w14:textId="30835311" w:rsidR="0041689E" w:rsidRPr="005828FE" w:rsidRDefault="0041689E" w:rsidP="0041689E">
    <w:pPr>
      <w:pStyle w:val="Footer"/>
      <w:spacing w:before="0"/>
    </w:pPr>
    <w:r w:rsidRPr="005828FE">
      <w:rPr>
        <w:b/>
        <w:noProof w:val="0"/>
      </w:rPr>
      <w:fldChar w:fldCharType="begin"/>
    </w:r>
    <w:r w:rsidRPr="005828FE">
      <w:rPr>
        <w:b/>
      </w:rPr>
      <w:instrText xml:space="preserve"> StyleRef “</w:instrText>
    </w:r>
    <w:r w:rsidR="006C78FB" w:rsidRPr="005828FE">
      <w:rPr>
        <w:b/>
      </w:rPr>
      <w:instrText>FRD number</w:instrText>
    </w:r>
    <w:r w:rsidRPr="005828FE">
      <w:rPr>
        <w:b/>
      </w:rPr>
      <w:instrText xml:space="preserve">” </w:instrText>
    </w:r>
    <w:r w:rsidRPr="005828FE">
      <w:rPr>
        <w:b/>
        <w:noProof w:val="0"/>
      </w:rPr>
      <w:fldChar w:fldCharType="separate"/>
    </w:r>
    <w:r w:rsidR="005D1CD8">
      <w:rPr>
        <w:b/>
      </w:rPr>
      <w:t>FRD 101</w:t>
    </w:r>
    <w:r w:rsidRPr="005828FE">
      <w:rPr>
        <w:b/>
      </w:rPr>
      <w:fldChar w:fldCharType="end"/>
    </w:r>
    <w:r w:rsidR="006C78FB" w:rsidRPr="005828FE">
      <w:rPr>
        <w:b/>
      </w:rPr>
      <w:t xml:space="preserve"> </w:t>
    </w:r>
    <w:r w:rsidR="006C78FB" w:rsidRPr="006C78FB">
      <w:fldChar w:fldCharType="begin"/>
    </w:r>
    <w:r w:rsidR="006C78FB" w:rsidRPr="006C78FB">
      <w:instrText xml:space="preserve"> StyleRef “FRD Header” </w:instrText>
    </w:r>
    <w:r w:rsidR="006C78FB" w:rsidRPr="006C78FB">
      <w:fldChar w:fldCharType="separate"/>
    </w:r>
    <w:r w:rsidR="005D1CD8">
      <w:t>Application of Tiers of Australian Accounting Standards</w:t>
    </w:r>
    <w:r w:rsidR="006C78FB"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sidR="00DF5B90">
      <w:rPr>
        <w:rStyle w:val="PageNumber"/>
        <w:color w:val="auto"/>
      </w:rPr>
      <w:t>1</w:t>
    </w:r>
    <w:r w:rsidRPr="005828FE">
      <w:rPr>
        <w:rStyle w:val="PageNumbe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0C12" w14:textId="7D8BF0DA" w:rsidR="00F06D73" w:rsidRDefault="00F06D73">
    <w:pPr>
      <w:pStyle w:val="Footer"/>
    </w:pPr>
    <w:r>
      <mc:AlternateContent>
        <mc:Choice Requires="wps">
          <w:drawing>
            <wp:anchor distT="0" distB="0" distL="0" distR="0" simplePos="0" relativeHeight="251668480" behindDoc="0" locked="0" layoutInCell="1" allowOverlap="1" wp14:anchorId="7CA3D420" wp14:editId="5181D45D">
              <wp:simplePos x="635" y="635"/>
              <wp:positionH relativeFrom="page">
                <wp:align>left</wp:align>
              </wp:positionH>
              <wp:positionV relativeFrom="page">
                <wp:align>bottom</wp:align>
              </wp:positionV>
              <wp:extent cx="443865" cy="443865"/>
              <wp:effectExtent l="0" t="0" r="1143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7F8494" w14:textId="710DE679" w:rsidR="00F06D73" w:rsidRPr="00F06D73" w:rsidRDefault="00F06D73" w:rsidP="00F06D73">
                          <w:pPr>
                            <w:spacing w:after="0"/>
                            <w:rPr>
                              <w:rFonts w:ascii="Calibri" w:eastAsia="Calibri" w:hAnsi="Calibri" w:cs="Calibri"/>
                              <w:noProof/>
                              <w:color w:val="000000"/>
                              <w:sz w:val="22"/>
                              <w:szCs w:val="22"/>
                            </w:rPr>
                          </w:pPr>
                          <w:r w:rsidRPr="00F06D73">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A3D420" id="_x0000_t202" coordsize="21600,21600" o:spt="202" path="m,l,21600r21600,l21600,xe">
              <v:stroke joinstyle="miter"/>
              <v:path gradientshapeok="t" o:connecttype="rect"/>
            </v:shapetype>
            <v:shape id="Text Box 1" o:spid="_x0000_s1027" type="#_x0000_t202" alt="OFFICIAL"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27F8494" w14:textId="710DE679" w:rsidR="00F06D73" w:rsidRPr="00F06D73" w:rsidRDefault="00F06D73" w:rsidP="00F06D73">
                    <w:pPr>
                      <w:spacing w:after="0"/>
                      <w:rPr>
                        <w:rFonts w:ascii="Calibri" w:eastAsia="Calibri" w:hAnsi="Calibri" w:cs="Calibri"/>
                        <w:noProof/>
                        <w:color w:val="000000"/>
                        <w:sz w:val="22"/>
                        <w:szCs w:val="22"/>
                      </w:rPr>
                    </w:pPr>
                    <w:r w:rsidRPr="00F06D73">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097E" w14:textId="77777777" w:rsidR="00F06D73" w:rsidRDefault="00F06D73" w:rsidP="002D711A">
      <w:pPr>
        <w:spacing w:after="0" w:line="240" w:lineRule="auto"/>
      </w:pPr>
      <w:r>
        <w:separator/>
      </w:r>
    </w:p>
    <w:p w14:paraId="44432600" w14:textId="77777777" w:rsidR="00F06D73" w:rsidRDefault="00F06D73"/>
  </w:footnote>
  <w:footnote w:type="continuationSeparator" w:id="0">
    <w:p w14:paraId="5F4D1853" w14:textId="77777777" w:rsidR="00F06D73" w:rsidRDefault="00F06D73" w:rsidP="002D711A">
      <w:pPr>
        <w:spacing w:after="0" w:line="240" w:lineRule="auto"/>
      </w:pPr>
      <w:r>
        <w:continuationSeparator/>
      </w:r>
    </w:p>
    <w:p w14:paraId="2BAB0FA1" w14:textId="77777777" w:rsidR="00F06D73" w:rsidRDefault="00F06D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9627" w14:textId="77777777" w:rsidR="00A24F89" w:rsidRDefault="00A24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B45E" w14:textId="77777777" w:rsidR="0041689E" w:rsidRPr="0041689E" w:rsidRDefault="005828FE" w:rsidP="005828FE">
    <w:pPr>
      <w:pStyle w:val="Header"/>
      <w:tabs>
        <w:tab w:val="clear" w:pos="9026"/>
      </w:tabs>
      <w:ind w:right="-694"/>
      <w:jc w:val="right"/>
    </w:pPr>
    <w:r>
      <w:rPr>
        <w:noProof/>
      </w:rPr>
      <w:drawing>
        <wp:inline distT="0" distB="0" distL="0" distR="0" wp14:anchorId="7CCCBD69" wp14:editId="558B590F">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2A7A7C3A" w14:textId="77777777" w:rsidR="0057703D" w:rsidRDefault="005770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AA47" w14:textId="77777777" w:rsidR="00A24F89" w:rsidRDefault="00A24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084"/>
    <w:multiLevelType w:val="hybridMultilevel"/>
    <w:tmpl w:val="16A648D4"/>
    <w:lvl w:ilvl="0" w:tplc="7C7C05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9211DB"/>
    <w:multiLevelType w:val="hybridMultilevel"/>
    <w:tmpl w:val="EEC82AC6"/>
    <w:lvl w:ilvl="0" w:tplc="FC0035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78774F"/>
    <w:multiLevelType w:val="hybridMultilevel"/>
    <w:tmpl w:val="E0EA25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8D94DE8"/>
    <w:multiLevelType w:val="multilevel"/>
    <w:tmpl w:val="0D62C05A"/>
    <w:lvl w:ilvl="0">
      <w:start w:val="4"/>
      <w:numFmt w:val="decimal"/>
      <w:lvlText w:val="%1"/>
      <w:lvlJc w:val="left"/>
      <w:pPr>
        <w:ind w:left="411" w:hanging="411"/>
      </w:pPr>
      <w:rPr>
        <w:rFonts w:hint="default"/>
      </w:rPr>
    </w:lvl>
    <w:lvl w:ilvl="1">
      <w:start w:val="2"/>
      <w:numFmt w:val="decimal"/>
      <w:lvlText w:val="%1.%2"/>
      <w:lvlJc w:val="left"/>
      <w:pPr>
        <w:ind w:left="591" w:hanging="411"/>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2DBF4157"/>
    <w:multiLevelType w:val="hybridMultilevel"/>
    <w:tmpl w:val="B184C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5A06AE"/>
    <w:multiLevelType w:val="hybridMultilevel"/>
    <w:tmpl w:val="44001160"/>
    <w:lvl w:ilvl="0" w:tplc="FBAA54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A165AE"/>
    <w:multiLevelType w:val="hybridMultilevel"/>
    <w:tmpl w:val="316A00D0"/>
    <w:lvl w:ilvl="0" w:tplc="A976BE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478D29BD"/>
    <w:multiLevelType w:val="multilevel"/>
    <w:tmpl w:val="E4EA8C7A"/>
    <w:lvl w:ilvl="0">
      <w:start w:val="4"/>
      <w:numFmt w:val="decimal"/>
      <w:lvlText w:val="%1"/>
      <w:lvlJc w:val="left"/>
      <w:pPr>
        <w:ind w:left="411" w:hanging="411"/>
      </w:pPr>
      <w:rPr>
        <w:rFonts w:hint="default"/>
      </w:rPr>
    </w:lvl>
    <w:lvl w:ilvl="1">
      <w:start w:val="2"/>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F905DD"/>
    <w:multiLevelType w:val="hybridMultilevel"/>
    <w:tmpl w:val="066A7234"/>
    <w:lvl w:ilvl="0" w:tplc="F7262D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B87FFB"/>
    <w:multiLevelType w:val="hybridMultilevel"/>
    <w:tmpl w:val="989036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BB79E3"/>
    <w:multiLevelType w:val="hybridMultilevel"/>
    <w:tmpl w:val="B7C20B66"/>
    <w:lvl w:ilvl="0" w:tplc="0C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6EA1750E"/>
    <w:multiLevelType w:val="hybridMultilevel"/>
    <w:tmpl w:val="B5808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AB6D61"/>
    <w:multiLevelType w:val="multilevel"/>
    <w:tmpl w:val="CC76652E"/>
    <w:lvl w:ilvl="0">
      <w:start w:val="4"/>
      <w:numFmt w:val="decimal"/>
      <w:lvlText w:val="%1"/>
      <w:lvlJc w:val="left"/>
      <w:pPr>
        <w:ind w:left="400" w:hanging="400"/>
      </w:pPr>
      <w:rPr>
        <w:rFonts w:hint="default"/>
      </w:rPr>
    </w:lvl>
    <w:lvl w:ilvl="1">
      <w:start w:val="3"/>
      <w:numFmt w:val="none"/>
      <w:lvlText w:val="4.3.1"/>
      <w:lvlJc w:val="left"/>
      <w:pPr>
        <w:ind w:left="400" w:hanging="400"/>
      </w:pPr>
      <w:rPr>
        <w:rFonts w:hint="default"/>
      </w:rPr>
    </w:lvl>
    <w:lvl w:ilvl="2">
      <w:start w:val="1"/>
      <w:numFmt w:val="decimal"/>
      <w:lvlText w:val="%1.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EE0237D"/>
    <w:multiLevelType w:val="hybridMultilevel"/>
    <w:tmpl w:val="6D9A49D2"/>
    <w:lvl w:ilvl="0" w:tplc="4BD81E64">
      <w:start w:val="1"/>
      <w:numFmt w:val="lowerLetter"/>
      <w:lvlText w:val="%1."/>
      <w:lvlJc w:val="left"/>
      <w:pPr>
        <w:ind w:left="648" w:hanging="360"/>
      </w:pPr>
      <w:rPr>
        <w:rFonts w:hint="default"/>
      </w:rPr>
    </w:lvl>
    <w:lvl w:ilvl="1" w:tplc="0C090019" w:tentative="1">
      <w:start w:val="1"/>
      <w:numFmt w:val="lowerLetter"/>
      <w:lvlText w:val="%2."/>
      <w:lvlJc w:val="left"/>
      <w:pPr>
        <w:ind w:left="1368" w:hanging="360"/>
      </w:pPr>
    </w:lvl>
    <w:lvl w:ilvl="2" w:tplc="0C09001B" w:tentative="1">
      <w:start w:val="1"/>
      <w:numFmt w:val="lowerRoman"/>
      <w:lvlText w:val="%3."/>
      <w:lvlJc w:val="right"/>
      <w:pPr>
        <w:ind w:left="2088" w:hanging="180"/>
      </w:pPr>
    </w:lvl>
    <w:lvl w:ilvl="3" w:tplc="0C09000F" w:tentative="1">
      <w:start w:val="1"/>
      <w:numFmt w:val="decimal"/>
      <w:lvlText w:val="%4."/>
      <w:lvlJc w:val="left"/>
      <w:pPr>
        <w:ind w:left="2808" w:hanging="360"/>
      </w:pPr>
    </w:lvl>
    <w:lvl w:ilvl="4" w:tplc="0C090019" w:tentative="1">
      <w:start w:val="1"/>
      <w:numFmt w:val="lowerLetter"/>
      <w:lvlText w:val="%5."/>
      <w:lvlJc w:val="left"/>
      <w:pPr>
        <w:ind w:left="3528" w:hanging="360"/>
      </w:pPr>
    </w:lvl>
    <w:lvl w:ilvl="5" w:tplc="0C09001B" w:tentative="1">
      <w:start w:val="1"/>
      <w:numFmt w:val="lowerRoman"/>
      <w:lvlText w:val="%6."/>
      <w:lvlJc w:val="right"/>
      <w:pPr>
        <w:ind w:left="4248" w:hanging="180"/>
      </w:pPr>
    </w:lvl>
    <w:lvl w:ilvl="6" w:tplc="0C09000F" w:tentative="1">
      <w:start w:val="1"/>
      <w:numFmt w:val="decimal"/>
      <w:lvlText w:val="%7."/>
      <w:lvlJc w:val="left"/>
      <w:pPr>
        <w:ind w:left="4968" w:hanging="360"/>
      </w:pPr>
    </w:lvl>
    <w:lvl w:ilvl="7" w:tplc="0C090019" w:tentative="1">
      <w:start w:val="1"/>
      <w:numFmt w:val="lowerLetter"/>
      <w:lvlText w:val="%8."/>
      <w:lvlJc w:val="left"/>
      <w:pPr>
        <w:ind w:left="5688" w:hanging="360"/>
      </w:pPr>
    </w:lvl>
    <w:lvl w:ilvl="8" w:tplc="0C09001B" w:tentative="1">
      <w:start w:val="1"/>
      <w:numFmt w:val="lowerRoman"/>
      <w:lvlText w:val="%9."/>
      <w:lvlJc w:val="right"/>
      <w:pPr>
        <w:ind w:left="6408" w:hanging="180"/>
      </w:pPr>
    </w:lvl>
  </w:abstractNum>
  <w:abstractNum w:abstractNumId="18" w15:restartNumberingAfterBreak="0">
    <w:nsid w:val="7F7B6638"/>
    <w:multiLevelType w:val="hybridMultilevel"/>
    <w:tmpl w:val="CCDA4EBE"/>
    <w:lvl w:ilvl="0" w:tplc="CCBE2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934754488">
    <w:abstractNumId w:val="8"/>
  </w:num>
  <w:num w:numId="2" w16cid:durableId="722143365">
    <w:abstractNumId w:val="8"/>
  </w:num>
  <w:num w:numId="3" w16cid:durableId="1882135790">
    <w:abstractNumId w:val="8"/>
  </w:num>
  <w:num w:numId="4" w16cid:durableId="604771209">
    <w:abstractNumId w:val="20"/>
  </w:num>
  <w:num w:numId="5" w16cid:durableId="808740369">
    <w:abstractNumId w:val="8"/>
  </w:num>
  <w:num w:numId="6" w16cid:durableId="1589651097">
    <w:abstractNumId w:val="8"/>
  </w:num>
  <w:num w:numId="7" w16cid:durableId="225530346">
    <w:abstractNumId w:val="8"/>
  </w:num>
  <w:num w:numId="8" w16cid:durableId="1412432836">
    <w:abstractNumId w:val="8"/>
  </w:num>
  <w:num w:numId="9" w16cid:durableId="1446079889">
    <w:abstractNumId w:val="20"/>
  </w:num>
  <w:num w:numId="10" w16cid:durableId="590970432">
    <w:abstractNumId w:val="20"/>
  </w:num>
  <w:num w:numId="11" w16cid:durableId="408498768">
    <w:abstractNumId w:val="20"/>
  </w:num>
  <w:num w:numId="12" w16cid:durableId="1778601869">
    <w:abstractNumId w:val="20"/>
  </w:num>
  <w:num w:numId="13" w16cid:durableId="729962628">
    <w:abstractNumId w:val="20"/>
  </w:num>
  <w:num w:numId="14" w16cid:durableId="1290011522">
    <w:abstractNumId w:val="20"/>
  </w:num>
  <w:num w:numId="15" w16cid:durableId="517544137">
    <w:abstractNumId w:val="20"/>
  </w:num>
  <w:num w:numId="16" w16cid:durableId="92942311">
    <w:abstractNumId w:val="20"/>
  </w:num>
  <w:num w:numId="17" w16cid:durableId="847914378">
    <w:abstractNumId w:val="3"/>
  </w:num>
  <w:num w:numId="18" w16cid:durableId="819007590">
    <w:abstractNumId w:val="3"/>
  </w:num>
  <w:num w:numId="19" w16cid:durableId="1147940116">
    <w:abstractNumId w:val="10"/>
  </w:num>
  <w:num w:numId="20" w16cid:durableId="1541238791">
    <w:abstractNumId w:val="19"/>
  </w:num>
  <w:num w:numId="21" w16cid:durableId="637341878">
    <w:abstractNumId w:val="19"/>
  </w:num>
  <w:num w:numId="22" w16cid:durableId="509301540">
    <w:abstractNumId w:val="14"/>
  </w:num>
  <w:num w:numId="23" w16cid:durableId="57556330">
    <w:abstractNumId w:val="14"/>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16cid:durableId="1983189582">
    <w:abstractNumId w:val="14"/>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16cid:durableId="602153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30662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3509852">
    <w:abstractNumId w:val="2"/>
  </w:num>
  <w:num w:numId="28" w16cid:durableId="1479424107">
    <w:abstractNumId w:val="5"/>
  </w:num>
  <w:num w:numId="29" w16cid:durableId="1561986077">
    <w:abstractNumId w:val="15"/>
  </w:num>
  <w:num w:numId="30" w16cid:durableId="144443676">
    <w:abstractNumId w:val="17"/>
  </w:num>
  <w:num w:numId="31" w16cid:durableId="1732118650">
    <w:abstractNumId w:val="12"/>
  </w:num>
  <w:num w:numId="32" w16cid:durableId="1466854799">
    <w:abstractNumId w:val="13"/>
  </w:num>
  <w:num w:numId="33" w16cid:durableId="1682703700">
    <w:abstractNumId w:val="4"/>
  </w:num>
  <w:num w:numId="34" w16cid:durableId="1578126620">
    <w:abstractNumId w:val="9"/>
  </w:num>
  <w:num w:numId="35" w16cid:durableId="691683456">
    <w:abstractNumId w:val="16"/>
  </w:num>
  <w:num w:numId="36" w16cid:durableId="1791315742">
    <w:abstractNumId w:val="18"/>
  </w:num>
  <w:num w:numId="37" w16cid:durableId="670564671">
    <w:abstractNumId w:val="1"/>
  </w:num>
  <w:num w:numId="38" w16cid:durableId="1062293362">
    <w:abstractNumId w:val="6"/>
  </w:num>
  <w:num w:numId="39" w16cid:durableId="1822305231">
    <w:abstractNumId w:val="7"/>
  </w:num>
  <w:num w:numId="40" w16cid:durableId="480460877">
    <w:abstractNumId w:val="11"/>
  </w:num>
  <w:num w:numId="41" w16cid:durableId="129572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6D73"/>
    <w:rsid w:val="0000176A"/>
    <w:rsid w:val="00002D2D"/>
    <w:rsid w:val="00003550"/>
    <w:rsid w:val="00005A04"/>
    <w:rsid w:val="0001027E"/>
    <w:rsid w:val="00012F6F"/>
    <w:rsid w:val="00014213"/>
    <w:rsid w:val="00014B55"/>
    <w:rsid w:val="000201EE"/>
    <w:rsid w:val="00020932"/>
    <w:rsid w:val="00020E3E"/>
    <w:rsid w:val="00023BF3"/>
    <w:rsid w:val="00026811"/>
    <w:rsid w:val="00041BEF"/>
    <w:rsid w:val="0004356D"/>
    <w:rsid w:val="00045296"/>
    <w:rsid w:val="00055FB5"/>
    <w:rsid w:val="00072679"/>
    <w:rsid w:val="00073BD8"/>
    <w:rsid w:val="00075E6C"/>
    <w:rsid w:val="000800CA"/>
    <w:rsid w:val="00080C75"/>
    <w:rsid w:val="000822EA"/>
    <w:rsid w:val="00086A5F"/>
    <w:rsid w:val="0009078D"/>
    <w:rsid w:val="00092C69"/>
    <w:rsid w:val="00095335"/>
    <w:rsid w:val="000A21C9"/>
    <w:rsid w:val="000A425A"/>
    <w:rsid w:val="000B29AD"/>
    <w:rsid w:val="000B4C68"/>
    <w:rsid w:val="000C0BF5"/>
    <w:rsid w:val="000C38B0"/>
    <w:rsid w:val="000C6372"/>
    <w:rsid w:val="000D2463"/>
    <w:rsid w:val="000D71F3"/>
    <w:rsid w:val="000E00C2"/>
    <w:rsid w:val="000E392D"/>
    <w:rsid w:val="000E64AE"/>
    <w:rsid w:val="000F4288"/>
    <w:rsid w:val="000F4619"/>
    <w:rsid w:val="000F6204"/>
    <w:rsid w:val="000F7165"/>
    <w:rsid w:val="00102379"/>
    <w:rsid w:val="001044ED"/>
    <w:rsid w:val="001065D6"/>
    <w:rsid w:val="00106E44"/>
    <w:rsid w:val="00113003"/>
    <w:rsid w:val="00113464"/>
    <w:rsid w:val="00117C6B"/>
    <w:rsid w:val="00121252"/>
    <w:rsid w:val="001221E7"/>
    <w:rsid w:val="00124609"/>
    <w:rsid w:val="001254CE"/>
    <w:rsid w:val="0012571D"/>
    <w:rsid w:val="001302DE"/>
    <w:rsid w:val="001307C8"/>
    <w:rsid w:val="00131366"/>
    <w:rsid w:val="00134CEA"/>
    <w:rsid w:val="00135E46"/>
    <w:rsid w:val="001374D6"/>
    <w:rsid w:val="001422CC"/>
    <w:rsid w:val="00144D53"/>
    <w:rsid w:val="001469F7"/>
    <w:rsid w:val="00150E90"/>
    <w:rsid w:val="00151C74"/>
    <w:rsid w:val="00153625"/>
    <w:rsid w:val="00154FDB"/>
    <w:rsid w:val="001617B6"/>
    <w:rsid w:val="00164DFC"/>
    <w:rsid w:val="00165476"/>
    <w:rsid w:val="00165E66"/>
    <w:rsid w:val="001668EE"/>
    <w:rsid w:val="00171C02"/>
    <w:rsid w:val="00174391"/>
    <w:rsid w:val="0017602D"/>
    <w:rsid w:val="0018135C"/>
    <w:rsid w:val="00181605"/>
    <w:rsid w:val="00182982"/>
    <w:rsid w:val="00182A77"/>
    <w:rsid w:val="00183A4A"/>
    <w:rsid w:val="00186551"/>
    <w:rsid w:val="001904F0"/>
    <w:rsid w:val="00192429"/>
    <w:rsid w:val="00194550"/>
    <w:rsid w:val="001977D9"/>
    <w:rsid w:val="001A6AE7"/>
    <w:rsid w:val="001B2AEC"/>
    <w:rsid w:val="001B7F32"/>
    <w:rsid w:val="001B7F93"/>
    <w:rsid w:val="001C4CB5"/>
    <w:rsid w:val="001C4E41"/>
    <w:rsid w:val="001C50E9"/>
    <w:rsid w:val="001C7BAE"/>
    <w:rsid w:val="001E31FA"/>
    <w:rsid w:val="001E64F6"/>
    <w:rsid w:val="001F41DC"/>
    <w:rsid w:val="001F5093"/>
    <w:rsid w:val="0020083E"/>
    <w:rsid w:val="002016F3"/>
    <w:rsid w:val="0020285A"/>
    <w:rsid w:val="00204CB9"/>
    <w:rsid w:val="00207FD7"/>
    <w:rsid w:val="00210743"/>
    <w:rsid w:val="00211043"/>
    <w:rsid w:val="00211C93"/>
    <w:rsid w:val="00215F7C"/>
    <w:rsid w:val="00217498"/>
    <w:rsid w:val="00222BEB"/>
    <w:rsid w:val="00225E60"/>
    <w:rsid w:val="0022794E"/>
    <w:rsid w:val="00231581"/>
    <w:rsid w:val="00231BD3"/>
    <w:rsid w:val="0023202C"/>
    <w:rsid w:val="00236203"/>
    <w:rsid w:val="002409FA"/>
    <w:rsid w:val="00245043"/>
    <w:rsid w:val="00251C58"/>
    <w:rsid w:val="0025394B"/>
    <w:rsid w:val="00257760"/>
    <w:rsid w:val="00264012"/>
    <w:rsid w:val="002752C5"/>
    <w:rsid w:val="00286F9A"/>
    <w:rsid w:val="0029258E"/>
    <w:rsid w:val="00292D36"/>
    <w:rsid w:val="00297281"/>
    <w:rsid w:val="002A1E64"/>
    <w:rsid w:val="002A4004"/>
    <w:rsid w:val="002A79B8"/>
    <w:rsid w:val="002C54E0"/>
    <w:rsid w:val="002D3F4E"/>
    <w:rsid w:val="002D44AF"/>
    <w:rsid w:val="002D711A"/>
    <w:rsid w:val="002D7336"/>
    <w:rsid w:val="002E3396"/>
    <w:rsid w:val="002F776D"/>
    <w:rsid w:val="00307745"/>
    <w:rsid w:val="0031022A"/>
    <w:rsid w:val="0031149C"/>
    <w:rsid w:val="00314957"/>
    <w:rsid w:val="00317019"/>
    <w:rsid w:val="00320870"/>
    <w:rsid w:val="00321AC8"/>
    <w:rsid w:val="003225E4"/>
    <w:rsid w:val="00324A56"/>
    <w:rsid w:val="00333031"/>
    <w:rsid w:val="00333C3B"/>
    <w:rsid w:val="00341A8D"/>
    <w:rsid w:val="00342751"/>
    <w:rsid w:val="0036064E"/>
    <w:rsid w:val="00361426"/>
    <w:rsid w:val="003616B1"/>
    <w:rsid w:val="00365EF4"/>
    <w:rsid w:val="0037355C"/>
    <w:rsid w:val="00381FA6"/>
    <w:rsid w:val="00382EE1"/>
    <w:rsid w:val="0038348D"/>
    <w:rsid w:val="00385422"/>
    <w:rsid w:val="0038771C"/>
    <w:rsid w:val="00392F7C"/>
    <w:rsid w:val="0039405B"/>
    <w:rsid w:val="00396318"/>
    <w:rsid w:val="00397E13"/>
    <w:rsid w:val="003A1C92"/>
    <w:rsid w:val="003A3C9A"/>
    <w:rsid w:val="003A541A"/>
    <w:rsid w:val="003A6923"/>
    <w:rsid w:val="003A6D3A"/>
    <w:rsid w:val="003B534D"/>
    <w:rsid w:val="003C1685"/>
    <w:rsid w:val="003C16AE"/>
    <w:rsid w:val="003C2C67"/>
    <w:rsid w:val="003C594C"/>
    <w:rsid w:val="003C5BA4"/>
    <w:rsid w:val="003D41B7"/>
    <w:rsid w:val="003D4EB8"/>
    <w:rsid w:val="003E3E26"/>
    <w:rsid w:val="003F1295"/>
    <w:rsid w:val="003F66A9"/>
    <w:rsid w:val="003F76FC"/>
    <w:rsid w:val="004002EB"/>
    <w:rsid w:val="00401F4B"/>
    <w:rsid w:val="00410057"/>
    <w:rsid w:val="004107C7"/>
    <w:rsid w:val="00410EF7"/>
    <w:rsid w:val="0041689E"/>
    <w:rsid w:val="00421F2E"/>
    <w:rsid w:val="004236C8"/>
    <w:rsid w:val="00426D7B"/>
    <w:rsid w:val="00426EAA"/>
    <w:rsid w:val="00427681"/>
    <w:rsid w:val="00427C33"/>
    <w:rsid w:val="00433DB7"/>
    <w:rsid w:val="004345B2"/>
    <w:rsid w:val="00437F04"/>
    <w:rsid w:val="00442870"/>
    <w:rsid w:val="00444F6D"/>
    <w:rsid w:val="00453750"/>
    <w:rsid w:val="004547AE"/>
    <w:rsid w:val="00456941"/>
    <w:rsid w:val="0046115B"/>
    <w:rsid w:val="00464F7E"/>
    <w:rsid w:val="0046697B"/>
    <w:rsid w:val="004702EA"/>
    <w:rsid w:val="00470CE4"/>
    <w:rsid w:val="0048020F"/>
    <w:rsid w:val="00482D02"/>
    <w:rsid w:val="00482D93"/>
    <w:rsid w:val="004957BD"/>
    <w:rsid w:val="00496CA1"/>
    <w:rsid w:val="004A454B"/>
    <w:rsid w:val="004A5D43"/>
    <w:rsid w:val="004A7519"/>
    <w:rsid w:val="004B0341"/>
    <w:rsid w:val="004B4D48"/>
    <w:rsid w:val="004C16D6"/>
    <w:rsid w:val="004C2C45"/>
    <w:rsid w:val="004C5520"/>
    <w:rsid w:val="004D2995"/>
    <w:rsid w:val="004D3518"/>
    <w:rsid w:val="004D62D6"/>
    <w:rsid w:val="004D71D7"/>
    <w:rsid w:val="004D7AB8"/>
    <w:rsid w:val="004E33AE"/>
    <w:rsid w:val="004F163E"/>
    <w:rsid w:val="004F5A13"/>
    <w:rsid w:val="004F6445"/>
    <w:rsid w:val="004F7442"/>
    <w:rsid w:val="0050502C"/>
    <w:rsid w:val="0051074C"/>
    <w:rsid w:val="005145F0"/>
    <w:rsid w:val="00523215"/>
    <w:rsid w:val="00526266"/>
    <w:rsid w:val="0053416C"/>
    <w:rsid w:val="0054008D"/>
    <w:rsid w:val="00541C2F"/>
    <w:rsid w:val="005479AB"/>
    <w:rsid w:val="00554086"/>
    <w:rsid w:val="00555C45"/>
    <w:rsid w:val="00563527"/>
    <w:rsid w:val="00565CF3"/>
    <w:rsid w:val="005754D7"/>
    <w:rsid w:val="0057703D"/>
    <w:rsid w:val="00577B9C"/>
    <w:rsid w:val="005806EF"/>
    <w:rsid w:val="00580C3B"/>
    <w:rsid w:val="0058124E"/>
    <w:rsid w:val="005828FE"/>
    <w:rsid w:val="005838E7"/>
    <w:rsid w:val="005875A3"/>
    <w:rsid w:val="00590E15"/>
    <w:rsid w:val="00592693"/>
    <w:rsid w:val="00592F4A"/>
    <w:rsid w:val="00593170"/>
    <w:rsid w:val="00594217"/>
    <w:rsid w:val="0059434A"/>
    <w:rsid w:val="005A0BF3"/>
    <w:rsid w:val="005A3416"/>
    <w:rsid w:val="005A6185"/>
    <w:rsid w:val="005A6D17"/>
    <w:rsid w:val="005A7447"/>
    <w:rsid w:val="005B2673"/>
    <w:rsid w:val="005B27FE"/>
    <w:rsid w:val="005C1BBC"/>
    <w:rsid w:val="005C3E6D"/>
    <w:rsid w:val="005C4E56"/>
    <w:rsid w:val="005C776A"/>
    <w:rsid w:val="005D01A0"/>
    <w:rsid w:val="005D17D8"/>
    <w:rsid w:val="005D1CD8"/>
    <w:rsid w:val="005D51F0"/>
    <w:rsid w:val="005E2522"/>
    <w:rsid w:val="005E2CB6"/>
    <w:rsid w:val="005E682E"/>
    <w:rsid w:val="005F61DF"/>
    <w:rsid w:val="005F681F"/>
    <w:rsid w:val="005F7E23"/>
    <w:rsid w:val="00601D14"/>
    <w:rsid w:val="006023F9"/>
    <w:rsid w:val="00603CC0"/>
    <w:rsid w:val="0060563D"/>
    <w:rsid w:val="006063C4"/>
    <w:rsid w:val="00606E85"/>
    <w:rsid w:val="00610559"/>
    <w:rsid w:val="006137ED"/>
    <w:rsid w:val="00616EDB"/>
    <w:rsid w:val="00623AEF"/>
    <w:rsid w:val="00626CB3"/>
    <w:rsid w:val="006332F6"/>
    <w:rsid w:val="006369B4"/>
    <w:rsid w:val="006375B6"/>
    <w:rsid w:val="0064366D"/>
    <w:rsid w:val="006519F6"/>
    <w:rsid w:val="00652625"/>
    <w:rsid w:val="006534B2"/>
    <w:rsid w:val="0065615D"/>
    <w:rsid w:val="0065633B"/>
    <w:rsid w:val="00657011"/>
    <w:rsid w:val="006650B5"/>
    <w:rsid w:val="006651B1"/>
    <w:rsid w:val="00665778"/>
    <w:rsid w:val="006751A7"/>
    <w:rsid w:val="006771FC"/>
    <w:rsid w:val="00681287"/>
    <w:rsid w:val="006830AF"/>
    <w:rsid w:val="00692126"/>
    <w:rsid w:val="0069679B"/>
    <w:rsid w:val="006972A0"/>
    <w:rsid w:val="006A2293"/>
    <w:rsid w:val="006A5B34"/>
    <w:rsid w:val="006A5F5B"/>
    <w:rsid w:val="006B2873"/>
    <w:rsid w:val="006C4449"/>
    <w:rsid w:val="006C77A9"/>
    <w:rsid w:val="006C78FB"/>
    <w:rsid w:val="006D0F80"/>
    <w:rsid w:val="006D3A6B"/>
    <w:rsid w:val="006D66F9"/>
    <w:rsid w:val="006D6AD8"/>
    <w:rsid w:val="006E4FF3"/>
    <w:rsid w:val="006E5424"/>
    <w:rsid w:val="006F6693"/>
    <w:rsid w:val="0070117D"/>
    <w:rsid w:val="00702AD6"/>
    <w:rsid w:val="00702B01"/>
    <w:rsid w:val="00703547"/>
    <w:rsid w:val="00705908"/>
    <w:rsid w:val="00707FE8"/>
    <w:rsid w:val="00714C5C"/>
    <w:rsid w:val="00716665"/>
    <w:rsid w:val="007219B5"/>
    <w:rsid w:val="00724962"/>
    <w:rsid w:val="00724A0F"/>
    <w:rsid w:val="00726548"/>
    <w:rsid w:val="00732162"/>
    <w:rsid w:val="00736732"/>
    <w:rsid w:val="00736DA2"/>
    <w:rsid w:val="00740302"/>
    <w:rsid w:val="00740DBA"/>
    <w:rsid w:val="0074281E"/>
    <w:rsid w:val="00743077"/>
    <w:rsid w:val="007433A3"/>
    <w:rsid w:val="00745174"/>
    <w:rsid w:val="00750CBE"/>
    <w:rsid w:val="007624C6"/>
    <w:rsid w:val="00766B5A"/>
    <w:rsid w:val="007672F6"/>
    <w:rsid w:val="00774329"/>
    <w:rsid w:val="00774443"/>
    <w:rsid w:val="007803B5"/>
    <w:rsid w:val="00781650"/>
    <w:rsid w:val="0078172A"/>
    <w:rsid w:val="007834F2"/>
    <w:rsid w:val="00791020"/>
    <w:rsid w:val="00794DDA"/>
    <w:rsid w:val="00797E5A"/>
    <w:rsid w:val="007A5F82"/>
    <w:rsid w:val="007A5FBA"/>
    <w:rsid w:val="007B0B1A"/>
    <w:rsid w:val="007B106A"/>
    <w:rsid w:val="007B2FD5"/>
    <w:rsid w:val="007B4712"/>
    <w:rsid w:val="007B4EDE"/>
    <w:rsid w:val="007B4EED"/>
    <w:rsid w:val="007B5A8A"/>
    <w:rsid w:val="007C10CE"/>
    <w:rsid w:val="007C2E12"/>
    <w:rsid w:val="007C2F24"/>
    <w:rsid w:val="007C783E"/>
    <w:rsid w:val="007D745E"/>
    <w:rsid w:val="007E4D13"/>
    <w:rsid w:val="007F1A4C"/>
    <w:rsid w:val="007F5800"/>
    <w:rsid w:val="007F6464"/>
    <w:rsid w:val="008022C3"/>
    <w:rsid w:val="008041E6"/>
    <w:rsid w:val="008065D2"/>
    <w:rsid w:val="008072F9"/>
    <w:rsid w:val="00815A67"/>
    <w:rsid w:val="0082194C"/>
    <w:rsid w:val="008220C4"/>
    <w:rsid w:val="008222FF"/>
    <w:rsid w:val="008241FF"/>
    <w:rsid w:val="0082474F"/>
    <w:rsid w:val="00832188"/>
    <w:rsid w:val="008331B0"/>
    <w:rsid w:val="008404ED"/>
    <w:rsid w:val="00841183"/>
    <w:rsid w:val="008411E9"/>
    <w:rsid w:val="0084200F"/>
    <w:rsid w:val="00843B2C"/>
    <w:rsid w:val="00863669"/>
    <w:rsid w:val="008667E9"/>
    <w:rsid w:val="00867E80"/>
    <w:rsid w:val="00870100"/>
    <w:rsid w:val="00875B94"/>
    <w:rsid w:val="008766AD"/>
    <w:rsid w:val="00877E3E"/>
    <w:rsid w:val="008823EA"/>
    <w:rsid w:val="00892695"/>
    <w:rsid w:val="008A4900"/>
    <w:rsid w:val="008B2A17"/>
    <w:rsid w:val="008B485A"/>
    <w:rsid w:val="008C63EE"/>
    <w:rsid w:val="008D0281"/>
    <w:rsid w:val="008D140F"/>
    <w:rsid w:val="008E3C4E"/>
    <w:rsid w:val="008F6A7E"/>
    <w:rsid w:val="008F6D45"/>
    <w:rsid w:val="009068AB"/>
    <w:rsid w:val="00912BC3"/>
    <w:rsid w:val="00917DEC"/>
    <w:rsid w:val="0092293D"/>
    <w:rsid w:val="009333E2"/>
    <w:rsid w:val="0093737B"/>
    <w:rsid w:val="00941C9F"/>
    <w:rsid w:val="00942CF8"/>
    <w:rsid w:val="009440B1"/>
    <w:rsid w:val="00945D38"/>
    <w:rsid w:val="00953D3F"/>
    <w:rsid w:val="00957221"/>
    <w:rsid w:val="00962BE9"/>
    <w:rsid w:val="00963C94"/>
    <w:rsid w:val="00975D99"/>
    <w:rsid w:val="00980F43"/>
    <w:rsid w:val="009832A3"/>
    <w:rsid w:val="009834C0"/>
    <w:rsid w:val="009850D9"/>
    <w:rsid w:val="00985A4E"/>
    <w:rsid w:val="00986322"/>
    <w:rsid w:val="00986AAC"/>
    <w:rsid w:val="0099093E"/>
    <w:rsid w:val="00997689"/>
    <w:rsid w:val="009A1DA2"/>
    <w:rsid w:val="009A3704"/>
    <w:rsid w:val="009A4739"/>
    <w:rsid w:val="009A674F"/>
    <w:rsid w:val="009B199C"/>
    <w:rsid w:val="009B1FA9"/>
    <w:rsid w:val="009B46D5"/>
    <w:rsid w:val="009B4B25"/>
    <w:rsid w:val="009B54C8"/>
    <w:rsid w:val="009B61F1"/>
    <w:rsid w:val="009B62E0"/>
    <w:rsid w:val="009B6E66"/>
    <w:rsid w:val="009C3D88"/>
    <w:rsid w:val="009C503D"/>
    <w:rsid w:val="009D2431"/>
    <w:rsid w:val="009D52AB"/>
    <w:rsid w:val="009D6D3F"/>
    <w:rsid w:val="009D6E1E"/>
    <w:rsid w:val="009E3858"/>
    <w:rsid w:val="009E70DD"/>
    <w:rsid w:val="009F0EFD"/>
    <w:rsid w:val="009F2ED9"/>
    <w:rsid w:val="009F3231"/>
    <w:rsid w:val="009F5A49"/>
    <w:rsid w:val="009F5C58"/>
    <w:rsid w:val="009F7579"/>
    <w:rsid w:val="00A00D7A"/>
    <w:rsid w:val="00A023A0"/>
    <w:rsid w:val="00A03F5F"/>
    <w:rsid w:val="00A112CA"/>
    <w:rsid w:val="00A11F51"/>
    <w:rsid w:val="00A1562B"/>
    <w:rsid w:val="00A16057"/>
    <w:rsid w:val="00A160B5"/>
    <w:rsid w:val="00A170F4"/>
    <w:rsid w:val="00A17EFA"/>
    <w:rsid w:val="00A24F89"/>
    <w:rsid w:val="00A2559E"/>
    <w:rsid w:val="00A25FD9"/>
    <w:rsid w:val="00A40058"/>
    <w:rsid w:val="00A41E4D"/>
    <w:rsid w:val="00A443E3"/>
    <w:rsid w:val="00A46BA8"/>
    <w:rsid w:val="00A47634"/>
    <w:rsid w:val="00A516DE"/>
    <w:rsid w:val="00A612FE"/>
    <w:rsid w:val="00A64C7F"/>
    <w:rsid w:val="00A670F8"/>
    <w:rsid w:val="00A67AED"/>
    <w:rsid w:val="00A70571"/>
    <w:rsid w:val="00A70B38"/>
    <w:rsid w:val="00A71A56"/>
    <w:rsid w:val="00A736BE"/>
    <w:rsid w:val="00A87565"/>
    <w:rsid w:val="00A9420B"/>
    <w:rsid w:val="00A94586"/>
    <w:rsid w:val="00AA26B8"/>
    <w:rsid w:val="00AA4D53"/>
    <w:rsid w:val="00AB034E"/>
    <w:rsid w:val="00AB1E0A"/>
    <w:rsid w:val="00AB3FE2"/>
    <w:rsid w:val="00AC11CF"/>
    <w:rsid w:val="00AC4B9D"/>
    <w:rsid w:val="00AC6EE2"/>
    <w:rsid w:val="00AC7A53"/>
    <w:rsid w:val="00AD3322"/>
    <w:rsid w:val="00AD492F"/>
    <w:rsid w:val="00AD4B24"/>
    <w:rsid w:val="00AD7E4E"/>
    <w:rsid w:val="00AE5536"/>
    <w:rsid w:val="00AF2123"/>
    <w:rsid w:val="00AF3D47"/>
    <w:rsid w:val="00AF48A0"/>
    <w:rsid w:val="00AF4D52"/>
    <w:rsid w:val="00AF4D58"/>
    <w:rsid w:val="00AF6666"/>
    <w:rsid w:val="00B004B7"/>
    <w:rsid w:val="00B0586E"/>
    <w:rsid w:val="00B10154"/>
    <w:rsid w:val="00B169B0"/>
    <w:rsid w:val="00B271E9"/>
    <w:rsid w:val="00B30669"/>
    <w:rsid w:val="00B34B4D"/>
    <w:rsid w:val="00B42A73"/>
    <w:rsid w:val="00B434C6"/>
    <w:rsid w:val="00B43AA5"/>
    <w:rsid w:val="00B50890"/>
    <w:rsid w:val="00B6289A"/>
    <w:rsid w:val="00B6366E"/>
    <w:rsid w:val="00B63D6D"/>
    <w:rsid w:val="00B7038A"/>
    <w:rsid w:val="00B805FF"/>
    <w:rsid w:val="00B80E71"/>
    <w:rsid w:val="00B81045"/>
    <w:rsid w:val="00B81B44"/>
    <w:rsid w:val="00B8249A"/>
    <w:rsid w:val="00B8442A"/>
    <w:rsid w:val="00B84E8A"/>
    <w:rsid w:val="00B9053B"/>
    <w:rsid w:val="00B90AF2"/>
    <w:rsid w:val="00B92CC8"/>
    <w:rsid w:val="00B93C44"/>
    <w:rsid w:val="00B951AA"/>
    <w:rsid w:val="00B95A5C"/>
    <w:rsid w:val="00B96472"/>
    <w:rsid w:val="00BA2550"/>
    <w:rsid w:val="00BA3EA3"/>
    <w:rsid w:val="00BA55B1"/>
    <w:rsid w:val="00BA6BB4"/>
    <w:rsid w:val="00BA7862"/>
    <w:rsid w:val="00BB00FB"/>
    <w:rsid w:val="00BB61A3"/>
    <w:rsid w:val="00BB7905"/>
    <w:rsid w:val="00BC3386"/>
    <w:rsid w:val="00BC3422"/>
    <w:rsid w:val="00BC4ABE"/>
    <w:rsid w:val="00BC604D"/>
    <w:rsid w:val="00BC6691"/>
    <w:rsid w:val="00BC74D1"/>
    <w:rsid w:val="00BD0DB2"/>
    <w:rsid w:val="00BD1239"/>
    <w:rsid w:val="00BD3460"/>
    <w:rsid w:val="00BD513A"/>
    <w:rsid w:val="00BF04ED"/>
    <w:rsid w:val="00BF1D48"/>
    <w:rsid w:val="00BF5F8C"/>
    <w:rsid w:val="00BF6FF6"/>
    <w:rsid w:val="00C012C6"/>
    <w:rsid w:val="00C015B9"/>
    <w:rsid w:val="00C022F9"/>
    <w:rsid w:val="00C032EA"/>
    <w:rsid w:val="00C04715"/>
    <w:rsid w:val="00C06EB5"/>
    <w:rsid w:val="00C1145F"/>
    <w:rsid w:val="00C1357F"/>
    <w:rsid w:val="00C14B64"/>
    <w:rsid w:val="00C1530A"/>
    <w:rsid w:val="00C23DFE"/>
    <w:rsid w:val="00C25213"/>
    <w:rsid w:val="00C278B9"/>
    <w:rsid w:val="00C27CAE"/>
    <w:rsid w:val="00C31C0A"/>
    <w:rsid w:val="00C42517"/>
    <w:rsid w:val="00C472F7"/>
    <w:rsid w:val="00C53E83"/>
    <w:rsid w:val="00C609D0"/>
    <w:rsid w:val="00C637E1"/>
    <w:rsid w:val="00C66D8B"/>
    <w:rsid w:val="00C70D50"/>
    <w:rsid w:val="00C76E47"/>
    <w:rsid w:val="00C803FC"/>
    <w:rsid w:val="00C8680A"/>
    <w:rsid w:val="00C87968"/>
    <w:rsid w:val="00C907D7"/>
    <w:rsid w:val="00C92338"/>
    <w:rsid w:val="00C928E3"/>
    <w:rsid w:val="00C92B78"/>
    <w:rsid w:val="00CA1DC8"/>
    <w:rsid w:val="00CA3F50"/>
    <w:rsid w:val="00CA40C2"/>
    <w:rsid w:val="00CA7C3A"/>
    <w:rsid w:val="00CB262A"/>
    <w:rsid w:val="00CB4622"/>
    <w:rsid w:val="00CB4D55"/>
    <w:rsid w:val="00CC023A"/>
    <w:rsid w:val="00CC0EE6"/>
    <w:rsid w:val="00CC2DB2"/>
    <w:rsid w:val="00CC4176"/>
    <w:rsid w:val="00CC7DE6"/>
    <w:rsid w:val="00CD0307"/>
    <w:rsid w:val="00CD1647"/>
    <w:rsid w:val="00CD37BF"/>
    <w:rsid w:val="00CD3D1B"/>
    <w:rsid w:val="00CD68F2"/>
    <w:rsid w:val="00CE1479"/>
    <w:rsid w:val="00CE4487"/>
    <w:rsid w:val="00CE5DBD"/>
    <w:rsid w:val="00CF526D"/>
    <w:rsid w:val="00CF7DCA"/>
    <w:rsid w:val="00D016FB"/>
    <w:rsid w:val="00D0364F"/>
    <w:rsid w:val="00D07776"/>
    <w:rsid w:val="00D118A8"/>
    <w:rsid w:val="00D16233"/>
    <w:rsid w:val="00D211E9"/>
    <w:rsid w:val="00D21293"/>
    <w:rsid w:val="00D2312F"/>
    <w:rsid w:val="00D269C1"/>
    <w:rsid w:val="00D27451"/>
    <w:rsid w:val="00D30E73"/>
    <w:rsid w:val="00D366F3"/>
    <w:rsid w:val="00D4263F"/>
    <w:rsid w:val="00D44953"/>
    <w:rsid w:val="00D45110"/>
    <w:rsid w:val="00D45E19"/>
    <w:rsid w:val="00D51F91"/>
    <w:rsid w:val="00D52A6A"/>
    <w:rsid w:val="00D53F7C"/>
    <w:rsid w:val="00D542F3"/>
    <w:rsid w:val="00D5644B"/>
    <w:rsid w:val="00D56E25"/>
    <w:rsid w:val="00D617F5"/>
    <w:rsid w:val="00D652D2"/>
    <w:rsid w:val="00D656A3"/>
    <w:rsid w:val="00D67E5C"/>
    <w:rsid w:val="00D718D7"/>
    <w:rsid w:val="00D74A82"/>
    <w:rsid w:val="00D74C21"/>
    <w:rsid w:val="00D814B7"/>
    <w:rsid w:val="00D84C36"/>
    <w:rsid w:val="00D90688"/>
    <w:rsid w:val="00D964CD"/>
    <w:rsid w:val="00D96CE1"/>
    <w:rsid w:val="00DA3AAD"/>
    <w:rsid w:val="00DA4660"/>
    <w:rsid w:val="00DA7832"/>
    <w:rsid w:val="00DB1955"/>
    <w:rsid w:val="00DB2B3F"/>
    <w:rsid w:val="00DB312B"/>
    <w:rsid w:val="00DC13B5"/>
    <w:rsid w:val="00DC5654"/>
    <w:rsid w:val="00DC658F"/>
    <w:rsid w:val="00DD5EB6"/>
    <w:rsid w:val="00DD604F"/>
    <w:rsid w:val="00DE1B5C"/>
    <w:rsid w:val="00DE4307"/>
    <w:rsid w:val="00DE554A"/>
    <w:rsid w:val="00DE60CC"/>
    <w:rsid w:val="00DF01E2"/>
    <w:rsid w:val="00DF0540"/>
    <w:rsid w:val="00DF142D"/>
    <w:rsid w:val="00DF5B90"/>
    <w:rsid w:val="00E064D2"/>
    <w:rsid w:val="00E06E71"/>
    <w:rsid w:val="00E122DB"/>
    <w:rsid w:val="00E1551F"/>
    <w:rsid w:val="00E178B2"/>
    <w:rsid w:val="00E20142"/>
    <w:rsid w:val="00E26B32"/>
    <w:rsid w:val="00E30CC6"/>
    <w:rsid w:val="00E30E0A"/>
    <w:rsid w:val="00E3232B"/>
    <w:rsid w:val="00E33927"/>
    <w:rsid w:val="00E407B6"/>
    <w:rsid w:val="00E40EFB"/>
    <w:rsid w:val="00E41EF1"/>
    <w:rsid w:val="00E42942"/>
    <w:rsid w:val="00E43885"/>
    <w:rsid w:val="00E468A6"/>
    <w:rsid w:val="00E52543"/>
    <w:rsid w:val="00E67BB5"/>
    <w:rsid w:val="00E71BDF"/>
    <w:rsid w:val="00E7266D"/>
    <w:rsid w:val="00E7377C"/>
    <w:rsid w:val="00E77CCC"/>
    <w:rsid w:val="00E83CA7"/>
    <w:rsid w:val="00E85D31"/>
    <w:rsid w:val="00E90D3B"/>
    <w:rsid w:val="00E93206"/>
    <w:rsid w:val="00E93E84"/>
    <w:rsid w:val="00EA03A3"/>
    <w:rsid w:val="00EA3FAC"/>
    <w:rsid w:val="00EA4D29"/>
    <w:rsid w:val="00EA5445"/>
    <w:rsid w:val="00EA769E"/>
    <w:rsid w:val="00EB16D3"/>
    <w:rsid w:val="00EB2C9D"/>
    <w:rsid w:val="00EB34F7"/>
    <w:rsid w:val="00EB75E7"/>
    <w:rsid w:val="00EB7896"/>
    <w:rsid w:val="00EC05E3"/>
    <w:rsid w:val="00EC171D"/>
    <w:rsid w:val="00EC542E"/>
    <w:rsid w:val="00ED2B1B"/>
    <w:rsid w:val="00ED487E"/>
    <w:rsid w:val="00EE36CE"/>
    <w:rsid w:val="00EE7A0D"/>
    <w:rsid w:val="00EF4615"/>
    <w:rsid w:val="00EF6515"/>
    <w:rsid w:val="00F0124C"/>
    <w:rsid w:val="00F06D73"/>
    <w:rsid w:val="00F110C9"/>
    <w:rsid w:val="00F1273A"/>
    <w:rsid w:val="00F15B57"/>
    <w:rsid w:val="00F17CE1"/>
    <w:rsid w:val="00F2115C"/>
    <w:rsid w:val="00F22ABA"/>
    <w:rsid w:val="00F23366"/>
    <w:rsid w:val="00F23BF7"/>
    <w:rsid w:val="00F23D0C"/>
    <w:rsid w:val="00F267F4"/>
    <w:rsid w:val="00F34EA3"/>
    <w:rsid w:val="00F36B12"/>
    <w:rsid w:val="00F40793"/>
    <w:rsid w:val="00F43652"/>
    <w:rsid w:val="00F44BCF"/>
    <w:rsid w:val="00F467F2"/>
    <w:rsid w:val="00F5394E"/>
    <w:rsid w:val="00F55AF4"/>
    <w:rsid w:val="00F60D73"/>
    <w:rsid w:val="00F60F9F"/>
    <w:rsid w:val="00F60FD2"/>
    <w:rsid w:val="00F6222E"/>
    <w:rsid w:val="00F64F08"/>
    <w:rsid w:val="00F66706"/>
    <w:rsid w:val="00F66960"/>
    <w:rsid w:val="00F67E55"/>
    <w:rsid w:val="00F7205D"/>
    <w:rsid w:val="00F72A12"/>
    <w:rsid w:val="00F734F5"/>
    <w:rsid w:val="00F75976"/>
    <w:rsid w:val="00F84564"/>
    <w:rsid w:val="00F852ED"/>
    <w:rsid w:val="00F8633F"/>
    <w:rsid w:val="00F86A4F"/>
    <w:rsid w:val="00F966B1"/>
    <w:rsid w:val="00F96A4C"/>
    <w:rsid w:val="00F97D48"/>
    <w:rsid w:val="00FA0311"/>
    <w:rsid w:val="00FA1680"/>
    <w:rsid w:val="00FB1EC9"/>
    <w:rsid w:val="00FC194B"/>
    <w:rsid w:val="00FC42E5"/>
    <w:rsid w:val="00FC75AA"/>
    <w:rsid w:val="00FD2DF1"/>
    <w:rsid w:val="00FD36E4"/>
    <w:rsid w:val="00FD54F6"/>
    <w:rsid w:val="00FD640F"/>
    <w:rsid w:val="00FD6B4C"/>
    <w:rsid w:val="00FE28F6"/>
    <w:rsid w:val="00FE782F"/>
    <w:rsid w:val="00FE79ED"/>
    <w:rsid w:val="00FF051E"/>
    <w:rsid w:val="00FF4E9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B330D"/>
  <w15:docId w15:val="{CD0E32E7-D81B-45D4-B957-51EFB2FA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semiHidden="1" w:uiPriority="39"/>
    <w:lsdException w:name="toc 9" w:semiHidden="1" w:uiPriority="39"/>
    <w:lsdException w:name="Normal Indent" w:uiPriority="4" w:qFormat="1"/>
    <w:lsdException w:name="footnote text" w:semiHidden="1"/>
    <w:lsdException w:name="annotation text" w:semiHidden="1"/>
    <w:lsdException w:name="footer" w:uiPriority="24"/>
    <w:lsdException w:name="caption"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49"/>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uiPriority="4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45"/>
    <w:pPr>
      <w:spacing w:before="160" w:after="100"/>
    </w:pPr>
    <w:rPr>
      <w:spacing w:val="2"/>
      <w:sz w:val="18"/>
    </w:rPr>
  </w:style>
  <w:style w:type="paragraph" w:styleId="Heading1">
    <w:name w:val="heading 1"/>
    <w:next w:val="Normal"/>
    <w:link w:val="Heading1Char"/>
    <w:uiPriority w:val="99"/>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uiPriority w:val="99"/>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B93C44"/>
    <w:pPr>
      <w:numPr>
        <w:numId w:val="8"/>
      </w:numPr>
      <w:spacing w:before="160" w:after="0" w:line="240" w:lineRule="auto"/>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16"/>
      </w:numPr>
    </w:pPr>
  </w:style>
  <w:style w:type="character" w:customStyle="1" w:styleId="Heading3Char">
    <w:name w:val="Heading 3 Char"/>
    <w:basedOn w:val="DefaultParagraphFont"/>
    <w:link w:val="Heading3"/>
    <w:semiHidden/>
    <w:rsid w:val="001302DE"/>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16"/>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FB1EC9"/>
    <w:pPr>
      <w:spacing w:line="252" w:lineRule="auto"/>
      <w:ind w:left="288"/>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16"/>
      </w:numPr>
      <w:spacing w:before="100"/>
      <w:contextualSpacing/>
    </w:pPr>
  </w:style>
  <w:style w:type="paragraph" w:customStyle="1" w:styleId="Listnumindent">
    <w:name w:val="List num indent"/>
    <w:basedOn w:val="Normal"/>
    <w:uiPriority w:val="7"/>
    <w:qFormat/>
    <w:rsid w:val="00EC171D"/>
    <w:pPr>
      <w:numPr>
        <w:ilvl w:val="6"/>
        <w:numId w:val="16"/>
      </w:numPr>
      <w:spacing w:before="100"/>
    </w:pPr>
  </w:style>
  <w:style w:type="paragraph" w:customStyle="1" w:styleId="Listnum">
    <w:name w:val="List num"/>
    <w:basedOn w:val="Normal"/>
    <w:uiPriority w:val="1"/>
    <w:qFormat/>
    <w:rsid w:val="00FE782F"/>
    <w:pPr>
      <w:numPr>
        <w:numId w:val="4"/>
      </w:numPr>
      <w:contextualSpacing/>
    </w:pPr>
  </w:style>
  <w:style w:type="paragraph" w:customStyle="1" w:styleId="Listnum2">
    <w:name w:val="List num 2"/>
    <w:basedOn w:val="Normal"/>
    <w:uiPriority w:val="1"/>
    <w:qFormat/>
    <w:rsid w:val="00117C6B"/>
    <w:pPr>
      <w:numPr>
        <w:ilvl w:val="1"/>
        <w:numId w:val="16"/>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18"/>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99093E"/>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22"/>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FA1680"/>
    <w:pPr>
      <w:numPr>
        <w:ilvl w:val="2"/>
        <w:numId w:val="16"/>
      </w:numPr>
      <w:spacing w:line="264" w:lineRule="auto"/>
    </w:pPr>
    <w:rPr>
      <w:rFonts w:eastAsiaTheme="minorHAnsi"/>
      <w:color w:val="4D4D4D"/>
      <w:spacing w:val="2"/>
      <w:sz w:val="18"/>
      <w:szCs w:val="21"/>
      <w:lang w:eastAsia="en-US"/>
    </w:rPr>
  </w:style>
  <w:style w:type="paragraph" w:customStyle="1" w:styleId="Listnum2grey">
    <w:name w:val="List num 2 grey"/>
    <w:uiPriority w:val="4"/>
    <w:qFormat/>
    <w:rsid w:val="00FA1680"/>
    <w:pPr>
      <w:numPr>
        <w:ilvl w:val="3"/>
        <w:numId w:val="16"/>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22"/>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character" w:styleId="CommentReference">
    <w:name w:val="annotation reference"/>
    <w:basedOn w:val="DefaultParagraphFont"/>
    <w:uiPriority w:val="99"/>
    <w:semiHidden/>
    <w:rsid w:val="00A24F89"/>
    <w:rPr>
      <w:sz w:val="16"/>
      <w:szCs w:val="16"/>
    </w:rPr>
  </w:style>
  <w:style w:type="paragraph" w:styleId="CommentText">
    <w:name w:val="annotation text"/>
    <w:basedOn w:val="Normal"/>
    <w:link w:val="CommentTextChar"/>
    <w:uiPriority w:val="99"/>
    <w:semiHidden/>
    <w:rsid w:val="00A24F89"/>
    <w:pPr>
      <w:spacing w:line="240" w:lineRule="auto"/>
    </w:pPr>
    <w:rPr>
      <w:sz w:val="20"/>
    </w:rPr>
  </w:style>
  <w:style w:type="character" w:customStyle="1" w:styleId="CommentTextChar">
    <w:name w:val="Comment Text Char"/>
    <w:basedOn w:val="DefaultParagraphFont"/>
    <w:link w:val="CommentText"/>
    <w:uiPriority w:val="99"/>
    <w:semiHidden/>
    <w:rsid w:val="00A24F89"/>
    <w:rPr>
      <w:spacing w:val="2"/>
    </w:rPr>
  </w:style>
  <w:style w:type="paragraph" w:styleId="CommentSubject">
    <w:name w:val="annotation subject"/>
    <w:basedOn w:val="CommentText"/>
    <w:next w:val="CommentText"/>
    <w:link w:val="CommentSubjectChar"/>
    <w:uiPriority w:val="99"/>
    <w:semiHidden/>
    <w:rsid w:val="00A24F89"/>
    <w:rPr>
      <w:b/>
      <w:bCs/>
    </w:rPr>
  </w:style>
  <w:style w:type="character" w:customStyle="1" w:styleId="CommentSubjectChar">
    <w:name w:val="Comment Subject Char"/>
    <w:basedOn w:val="CommentTextChar"/>
    <w:link w:val="CommentSubject"/>
    <w:uiPriority w:val="99"/>
    <w:semiHidden/>
    <w:rsid w:val="00A24F89"/>
    <w:rPr>
      <w:b/>
      <w:bCs/>
      <w:spacing w:val="2"/>
    </w:rPr>
  </w:style>
  <w:style w:type="paragraph" w:styleId="Revision">
    <w:name w:val="Revision"/>
    <w:hidden/>
    <w:uiPriority w:val="99"/>
    <w:semiHidden/>
    <w:rsid w:val="00211C93"/>
    <w:pPr>
      <w:spacing w:after="0" w:line="240" w:lineRule="auto"/>
    </w:pPr>
    <w:rPr>
      <w:spacing w:val="2"/>
      <w:sz w:val="18"/>
    </w:rPr>
  </w:style>
  <w:style w:type="paragraph" w:styleId="ListParagraph">
    <w:name w:val="List Paragraph"/>
    <w:basedOn w:val="Normal"/>
    <w:uiPriority w:val="34"/>
    <w:semiHidden/>
    <w:qFormat/>
    <w:rsid w:val="007624C6"/>
    <w:pPr>
      <w:ind w:left="720"/>
      <w:contextualSpacing/>
    </w:pPr>
  </w:style>
  <w:style w:type="character" w:styleId="UnresolvedMention">
    <w:name w:val="Unresolved Mention"/>
    <w:basedOn w:val="DefaultParagraphFont"/>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5CFB205-B71F-40C9-8A3B-D724BA8A14EC}">
  <ds:schemaRefs>
    <ds:schemaRef ds:uri="http://schemas.openxmlformats.org/officeDocument/2006/bibliography"/>
  </ds:schemaRefs>
</ds:datastoreItem>
</file>

<file path=customXml/itemProps2.xml><?xml version="1.0" encoding="utf-8"?>
<ds:datastoreItem xmlns:ds="http://schemas.openxmlformats.org/officeDocument/2006/customXml" ds:itemID="{60DE983D-E796-4842-9BFE-2D94A8E50B1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70</TotalTime>
  <Pages>5</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Raditya Santoso (DTF)</dc:creator>
  <cp:lastModifiedBy>Ryan Arthur (DTF)</cp:lastModifiedBy>
  <cp:revision>21</cp:revision>
  <cp:lastPrinted>2024-05-21T06:59:00Z</cp:lastPrinted>
  <dcterms:created xsi:type="dcterms:W3CDTF">2024-05-21T22:43:00Z</dcterms:created>
  <dcterms:modified xsi:type="dcterms:W3CDTF">2024-05-28T03:08:00Z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554b25c6-201a-4259-ba48-643a70c026bd</vt:lpwstr>
  </property>
  <property fmtid="{D5CDD505-2E9C-101B-9397-08002B2CF9AE}" pid="3" name="PSPFClassification">
    <vt:lpwstr>Do Not Mark</vt:lpwstr>
  </property>
  <property fmtid="{D5CDD505-2E9C-101B-9397-08002B2CF9AE}" pid="4" name="ClassificationContentMarkingFooterShapeIds">
    <vt:lpwstr>1,2,5</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2024-03-11T19:25:15Z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2361507b-48ae-49a9-b878-656e46455835</vt:lpwstr>
  </property>
  <property fmtid="{D5CDD505-2E9C-101B-9397-08002B2CF9AE}" pid="13" name="MSIP_Label_7158ebbd-6c5e-441f-bfc9-4eb8c11e3978_ContentBits">
    <vt:lpwstr>2</vt:lpwstr>
  </property>
</Properties>
</file>