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F57C" w14:textId="65D38504" w:rsidR="005817DA" w:rsidRPr="00871186" w:rsidRDefault="00871186" w:rsidP="00871186">
      <w:pPr>
        <w:pStyle w:val="ReportDate"/>
      </w:pPr>
      <w:r>
        <w:t>October 202</w:t>
      </w:r>
      <w:r w:rsidR="003F08A8">
        <w:t>3</w:t>
      </w:r>
    </w:p>
    <w:p w14:paraId="37203E95" w14:textId="6FD276E7" w:rsidR="005817DA" w:rsidRPr="007F7A76" w:rsidRDefault="005817DA" w:rsidP="008F0369">
      <w:pPr>
        <w:pStyle w:val="CM"/>
      </w:pPr>
      <w:r w:rsidRPr="007F7A76">
        <w:t>CM</w:t>
      </w:r>
      <w:r>
        <w:t xml:space="preserve"> </w:t>
      </w:r>
      <w:r w:rsidRPr="004027B5">
        <w:t>ref</w:t>
      </w:r>
      <w:r w:rsidRPr="007F7A76">
        <w:t xml:space="preserve">: </w:t>
      </w:r>
      <w:r w:rsidR="009C4F06" w:rsidRPr="009C4F06">
        <w:t>D2</w:t>
      </w:r>
      <w:r w:rsidR="00C02F95">
        <w:t>3</w:t>
      </w:r>
      <w:r w:rsidR="009C4F06" w:rsidRPr="009C4F06">
        <w:t>/</w:t>
      </w:r>
      <w:r w:rsidR="00C02F95">
        <w:t>172655</w:t>
      </w:r>
    </w:p>
    <w:p w14:paraId="6B0DBE3B" w14:textId="69909044" w:rsidR="005817DA" w:rsidRPr="00545540" w:rsidRDefault="00545540" w:rsidP="00545540">
      <w:pPr>
        <w:pStyle w:val="Title"/>
        <w:spacing w:line="240" w:lineRule="auto"/>
        <w:ind w:right="2906"/>
        <w:rPr>
          <w:sz w:val="48"/>
          <w:szCs w:val="48"/>
        </w:rPr>
      </w:pPr>
      <w:r w:rsidRPr="00545540">
        <w:rPr>
          <w:sz w:val="48"/>
          <w:szCs w:val="48"/>
        </w:rPr>
        <w:t>Corporate planning and performance reporting requirements</w:t>
      </w:r>
    </w:p>
    <w:p w14:paraId="0947D10D" w14:textId="6FC190DC" w:rsidR="00B2671F" w:rsidRPr="007F16BF" w:rsidRDefault="00545540" w:rsidP="008730DA">
      <w:pPr>
        <w:pStyle w:val="Subtitle"/>
      </w:pPr>
      <w:bookmarkStart w:id="0" w:name="_Hlk49853564"/>
      <w:r w:rsidRPr="00545540">
        <w:t>Government Business Enterprises</w:t>
      </w:r>
    </w:p>
    <w:p w14:paraId="232B9DB1" w14:textId="77777777" w:rsidR="005817DA" w:rsidRPr="00B2671F" w:rsidRDefault="005817DA" w:rsidP="004F7954">
      <w:pPr>
        <w:pStyle w:val="CoverSpacer"/>
      </w:pPr>
    </w:p>
    <w:bookmarkEnd w:id="0"/>
    <w:p w14:paraId="5B4D4B18" w14:textId="77777777" w:rsidR="005817DA" w:rsidRDefault="005817DA" w:rsidP="004F7954">
      <w:pPr>
        <w:pStyle w:val="CoverSpacer"/>
        <w:sectPr w:rsidR="005817DA" w:rsidSect="00B2671F">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627" w:right="1440" w:bottom="1440" w:left="1440" w:header="706" w:footer="461" w:gutter="0"/>
          <w:pgNumType w:fmt="lowerRoman" w:start="1"/>
          <w:cols w:space="708"/>
          <w:vAlign w:val="bottom"/>
          <w:docGrid w:linePitch="360"/>
        </w:sectPr>
      </w:pPr>
    </w:p>
    <w:p w14:paraId="3F46AF9C" w14:textId="77777777" w:rsidR="00750CBE" w:rsidRDefault="00750CBE" w:rsidP="008D0281">
      <w:pPr>
        <w:pStyle w:val="NormalTight"/>
      </w:pPr>
    </w:p>
    <w:p w14:paraId="15CBCFFD" w14:textId="77777777" w:rsidR="00750CBE" w:rsidRPr="00C92338" w:rsidRDefault="00750CBE" w:rsidP="00EF2115">
      <w:pPr>
        <w:pStyle w:val="Insidecoverspacer"/>
        <w:spacing w:before="3000"/>
      </w:pPr>
    </w:p>
    <w:p w14:paraId="46F6C7FE" w14:textId="77777777" w:rsidR="00750CBE" w:rsidRPr="00C92338" w:rsidRDefault="00750CBE" w:rsidP="008D0281">
      <w:pPr>
        <w:pStyle w:val="NormalTight"/>
      </w:pPr>
      <w:r w:rsidRPr="00C92338">
        <w:t>The Secretary</w:t>
      </w:r>
    </w:p>
    <w:p w14:paraId="04634620" w14:textId="77777777" w:rsidR="00750CBE" w:rsidRPr="00C92338" w:rsidRDefault="00750CBE" w:rsidP="008D0281">
      <w:pPr>
        <w:pStyle w:val="NormalTight"/>
      </w:pPr>
      <w:r w:rsidRPr="00C92338">
        <w:t>Department of Treasury and Finance</w:t>
      </w:r>
    </w:p>
    <w:p w14:paraId="6F85EDD9" w14:textId="77777777" w:rsidR="00750CBE" w:rsidRPr="00C92338" w:rsidRDefault="00750CBE" w:rsidP="008D0281">
      <w:pPr>
        <w:pStyle w:val="NormalTight"/>
      </w:pPr>
      <w:r w:rsidRPr="00C92338">
        <w:t>1 Treasury Place</w:t>
      </w:r>
    </w:p>
    <w:p w14:paraId="00028ED4" w14:textId="77777777" w:rsidR="00750CBE" w:rsidRPr="00C92338" w:rsidRDefault="00750CBE" w:rsidP="008D0281">
      <w:pPr>
        <w:pStyle w:val="NormalTight"/>
      </w:pPr>
      <w:r w:rsidRPr="00C92338">
        <w:t>Melbourne Victoria 3002</w:t>
      </w:r>
    </w:p>
    <w:p w14:paraId="7D2E0B31" w14:textId="77777777" w:rsidR="00750CBE" w:rsidRPr="00C92338" w:rsidRDefault="00750CBE" w:rsidP="008D0281">
      <w:pPr>
        <w:pStyle w:val="NormalTight"/>
      </w:pPr>
      <w:r w:rsidRPr="00C92338">
        <w:t>Australia</w:t>
      </w:r>
    </w:p>
    <w:p w14:paraId="6A704F23" w14:textId="77777777" w:rsidR="00750CBE" w:rsidRPr="00C92338" w:rsidRDefault="00750CBE" w:rsidP="008D0281">
      <w:pPr>
        <w:pStyle w:val="NormalTight"/>
      </w:pPr>
      <w:r w:rsidRPr="00C92338">
        <w:t>Telephone: +61 3 9651 5111</w:t>
      </w:r>
    </w:p>
    <w:p w14:paraId="7198CE8C" w14:textId="77777777" w:rsidR="00750CBE" w:rsidRPr="00C92338" w:rsidRDefault="00750CBE" w:rsidP="008D0281">
      <w:pPr>
        <w:pStyle w:val="NormalTight"/>
      </w:pPr>
      <w:r w:rsidRPr="00C92338">
        <w:t>dtf.vic.gov.au</w:t>
      </w:r>
    </w:p>
    <w:p w14:paraId="0E38D317" w14:textId="77777777" w:rsidR="00750CBE" w:rsidRPr="00C92338" w:rsidRDefault="00750CBE" w:rsidP="008D0281">
      <w:pPr>
        <w:pStyle w:val="NormalTight"/>
      </w:pPr>
    </w:p>
    <w:p w14:paraId="3506C125" w14:textId="77777777" w:rsidR="00750CBE" w:rsidRPr="00C92338" w:rsidRDefault="00750CBE" w:rsidP="008D0281">
      <w:pPr>
        <w:pStyle w:val="NormalTight"/>
      </w:pPr>
      <w:r w:rsidRPr="00C92338">
        <w:t>Authorised by the Victorian Government</w:t>
      </w:r>
    </w:p>
    <w:p w14:paraId="5F2C6D39" w14:textId="77777777" w:rsidR="00750CBE" w:rsidRPr="00C92338" w:rsidRDefault="00750CBE" w:rsidP="008D0281">
      <w:pPr>
        <w:pStyle w:val="NormalTight"/>
      </w:pPr>
      <w:r w:rsidRPr="00C92338">
        <w:t>1 Treasury Place, Melbourne, 3002</w:t>
      </w:r>
    </w:p>
    <w:p w14:paraId="22893CDE" w14:textId="77777777" w:rsidR="00750CBE" w:rsidRPr="00C92338" w:rsidRDefault="00750CBE" w:rsidP="008D0281">
      <w:pPr>
        <w:pStyle w:val="NormalTight"/>
      </w:pPr>
    </w:p>
    <w:p w14:paraId="05F0E0D3" w14:textId="4A8BFF2C" w:rsidR="001F0C6B" w:rsidRDefault="001E48F9" w:rsidP="004F7954">
      <w:r>
        <w:t xml:space="preserve">© State of Victoria </w:t>
      </w:r>
      <w:r w:rsidR="00545540">
        <w:t>2020</w:t>
      </w:r>
    </w:p>
    <w:p w14:paraId="04EDBFC5" w14:textId="77777777" w:rsidR="00750CBE" w:rsidRPr="00C92338" w:rsidRDefault="00750CBE" w:rsidP="004F7954">
      <w:r w:rsidRPr="00C92338">
        <w:rPr>
          <w:noProof/>
        </w:rPr>
        <w:drawing>
          <wp:inline distT="0" distB="0" distL="0" distR="0" wp14:anchorId="700D44EF" wp14:editId="481A86C0">
            <wp:extent cx="1117460" cy="390972"/>
            <wp:effectExtent l="0" t="0" r="6985" b="9525"/>
            <wp:docPr id="5" name="Creative Commons logo">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C92338">
        <w:t xml:space="preserve"> </w:t>
      </w:r>
    </w:p>
    <w:p w14:paraId="2FE29620" w14:textId="77777777" w:rsidR="00750CBE" w:rsidRPr="00C92338" w:rsidRDefault="00750CBE" w:rsidP="008D0281">
      <w:pPr>
        <w:pStyle w:val="NormalTight"/>
      </w:pPr>
      <w:r w:rsidRPr="00C92338">
        <w:t xml:space="preserve">You are free to re-use this work under a </w:t>
      </w:r>
      <w:hyperlink r:id="rId17"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22A60DE3" w14:textId="77777777" w:rsidR="006F6693" w:rsidRPr="00C92338" w:rsidRDefault="006F6693" w:rsidP="008D0281">
      <w:pPr>
        <w:pStyle w:val="NormalTight"/>
      </w:pPr>
    </w:p>
    <w:p w14:paraId="576F8326" w14:textId="77777777" w:rsidR="00750CBE" w:rsidRPr="00C92338" w:rsidRDefault="00750CBE" w:rsidP="008D0281">
      <w:pPr>
        <w:pStyle w:val="NormalTight"/>
      </w:pPr>
      <w:r w:rsidRPr="00C92338">
        <w:t xml:space="preserve">Copyright queries may be directed to </w:t>
      </w:r>
      <w:hyperlink r:id="rId18" w:history="1">
        <w:r w:rsidRPr="00C92338">
          <w:rPr>
            <w:rStyle w:val="Hyperlink"/>
            <w:rFonts w:cstheme="minorHAnsi"/>
          </w:rPr>
          <w:t>IPpolicy@dtf.vic.gov.au</w:t>
        </w:r>
      </w:hyperlink>
    </w:p>
    <w:p w14:paraId="6C071FCB" w14:textId="77777777" w:rsidR="00750CBE" w:rsidRPr="00C92338" w:rsidRDefault="00750CBE" w:rsidP="008D0281">
      <w:pPr>
        <w:pStyle w:val="NormalTight"/>
      </w:pPr>
    </w:p>
    <w:p w14:paraId="685BAA87" w14:textId="38C67C76" w:rsidR="00750CBE" w:rsidRPr="00545540" w:rsidRDefault="00750CBE" w:rsidP="00545540">
      <w:pPr>
        <w:pStyle w:val="NormalTight"/>
      </w:pPr>
      <w:r w:rsidRPr="00545540">
        <w:t xml:space="preserve">ISBN </w:t>
      </w:r>
      <w:r w:rsidR="00545540" w:rsidRPr="00545540">
        <w:t>978-1-921337-90-1</w:t>
      </w:r>
    </w:p>
    <w:p w14:paraId="1FA9D995" w14:textId="76C2B81F" w:rsidR="00750CBE" w:rsidRPr="00545540" w:rsidRDefault="00AC2624" w:rsidP="00545540">
      <w:pPr>
        <w:pStyle w:val="NormalTight"/>
      </w:pPr>
      <w:r w:rsidRPr="00545540">
        <w:t xml:space="preserve">Published </w:t>
      </w:r>
      <w:r w:rsidR="00545540">
        <w:t>May 2020</w:t>
      </w:r>
    </w:p>
    <w:p w14:paraId="520CE91E" w14:textId="77777777" w:rsidR="00750CBE" w:rsidRPr="00C92338" w:rsidRDefault="00750CBE" w:rsidP="008D0281">
      <w:pPr>
        <w:pStyle w:val="NormalTight"/>
      </w:pPr>
    </w:p>
    <w:p w14:paraId="54580262" w14:textId="77777777" w:rsidR="00750CBE" w:rsidRPr="00C92338" w:rsidRDefault="00750CBE" w:rsidP="008D0281">
      <w:pPr>
        <w:pStyle w:val="NormalTight"/>
      </w:pPr>
      <w:r w:rsidRPr="00C92338">
        <w:t xml:space="preserve">If you would like to receive this publication in an accessible format </w:t>
      </w:r>
      <w:proofErr w:type="gramStart"/>
      <w:r w:rsidRPr="00C92338">
        <w:t>please  email</w:t>
      </w:r>
      <w:proofErr w:type="gramEnd"/>
      <w:r w:rsidRPr="00C92338">
        <w:t xml:space="preserve"> </w:t>
      </w:r>
      <w:hyperlink r:id="rId19" w:history="1">
        <w:r w:rsidRPr="00C92338">
          <w:t>information@dtf.vic.gov.au</w:t>
        </w:r>
      </w:hyperlink>
      <w:r w:rsidRPr="00C92338">
        <w:t xml:space="preserve"> </w:t>
      </w:r>
    </w:p>
    <w:p w14:paraId="4F604550" w14:textId="77777777" w:rsidR="006F6693" w:rsidRPr="00C92338" w:rsidRDefault="006F6693" w:rsidP="008D0281">
      <w:pPr>
        <w:pStyle w:val="NormalTight"/>
      </w:pPr>
    </w:p>
    <w:p w14:paraId="3B4FF47D" w14:textId="77777777" w:rsidR="00750CBE" w:rsidRPr="00C92338" w:rsidRDefault="00750CBE" w:rsidP="00EF2115">
      <w:pPr>
        <w:pStyle w:val="NormalTight"/>
        <w:rPr>
          <w:sz w:val="19"/>
        </w:rPr>
      </w:pPr>
      <w:r w:rsidRPr="00C92338">
        <w:t xml:space="preserve">This document is also available in Word and PDF format at </w:t>
      </w:r>
      <w:hyperlink r:id="rId20" w:history="1">
        <w:r w:rsidRPr="00BE03FB">
          <w:rPr>
            <w:rStyle w:val="Hyperlink"/>
          </w:rPr>
          <w:t>dtf.vic.gov.au</w:t>
        </w:r>
      </w:hyperlink>
    </w:p>
    <w:p w14:paraId="056344DE" w14:textId="77777777" w:rsidR="00750CBE" w:rsidRDefault="00750CBE" w:rsidP="004F7954">
      <w:pPr>
        <w:sectPr w:rsidR="00750CBE" w:rsidSect="00B9395F">
          <w:headerReference w:type="default" r:id="rId21"/>
          <w:footerReference w:type="default" r:id="rId22"/>
          <w:type w:val="evenPage"/>
          <w:pgSz w:w="11906" w:h="16838" w:code="9"/>
          <w:pgMar w:top="3326" w:right="1440" w:bottom="1080" w:left="1440" w:header="706" w:footer="461" w:gutter="0"/>
          <w:pgNumType w:fmt="lowerRoman" w:start="1"/>
          <w:cols w:space="708"/>
          <w:docGrid w:linePitch="360"/>
        </w:sectPr>
      </w:pPr>
    </w:p>
    <w:p w14:paraId="4C55A9E0" w14:textId="77777777" w:rsidR="00750CBE" w:rsidRDefault="00D44953" w:rsidP="00392484">
      <w:pPr>
        <w:pStyle w:val="TOCHeading"/>
      </w:pPr>
      <w:r w:rsidRPr="00BA0EC0">
        <w:lastRenderedPageBreak/>
        <w:t>Contents</w:t>
      </w:r>
    </w:p>
    <w:p w14:paraId="0B6BB244" w14:textId="7AE6BEC5" w:rsidR="007113E9" w:rsidRDefault="00CD3D1B">
      <w:pPr>
        <w:pStyle w:val="TOC4"/>
        <w:rPr>
          <w:color w:val="auto"/>
          <w:sz w:val="22"/>
          <w:szCs w:val="22"/>
          <w:lang w:eastAsia="en-AU"/>
        </w:rPr>
      </w:pPr>
      <w:r>
        <w:rPr>
          <w:color w:val="auto"/>
        </w:rPr>
        <w:fldChar w:fldCharType="begin"/>
      </w:r>
      <w:r>
        <w:instrText xml:space="preserve"> TOC \h \z \t "Heading 1,1,Heading 2,2,Heading 3,3,Heading 1 numbered,4,Heading 2 numbered,5,Heading 3 numbered,6" </w:instrText>
      </w:r>
      <w:r>
        <w:rPr>
          <w:color w:val="auto"/>
        </w:rPr>
        <w:fldChar w:fldCharType="separate"/>
      </w:r>
      <w:hyperlink w:anchor="_Toc85033622" w:history="1">
        <w:r w:rsidR="007113E9" w:rsidRPr="00515AE4">
          <w:rPr>
            <w:rStyle w:val="Hyperlink"/>
          </w:rPr>
          <w:t>1.</w:t>
        </w:r>
        <w:r w:rsidR="007113E9">
          <w:rPr>
            <w:color w:val="auto"/>
            <w:sz w:val="22"/>
            <w:szCs w:val="22"/>
            <w:lang w:eastAsia="en-AU"/>
          </w:rPr>
          <w:tab/>
        </w:r>
        <w:r w:rsidR="007113E9" w:rsidRPr="00515AE4">
          <w:rPr>
            <w:rStyle w:val="Hyperlink"/>
          </w:rPr>
          <w:t>Overview</w:t>
        </w:r>
        <w:r w:rsidR="007113E9">
          <w:rPr>
            <w:webHidden/>
          </w:rPr>
          <w:tab/>
        </w:r>
        <w:r w:rsidR="007113E9">
          <w:rPr>
            <w:webHidden/>
          </w:rPr>
          <w:fldChar w:fldCharType="begin"/>
        </w:r>
        <w:r w:rsidR="007113E9">
          <w:rPr>
            <w:webHidden/>
          </w:rPr>
          <w:instrText xml:space="preserve"> PAGEREF _Toc85033622 \h </w:instrText>
        </w:r>
        <w:r w:rsidR="007113E9">
          <w:rPr>
            <w:webHidden/>
          </w:rPr>
        </w:r>
        <w:r w:rsidR="007113E9">
          <w:rPr>
            <w:webHidden/>
          </w:rPr>
          <w:fldChar w:fldCharType="separate"/>
        </w:r>
        <w:r w:rsidR="00526B41">
          <w:rPr>
            <w:webHidden/>
          </w:rPr>
          <w:t>1</w:t>
        </w:r>
        <w:r w:rsidR="007113E9">
          <w:rPr>
            <w:webHidden/>
          </w:rPr>
          <w:fldChar w:fldCharType="end"/>
        </w:r>
      </w:hyperlink>
    </w:p>
    <w:p w14:paraId="3DA28078" w14:textId="6245137C" w:rsidR="007113E9" w:rsidRDefault="007155A0">
      <w:pPr>
        <w:pStyle w:val="TOC5"/>
        <w:tabs>
          <w:tab w:val="left" w:pos="1080"/>
        </w:tabs>
        <w:rPr>
          <w:spacing w:val="0"/>
          <w:sz w:val="22"/>
          <w:szCs w:val="22"/>
          <w:lang w:eastAsia="en-AU"/>
        </w:rPr>
      </w:pPr>
      <w:hyperlink w:anchor="_Toc85033623" w:history="1">
        <w:r w:rsidR="007113E9" w:rsidRPr="00515AE4">
          <w:rPr>
            <w:rStyle w:val="Hyperlink"/>
          </w:rPr>
          <w:t>1.1</w:t>
        </w:r>
        <w:r w:rsidR="007113E9">
          <w:rPr>
            <w:spacing w:val="0"/>
            <w:sz w:val="22"/>
            <w:szCs w:val="22"/>
            <w:lang w:eastAsia="en-AU"/>
          </w:rPr>
          <w:tab/>
        </w:r>
        <w:r w:rsidR="007113E9" w:rsidRPr="00515AE4">
          <w:rPr>
            <w:rStyle w:val="Hyperlink"/>
          </w:rPr>
          <w:t>Government Business Enterprises</w:t>
        </w:r>
        <w:r w:rsidR="007113E9">
          <w:rPr>
            <w:webHidden/>
          </w:rPr>
          <w:tab/>
        </w:r>
        <w:r w:rsidR="007113E9">
          <w:rPr>
            <w:webHidden/>
          </w:rPr>
          <w:fldChar w:fldCharType="begin"/>
        </w:r>
        <w:r w:rsidR="007113E9">
          <w:rPr>
            <w:webHidden/>
          </w:rPr>
          <w:instrText xml:space="preserve"> PAGEREF _Toc85033623 \h </w:instrText>
        </w:r>
        <w:r w:rsidR="007113E9">
          <w:rPr>
            <w:webHidden/>
          </w:rPr>
        </w:r>
        <w:r w:rsidR="007113E9">
          <w:rPr>
            <w:webHidden/>
          </w:rPr>
          <w:fldChar w:fldCharType="separate"/>
        </w:r>
        <w:r w:rsidR="00526B41">
          <w:rPr>
            <w:webHidden/>
          </w:rPr>
          <w:t>1</w:t>
        </w:r>
        <w:r w:rsidR="007113E9">
          <w:rPr>
            <w:webHidden/>
          </w:rPr>
          <w:fldChar w:fldCharType="end"/>
        </w:r>
      </w:hyperlink>
    </w:p>
    <w:p w14:paraId="1E27440D" w14:textId="77304011" w:rsidR="007113E9" w:rsidRDefault="007155A0">
      <w:pPr>
        <w:pStyle w:val="TOC5"/>
        <w:tabs>
          <w:tab w:val="left" w:pos="1080"/>
        </w:tabs>
        <w:rPr>
          <w:spacing w:val="0"/>
          <w:sz w:val="22"/>
          <w:szCs w:val="22"/>
          <w:lang w:eastAsia="en-AU"/>
        </w:rPr>
      </w:pPr>
      <w:hyperlink w:anchor="_Toc85033624" w:history="1">
        <w:r w:rsidR="007113E9" w:rsidRPr="00515AE4">
          <w:rPr>
            <w:rStyle w:val="Hyperlink"/>
          </w:rPr>
          <w:t>1.2</w:t>
        </w:r>
        <w:r w:rsidR="007113E9">
          <w:rPr>
            <w:spacing w:val="0"/>
            <w:sz w:val="22"/>
            <w:szCs w:val="22"/>
            <w:lang w:eastAsia="en-AU"/>
          </w:rPr>
          <w:tab/>
        </w:r>
        <w:r w:rsidR="007113E9" w:rsidRPr="00515AE4">
          <w:rPr>
            <w:rStyle w:val="Hyperlink"/>
          </w:rPr>
          <w:t>Purpose of the requirements</w:t>
        </w:r>
        <w:r w:rsidR="007113E9">
          <w:rPr>
            <w:webHidden/>
          </w:rPr>
          <w:tab/>
        </w:r>
        <w:r w:rsidR="007113E9">
          <w:rPr>
            <w:webHidden/>
          </w:rPr>
          <w:fldChar w:fldCharType="begin"/>
        </w:r>
        <w:r w:rsidR="007113E9">
          <w:rPr>
            <w:webHidden/>
          </w:rPr>
          <w:instrText xml:space="preserve"> PAGEREF _Toc85033624 \h </w:instrText>
        </w:r>
        <w:r w:rsidR="007113E9">
          <w:rPr>
            <w:webHidden/>
          </w:rPr>
        </w:r>
        <w:r w:rsidR="007113E9">
          <w:rPr>
            <w:webHidden/>
          </w:rPr>
          <w:fldChar w:fldCharType="separate"/>
        </w:r>
        <w:r w:rsidR="00526B41">
          <w:rPr>
            <w:webHidden/>
          </w:rPr>
          <w:t>1</w:t>
        </w:r>
        <w:r w:rsidR="007113E9">
          <w:rPr>
            <w:webHidden/>
          </w:rPr>
          <w:fldChar w:fldCharType="end"/>
        </w:r>
      </w:hyperlink>
    </w:p>
    <w:p w14:paraId="636A72FF" w14:textId="333B3085" w:rsidR="007113E9" w:rsidRDefault="007155A0">
      <w:pPr>
        <w:pStyle w:val="TOC5"/>
        <w:tabs>
          <w:tab w:val="left" w:pos="1080"/>
        </w:tabs>
        <w:rPr>
          <w:spacing w:val="0"/>
          <w:sz w:val="22"/>
          <w:szCs w:val="22"/>
          <w:lang w:eastAsia="en-AU"/>
        </w:rPr>
      </w:pPr>
      <w:hyperlink w:anchor="_Toc85033625" w:history="1">
        <w:r w:rsidR="007113E9" w:rsidRPr="00515AE4">
          <w:rPr>
            <w:rStyle w:val="Hyperlink"/>
          </w:rPr>
          <w:t>1.3</w:t>
        </w:r>
        <w:r w:rsidR="007113E9">
          <w:rPr>
            <w:spacing w:val="0"/>
            <w:sz w:val="22"/>
            <w:szCs w:val="22"/>
            <w:lang w:eastAsia="en-AU"/>
          </w:rPr>
          <w:tab/>
        </w:r>
        <w:r w:rsidR="007113E9" w:rsidRPr="00515AE4">
          <w:rPr>
            <w:rStyle w:val="Hyperlink"/>
          </w:rPr>
          <w:t>Applicability of the requirements</w:t>
        </w:r>
        <w:r w:rsidR="007113E9">
          <w:rPr>
            <w:webHidden/>
          </w:rPr>
          <w:tab/>
        </w:r>
        <w:r w:rsidR="007113E9">
          <w:rPr>
            <w:webHidden/>
          </w:rPr>
          <w:fldChar w:fldCharType="begin"/>
        </w:r>
        <w:r w:rsidR="007113E9">
          <w:rPr>
            <w:webHidden/>
          </w:rPr>
          <w:instrText xml:space="preserve"> PAGEREF _Toc85033625 \h </w:instrText>
        </w:r>
        <w:r w:rsidR="007113E9">
          <w:rPr>
            <w:webHidden/>
          </w:rPr>
        </w:r>
        <w:r w:rsidR="007113E9">
          <w:rPr>
            <w:webHidden/>
          </w:rPr>
          <w:fldChar w:fldCharType="separate"/>
        </w:r>
        <w:r w:rsidR="00526B41">
          <w:rPr>
            <w:webHidden/>
          </w:rPr>
          <w:t>1</w:t>
        </w:r>
        <w:r w:rsidR="007113E9">
          <w:rPr>
            <w:webHidden/>
          </w:rPr>
          <w:fldChar w:fldCharType="end"/>
        </w:r>
      </w:hyperlink>
    </w:p>
    <w:p w14:paraId="05CA9D65" w14:textId="0E6C1587" w:rsidR="007113E9" w:rsidRDefault="007155A0">
      <w:pPr>
        <w:pStyle w:val="TOC5"/>
        <w:tabs>
          <w:tab w:val="left" w:pos="1080"/>
        </w:tabs>
        <w:rPr>
          <w:spacing w:val="0"/>
          <w:sz w:val="22"/>
          <w:szCs w:val="22"/>
          <w:lang w:eastAsia="en-AU"/>
        </w:rPr>
      </w:pPr>
      <w:hyperlink w:anchor="_Toc85033626" w:history="1">
        <w:r w:rsidR="007113E9" w:rsidRPr="00515AE4">
          <w:rPr>
            <w:rStyle w:val="Hyperlink"/>
          </w:rPr>
          <w:t>1.4</w:t>
        </w:r>
        <w:r w:rsidR="007113E9">
          <w:rPr>
            <w:spacing w:val="0"/>
            <w:sz w:val="22"/>
            <w:szCs w:val="22"/>
            <w:lang w:eastAsia="en-AU"/>
          </w:rPr>
          <w:tab/>
        </w:r>
        <w:r w:rsidR="007113E9" w:rsidRPr="00515AE4">
          <w:rPr>
            <w:rStyle w:val="Hyperlink"/>
          </w:rPr>
          <w:t>Planning, reporting and distribution obligations</w:t>
        </w:r>
        <w:r w:rsidR="007113E9">
          <w:rPr>
            <w:webHidden/>
          </w:rPr>
          <w:tab/>
        </w:r>
        <w:r w:rsidR="007113E9">
          <w:rPr>
            <w:webHidden/>
          </w:rPr>
          <w:fldChar w:fldCharType="begin"/>
        </w:r>
        <w:r w:rsidR="007113E9">
          <w:rPr>
            <w:webHidden/>
          </w:rPr>
          <w:instrText xml:space="preserve"> PAGEREF _Toc85033626 \h </w:instrText>
        </w:r>
        <w:r w:rsidR="007113E9">
          <w:rPr>
            <w:webHidden/>
          </w:rPr>
        </w:r>
        <w:r w:rsidR="007113E9">
          <w:rPr>
            <w:webHidden/>
          </w:rPr>
          <w:fldChar w:fldCharType="separate"/>
        </w:r>
        <w:r w:rsidR="00526B41">
          <w:rPr>
            <w:webHidden/>
          </w:rPr>
          <w:t>2</w:t>
        </w:r>
        <w:r w:rsidR="007113E9">
          <w:rPr>
            <w:webHidden/>
          </w:rPr>
          <w:fldChar w:fldCharType="end"/>
        </w:r>
      </w:hyperlink>
    </w:p>
    <w:p w14:paraId="4904EFBA" w14:textId="23165B00" w:rsidR="007113E9" w:rsidRDefault="007155A0">
      <w:pPr>
        <w:pStyle w:val="TOC5"/>
        <w:tabs>
          <w:tab w:val="left" w:pos="1080"/>
        </w:tabs>
        <w:rPr>
          <w:spacing w:val="0"/>
          <w:sz w:val="22"/>
          <w:szCs w:val="22"/>
          <w:lang w:eastAsia="en-AU"/>
        </w:rPr>
      </w:pPr>
      <w:hyperlink w:anchor="_Toc85033627" w:history="1">
        <w:r w:rsidR="007113E9" w:rsidRPr="00515AE4">
          <w:rPr>
            <w:rStyle w:val="Hyperlink"/>
          </w:rPr>
          <w:t>1.5</w:t>
        </w:r>
        <w:r w:rsidR="007113E9">
          <w:rPr>
            <w:spacing w:val="0"/>
            <w:sz w:val="22"/>
            <w:szCs w:val="22"/>
            <w:lang w:eastAsia="en-AU"/>
          </w:rPr>
          <w:tab/>
        </w:r>
        <w:r w:rsidR="007113E9" w:rsidRPr="00515AE4">
          <w:rPr>
            <w:rStyle w:val="Hyperlink"/>
          </w:rPr>
          <w:t>Planning, reporting and distribution cycle</w:t>
        </w:r>
        <w:r w:rsidR="007113E9">
          <w:rPr>
            <w:webHidden/>
          </w:rPr>
          <w:tab/>
        </w:r>
        <w:r w:rsidR="007113E9">
          <w:rPr>
            <w:webHidden/>
          </w:rPr>
          <w:fldChar w:fldCharType="begin"/>
        </w:r>
        <w:r w:rsidR="007113E9">
          <w:rPr>
            <w:webHidden/>
          </w:rPr>
          <w:instrText xml:space="preserve"> PAGEREF _Toc85033627 \h </w:instrText>
        </w:r>
        <w:r w:rsidR="007113E9">
          <w:rPr>
            <w:webHidden/>
          </w:rPr>
        </w:r>
        <w:r w:rsidR="007113E9">
          <w:rPr>
            <w:webHidden/>
          </w:rPr>
          <w:fldChar w:fldCharType="separate"/>
        </w:r>
        <w:r w:rsidR="00526B41">
          <w:rPr>
            <w:webHidden/>
          </w:rPr>
          <w:t>2</w:t>
        </w:r>
        <w:r w:rsidR="007113E9">
          <w:rPr>
            <w:webHidden/>
          </w:rPr>
          <w:fldChar w:fldCharType="end"/>
        </w:r>
      </w:hyperlink>
    </w:p>
    <w:p w14:paraId="5D6D89B6" w14:textId="46BF54D3" w:rsidR="007113E9" w:rsidRDefault="007155A0">
      <w:pPr>
        <w:pStyle w:val="TOC4"/>
        <w:rPr>
          <w:color w:val="auto"/>
          <w:sz w:val="22"/>
          <w:szCs w:val="22"/>
          <w:lang w:eastAsia="en-AU"/>
        </w:rPr>
      </w:pPr>
      <w:hyperlink w:anchor="_Toc85033628" w:history="1">
        <w:r w:rsidR="007113E9" w:rsidRPr="00515AE4">
          <w:rPr>
            <w:rStyle w:val="Hyperlink"/>
          </w:rPr>
          <w:t>2.</w:t>
        </w:r>
        <w:r w:rsidR="007113E9">
          <w:rPr>
            <w:color w:val="auto"/>
            <w:sz w:val="22"/>
            <w:szCs w:val="22"/>
            <w:lang w:eastAsia="en-AU"/>
          </w:rPr>
          <w:tab/>
        </w:r>
        <w:r w:rsidR="007113E9" w:rsidRPr="00515AE4">
          <w:rPr>
            <w:rStyle w:val="Hyperlink"/>
          </w:rPr>
          <w:t>Corporate planning</w:t>
        </w:r>
        <w:r w:rsidR="007113E9">
          <w:rPr>
            <w:webHidden/>
          </w:rPr>
          <w:tab/>
        </w:r>
        <w:r w:rsidR="007113E9">
          <w:rPr>
            <w:webHidden/>
          </w:rPr>
          <w:fldChar w:fldCharType="begin"/>
        </w:r>
        <w:r w:rsidR="007113E9">
          <w:rPr>
            <w:webHidden/>
          </w:rPr>
          <w:instrText xml:space="preserve"> PAGEREF _Toc85033628 \h </w:instrText>
        </w:r>
        <w:r w:rsidR="007113E9">
          <w:rPr>
            <w:webHidden/>
          </w:rPr>
        </w:r>
        <w:r w:rsidR="007113E9">
          <w:rPr>
            <w:webHidden/>
          </w:rPr>
          <w:fldChar w:fldCharType="separate"/>
        </w:r>
        <w:r w:rsidR="00526B41">
          <w:rPr>
            <w:webHidden/>
          </w:rPr>
          <w:t>4</w:t>
        </w:r>
        <w:r w:rsidR="007113E9">
          <w:rPr>
            <w:webHidden/>
          </w:rPr>
          <w:fldChar w:fldCharType="end"/>
        </w:r>
      </w:hyperlink>
    </w:p>
    <w:p w14:paraId="4E48EE79" w14:textId="0DE6D8DA" w:rsidR="007113E9" w:rsidRDefault="007155A0">
      <w:pPr>
        <w:pStyle w:val="TOC5"/>
        <w:tabs>
          <w:tab w:val="left" w:pos="1080"/>
        </w:tabs>
        <w:rPr>
          <w:spacing w:val="0"/>
          <w:sz w:val="22"/>
          <w:szCs w:val="22"/>
          <w:lang w:eastAsia="en-AU"/>
        </w:rPr>
      </w:pPr>
      <w:hyperlink w:anchor="_Toc85033629" w:history="1">
        <w:r w:rsidR="007113E9" w:rsidRPr="00515AE4">
          <w:rPr>
            <w:rStyle w:val="Hyperlink"/>
          </w:rPr>
          <w:t>2.1</w:t>
        </w:r>
        <w:r w:rsidR="007113E9">
          <w:rPr>
            <w:spacing w:val="0"/>
            <w:sz w:val="22"/>
            <w:szCs w:val="22"/>
            <w:lang w:eastAsia="en-AU"/>
          </w:rPr>
          <w:tab/>
        </w:r>
        <w:r w:rsidR="007113E9" w:rsidRPr="00515AE4">
          <w:rPr>
            <w:rStyle w:val="Hyperlink"/>
          </w:rPr>
          <w:t>Statement of Corporate Intent</w:t>
        </w:r>
        <w:r w:rsidR="007113E9">
          <w:rPr>
            <w:webHidden/>
          </w:rPr>
          <w:tab/>
        </w:r>
        <w:r w:rsidR="007113E9">
          <w:rPr>
            <w:webHidden/>
          </w:rPr>
          <w:fldChar w:fldCharType="begin"/>
        </w:r>
        <w:r w:rsidR="007113E9">
          <w:rPr>
            <w:webHidden/>
          </w:rPr>
          <w:instrText xml:space="preserve"> PAGEREF _Toc85033629 \h </w:instrText>
        </w:r>
        <w:r w:rsidR="007113E9">
          <w:rPr>
            <w:webHidden/>
          </w:rPr>
        </w:r>
        <w:r w:rsidR="007113E9">
          <w:rPr>
            <w:webHidden/>
          </w:rPr>
          <w:fldChar w:fldCharType="separate"/>
        </w:r>
        <w:r w:rsidR="00526B41">
          <w:rPr>
            <w:webHidden/>
          </w:rPr>
          <w:t>4</w:t>
        </w:r>
        <w:r w:rsidR="007113E9">
          <w:rPr>
            <w:webHidden/>
          </w:rPr>
          <w:fldChar w:fldCharType="end"/>
        </w:r>
      </w:hyperlink>
    </w:p>
    <w:p w14:paraId="5EF16C40" w14:textId="393B9467" w:rsidR="007113E9" w:rsidRDefault="007155A0">
      <w:pPr>
        <w:pStyle w:val="TOC5"/>
        <w:tabs>
          <w:tab w:val="left" w:pos="1080"/>
        </w:tabs>
        <w:rPr>
          <w:spacing w:val="0"/>
          <w:sz w:val="22"/>
          <w:szCs w:val="22"/>
          <w:lang w:eastAsia="en-AU"/>
        </w:rPr>
      </w:pPr>
      <w:hyperlink w:anchor="_Toc85033630" w:history="1">
        <w:r w:rsidR="007113E9" w:rsidRPr="00515AE4">
          <w:rPr>
            <w:rStyle w:val="Hyperlink"/>
          </w:rPr>
          <w:t>2.2</w:t>
        </w:r>
        <w:r w:rsidR="007113E9">
          <w:rPr>
            <w:spacing w:val="0"/>
            <w:sz w:val="22"/>
            <w:szCs w:val="22"/>
            <w:lang w:eastAsia="en-AU"/>
          </w:rPr>
          <w:tab/>
        </w:r>
        <w:r w:rsidR="007113E9" w:rsidRPr="00515AE4">
          <w:rPr>
            <w:rStyle w:val="Hyperlink"/>
          </w:rPr>
          <w:t>Corporate Plan</w:t>
        </w:r>
        <w:r w:rsidR="007113E9">
          <w:rPr>
            <w:webHidden/>
          </w:rPr>
          <w:tab/>
        </w:r>
        <w:r w:rsidR="007113E9">
          <w:rPr>
            <w:webHidden/>
          </w:rPr>
          <w:fldChar w:fldCharType="begin"/>
        </w:r>
        <w:r w:rsidR="007113E9">
          <w:rPr>
            <w:webHidden/>
          </w:rPr>
          <w:instrText xml:space="preserve"> PAGEREF _Toc85033630 \h </w:instrText>
        </w:r>
        <w:r w:rsidR="007113E9">
          <w:rPr>
            <w:webHidden/>
          </w:rPr>
        </w:r>
        <w:r w:rsidR="007113E9">
          <w:rPr>
            <w:webHidden/>
          </w:rPr>
          <w:fldChar w:fldCharType="separate"/>
        </w:r>
        <w:r w:rsidR="00526B41">
          <w:rPr>
            <w:webHidden/>
          </w:rPr>
          <w:t>4</w:t>
        </w:r>
        <w:r w:rsidR="007113E9">
          <w:rPr>
            <w:webHidden/>
          </w:rPr>
          <w:fldChar w:fldCharType="end"/>
        </w:r>
      </w:hyperlink>
    </w:p>
    <w:p w14:paraId="6ED2BA59" w14:textId="7EF971C0" w:rsidR="007113E9" w:rsidRDefault="007155A0">
      <w:pPr>
        <w:pStyle w:val="TOC5"/>
        <w:tabs>
          <w:tab w:val="left" w:pos="1080"/>
        </w:tabs>
        <w:rPr>
          <w:spacing w:val="0"/>
          <w:sz w:val="22"/>
          <w:szCs w:val="22"/>
          <w:lang w:eastAsia="en-AU"/>
        </w:rPr>
      </w:pPr>
      <w:hyperlink w:anchor="_Toc85033631" w:history="1">
        <w:r w:rsidR="007113E9" w:rsidRPr="00515AE4">
          <w:rPr>
            <w:rStyle w:val="Hyperlink"/>
          </w:rPr>
          <w:t>2.3</w:t>
        </w:r>
        <w:r w:rsidR="007113E9">
          <w:rPr>
            <w:spacing w:val="0"/>
            <w:sz w:val="22"/>
            <w:szCs w:val="22"/>
            <w:lang w:eastAsia="en-AU"/>
          </w:rPr>
          <w:tab/>
        </w:r>
        <w:r w:rsidR="007113E9" w:rsidRPr="00515AE4">
          <w:rPr>
            <w:rStyle w:val="Hyperlink"/>
          </w:rPr>
          <w:t>Business Plan</w:t>
        </w:r>
        <w:r w:rsidR="007113E9">
          <w:rPr>
            <w:webHidden/>
          </w:rPr>
          <w:tab/>
        </w:r>
        <w:r w:rsidR="007113E9">
          <w:rPr>
            <w:webHidden/>
          </w:rPr>
          <w:fldChar w:fldCharType="begin"/>
        </w:r>
        <w:r w:rsidR="007113E9">
          <w:rPr>
            <w:webHidden/>
          </w:rPr>
          <w:instrText xml:space="preserve"> PAGEREF _Toc85033631 \h </w:instrText>
        </w:r>
        <w:r w:rsidR="007113E9">
          <w:rPr>
            <w:webHidden/>
          </w:rPr>
        </w:r>
        <w:r w:rsidR="007113E9">
          <w:rPr>
            <w:webHidden/>
          </w:rPr>
          <w:fldChar w:fldCharType="separate"/>
        </w:r>
        <w:r w:rsidR="00526B41">
          <w:rPr>
            <w:webHidden/>
          </w:rPr>
          <w:t>6</w:t>
        </w:r>
        <w:r w:rsidR="007113E9">
          <w:rPr>
            <w:webHidden/>
          </w:rPr>
          <w:fldChar w:fldCharType="end"/>
        </w:r>
      </w:hyperlink>
    </w:p>
    <w:p w14:paraId="2543E623" w14:textId="53648919" w:rsidR="007113E9" w:rsidRDefault="007155A0">
      <w:pPr>
        <w:pStyle w:val="TOC5"/>
        <w:tabs>
          <w:tab w:val="left" w:pos="1080"/>
        </w:tabs>
        <w:rPr>
          <w:spacing w:val="0"/>
          <w:sz w:val="22"/>
          <w:szCs w:val="22"/>
          <w:lang w:eastAsia="en-AU"/>
        </w:rPr>
      </w:pPr>
      <w:hyperlink w:anchor="_Toc85033632" w:history="1">
        <w:r w:rsidR="007113E9" w:rsidRPr="00515AE4">
          <w:rPr>
            <w:rStyle w:val="Hyperlink"/>
          </w:rPr>
          <w:t>2.4</w:t>
        </w:r>
        <w:r w:rsidR="007113E9">
          <w:rPr>
            <w:spacing w:val="0"/>
            <w:sz w:val="22"/>
            <w:szCs w:val="22"/>
            <w:lang w:eastAsia="en-AU"/>
          </w:rPr>
          <w:tab/>
        </w:r>
        <w:r w:rsidR="007113E9" w:rsidRPr="00515AE4">
          <w:rPr>
            <w:rStyle w:val="Hyperlink"/>
          </w:rPr>
          <w:t>Endorsement</w:t>
        </w:r>
        <w:r w:rsidR="007113E9">
          <w:rPr>
            <w:webHidden/>
          </w:rPr>
          <w:tab/>
        </w:r>
        <w:r w:rsidR="007113E9">
          <w:rPr>
            <w:webHidden/>
          </w:rPr>
          <w:fldChar w:fldCharType="begin"/>
        </w:r>
        <w:r w:rsidR="007113E9">
          <w:rPr>
            <w:webHidden/>
          </w:rPr>
          <w:instrText xml:space="preserve"> PAGEREF _Toc85033632 \h </w:instrText>
        </w:r>
        <w:r w:rsidR="007113E9">
          <w:rPr>
            <w:webHidden/>
          </w:rPr>
        </w:r>
        <w:r w:rsidR="007113E9">
          <w:rPr>
            <w:webHidden/>
          </w:rPr>
          <w:fldChar w:fldCharType="separate"/>
        </w:r>
        <w:r w:rsidR="00526B41">
          <w:rPr>
            <w:webHidden/>
          </w:rPr>
          <w:t>6</w:t>
        </w:r>
        <w:r w:rsidR="007113E9">
          <w:rPr>
            <w:webHidden/>
          </w:rPr>
          <w:fldChar w:fldCharType="end"/>
        </w:r>
      </w:hyperlink>
    </w:p>
    <w:p w14:paraId="38E0A5A8" w14:textId="50F5D73E" w:rsidR="007113E9" w:rsidRDefault="007155A0">
      <w:pPr>
        <w:pStyle w:val="TOC5"/>
        <w:tabs>
          <w:tab w:val="left" w:pos="1080"/>
        </w:tabs>
        <w:rPr>
          <w:spacing w:val="0"/>
          <w:sz w:val="22"/>
          <w:szCs w:val="22"/>
          <w:lang w:eastAsia="en-AU"/>
        </w:rPr>
      </w:pPr>
      <w:hyperlink w:anchor="_Toc85033633" w:history="1">
        <w:r w:rsidR="007113E9" w:rsidRPr="00515AE4">
          <w:rPr>
            <w:rStyle w:val="Hyperlink"/>
          </w:rPr>
          <w:t>2.5</w:t>
        </w:r>
        <w:r w:rsidR="007113E9">
          <w:rPr>
            <w:spacing w:val="0"/>
            <w:sz w:val="22"/>
            <w:szCs w:val="22"/>
            <w:lang w:eastAsia="en-AU"/>
          </w:rPr>
          <w:tab/>
        </w:r>
        <w:r w:rsidR="007113E9" w:rsidRPr="00515AE4">
          <w:rPr>
            <w:rStyle w:val="Hyperlink"/>
          </w:rPr>
          <w:t>Key dates</w:t>
        </w:r>
        <w:r w:rsidR="007113E9">
          <w:rPr>
            <w:webHidden/>
          </w:rPr>
          <w:tab/>
        </w:r>
        <w:r w:rsidR="007113E9">
          <w:rPr>
            <w:webHidden/>
          </w:rPr>
          <w:fldChar w:fldCharType="begin"/>
        </w:r>
        <w:r w:rsidR="007113E9">
          <w:rPr>
            <w:webHidden/>
          </w:rPr>
          <w:instrText xml:space="preserve"> PAGEREF _Toc85033633 \h </w:instrText>
        </w:r>
        <w:r w:rsidR="007113E9">
          <w:rPr>
            <w:webHidden/>
          </w:rPr>
        </w:r>
        <w:r w:rsidR="007113E9">
          <w:rPr>
            <w:webHidden/>
          </w:rPr>
          <w:fldChar w:fldCharType="separate"/>
        </w:r>
        <w:r w:rsidR="00526B41">
          <w:rPr>
            <w:webHidden/>
          </w:rPr>
          <w:t>7</w:t>
        </w:r>
        <w:r w:rsidR="007113E9">
          <w:rPr>
            <w:webHidden/>
          </w:rPr>
          <w:fldChar w:fldCharType="end"/>
        </w:r>
      </w:hyperlink>
    </w:p>
    <w:p w14:paraId="1D3FE8D0" w14:textId="355E4309" w:rsidR="007113E9" w:rsidRDefault="007155A0">
      <w:pPr>
        <w:pStyle w:val="TOC4"/>
        <w:rPr>
          <w:color w:val="auto"/>
          <w:sz w:val="22"/>
          <w:szCs w:val="22"/>
          <w:lang w:eastAsia="en-AU"/>
        </w:rPr>
      </w:pPr>
      <w:hyperlink w:anchor="_Toc85033634" w:history="1">
        <w:r w:rsidR="007113E9" w:rsidRPr="00515AE4">
          <w:rPr>
            <w:rStyle w:val="Hyperlink"/>
          </w:rPr>
          <w:t>3.</w:t>
        </w:r>
        <w:r w:rsidR="007113E9">
          <w:rPr>
            <w:color w:val="auto"/>
            <w:sz w:val="22"/>
            <w:szCs w:val="22"/>
            <w:lang w:eastAsia="en-AU"/>
          </w:rPr>
          <w:tab/>
        </w:r>
        <w:r w:rsidR="007113E9" w:rsidRPr="00515AE4">
          <w:rPr>
            <w:rStyle w:val="Hyperlink"/>
          </w:rPr>
          <w:t>Capital expenditure proposals</w:t>
        </w:r>
        <w:r w:rsidR="007113E9">
          <w:rPr>
            <w:webHidden/>
          </w:rPr>
          <w:tab/>
        </w:r>
        <w:r w:rsidR="007113E9">
          <w:rPr>
            <w:webHidden/>
          </w:rPr>
          <w:fldChar w:fldCharType="begin"/>
        </w:r>
        <w:r w:rsidR="007113E9">
          <w:rPr>
            <w:webHidden/>
          </w:rPr>
          <w:instrText xml:space="preserve"> PAGEREF _Toc85033634 \h </w:instrText>
        </w:r>
        <w:r w:rsidR="007113E9">
          <w:rPr>
            <w:webHidden/>
          </w:rPr>
        </w:r>
        <w:r w:rsidR="007113E9">
          <w:rPr>
            <w:webHidden/>
          </w:rPr>
          <w:fldChar w:fldCharType="separate"/>
        </w:r>
        <w:r w:rsidR="00526B41">
          <w:rPr>
            <w:webHidden/>
          </w:rPr>
          <w:t>7</w:t>
        </w:r>
        <w:r w:rsidR="007113E9">
          <w:rPr>
            <w:webHidden/>
          </w:rPr>
          <w:fldChar w:fldCharType="end"/>
        </w:r>
      </w:hyperlink>
    </w:p>
    <w:p w14:paraId="37D331AE" w14:textId="0528A9A7" w:rsidR="007113E9" w:rsidRDefault="007155A0">
      <w:pPr>
        <w:pStyle w:val="TOC5"/>
        <w:tabs>
          <w:tab w:val="left" w:pos="1080"/>
        </w:tabs>
        <w:rPr>
          <w:spacing w:val="0"/>
          <w:sz w:val="22"/>
          <w:szCs w:val="22"/>
          <w:lang w:eastAsia="en-AU"/>
        </w:rPr>
      </w:pPr>
      <w:hyperlink w:anchor="_Toc85033635" w:history="1">
        <w:r w:rsidR="007113E9" w:rsidRPr="00515AE4">
          <w:rPr>
            <w:rStyle w:val="Hyperlink"/>
          </w:rPr>
          <w:t>3.1</w:t>
        </w:r>
        <w:r w:rsidR="007113E9">
          <w:rPr>
            <w:spacing w:val="0"/>
            <w:sz w:val="22"/>
            <w:szCs w:val="22"/>
            <w:lang w:eastAsia="en-AU"/>
          </w:rPr>
          <w:tab/>
        </w:r>
        <w:r w:rsidR="007113E9" w:rsidRPr="00515AE4">
          <w:rPr>
            <w:rStyle w:val="Hyperlink"/>
          </w:rPr>
          <w:t>Business case submission</w:t>
        </w:r>
        <w:r w:rsidR="007113E9">
          <w:rPr>
            <w:webHidden/>
          </w:rPr>
          <w:tab/>
        </w:r>
        <w:r w:rsidR="007113E9">
          <w:rPr>
            <w:webHidden/>
          </w:rPr>
          <w:fldChar w:fldCharType="begin"/>
        </w:r>
        <w:r w:rsidR="007113E9">
          <w:rPr>
            <w:webHidden/>
          </w:rPr>
          <w:instrText xml:space="preserve"> PAGEREF _Toc85033635 \h </w:instrText>
        </w:r>
        <w:r w:rsidR="007113E9">
          <w:rPr>
            <w:webHidden/>
          </w:rPr>
        </w:r>
        <w:r w:rsidR="007113E9">
          <w:rPr>
            <w:webHidden/>
          </w:rPr>
          <w:fldChar w:fldCharType="separate"/>
        </w:r>
        <w:r w:rsidR="00526B41">
          <w:rPr>
            <w:webHidden/>
          </w:rPr>
          <w:t>7</w:t>
        </w:r>
        <w:r w:rsidR="007113E9">
          <w:rPr>
            <w:webHidden/>
          </w:rPr>
          <w:fldChar w:fldCharType="end"/>
        </w:r>
      </w:hyperlink>
    </w:p>
    <w:p w14:paraId="3C25A9F1" w14:textId="3C538640" w:rsidR="007113E9" w:rsidRDefault="007155A0">
      <w:pPr>
        <w:pStyle w:val="TOC5"/>
        <w:tabs>
          <w:tab w:val="left" w:pos="1080"/>
        </w:tabs>
        <w:rPr>
          <w:spacing w:val="0"/>
          <w:sz w:val="22"/>
          <w:szCs w:val="22"/>
          <w:lang w:eastAsia="en-AU"/>
        </w:rPr>
      </w:pPr>
      <w:hyperlink w:anchor="_Toc85033636" w:history="1">
        <w:r w:rsidR="007113E9" w:rsidRPr="00515AE4">
          <w:rPr>
            <w:rStyle w:val="Hyperlink"/>
          </w:rPr>
          <w:t>3.2</w:t>
        </w:r>
        <w:r w:rsidR="007113E9">
          <w:rPr>
            <w:spacing w:val="0"/>
            <w:sz w:val="22"/>
            <w:szCs w:val="22"/>
            <w:lang w:eastAsia="en-AU"/>
          </w:rPr>
          <w:tab/>
        </w:r>
        <w:r w:rsidR="007113E9" w:rsidRPr="00515AE4">
          <w:rPr>
            <w:rStyle w:val="Hyperlink"/>
          </w:rPr>
          <w:t>Business case consideration</w:t>
        </w:r>
        <w:r w:rsidR="007113E9">
          <w:rPr>
            <w:webHidden/>
          </w:rPr>
          <w:tab/>
        </w:r>
        <w:r w:rsidR="007113E9">
          <w:rPr>
            <w:webHidden/>
          </w:rPr>
          <w:fldChar w:fldCharType="begin"/>
        </w:r>
        <w:r w:rsidR="007113E9">
          <w:rPr>
            <w:webHidden/>
          </w:rPr>
          <w:instrText xml:space="preserve"> PAGEREF _Toc85033636 \h </w:instrText>
        </w:r>
        <w:r w:rsidR="007113E9">
          <w:rPr>
            <w:webHidden/>
          </w:rPr>
        </w:r>
        <w:r w:rsidR="007113E9">
          <w:rPr>
            <w:webHidden/>
          </w:rPr>
          <w:fldChar w:fldCharType="separate"/>
        </w:r>
        <w:r w:rsidR="00526B41">
          <w:rPr>
            <w:webHidden/>
          </w:rPr>
          <w:t>8</w:t>
        </w:r>
        <w:r w:rsidR="007113E9">
          <w:rPr>
            <w:webHidden/>
          </w:rPr>
          <w:fldChar w:fldCharType="end"/>
        </w:r>
      </w:hyperlink>
    </w:p>
    <w:p w14:paraId="0BF55234" w14:textId="45A567E0" w:rsidR="007113E9" w:rsidRDefault="007155A0">
      <w:pPr>
        <w:pStyle w:val="TOC5"/>
        <w:tabs>
          <w:tab w:val="left" w:pos="1080"/>
        </w:tabs>
        <w:rPr>
          <w:spacing w:val="0"/>
          <w:sz w:val="22"/>
          <w:szCs w:val="22"/>
          <w:lang w:eastAsia="en-AU"/>
        </w:rPr>
      </w:pPr>
      <w:hyperlink w:anchor="_Toc85033637" w:history="1">
        <w:r w:rsidR="007113E9" w:rsidRPr="00515AE4">
          <w:rPr>
            <w:rStyle w:val="Hyperlink"/>
          </w:rPr>
          <w:t>3.3</w:t>
        </w:r>
        <w:r w:rsidR="007113E9">
          <w:rPr>
            <w:spacing w:val="0"/>
            <w:sz w:val="22"/>
            <w:szCs w:val="22"/>
            <w:lang w:eastAsia="en-AU"/>
          </w:rPr>
          <w:tab/>
        </w:r>
        <w:r w:rsidR="007113E9" w:rsidRPr="00515AE4">
          <w:rPr>
            <w:rStyle w:val="Hyperlink"/>
          </w:rPr>
          <w:t>Project assurance</w:t>
        </w:r>
        <w:r w:rsidR="007113E9">
          <w:rPr>
            <w:webHidden/>
          </w:rPr>
          <w:tab/>
        </w:r>
        <w:r w:rsidR="007113E9">
          <w:rPr>
            <w:webHidden/>
          </w:rPr>
          <w:fldChar w:fldCharType="begin"/>
        </w:r>
        <w:r w:rsidR="007113E9">
          <w:rPr>
            <w:webHidden/>
          </w:rPr>
          <w:instrText xml:space="preserve"> PAGEREF _Toc85033637 \h </w:instrText>
        </w:r>
        <w:r w:rsidR="007113E9">
          <w:rPr>
            <w:webHidden/>
          </w:rPr>
        </w:r>
        <w:r w:rsidR="007113E9">
          <w:rPr>
            <w:webHidden/>
          </w:rPr>
          <w:fldChar w:fldCharType="separate"/>
        </w:r>
        <w:r w:rsidR="00526B41">
          <w:rPr>
            <w:webHidden/>
          </w:rPr>
          <w:t>8</w:t>
        </w:r>
        <w:r w:rsidR="007113E9">
          <w:rPr>
            <w:webHidden/>
          </w:rPr>
          <w:fldChar w:fldCharType="end"/>
        </w:r>
      </w:hyperlink>
    </w:p>
    <w:p w14:paraId="5D5F4B96" w14:textId="054F3B8D" w:rsidR="007113E9" w:rsidRDefault="007155A0">
      <w:pPr>
        <w:pStyle w:val="TOC6"/>
        <w:tabs>
          <w:tab w:val="left" w:pos="1800"/>
        </w:tabs>
        <w:rPr>
          <w:color w:val="auto"/>
          <w:sz w:val="22"/>
          <w:szCs w:val="22"/>
          <w:lang w:eastAsia="en-AU"/>
        </w:rPr>
      </w:pPr>
      <w:hyperlink w:anchor="_Toc85033638" w:history="1">
        <w:r w:rsidR="007113E9" w:rsidRPr="00515AE4">
          <w:rPr>
            <w:rStyle w:val="Hyperlink"/>
          </w:rPr>
          <w:t>3.3.1</w:t>
        </w:r>
        <w:r w:rsidR="007113E9">
          <w:rPr>
            <w:color w:val="auto"/>
            <w:sz w:val="22"/>
            <w:szCs w:val="22"/>
            <w:lang w:eastAsia="en-AU"/>
          </w:rPr>
          <w:tab/>
        </w:r>
        <w:r w:rsidR="007113E9" w:rsidRPr="00515AE4">
          <w:rPr>
            <w:rStyle w:val="Hyperlink"/>
          </w:rPr>
          <w:t>Gateway Review Process</w:t>
        </w:r>
        <w:r w:rsidR="007113E9">
          <w:rPr>
            <w:webHidden/>
          </w:rPr>
          <w:tab/>
        </w:r>
        <w:r w:rsidR="007113E9">
          <w:rPr>
            <w:webHidden/>
          </w:rPr>
          <w:fldChar w:fldCharType="begin"/>
        </w:r>
        <w:r w:rsidR="007113E9">
          <w:rPr>
            <w:webHidden/>
          </w:rPr>
          <w:instrText xml:space="preserve"> PAGEREF _Toc85033638 \h </w:instrText>
        </w:r>
        <w:r w:rsidR="007113E9">
          <w:rPr>
            <w:webHidden/>
          </w:rPr>
        </w:r>
        <w:r w:rsidR="007113E9">
          <w:rPr>
            <w:webHidden/>
          </w:rPr>
          <w:fldChar w:fldCharType="separate"/>
        </w:r>
        <w:r w:rsidR="00526B41">
          <w:rPr>
            <w:webHidden/>
          </w:rPr>
          <w:t>9</w:t>
        </w:r>
        <w:r w:rsidR="007113E9">
          <w:rPr>
            <w:webHidden/>
          </w:rPr>
          <w:fldChar w:fldCharType="end"/>
        </w:r>
      </w:hyperlink>
    </w:p>
    <w:p w14:paraId="2BE3AA43" w14:textId="2A68FECE" w:rsidR="007113E9" w:rsidRDefault="007155A0">
      <w:pPr>
        <w:pStyle w:val="TOC6"/>
        <w:tabs>
          <w:tab w:val="left" w:pos="1800"/>
        </w:tabs>
        <w:rPr>
          <w:color w:val="auto"/>
          <w:sz w:val="22"/>
          <w:szCs w:val="22"/>
          <w:lang w:eastAsia="en-AU"/>
        </w:rPr>
      </w:pPr>
      <w:hyperlink w:anchor="_Toc85033639" w:history="1">
        <w:r w:rsidR="007113E9" w:rsidRPr="00515AE4">
          <w:rPr>
            <w:rStyle w:val="Hyperlink"/>
          </w:rPr>
          <w:t>3.3.2</w:t>
        </w:r>
        <w:r w:rsidR="007113E9">
          <w:rPr>
            <w:color w:val="auto"/>
            <w:sz w:val="22"/>
            <w:szCs w:val="22"/>
            <w:lang w:eastAsia="en-AU"/>
          </w:rPr>
          <w:tab/>
        </w:r>
        <w:r w:rsidR="007113E9" w:rsidRPr="00515AE4">
          <w:rPr>
            <w:rStyle w:val="Hyperlink"/>
          </w:rPr>
          <w:t>High Value/High Risk Framework</w:t>
        </w:r>
        <w:r w:rsidR="007113E9">
          <w:rPr>
            <w:webHidden/>
          </w:rPr>
          <w:tab/>
        </w:r>
        <w:r w:rsidR="007113E9">
          <w:rPr>
            <w:webHidden/>
          </w:rPr>
          <w:fldChar w:fldCharType="begin"/>
        </w:r>
        <w:r w:rsidR="007113E9">
          <w:rPr>
            <w:webHidden/>
          </w:rPr>
          <w:instrText xml:space="preserve"> PAGEREF _Toc85033639 \h </w:instrText>
        </w:r>
        <w:r w:rsidR="007113E9">
          <w:rPr>
            <w:webHidden/>
          </w:rPr>
        </w:r>
        <w:r w:rsidR="007113E9">
          <w:rPr>
            <w:webHidden/>
          </w:rPr>
          <w:fldChar w:fldCharType="separate"/>
        </w:r>
        <w:r w:rsidR="00526B41">
          <w:rPr>
            <w:webHidden/>
          </w:rPr>
          <w:t>9</w:t>
        </w:r>
        <w:r w:rsidR="007113E9">
          <w:rPr>
            <w:webHidden/>
          </w:rPr>
          <w:fldChar w:fldCharType="end"/>
        </w:r>
      </w:hyperlink>
    </w:p>
    <w:p w14:paraId="58078DFA" w14:textId="46CFE13B" w:rsidR="007113E9" w:rsidRDefault="007155A0">
      <w:pPr>
        <w:pStyle w:val="TOC5"/>
        <w:tabs>
          <w:tab w:val="left" w:pos="1080"/>
        </w:tabs>
        <w:rPr>
          <w:spacing w:val="0"/>
          <w:sz w:val="22"/>
          <w:szCs w:val="22"/>
          <w:lang w:eastAsia="en-AU"/>
        </w:rPr>
      </w:pPr>
      <w:hyperlink w:anchor="_Toc85033640" w:history="1">
        <w:r w:rsidR="007113E9" w:rsidRPr="00515AE4">
          <w:rPr>
            <w:rStyle w:val="Hyperlink"/>
          </w:rPr>
          <w:t>3.4</w:t>
        </w:r>
        <w:r w:rsidR="007113E9">
          <w:rPr>
            <w:spacing w:val="0"/>
            <w:sz w:val="22"/>
            <w:szCs w:val="22"/>
            <w:lang w:eastAsia="en-AU"/>
          </w:rPr>
          <w:tab/>
        </w:r>
        <w:r w:rsidR="007113E9" w:rsidRPr="00515AE4">
          <w:rPr>
            <w:rStyle w:val="Hyperlink"/>
          </w:rPr>
          <w:t>Guidance material</w:t>
        </w:r>
        <w:r w:rsidR="007113E9">
          <w:rPr>
            <w:webHidden/>
          </w:rPr>
          <w:tab/>
        </w:r>
        <w:r w:rsidR="007113E9">
          <w:rPr>
            <w:webHidden/>
          </w:rPr>
          <w:fldChar w:fldCharType="begin"/>
        </w:r>
        <w:r w:rsidR="007113E9">
          <w:rPr>
            <w:webHidden/>
          </w:rPr>
          <w:instrText xml:space="preserve"> PAGEREF _Toc85033640 \h </w:instrText>
        </w:r>
        <w:r w:rsidR="007113E9">
          <w:rPr>
            <w:webHidden/>
          </w:rPr>
        </w:r>
        <w:r w:rsidR="007113E9">
          <w:rPr>
            <w:webHidden/>
          </w:rPr>
          <w:fldChar w:fldCharType="separate"/>
        </w:r>
        <w:r w:rsidR="00526B41">
          <w:rPr>
            <w:webHidden/>
          </w:rPr>
          <w:t>10</w:t>
        </w:r>
        <w:r w:rsidR="007113E9">
          <w:rPr>
            <w:webHidden/>
          </w:rPr>
          <w:fldChar w:fldCharType="end"/>
        </w:r>
      </w:hyperlink>
    </w:p>
    <w:p w14:paraId="34DE8E28" w14:textId="1AA1CFF8" w:rsidR="007113E9" w:rsidRDefault="007155A0">
      <w:pPr>
        <w:pStyle w:val="TOC6"/>
        <w:tabs>
          <w:tab w:val="left" w:pos="1800"/>
        </w:tabs>
        <w:rPr>
          <w:color w:val="auto"/>
          <w:sz w:val="22"/>
          <w:szCs w:val="22"/>
          <w:lang w:eastAsia="en-AU"/>
        </w:rPr>
      </w:pPr>
      <w:hyperlink w:anchor="_Toc85033641" w:history="1">
        <w:r w:rsidR="007113E9" w:rsidRPr="00515AE4">
          <w:rPr>
            <w:rStyle w:val="Hyperlink"/>
          </w:rPr>
          <w:t>3.4.1</w:t>
        </w:r>
        <w:r w:rsidR="007113E9">
          <w:rPr>
            <w:color w:val="auto"/>
            <w:sz w:val="22"/>
            <w:szCs w:val="22"/>
            <w:lang w:eastAsia="en-AU"/>
          </w:rPr>
          <w:tab/>
        </w:r>
        <w:r w:rsidR="007113E9" w:rsidRPr="00515AE4">
          <w:rPr>
            <w:rStyle w:val="Hyperlink"/>
          </w:rPr>
          <w:t>Discount rates</w:t>
        </w:r>
        <w:r w:rsidR="007113E9">
          <w:rPr>
            <w:webHidden/>
          </w:rPr>
          <w:tab/>
        </w:r>
        <w:r w:rsidR="007113E9">
          <w:rPr>
            <w:webHidden/>
          </w:rPr>
          <w:fldChar w:fldCharType="begin"/>
        </w:r>
        <w:r w:rsidR="007113E9">
          <w:rPr>
            <w:webHidden/>
          </w:rPr>
          <w:instrText xml:space="preserve"> PAGEREF _Toc85033641 \h </w:instrText>
        </w:r>
        <w:r w:rsidR="007113E9">
          <w:rPr>
            <w:webHidden/>
          </w:rPr>
        </w:r>
        <w:r w:rsidR="007113E9">
          <w:rPr>
            <w:webHidden/>
          </w:rPr>
          <w:fldChar w:fldCharType="separate"/>
        </w:r>
        <w:r w:rsidR="00526B41">
          <w:rPr>
            <w:webHidden/>
          </w:rPr>
          <w:t>10</w:t>
        </w:r>
        <w:r w:rsidR="007113E9">
          <w:rPr>
            <w:webHidden/>
          </w:rPr>
          <w:fldChar w:fldCharType="end"/>
        </w:r>
      </w:hyperlink>
    </w:p>
    <w:p w14:paraId="5900624E" w14:textId="32FDC1F0" w:rsidR="007113E9" w:rsidRDefault="007155A0">
      <w:pPr>
        <w:pStyle w:val="TOC5"/>
        <w:tabs>
          <w:tab w:val="left" w:pos="1080"/>
        </w:tabs>
        <w:rPr>
          <w:spacing w:val="0"/>
          <w:sz w:val="22"/>
          <w:szCs w:val="22"/>
          <w:lang w:eastAsia="en-AU"/>
        </w:rPr>
      </w:pPr>
      <w:hyperlink w:anchor="_Toc85033642" w:history="1">
        <w:r w:rsidR="007113E9" w:rsidRPr="00515AE4">
          <w:rPr>
            <w:rStyle w:val="Hyperlink"/>
          </w:rPr>
          <w:t>3.5</w:t>
        </w:r>
        <w:r w:rsidR="007113E9">
          <w:rPr>
            <w:spacing w:val="0"/>
            <w:sz w:val="22"/>
            <w:szCs w:val="22"/>
            <w:lang w:eastAsia="en-AU"/>
          </w:rPr>
          <w:tab/>
        </w:r>
        <w:r w:rsidR="007113E9" w:rsidRPr="00515AE4">
          <w:rPr>
            <w:rStyle w:val="Hyperlink"/>
          </w:rPr>
          <w:t>Endorsement</w:t>
        </w:r>
        <w:r w:rsidR="007113E9">
          <w:rPr>
            <w:webHidden/>
          </w:rPr>
          <w:tab/>
        </w:r>
        <w:r w:rsidR="007113E9">
          <w:rPr>
            <w:webHidden/>
          </w:rPr>
          <w:fldChar w:fldCharType="begin"/>
        </w:r>
        <w:r w:rsidR="007113E9">
          <w:rPr>
            <w:webHidden/>
          </w:rPr>
          <w:instrText xml:space="preserve"> PAGEREF _Toc85033642 \h </w:instrText>
        </w:r>
        <w:r w:rsidR="007113E9">
          <w:rPr>
            <w:webHidden/>
          </w:rPr>
        </w:r>
        <w:r w:rsidR="007113E9">
          <w:rPr>
            <w:webHidden/>
          </w:rPr>
          <w:fldChar w:fldCharType="separate"/>
        </w:r>
        <w:r w:rsidR="00526B41">
          <w:rPr>
            <w:webHidden/>
          </w:rPr>
          <w:t>11</w:t>
        </w:r>
        <w:r w:rsidR="007113E9">
          <w:rPr>
            <w:webHidden/>
          </w:rPr>
          <w:fldChar w:fldCharType="end"/>
        </w:r>
      </w:hyperlink>
    </w:p>
    <w:p w14:paraId="7EC83900" w14:textId="16C37FAC" w:rsidR="007113E9" w:rsidRDefault="007155A0">
      <w:pPr>
        <w:pStyle w:val="TOC4"/>
        <w:rPr>
          <w:color w:val="auto"/>
          <w:sz w:val="22"/>
          <w:szCs w:val="22"/>
          <w:lang w:eastAsia="en-AU"/>
        </w:rPr>
      </w:pPr>
      <w:hyperlink w:anchor="_Toc85033643" w:history="1">
        <w:r w:rsidR="007113E9" w:rsidRPr="00515AE4">
          <w:rPr>
            <w:rStyle w:val="Hyperlink"/>
          </w:rPr>
          <w:t>4.</w:t>
        </w:r>
        <w:r w:rsidR="007113E9">
          <w:rPr>
            <w:color w:val="auto"/>
            <w:sz w:val="22"/>
            <w:szCs w:val="22"/>
            <w:lang w:eastAsia="en-AU"/>
          </w:rPr>
          <w:tab/>
        </w:r>
        <w:r w:rsidR="007113E9" w:rsidRPr="00515AE4">
          <w:rPr>
            <w:rStyle w:val="Hyperlink"/>
          </w:rPr>
          <w:t>Quarterly reporting</w:t>
        </w:r>
        <w:r w:rsidR="007113E9">
          <w:rPr>
            <w:webHidden/>
          </w:rPr>
          <w:tab/>
        </w:r>
        <w:r w:rsidR="007113E9">
          <w:rPr>
            <w:webHidden/>
          </w:rPr>
          <w:fldChar w:fldCharType="begin"/>
        </w:r>
        <w:r w:rsidR="007113E9">
          <w:rPr>
            <w:webHidden/>
          </w:rPr>
          <w:instrText xml:space="preserve"> PAGEREF _Toc85033643 \h </w:instrText>
        </w:r>
        <w:r w:rsidR="007113E9">
          <w:rPr>
            <w:webHidden/>
          </w:rPr>
        </w:r>
        <w:r w:rsidR="007113E9">
          <w:rPr>
            <w:webHidden/>
          </w:rPr>
          <w:fldChar w:fldCharType="separate"/>
        </w:r>
        <w:r w:rsidR="00526B41">
          <w:rPr>
            <w:webHidden/>
          </w:rPr>
          <w:t>12</w:t>
        </w:r>
        <w:r w:rsidR="007113E9">
          <w:rPr>
            <w:webHidden/>
          </w:rPr>
          <w:fldChar w:fldCharType="end"/>
        </w:r>
      </w:hyperlink>
    </w:p>
    <w:p w14:paraId="623FC011" w14:textId="23DC159C" w:rsidR="007113E9" w:rsidRDefault="007155A0">
      <w:pPr>
        <w:pStyle w:val="TOC5"/>
        <w:tabs>
          <w:tab w:val="left" w:pos="1080"/>
        </w:tabs>
        <w:rPr>
          <w:spacing w:val="0"/>
          <w:sz w:val="22"/>
          <w:szCs w:val="22"/>
          <w:lang w:eastAsia="en-AU"/>
        </w:rPr>
      </w:pPr>
      <w:hyperlink w:anchor="_Toc85033644" w:history="1">
        <w:r w:rsidR="007113E9" w:rsidRPr="00515AE4">
          <w:rPr>
            <w:rStyle w:val="Hyperlink"/>
          </w:rPr>
          <w:t>4.1</w:t>
        </w:r>
        <w:r w:rsidR="007113E9">
          <w:rPr>
            <w:spacing w:val="0"/>
            <w:sz w:val="22"/>
            <w:szCs w:val="22"/>
            <w:lang w:eastAsia="en-AU"/>
          </w:rPr>
          <w:tab/>
        </w:r>
        <w:r w:rsidR="007113E9" w:rsidRPr="00515AE4">
          <w:rPr>
            <w:rStyle w:val="Hyperlink"/>
          </w:rPr>
          <w:t>Quarterly performance reports</w:t>
        </w:r>
        <w:r w:rsidR="007113E9">
          <w:rPr>
            <w:webHidden/>
          </w:rPr>
          <w:tab/>
        </w:r>
        <w:r w:rsidR="007113E9">
          <w:rPr>
            <w:webHidden/>
          </w:rPr>
          <w:fldChar w:fldCharType="begin"/>
        </w:r>
        <w:r w:rsidR="007113E9">
          <w:rPr>
            <w:webHidden/>
          </w:rPr>
          <w:instrText xml:space="preserve"> PAGEREF _Toc85033644 \h </w:instrText>
        </w:r>
        <w:r w:rsidR="007113E9">
          <w:rPr>
            <w:webHidden/>
          </w:rPr>
        </w:r>
        <w:r w:rsidR="007113E9">
          <w:rPr>
            <w:webHidden/>
          </w:rPr>
          <w:fldChar w:fldCharType="separate"/>
        </w:r>
        <w:r w:rsidR="00526B41">
          <w:rPr>
            <w:webHidden/>
          </w:rPr>
          <w:t>12</w:t>
        </w:r>
        <w:r w:rsidR="007113E9">
          <w:rPr>
            <w:webHidden/>
          </w:rPr>
          <w:fldChar w:fldCharType="end"/>
        </w:r>
      </w:hyperlink>
    </w:p>
    <w:p w14:paraId="42B82ACF" w14:textId="2330A4EC" w:rsidR="007113E9" w:rsidRDefault="007155A0">
      <w:pPr>
        <w:pStyle w:val="TOC5"/>
        <w:tabs>
          <w:tab w:val="left" w:pos="1080"/>
        </w:tabs>
        <w:rPr>
          <w:spacing w:val="0"/>
          <w:sz w:val="22"/>
          <w:szCs w:val="22"/>
          <w:lang w:eastAsia="en-AU"/>
        </w:rPr>
      </w:pPr>
      <w:hyperlink w:anchor="_Toc85033645" w:history="1">
        <w:r w:rsidR="007113E9" w:rsidRPr="00515AE4">
          <w:rPr>
            <w:rStyle w:val="Hyperlink"/>
          </w:rPr>
          <w:t>4.2</w:t>
        </w:r>
        <w:r w:rsidR="007113E9">
          <w:rPr>
            <w:spacing w:val="0"/>
            <w:sz w:val="22"/>
            <w:szCs w:val="22"/>
            <w:lang w:eastAsia="en-AU"/>
          </w:rPr>
          <w:tab/>
        </w:r>
        <w:r w:rsidR="007113E9" w:rsidRPr="00515AE4">
          <w:rPr>
            <w:rStyle w:val="Hyperlink"/>
          </w:rPr>
          <w:t>Continuous disclosure requirements</w:t>
        </w:r>
        <w:r w:rsidR="007113E9">
          <w:rPr>
            <w:webHidden/>
          </w:rPr>
          <w:tab/>
        </w:r>
        <w:r w:rsidR="007113E9">
          <w:rPr>
            <w:webHidden/>
          </w:rPr>
          <w:fldChar w:fldCharType="begin"/>
        </w:r>
        <w:r w:rsidR="007113E9">
          <w:rPr>
            <w:webHidden/>
          </w:rPr>
          <w:instrText xml:space="preserve"> PAGEREF _Toc85033645 \h </w:instrText>
        </w:r>
        <w:r w:rsidR="007113E9">
          <w:rPr>
            <w:webHidden/>
          </w:rPr>
        </w:r>
        <w:r w:rsidR="007113E9">
          <w:rPr>
            <w:webHidden/>
          </w:rPr>
          <w:fldChar w:fldCharType="separate"/>
        </w:r>
        <w:r w:rsidR="00526B41">
          <w:rPr>
            <w:webHidden/>
          </w:rPr>
          <w:t>12</w:t>
        </w:r>
        <w:r w:rsidR="007113E9">
          <w:rPr>
            <w:webHidden/>
          </w:rPr>
          <w:fldChar w:fldCharType="end"/>
        </w:r>
      </w:hyperlink>
    </w:p>
    <w:p w14:paraId="2E4F30D9" w14:textId="08CDE6D2" w:rsidR="007113E9" w:rsidRDefault="007155A0">
      <w:pPr>
        <w:pStyle w:val="TOC5"/>
        <w:tabs>
          <w:tab w:val="left" w:pos="1080"/>
        </w:tabs>
        <w:rPr>
          <w:spacing w:val="0"/>
          <w:sz w:val="22"/>
          <w:szCs w:val="22"/>
          <w:lang w:eastAsia="en-AU"/>
        </w:rPr>
      </w:pPr>
      <w:hyperlink w:anchor="_Toc85033646" w:history="1">
        <w:r w:rsidR="007113E9" w:rsidRPr="00515AE4">
          <w:rPr>
            <w:rStyle w:val="Hyperlink"/>
          </w:rPr>
          <w:t>4.3</w:t>
        </w:r>
        <w:r w:rsidR="007113E9">
          <w:rPr>
            <w:spacing w:val="0"/>
            <w:sz w:val="22"/>
            <w:szCs w:val="22"/>
            <w:lang w:eastAsia="en-AU"/>
          </w:rPr>
          <w:tab/>
        </w:r>
        <w:r w:rsidR="007113E9" w:rsidRPr="00515AE4">
          <w:rPr>
            <w:rStyle w:val="Hyperlink"/>
          </w:rPr>
          <w:t>Endorsement</w:t>
        </w:r>
        <w:r w:rsidR="007113E9">
          <w:rPr>
            <w:webHidden/>
          </w:rPr>
          <w:tab/>
        </w:r>
        <w:r w:rsidR="007113E9">
          <w:rPr>
            <w:webHidden/>
          </w:rPr>
          <w:fldChar w:fldCharType="begin"/>
        </w:r>
        <w:r w:rsidR="007113E9">
          <w:rPr>
            <w:webHidden/>
          </w:rPr>
          <w:instrText xml:space="preserve"> PAGEREF _Toc85033646 \h </w:instrText>
        </w:r>
        <w:r w:rsidR="007113E9">
          <w:rPr>
            <w:webHidden/>
          </w:rPr>
        </w:r>
        <w:r w:rsidR="007113E9">
          <w:rPr>
            <w:webHidden/>
          </w:rPr>
          <w:fldChar w:fldCharType="separate"/>
        </w:r>
        <w:r w:rsidR="00526B41">
          <w:rPr>
            <w:webHidden/>
          </w:rPr>
          <w:t>13</w:t>
        </w:r>
        <w:r w:rsidR="007113E9">
          <w:rPr>
            <w:webHidden/>
          </w:rPr>
          <w:fldChar w:fldCharType="end"/>
        </w:r>
      </w:hyperlink>
    </w:p>
    <w:p w14:paraId="2F11D305" w14:textId="1068565C" w:rsidR="007113E9" w:rsidRDefault="007155A0">
      <w:pPr>
        <w:pStyle w:val="TOC5"/>
        <w:tabs>
          <w:tab w:val="left" w:pos="1080"/>
        </w:tabs>
        <w:rPr>
          <w:spacing w:val="0"/>
          <w:sz w:val="22"/>
          <w:szCs w:val="22"/>
          <w:lang w:eastAsia="en-AU"/>
        </w:rPr>
      </w:pPr>
      <w:hyperlink w:anchor="_Toc85033647" w:history="1">
        <w:r w:rsidR="007113E9" w:rsidRPr="00515AE4">
          <w:rPr>
            <w:rStyle w:val="Hyperlink"/>
          </w:rPr>
          <w:t>4.4</w:t>
        </w:r>
        <w:r w:rsidR="007113E9">
          <w:rPr>
            <w:spacing w:val="0"/>
            <w:sz w:val="22"/>
            <w:szCs w:val="22"/>
            <w:lang w:eastAsia="en-AU"/>
          </w:rPr>
          <w:tab/>
        </w:r>
        <w:r w:rsidR="007113E9" w:rsidRPr="00515AE4">
          <w:rPr>
            <w:rStyle w:val="Hyperlink"/>
          </w:rPr>
          <w:t>Key dates</w:t>
        </w:r>
        <w:r w:rsidR="007113E9">
          <w:rPr>
            <w:webHidden/>
          </w:rPr>
          <w:tab/>
        </w:r>
        <w:r w:rsidR="007113E9">
          <w:rPr>
            <w:webHidden/>
          </w:rPr>
          <w:fldChar w:fldCharType="begin"/>
        </w:r>
        <w:r w:rsidR="007113E9">
          <w:rPr>
            <w:webHidden/>
          </w:rPr>
          <w:instrText xml:space="preserve"> PAGEREF _Toc85033647 \h </w:instrText>
        </w:r>
        <w:r w:rsidR="007113E9">
          <w:rPr>
            <w:webHidden/>
          </w:rPr>
        </w:r>
        <w:r w:rsidR="007113E9">
          <w:rPr>
            <w:webHidden/>
          </w:rPr>
          <w:fldChar w:fldCharType="separate"/>
        </w:r>
        <w:r w:rsidR="00526B41">
          <w:rPr>
            <w:webHidden/>
          </w:rPr>
          <w:t>13</w:t>
        </w:r>
        <w:r w:rsidR="007113E9">
          <w:rPr>
            <w:webHidden/>
          </w:rPr>
          <w:fldChar w:fldCharType="end"/>
        </w:r>
      </w:hyperlink>
    </w:p>
    <w:p w14:paraId="59D926A7" w14:textId="762F94C2" w:rsidR="007113E9" w:rsidRDefault="007155A0">
      <w:pPr>
        <w:pStyle w:val="TOC4"/>
        <w:rPr>
          <w:color w:val="auto"/>
          <w:sz w:val="22"/>
          <w:szCs w:val="22"/>
          <w:lang w:eastAsia="en-AU"/>
        </w:rPr>
      </w:pPr>
      <w:hyperlink w:anchor="_Toc85033648" w:history="1">
        <w:r w:rsidR="007113E9" w:rsidRPr="00515AE4">
          <w:rPr>
            <w:rStyle w:val="Hyperlink"/>
          </w:rPr>
          <w:t>5.</w:t>
        </w:r>
        <w:r w:rsidR="007113E9">
          <w:rPr>
            <w:color w:val="auto"/>
            <w:sz w:val="22"/>
            <w:szCs w:val="22"/>
            <w:lang w:eastAsia="en-AU"/>
          </w:rPr>
          <w:tab/>
        </w:r>
        <w:r w:rsidR="007113E9" w:rsidRPr="00515AE4">
          <w:rPr>
            <w:rStyle w:val="Hyperlink"/>
          </w:rPr>
          <w:t>Annual reports</w:t>
        </w:r>
        <w:r w:rsidR="007113E9">
          <w:rPr>
            <w:webHidden/>
          </w:rPr>
          <w:tab/>
        </w:r>
        <w:r w:rsidR="007113E9">
          <w:rPr>
            <w:webHidden/>
          </w:rPr>
          <w:fldChar w:fldCharType="begin"/>
        </w:r>
        <w:r w:rsidR="007113E9">
          <w:rPr>
            <w:webHidden/>
          </w:rPr>
          <w:instrText xml:space="preserve"> PAGEREF _Toc85033648 \h </w:instrText>
        </w:r>
        <w:r w:rsidR="007113E9">
          <w:rPr>
            <w:webHidden/>
          </w:rPr>
        </w:r>
        <w:r w:rsidR="007113E9">
          <w:rPr>
            <w:webHidden/>
          </w:rPr>
          <w:fldChar w:fldCharType="separate"/>
        </w:r>
        <w:r w:rsidR="00526B41">
          <w:rPr>
            <w:webHidden/>
          </w:rPr>
          <w:t>13</w:t>
        </w:r>
        <w:r w:rsidR="007113E9">
          <w:rPr>
            <w:webHidden/>
          </w:rPr>
          <w:fldChar w:fldCharType="end"/>
        </w:r>
      </w:hyperlink>
    </w:p>
    <w:p w14:paraId="7AACCB93" w14:textId="0D873C4F" w:rsidR="007113E9" w:rsidRDefault="007155A0">
      <w:pPr>
        <w:pStyle w:val="TOC5"/>
        <w:tabs>
          <w:tab w:val="left" w:pos="1080"/>
        </w:tabs>
        <w:rPr>
          <w:spacing w:val="0"/>
          <w:sz w:val="22"/>
          <w:szCs w:val="22"/>
          <w:lang w:eastAsia="en-AU"/>
        </w:rPr>
      </w:pPr>
      <w:hyperlink w:anchor="_Toc85033649" w:history="1">
        <w:r w:rsidR="007113E9" w:rsidRPr="00515AE4">
          <w:rPr>
            <w:rStyle w:val="Hyperlink"/>
          </w:rPr>
          <w:t>5.1</w:t>
        </w:r>
        <w:r w:rsidR="007113E9">
          <w:rPr>
            <w:spacing w:val="0"/>
            <w:sz w:val="22"/>
            <w:szCs w:val="22"/>
            <w:lang w:eastAsia="en-AU"/>
          </w:rPr>
          <w:tab/>
        </w:r>
        <w:r w:rsidR="007113E9" w:rsidRPr="00515AE4">
          <w:rPr>
            <w:rStyle w:val="Hyperlink"/>
          </w:rPr>
          <w:t>Content of annual reports</w:t>
        </w:r>
        <w:r w:rsidR="007113E9">
          <w:rPr>
            <w:webHidden/>
          </w:rPr>
          <w:tab/>
        </w:r>
        <w:r w:rsidR="007113E9">
          <w:rPr>
            <w:webHidden/>
          </w:rPr>
          <w:fldChar w:fldCharType="begin"/>
        </w:r>
        <w:r w:rsidR="007113E9">
          <w:rPr>
            <w:webHidden/>
          </w:rPr>
          <w:instrText xml:space="preserve"> PAGEREF _Toc85033649 \h </w:instrText>
        </w:r>
        <w:r w:rsidR="007113E9">
          <w:rPr>
            <w:webHidden/>
          </w:rPr>
        </w:r>
        <w:r w:rsidR="007113E9">
          <w:rPr>
            <w:webHidden/>
          </w:rPr>
          <w:fldChar w:fldCharType="separate"/>
        </w:r>
        <w:r w:rsidR="00526B41">
          <w:rPr>
            <w:webHidden/>
          </w:rPr>
          <w:t>13</w:t>
        </w:r>
        <w:r w:rsidR="007113E9">
          <w:rPr>
            <w:webHidden/>
          </w:rPr>
          <w:fldChar w:fldCharType="end"/>
        </w:r>
      </w:hyperlink>
    </w:p>
    <w:p w14:paraId="520AD0B8" w14:textId="533E5F25" w:rsidR="007113E9" w:rsidRDefault="007155A0">
      <w:pPr>
        <w:pStyle w:val="TOC5"/>
        <w:tabs>
          <w:tab w:val="left" w:pos="1080"/>
        </w:tabs>
        <w:rPr>
          <w:spacing w:val="0"/>
          <w:sz w:val="22"/>
          <w:szCs w:val="22"/>
          <w:lang w:eastAsia="en-AU"/>
        </w:rPr>
      </w:pPr>
      <w:hyperlink w:anchor="_Toc85033650" w:history="1">
        <w:r w:rsidR="007113E9" w:rsidRPr="00515AE4">
          <w:rPr>
            <w:rStyle w:val="Hyperlink"/>
          </w:rPr>
          <w:t>5.2</w:t>
        </w:r>
        <w:r w:rsidR="007113E9">
          <w:rPr>
            <w:spacing w:val="0"/>
            <w:sz w:val="22"/>
            <w:szCs w:val="22"/>
            <w:lang w:eastAsia="en-AU"/>
          </w:rPr>
          <w:tab/>
        </w:r>
        <w:r w:rsidR="007113E9" w:rsidRPr="00515AE4">
          <w:rPr>
            <w:rStyle w:val="Hyperlink"/>
          </w:rPr>
          <w:t>Tabling requirements</w:t>
        </w:r>
        <w:r w:rsidR="007113E9">
          <w:rPr>
            <w:webHidden/>
          </w:rPr>
          <w:tab/>
        </w:r>
        <w:r w:rsidR="007113E9">
          <w:rPr>
            <w:webHidden/>
          </w:rPr>
          <w:fldChar w:fldCharType="begin"/>
        </w:r>
        <w:r w:rsidR="007113E9">
          <w:rPr>
            <w:webHidden/>
          </w:rPr>
          <w:instrText xml:space="preserve"> PAGEREF _Toc85033650 \h </w:instrText>
        </w:r>
        <w:r w:rsidR="007113E9">
          <w:rPr>
            <w:webHidden/>
          </w:rPr>
        </w:r>
        <w:r w:rsidR="007113E9">
          <w:rPr>
            <w:webHidden/>
          </w:rPr>
          <w:fldChar w:fldCharType="separate"/>
        </w:r>
        <w:r w:rsidR="00526B41">
          <w:rPr>
            <w:webHidden/>
          </w:rPr>
          <w:t>14</w:t>
        </w:r>
        <w:r w:rsidR="007113E9">
          <w:rPr>
            <w:webHidden/>
          </w:rPr>
          <w:fldChar w:fldCharType="end"/>
        </w:r>
      </w:hyperlink>
    </w:p>
    <w:p w14:paraId="03F608AD" w14:textId="788619CB" w:rsidR="007113E9" w:rsidRDefault="007155A0">
      <w:pPr>
        <w:pStyle w:val="TOC5"/>
        <w:tabs>
          <w:tab w:val="left" w:pos="1080"/>
        </w:tabs>
        <w:rPr>
          <w:spacing w:val="0"/>
          <w:sz w:val="22"/>
          <w:szCs w:val="22"/>
          <w:lang w:eastAsia="en-AU"/>
        </w:rPr>
      </w:pPr>
      <w:hyperlink w:anchor="_Toc85033651" w:history="1">
        <w:r w:rsidR="007113E9" w:rsidRPr="00515AE4">
          <w:rPr>
            <w:rStyle w:val="Hyperlink"/>
          </w:rPr>
          <w:t>5.3</w:t>
        </w:r>
        <w:r w:rsidR="007113E9">
          <w:rPr>
            <w:spacing w:val="0"/>
            <w:sz w:val="22"/>
            <w:szCs w:val="22"/>
            <w:lang w:eastAsia="en-AU"/>
          </w:rPr>
          <w:tab/>
        </w:r>
        <w:r w:rsidR="007113E9" w:rsidRPr="00515AE4">
          <w:rPr>
            <w:rStyle w:val="Hyperlink"/>
          </w:rPr>
          <w:t>Endorsement</w:t>
        </w:r>
        <w:r w:rsidR="007113E9">
          <w:rPr>
            <w:webHidden/>
          </w:rPr>
          <w:tab/>
        </w:r>
        <w:r w:rsidR="007113E9">
          <w:rPr>
            <w:webHidden/>
          </w:rPr>
          <w:fldChar w:fldCharType="begin"/>
        </w:r>
        <w:r w:rsidR="007113E9">
          <w:rPr>
            <w:webHidden/>
          </w:rPr>
          <w:instrText xml:space="preserve"> PAGEREF _Toc85033651 \h </w:instrText>
        </w:r>
        <w:r w:rsidR="007113E9">
          <w:rPr>
            <w:webHidden/>
          </w:rPr>
        </w:r>
        <w:r w:rsidR="007113E9">
          <w:rPr>
            <w:webHidden/>
          </w:rPr>
          <w:fldChar w:fldCharType="separate"/>
        </w:r>
        <w:r w:rsidR="00526B41">
          <w:rPr>
            <w:webHidden/>
          </w:rPr>
          <w:t>14</w:t>
        </w:r>
        <w:r w:rsidR="007113E9">
          <w:rPr>
            <w:webHidden/>
          </w:rPr>
          <w:fldChar w:fldCharType="end"/>
        </w:r>
      </w:hyperlink>
    </w:p>
    <w:p w14:paraId="10B7828F" w14:textId="3507D70E" w:rsidR="007113E9" w:rsidRDefault="007155A0">
      <w:pPr>
        <w:pStyle w:val="TOC4"/>
        <w:rPr>
          <w:color w:val="auto"/>
          <w:sz w:val="22"/>
          <w:szCs w:val="22"/>
          <w:lang w:eastAsia="en-AU"/>
        </w:rPr>
      </w:pPr>
      <w:hyperlink w:anchor="_Toc85033652" w:history="1">
        <w:r w:rsidR="007113E9" w:rsidRPr="00515AE4">
          <w:rPr>
            <w:rStyle w:val="Hyperlink"/>
          </w:rPr>
          <w:t>6.</w:t>
        </w:r>
        <w:r w:rsidR="007113E9">
          <w:rPr>
            <w:color w:val="auto"/>
            <w:sz w:val="22"/>
            <w:szCs w:val="22"/>
            <w:lang w:eastAsia="en-AU"/>
          </w:rPr>
          <w:tab/>
        </w:r>
        <w:r w:rsidR="007113E9" w:rsidRPr="00515AE4">
          <w:rPr>
            <w:rStyle w:val="Hyperlink"/>
          </w:rPr>
          <w:t>Whole of government reporting</w:t>
        </w:r>
        <w:r w:rsidR="007113E9">
          <w:rPr>
            <w:webHidden/>
          </w:rPr>
          <w:tab/>
        </w:r>
        <w:r w:rsidR="007113E9">
          <w:rPr>
            <w:webHidden/>
          </w:rPr>
          <w:fldChar w:fldCharType="begin"/>
        </w:r>
        <w:r w:rsidR="007113E9">
          <w:rPr>
            <w:webHidden/>
          </w:rPr>
          <w:instrText xml:space="preserve"> PAGEREF _Toc85033652 \h </w:instrText>
        </w:r>
        <w:r w:rsidR="007113E9">
          <w:rPr>
            <w:webHidden/>
          </w:rPr>
        </w:r>
        <w:r w:rsidR="007113E9">
          <w:rPr>
            <w:webHidden/>
          </w:rPr>
          <w:fldChar w:fldCharType="separate"/>
        </w:r>
        <w:r w:rsidR="00526B41">
          <w:rPr>
            <w:webHidden/>
          </w:rPr>
          <w:t>14</w:t>
        </w:r>
        <w:r w:rsidR="007113E9">
          <w:rPr>
            <w:webHidden/>
          </w:rPr>
          <w:fldChar w:fldCharType="end"/>
        </w:r>
      </w:hyperlink>
    </w:p>
    <w:p w14:paraId="6B1853C8" w14:textId="7E5BA408" w:rsidR="007113E9" w:rsidRDefault="007155A0">
      <w:pPr>
        <w:pStyle w:val="TOC5"/>
        <w:tabs>
          <w:tab w:val="left" w:pos="1080"/>
        </w:tabs>
        <w:rPr>
          <w:spacing w:val="0"/>
          <w:sz w:val="22"/>
          <w:szCs w:val="22"/>
          <w:lang w:eastAsia="en-AU"/>
        </w:rPr>
      </w:pPr>
      <w:hyperlink w:anchor="_Toc85033653" w:history="1">
        <w:r w:rsidR="007113E9" w:rsidRPr="00515AE4">
          <w:rPr>
            <w:rStyle w:val="Hyperlink"/>
          </w:rPr>
          <w:t>6.1</w:t>
        </w:r>
        <w:r w:rsidR="007113E9">
          <w:rPr>
            <w:spacing w:val="0"/>
            <w:sz w:val="22"/>
            <w:szCs w:val="22"/>
            <w:lang w:eastAsia="en-AU"/>
          </w:rPr>
          <w:tab/>
        </w:r>
        <w:r w:rsidR="007113E9" w:rsidRPr="00515AE4">
          <w:rPr>
            <w:rStyle w:val="Hyperlink"/>
          </w:rPr>
          <w:t>Criticality of whole of government reporting</w:t>
        </w:r>
        <w:r w:rsidR="007113E9">
          <w:rPr>
            <w:webHidden/>
          </w:rPr>
          <w:tab/>
        </w:r>
        <w:r w:rsidR="007113E9">
          <w:rPr>
            <w:webHidden/>
          </w:rPr>
          <w:fldChar w:fldCharType="begin"/>
        </w:r>
        <w:r w:rsidR="007113E9">
          <w:rPr>
            <w:webHidden/>
          </w:rPr>
          <w:instrText xml:space="preserve"> PAGEREF _Toc85033653 \h </w:instrText>
        </w:r>
        <w:r w:rsidR="007113E9">
          <w:rPr>
            <w:webHidden/>
          </w:rPr>
        </w:r>
        <w:r w:rsidR="007113E9">
          <w:rPr>
            <w:webHidden/>
          </w:rPr>
          <w:fldChar w:fldCharType="separate"/>
        </w:r>
        <w:r w:rsidR="00526B41">
          <w:rPr>
            <w:webHidden/>
          </w:rPr>
          <w:t>14</w:t>
        </w:r>
        <w:r w:rsidR="007113E9">
          <w:rPr>
            <w:webHidden/>
          </w:rPr>
          <w:fldChar w:fldCharType="end"/>
        </w:r>
      </w:hyperlink>
    </w:p>
    <w:p w14:paraId="1F530377" w14:textId="453DAA0F" w:rsidR="007113E9" w:rsidRDefault="007155A0">
      <w:pPr>
        <w:pStyle w:val="TOC5"/>
        <w:tabs>
          <w:tab w:val="left" w:pos="1080"/>
        </w:tabs>
        <w:rPr>
          <w:spacing w:val="0"/>
          <w:sz w:val="22"/>
          <w:szCs w:val="22"/>
          <w:lang w:eastAsia="en-AU"/>
        </w:rPr>
      </w:pPr>
      <w:hyperlink w:anchor="_Toc85033654" w:history="1">
        <w:r w:rsidR="007113E9" w:rsidRPr="00515AE4">
          <w:rPr>
            <w:rStyle w:val="Hyperlink"/>
          </w:rPr>
          <w:t>6.2</w:t>
        </w:r>
        <w:r w:rsidR="007113E9">
          <w:rPr>
            <w:spacing w:val="0"/>
            <w:sz w:val="22"/>
            <w:szCs w:val="22"/>
            <w:lang w:eastAsia="en-AU"/>
          </w:rPr>
          <w:tab/>
        </w:r>
        <w:r w:rsidR="007113E9" w:rsidRPr="00515AE4">
          <w:rPr>
            <w:rStyle w:val="Hyperlink"/>
          </w:rPr>
          <w:t>Data uploads</w:t>
        </w:r>
        <w:r w:rsidR="007113E9">
          <w:rPr>
            <w:webHidden/>
          </w:rPr>
          <w:tab/>
        </w:r>
        <w:r w:rsidR="007113E9">
          <w:rPr>
            <w:webHidden/>
          </w:rPr>
          <w:fldChar w:fldCharType="begin"/>
        </w:r>
        <w:r w:rsidR="007113E9">
          <w:rPr>
            <w:webHidden/>
          </w:rPr>
          <w:instrText xml:space="preserve"> PAGEREF _Toc85033654 \h </w:instrText>
        </w:r>
        <w:r w:rsidR="007113E9">
          <w:rPr>
            <w:webHidden/>
          </w:rPr>
        </w:r>
        <w:r w:rsidR="007113E9">
          <w:rPr>
            <w:webHidden/>
          </w:rPr>
          <w:fldChar w:fldCharType="separate"/>
        </w:r>
        <w:r w:rsidR="00526B41">
          <w:rPr>
            <w:webHidden/>
          </w:rPr>
          <w:t>15</w:t>
        </w:r>
        <w:r w:rsidR="007113E9">
          <w:rPr>
            <w:webHidden/>
          </w:rPr>
          <w:fldChar w:fldCharType="end"/>
        </w:r>
      </w:hyperlink>
    </w:p>
    <w:p w14:paraId="4EB89D9C" w14:textId="674A96A6" w:rsidR="007113E9" w:rsidRDefault="007155A0">
      <w:pPr>
        <w:pStyle w:val="TOC5"/>
        <w:tabs>
          <w:tab w:val="left" w:pos="1080"/>
        </w:tabs>
        <w:rPr>
          <w:spacing w:val="0"/>
          <w:sz w:val="22"/>
          <w:szCs w:val="22"/>
          <w:lang w:eastAsia="en-AU"/>
        </w:rPr>
      </w:pPr>
      <w:hyperlink w:anchor="_Toc85033655" w:history="1">
        <w:r w:rsidR="007113E9" w:rsidRPr="00515AE4">
          <w:rPr>
            <w:rStyle w:val="Hyperlink"/>
          </w:rPr>
          <w:t>6.3</w:t>
        </w:r>
        <w:r w:rsidR="007113E9">
          <w:rPr>
            <w:spacing w:val="0"/>
            <w:sz w:val="22"/>
            <w:szCs w:val="22"/>
            <w:lang w:eastAsia="en-AU"/>
          </w:rPr>
          <w:tab/>
        </w:r>
        <w:r w:rsidR="007113E9" w:rsidRPr="00515AE4">
          <w:rPr>
            <w:rStyle w:val="Hyperlink"/>
          </w:rPr>
          <w:t>DTF data review</w:t>
        </w:r>
        <w:r w:rsidR="007113E9">
          <w:rPr>
            <w:webHidden/>
          </w:rPr>
          <w:tab/>
        </w:r>
        <w:r w:rsidR="007113E9">
          <w:rPr>
            <w:webHidden/>
          </w:rPr>
          <w:fldChar w:fldCharType="begin"/>
        </w:r>
        <w:r w:rsidR="007113E9">
          <w:rPr>
            <w:webHidden/>
          </w:rPr>
          <w:instrText xml:space="preserve"> PAGEREF _Toc85033655 \h </w:instrText>
        </w:r>
        <w:r w:rsidR="007113E9">
          <w:rPr>
            <w:webHidden/>
          </w:rPr>
        </w:r>
        <w:r w:rsidR="007113E9">
          <w:rPr>
            <w:webHidden/>
          </w:rPr>
          <w:fldChar w:fldCharType="separate"/>
        </w:r>
        <w:r w:rsidR="00526B41">
          <w:rPr>
            <w:webHidden/>
          </w:rPr>
          <w:t>15</w:t>
        </w:r>
        <w:r w:rsidR="007113E9">
          <w:rPr>
            <w:webHidden/>
          </w:rPr>
          <w:fldChar w:fldCharType="end"/>
        </w:r>
      </w:hyperlink>
    </w:p>
    <w:p w14:paraId="1B83380D" w14:textId="270C8577" w:rsidR="007113E9" w:rsidRDefault="007155A0">
      <w:pPr>
        <w:pStyle w:val="TOC5"/>
        <w:tabs>
          <w:tab w:val="left" w:pos="1080"/>
        </w:tabs>
        <w:rPr>
          <w:spacing w:val="0"/>
          <w:sz w:val="22"/>
          <w:szCs w:val="22"/>
          <w:lang w:eastAsia="en-AU"/>
        </w:rPr>
      </w:pPr>
      <w:hyperlink w:anchor="_Toc85033656" w:history="1">
        <w:r w:rsidR="007113E9" w:rsidRPr="00515AE4">
          <w:rPr>
            <w:rStyle w:val="Hyperlink"/>
          </w:rPr>
          <w:t>6.4</w:t>
        </w:r>
        <w:r w:rsidR="007113E9">
          <w:rPr>
            <w:spacing w:val="0"/>
            <w:sz w:val="22"/>
            <w:szCs w:val="22"/>
            <w:lang w:eastAsia="en-AU"/>
          </w:rPr>
          <w:tab/>
        </w:r>
        <w:r w:rsidR="007113E9" w:rsidRPr="00515AE4">
          <w:rPr>
            <w:rStyle w:val="Hyperlink"/>
          </w:rPr>
          <w:t>Endorsement</w:t>
        </w:r>
        <w:r w:rsidR="007113E9">
          <w:rPr>
            <w:webHidden/>
          </w:rPr>
          <w:tab/>
        </w:r>
        <w:r w:rsidR="007113E9">
          <w:rPr>
            <w:webHidden/>
          </w:rPr>
          <w:fldChar w:fldCharType="begin"/>
        </w:r>
        <w:r w:rsidR="007113E9">
          <w:rPr>
            <w:webHidden/>
          </w:rPr>
          <w:instrText xml:space="preserve"> PAGEREF _Toc85033656 \h </w:instrText>
        </w:r>
        <w:r w:rsidR="007113E9">
          <w:rPr>
            <w:webHidden/>
          </w:rPr>
        </w:r>
        <w:r w:rsidR="007113E9">
          <w:rPr>
            <w:webHidden/>
          </w:rPr>
          <w:fldChar w:fldCharType="separate"/>
        </w:r>
        <w:r w:rsidR="00526B41">
          <w:rPr>
            <w:webHidden/>
          </w:rPr>
          <w:t>15</w:t>
        </w:r>
        <w:r w:rsidR="007113E9">
          <w:rPr>
            <w:webHidden/>
          </w:rPr>
          <w:fldChar w:fldCharType="end"/>
        </w:r>
      </w:hyperlink>
    </w:p>
    <w:p w14:paraId="1409FE0D" w14:textId="252624DC" w:rsidR="007113E9" w:rsidRDefault="007155A0">
      <w:pPr>
        <w:pStyle w:val="TOC5"/>
        <w:tabs>
          <w:tab w:val="left" w:pos="1080"/>
        </w:tabs>
        <w:rPr>
          <w:spacing w:val="0"/>
          <w:sz w:val="22"/>
          <w:szCs w:val="22"/>
          <w:lang w:eastAsia="en-AU"/>
        </w:rPr>
      </w:pPr>
      <w:hyperlink w:anchor="_Toc85033657" w:history="1">
        <w:r w:rsidR="007113E9" w:rsidRPr="00515AE4">
          <w:rPr>
            <w:rStyle w:val="Hyperlink"/>
          </w:rPr>
          <w:t>6.5</w:t>
        </w:r>
        <w:r w:rsidR="007113E9">
          <w:rPr>
            <w:spacing w:val="0"/>
            <w:sz w:val="22"/>
            <w:szCs w:val="22"/>
            <w:lang w:eastAsia="en-AU"/>
          </w:rPr>
          <w:tab/>
        </w:r>
        <w:r w:rsidR="007113E9" w:rsidRPr="00515AE4">
          <w:rPr>
            <w:rStyle w:val="Hyperlink"/>
          </w:rPr>
          <w:t>Key dates</w:t>
        </w:r>
        <w:r w:rsidR="007113E9">
          <w:rPr>
            <w:webHidden/>
          </w:rPr>
          <w:tab/>
        </w:r>
        <w:r w:rsidR="007113E9">
          <w:rPr>
            <w:webHidden/>
          </w:rPr>
          <w:fldChar w:fldCharType="begin"/>
        </w:r>
        <w:r w:rsidR="007113E9">
          <w:rPr>
            <w:webHidden/>
          </w:rPr>
          <w:instrText xml:space="preserve"> PAGEREF _Toc85033657 \h </w:instrText>
        </w:r>
        <w:r w:rsidR="007113E9">
          <w:rPr>
            <w:webHidden/>
          </w:rPr>
        </w:r>
        <w:r w:rsidR="007113E9">
          <w:rPr>
            <w:webHidden/>
          </w:rPr>
          <w:fldChar w:fldCharType="separate"/>
        </w:r>
        <w:r w:rsidR="00526B41">
          <w:rPr>
            <w:webHidden/>
          </w:rPr>
          <w:t>16</w:t>
        </w:r>
        <w:r w:rsidR="007113E9">
          <w:rPr>
            <w:webHidden/>
          </w:rPr>
          <w:fldChar w:fldCharType="end"/>
        </w:r>
      </w:hyperlink>
    </w:p>
    <w:p w14:paraId="5E63FC75" w14:textId="74A0BAEF" w:rsidR="007113E9" w:rsidRDefault="007155A0">
      <w:pPr>
        <w:pStyle w:val="TOC4"/>
        <w:rPr>
          <w:color w:val="auto"/>
          <w:sz w:val="22"/>
          <w:szCs w:val="22"/>
          <w:lang w:eastAsia="en-AU"/>
        </w:rPr>
      </w:pPr>
      <w:hyperlink w:anchor="_Toc85033658" w:history="1">
        <w:r w:rsidR="007113E9" w:rsidRPr="00515AE4">
          <w:rPr>
            <w:rStyle w:val="Hyperlink"/>
          </w:rPr>
          <w:t>7.</w:t>
        </w:r>
        <w:r w:rsidR="007113E9">
          <w:rPr>
            <w:color w:val="auto"/>
            <w:sz w:val="22"/>
            <w:szCs w:val="22"/>
            <w:lang w:eastAsia="en-AU"/>
          </w:rPr>
          <w:tab/>
        </w:r>
        <w:r w:rsidR="007113E9" w:rsidRPr="00515AE4">
          <w:rPr>
            <w:rStyle w:val="Hyperlink"/>
          </w:rPr>
          <w:t>Capital structure and dividends/ distributions to government</w:t>
        </w:r>
        <w:r w:rsidR="007113E9">
          <w:rPr>
            <w:webHidden/>
          </w:rPr>
          <w:tab/>
        </w:r>
        <w:r w:rsidR="007113E9">
          <w:rPr>
            <w:webHidden/>
          </w:rPr>
          <w:fldChar w:fldCharType="begin"/>
        </w:r>
        <w:r w:rsidR="007113E9">
          <w:rPr>
            <w:webHidden/>
          </w:rPr>
          <w:instrText xml:space="preserve"> PAGEREF _Toc85033658 \h </w:instrText>
        </w:r>
        <w:r w:rsidR="007113E9">
          <w:rPr>
            <w:webHidden/>
          </w:rPr>
        </w:r>
        <w:r w:rsidR="007113E9">
          <w:rPr>
            <w:webHidden/>
          </w:rPr>
          <w:fldChar w:fldCharType="separate"/>
        </w:r>
        <w:r w:rsidR="00526B41">
          <w:rPr>
            <w:webHidden/>
          </w:rPr>
          <w:t>16</w:t>
        </w:r>
        <w:r w:rsidR="007113E9">
          <w:rPr>
            <w:webHidden/>
          </w:rPr>
          <w:fldChar w:fldCharType="end"/>
        </w:r>
      </w:hyperlink>
    </w:p>
    <w:p w14:paraId="3CD8F623" w14:textId="3CDAEF49" w:rsidR="007113E9" w:rsidRDefault="007155A0">
      <w:pPr>
        <w:pStyle w:val="TOC5"/>
        <w:tabs>
          <w:tab w:val="left" w:pos="1080"/>
        </w:tabs>
        <w:rPr>
          <w:spacing w:val="0"/>
          <w:sz w:val="22"/>
          <w:szCs w:val="22"/>
          <w:lang w:eastAsia="en-AU"/>
        </w:rPr>
      </w:pPr>
      <w:hyperlink w:anchor="_Toc85033659" w:history="1">
        <w:r w:rsidR="007113E9" w:rsidRPr="00515AE4">
          <w:rPr>
            <w:rStyle w:val="Hyperlink"/>
          </w:rPr>
          <w:t>7.1</w:t>
        </w:r>
        <w:r w:rsidR="007113E9">
          <w:rPr>
            <w:spacing w:val="0"/>
            <w:sz w:val="22"/>
            <w:szCs w:val="22"/>
            <w:lang w:eastAsia="en-AU"/>
          </w:rPr>
          <w:tab/>
        </w:r>
        <w:r w:rsidR="007113E9" w:rsidRPr="00515AE4">
          <w:rPr>
            <w:rStyle w:val="Hyperlink"/>
          </w:rPr>
          <w:t>Target capital structure</w:t>
        </w:r>
        <w:r w:rsidR="007113E9">
          <w:rPr>
            <w:webHidden/>
          </w:rPr>
          <w:tab/>
        </w:r>
        <w:r w:rsidR="007113E9">
          <w:rPr>
            <w:webHidden/>
          </w:rPr>
          <w:fldChar w:fldCharType="begin"/>
        </w:r>
        <w:r w:rsidR="007113E9">
          <w:rPr>
            <w:webHidden/>
          </w:rPr>
          <w:instrText xml:space="preserve"> PAGEREF _Toc85033659 \h </w:instrText>
        </w:r>
        <w:r w:rsidR="007113E9">
          <w:rPr>
            <w:webHidden/>
          </w:rPr>
        </w:r>
        <w:r w:rsidR="007113E9">
          <w:rPr>
            <w:webHidden/>
          </w:rPr>
          <w:fldChar w:fldCharType="separate"/>
        </w:r>
        <w:r w:rsidR="00526B41">
          <w:rPr>
            <w:webHidden/>
          </w:rPr>
          <w:t>16</w:t>
        </w:r>
        <w:r w:rsidR="007113E9">
          <w:rPr>
            <w:webHidden/>
          </w:rPr>
          <w:fldChar w:fldCharType="end"/>
        </w:r>
      </w:hyperlink>
    </w:p>
    <w:p w14:paraId="6A676A30" w14:textId="37D1300D" w:rsidR="007113E9" w:rsidRDefault="007155A0">
      <w:pPr>
        <w:pStyle w:val="TOC5"/>
        <w:tabs>
          <w:tab w:val="left" w:pos="1080"/>
        </w:tabs>
        <w:rPr>
          <w:spacing w:val="0"/>
          <w:sz w:val="22"/>
          <w:szCs w:val="22"/>
          <w:lang w:eastAsia="en-AU"/>
        </w:rPr>
      </w:pPr>
      <w:hyperlink w:anchor="_Toc85033660" w:history="1">
        <w:r w:rsidR="007113E9" w:rsidRPr="00515AE4">
          <w:rPr>
            <w:rStyle w:val="Hyperlink"/>
          </w:rPr>
          <w:t>7.2</w:t>
        </w:r>
        <w:r w:rsidR="007113E9">
          <w:rPr>
            <w:spacing w:val="0"/>
            <w:sz w:val="22"/>
            <w:szCs w:val="22"/>
            <w:lang w:eastAsia="en-AU"/>
          </w:rPr>
          <w:tab/>
        </w:r>
        <w:r w:rsidR="007113E9" w:rsidRPr="00515AE4">
          <w:rPr>
            <w:rStyle w:val="Hyperlink"/>
          </w:rPr>
          <w:t>Dividends</w:t>
        </w:r>
        <w:r w:rsidR="007113E9">
          <w:rPr>
            <w:webHidden/>
          </w:rPr>
          <w:tab/>
        </w:r>
        <w:r w:rsidR="007113E9">
          <w:rPr>
            <w:webHidden/>
          </w:rPr>
          <w:fldChar w:fldCharType="begin"/>
        </w:r>
        <w:r w:rsidR="007113E9">
          <w:rPr>
            <w:webHidden/>
          </w:rPr>
          <w:instrText xml:space="preserve"> PAGEREF _Toc85033660 \h </w:instrText>
        </w:r>
        <w:r w:rsidR="007113E9">
          <w:rPr>
            <w:webHidden/>
          </w:rPr>
        </w:r>
        <w:r w:rsidR="007113E9">
          <w:rPr>
            <w:webHidden/>
          </w:rPr>
          <w:fldChar w:fldCharType="separate"/>
        </w:r>
        <w:r w:rsidR="00526B41">
          <w:rPr>
            <w:webHidden/>
          </w:rPr>
          <w:t>17</w:t>
        </w:r>
        <w:r w:rsidR="007113E9">
          <w:rPr>
            <w:webHidden/>
          </w:rPr>
          <w:fldChar w:fldCharType="end"/>
        </w:r>
      </w:hyperlink>
    </w:p>
    <w:p w14:paraId="1C61AC99" w14:textId="31AABDD4" w:rsidR="007113E9" w:rsidRDefault="007155A0">
      <w:pPr>
        <w:pStyle w:val="TOC6"/>
        <w:tabs>
          <w:tab w:val="left" w:pos="1800"/>
        </w:tabs>
        <w:rPr>
          <w:color w:val="auto"/>
          <w:sz w:val="22"/>
          <w:szCs w:val="22"/>
          <w:lang w:eastAsia="en-AU"/>
        </w:rPr>
      </w:pPr>
      <w:hyperlink w:anchor="_Toc85033661" w:history="1">
        <w:r w:rsidR="007113E9" w:rsidRPr="00515AE4">
          <w:rPr>
            <w:rStyle w:val="Hyperlink"/>
          </w:rPr>
          <w:t>7.2.1</w:t>
        </w:r>
        <w:r w:rsidR="007113E9">
          <w:rPr>
            <w:color w:val="auto"/>
            <w:sz w:val="22"/>
            <w:szCs w:val="22"/>
            <w:lang w:eastAsia="en-AU"/>
          </w:rPr>
          <w:tab/>
        </w:r>
        <w:r w:rsidR="007113E9" w:rsidRPr="00515AE4">
          <w:rPr>
            <w:rStyle w:val="Hyperlink"/>
          </w:rPr>
          <w:t>Dividend policy</w:t>
        </w:r>
        <w:r w:rsidR="007113E9">
          <w:rPr>
            <w:webHidden/>
          </w:rPr>
          <w:tab/>
        </w:r>
        <w:r w:rsidR="007113E9">
          <w:rPr>
            <w:webHidden/>
          </w:rPr>
          <w:fldChar w:fldCharType="begin"/>
        </w:r>
        <w:r w:rsidR="007113E9">
          <w:rPr>
            <w:webHidden/>
          </w:rPr>
          <w:instrText xml:space="preserve"> PAGEREF _Toc85033661 \h </w:instrText>
        </w:r>
        <w:r w:rsidR="007113E9">
          <w:rPr>
            <w:webHidden/>
          </w:rPr>
        </w:r>
        <w:r w:rsidR="007113E9">
          <w:rPr>
            <w:webHidden/>
          </w:rPr>
          <w:fldChar w:fldCharType="separate"/>
        </w:r>
        <w:r w:rsidR="00526B41">
          <w:rPr>
            <w:webHidden/>
          </w:rPr>
          <w:t>17</w:t>
        </w:r>
        <w:r w:rsidR="007113E9">
          <w:rPr>
            <w:webHidden/>
          </w:rPr>
          <w:fldChar w:fldCharType="end"/>
        </w:r>
      </w:hyperlink>
    </w:p>
    <w:p w14:paraId="6A273868" w14:textId="2604958C" w:rsidR="007113E9" w:rsidRDefault="007155A0">
      <w:pPr>
        <w:pStyle w:val="TOC6"/>
        <w:tabs>
          <w:tab w:val="left" w:pos="1800"/>
        </w:tabs>
        <w:rPr>
          <w:color w:val="auto"/>
          <w:sz w:val="22"/>
          <w:szCs w:val="22"/>
          <w:lang w:eastAsia="en-AU"/>
        </w:rPr>
      </w:pPr>
      <w:hyperlink w:anchor="_Toc85033662" w:history="1">
        <w:r w:rsidR="007113E9" w:rsidRPr="00515AE4">
          <w:rPr>
            <w:rStyle w:val="Hyperlink"/>
          </w:rPr>
          <w:t>7.2.2</w:t>
        </w:r>
        <w:r w:rsidR="007113E9">
          <w:rPr>
            <w:color w:val="auto"/>
            <w:sz w:val="22"/>
            <w:szCs w:val="22"/>
            <w:lang w:eastAsia="en-AU"/>
          </w:rPr>
          <w:tab/>
        </w:r>
        <w:r w:rsidR="007113E9" w:rsidRPr="00515AE4">
          <w:rPr>
            <w:rStyle w:val="Hyperlink"/>
          </w:rPr>
          <w:t>Dividend determination</w:t>
        </w:r>
        <w:r w:rsidR="007113E9">
          <w:rPr>
            <w:webHidden/>
          </w:rPr>
          <w:tab/>
        </w:r>
        <w:r w:rsidR="007113E9">
          <w:rPr>
            <w:webHidden/>
          </w:rPr>
          <w:fldChar w:fldCharType="begin"/>
        </w:r>
        <w:r w:rsidR="007113E9">
          <w:rPr>
            <w:webHidden/>
          </w:rPr>
          <w:instrText xml:space="preserve"> PAGEREF _Toc85033662 \h </w:instrText>
        </w:r>
        <w:r w:rsidR="007113E9">
          <w:rPr>
            <w:webHidden/>
          </w:rPr>
        </w:r>
        <w:r w:rsidR="007113E9">
          <w:rPr>
            <w:webHidden/>
          </w:rPr>
          <w:fldChar w:fldCharType="separate"/>
        </w:r>
        <w:r w:rsidR="00526B41">
          <w:rPr>
            <w:webHidden/>
          </w:rPr>
          <w:t>17</w:t>
        </w:r>
        <w:r w:rsidR="007113E9">
          <w:rPr>
            <w:webHidden/>
          </w:rPr>
          <w:fldChar w:fldCharType="end"/>
        </w:r>
      </w:hyperlink>
    </w:p>
    <w:p w14:paraId="7DABCAEA" w14:textId="607E3CFA" w:rsidR="007113E9" w:rsidRDefault="007155A0">
      <w:pPr>
        <w:pStyle w:val="TOC5"/>
        <w:tabs>
          <w:tab w:val="left" w:pos="1080"/>
        </w:tabs>
        <w:rPr>
          <w:spacing w:val="0"/>
          <w:sz w:val="22"/>
          <w:szCs w:val="22"/>
          <w:lang w:eastAsia="en-AU"/>
        </w:rPr>
      </w:pPr>
      <w:hyperlink w:anchor="_Toc85033663" w:history="1">
        <w:r w:rsidR="007113E9" w:rsidRPr="00515AE4">
          <w:rPr>
            <w:rStyle w:val="Hyperlink"/>
          </w:rPr>
          <w:t>7.3</w:t>
        </w:r>
        <w:r w:rsidR="007113E9">
          <w:rPr>
            <w:spacing w:val="0"/>
            <w:sz w:val="22"/>
            <w:szCs w:val="22"/>
            <w:lang w:eastAsia="en-AU"/>
          </w:rPr>
          <w:tab/>
        </w:r>
        <w:r w:rsidR="007113E9" w:rsidRPr="00515AE4">
          <w:rPr>
            <w:rStyle w:val="Hyperlink"/>
          </w:rPr>
          <w:t>Other distributions</w:t>
        </w:r>
        <w:r w:rsidR="007113E9">
          <w:rPr>
            <w:webHidden/>
          </w:rPr>
          <w:tab/>
        </w:r>
        <w:r w:rsidR="007113E9">
          <w:rPr>
            <w:webHidden/>
          </w:rPr>
          <w:fldChar w:fldCharType="begin"/>
        </w:r>
        <w:r w:rsidR="007113E9">
          <w:rPr>
            <w:webHidden/>
          </w:rPr>
          <w:instrText xml:space="preserve"> PAGEREF _Toc85033663 \h </w:instrText>
        </w:r>
        <w:r w:rsidR="007113E9">
          <w:rPr>
            <w:webHidden/>
          </w:rPr>
        </w:r>
        <w:r w:rsidR="007113E9">
          <w:rPr>
            <w:webHidden/>
          </w:rPr>
          <w:fldChar w:fldCharType="separate"/>
        </w:r>
        <w:r w:rsidR="00526B41">
          <w:rPr>
            <w:webHidden/>
          </w:rPr>
          <w:t>18</w:t>
        </w:r>
        <w:r w:rsidR="007113E9">
          <w:rPr>
            <w:webHidden/>
          </w:rPr>
          <w:fldChar w:fldCharType="end"/>
        </w:r>
      </w:hyperlink>
    </w:p>
    <w:p w14:paraId="42946ABE" w14:textId="2F937B99" w:rsidR="007113E9" w:rsidRDefault="007155A0">
      <w:pPr>
        <w:pStyle w:val="TOC6"/>
        <w:tabs>
          <w:tab w:val="left" w:pos="1800"/>
        </w:tabs>
        <w:rPr>
          <w:color w:val="auto"/>
          <w:sz w:val="22"/>
          <w:szCs w:val="22"/>
          <w:lang w:eastAsia="en-AU"/>
        </w:rPr>
      </w:pPr>
      <w:hyperlink w:anchor="_Toc85033664" w:history="1">
        <w:r w:rsidR="007113E9" w:rsidRPr="00515AE4">
          <w:rPr>
            <w:rStyle w:val="Hyperlink"/>
          </w:rPr>
          <w:t>7.3.1</w:t>
        </w:r>
        <w:r w:rsidR="007113E9">
          <w:rPr>
            <w:color w:val="auto"/>
            <w:sz w:val="22"/>
            <w:szCs w:val="22"/>
            <w:lang w:eastAsia="en-AU"/>
          </w:rPr>
          <w:tab/>
        </w:r>
        <w:r w:rsidR="007113E9" w:rsidRPr="00515AE4">
          <w:rPr>
            <w:rStyle w:val="Hyperlink"/>
          </w:rPr>
          <w:t>Capital repayments</w:t>
        </w:r>
        <w:r w:rsidR="007113E9">
          <w:rPr>
            <w:webHidden/>
          </w:rPr>
          <w:tab/>
        </w:r>
        <w:r w:rsidR="007113E9">
          <w:rPr>
            <w:webHidden/>
          </w:rPr>
          <w:fldChar w:fldCharType="begin"/>
        </w:r>
        <w:r w:rsidR="007113E9">
          <w:rPr>
            <w:webHidden/>
          </w:rPr>
          <w:instrText xml:space="preserve"> PAGEREF _Toc85033664 \h </w:instrText>
        </w:r>
        <w:r w:rsidR="007113E9">
          <w:rPr>
            <w:webHidden/>
          </w:rPr>
        </w:r>
        <w:r w:rsidR="007113E9">
          <w:rPr>
            <w:webHidden/>
          </w:rPr>
          <w:fldChar w:fldCharType="separate"/>
        </w:r>
        <w:r w:rsidR="00526B41">
          <w:rPr>
            <w:webHidden/>
          </w:rPr>
          <w:t>18</w:t>
        </w:r>
        <w:r w:rsidR="007113E9">
          <w:rPr>
            <w:webHidden/>
          </w:rPr>
          <w:fldChar w:fldCharType="end"/>
        </w:r>
      </w:hyperlink>
    </w:p>
    <w:p w14:paraId="52CFDF0D" w14:textId="4926D48F" w:rsidR="007113E9" w:rsidRDefault="007155A0">
      <w:pPr>
        <w:pStyle w:val="TOC6"/>
        <w:tabs>
          <w:tab w:val="left" w:pos="1800"/>
        </w:tabs>
        <w:rPr>
          <w:color w:val="auto"/>
          <w:sz w:val="22"/>
          <w:szCs w:val="22"/>
          <w:lang w:eastAsia="en-AU"/>
        </w:rPr>
      </w:pPr>
      <w:hyperlink w:anchor="_Toc85033665" w:history="1">
        <w:r w:rsidR="007113E9" w:rsidRPr="00515AE4">
          <w:rPr>
            <w:rStyle w:val="Hyperlink"/>
          </w:rPr>
          <w:t>7.3.2</w:t>
        </w:r>
        <w:r w:rsidR="007113E9">
          <w:rPr>
            <w:color w:val="auto"/>
            <w:sz w:val="22"/>
            <w:szCs w:val="22"/>
            <w:lang w:eastAsia="en-AU"/>
          </w:rPr>
          <w:tab/>
        </w:r>
        <w:r w:rsidR="007113E9" w:rsidRPr="00515AE4">
          <w:rPr>
            <w:rStyle w:val="Hyperlink"/>
          </w:rPr>
          <w:t>Competitive neutrality payments</w:t>
        </w:r>
        <w:r w:rsidR="007113E9">
          <w:rPr>
            <w:webHidden/>
          </w:rPr>
          <w:tab/>
        </w:r>
        <w:r w:rsidR="007113E9">
          <w:rPr>
            <w:webHidden/>
          </w:rPr>
          <w:fldChar w:fldCharType="begin"/>
        </w:r>
        <w:r w:rsidR="007113E9">
          <w:rPr>
            <w:webHidden/>
          </w:rPr>
          <w:instrText xml:space="preserve"> PAGEREF _Toc85033665 \h </w:instrText>
        </w:r>
        <w:r w:rsidR="007113E9">
          <w:rPr>
            <w:webHidden/>
          </w:rPr>
        </w:r>
        <w:r w:rsidR="007113E9">
          <w:rPr>
            <w:webHidden/>
          </w:rPr>
          <w:fldChar w:fldCharType="separate"/>
        </w:r>
        <w:r w:rsidR="00526B41">
          <w:rPr>
            <w:webHidden/>
          </w:rPr>
          <w:t>18</w:t>
        </w:r>
        <w:r w:rsidR="007113E9">
          <w:rPr>
            <w:webHidden/>
          </w:rPr>
          <w:fldChar w:fldCharType="end"/>
        </w:r>
      </w:hyperlink>
    </w:p>
    <w:p w14:paraId="0BACE25F" w14:textId="556DFBEE" w:rsidR="007113E9" w:rsidRDefault="007155A0">
      <w:pPr>
        <w:pStyle w:val="TOC6"/>
        <w:tabs>
          <w:tab w:val="left" w:pos="1800"/>
        </w:tabs>
        <w:rPr>
          <w:color w:val="auto"/>
          <w:sz w:val="22"/>
          <w:szCs w:val="22"/>
          <w:lang w:eastAsia="en-AU"/>
        </w:rPr>
      </w:pPr>
      <w:hyperlink w:anchor="_Toc85033666" w:history="1">
        <w:r w:rsidR="007113E9" w:rsidRPr="00515AE4">
          <w:rPr>
            <w:rStyle w:val="Hyperlink"/>
          </w:rPr>
          <w:t>7.3.3</w:t>
        </w:r>
        <w:r w:rsidR="007113E9">
          <w:rPr>
            <w:color w:val="auto"/>
            <w:sz w:val="22"/>
            <w:szCs w:val="22"/>
            <w:lang w:eastAsia="en-AU"/>
          </w:rPr>
          <w:tab/>
        </w:r>
        <w:r w:rsidR="007113E9" w:rsidRPr="00515AE4">
          <w:rPr>
            <w:rStyle w:val="Hyperlink"/>
          </w:rPr>
          <w:t>Community service obligations</w:t>
        </w:r>
        <w:r w:rsidR="007113E9">
          <w:rPr>
            <w:webHidden/>
          </w:rPr>
          <w:tab/>
        </w:r>
        <w:r w:rsidR="007113E9">
          <w:rPr>
            <w:webHidden/>
          </w:rPr>
          <w:fldChar w:fldCharType="begin"/>
        </w:r>
        <w:r w:rsidR="007113E9">
          <w:rPr>
            <w:webHidden/>
          </w:rPr>
          <w:instrText xml:space="preserve"> PAGEREF _Toc85033666 \h </w:instrText>
        </w:r>
        <w:r w:rsidR="007113E9">
          <w:rPr>
            <w:webHidden/>
          </w:rPr>
        </w:r>
        <w:r w:rsidR="007113E9">
          <w:rPr>
            <w:webHidden/>
          </w:rPr>
          <w:fldChar w:fldCharType="separate"/>
        </w:r>
        <w:r w:rsidR="00526B41">
          <w:rPr>
            <w:webHidden/>
          </w:rPr>
          <w:t>18</w:t>
        </w:r>
        <w:r w:rsidR="007113E9">
          <w:rPr>
            <w:webHidden/>
          </w:rPr>
          <w:fldChar w:fldCharType="end"/>
        </w:r>
      </w:hyperlink>
    </w:p>
    <w:p w14:paraId="02751887" w14:textId="3BA2CF81" w:rsidR="007113E9" w:rsidRDefault="007155A0">
      <w:pPr>
        <w:pStyle w:val="TOC6"/>
        <w:tabs>
          <w:tab w:val="left" w:pos="1800"/>
        </w:tabs>
        <w:rPr>
          <w:color w:val="auto"/>
          <w:sz w:val="22"/>
          <w:szCs w:val="22"/>
          <w:lang w:eastAsia="en-AU"/>
        </w:rPr>
      </w:pPr>
      <w:hyperlink w:anchor="_Toc85033667" w:history="1">
        <w:r w:rsidR="007113E9" w:rsidRPr="00515AE4">
          <w:rPr>
            <w:rStyle w:val="Hyperlink"/>
          </w:rPr>
          <w:t>7.3.4</w:t>
        </w:r>
        <w:r w:rsidR="007113E9">
          <w:rPr>
            <w:color w:val="auto"/>
            <w:sz w:val="22"/>
            <w:szCs w:val="22"/>
            <w:lang w:eastAsia="en-AU"/>
          </w:rPr>
          <w:tab/>
        </w:r>
        <w:r w:rsidR="007113E9" w:rsidRPr="00515AE4">
          <w:rPr>
            <w:rStyle w:val="Hyperlink"/>
          </w:rPr>
          <w:t>Victorian Government Landholding Policy and Guidelines</w:t>
        </w:r>
        <w:r w:rsidR="007113E9">
          <w:rPr>
            <w:webHidden/>
          </w:rPr>
          <w:tab/>
        </w:r>
        <w:r w:rsidR="007113E9">
          <w:rPr>
            <w:webHidden/>
          </w:rPr>
          <w:fldChar w:fldCharType="begin"/>
        </w:r>
        <w:r w:rsidR="007113E9">
          <w:rPr>
            <w:webHidden/>
          </w:rPr>
          <w:instrText xml:space="preserve"> PAGEREF _Toc85033667 \h </w:instrText>
        </w:r>
        <w:r w:rsidR="007113E9">
          <w:rPr>
            <w:webHidden/>
          </w:rPr>
        </w:r>
        <w:r w:rsidR="007113E9">
          <w:rPr>
            <w:webHidden/>
          </w:rPr>
          <w:fldChar w:fldCharType="separate"/>
        </w:r>
        <w:r w:rsidR="00526B41">
          <w:rPr>
            <w:webHidden/>
          </w:rPr>
          <w:t>19</w:t>
        </w:r>
        <w:r w:rsidR="007113E9">
          <w:rPr>
            <w:webHidden/>
          </w:rPr>
          <w:fldChar w:fldCharType="end"/>
        </w:r>
      </w:hyperlink>
    </w:p>
    <w:p w14:paraId="613AA77E" w14:textId="33DE01DB" w:rsidR="007113E9" w:rsidRDefault="007155A0">
      <w:pPr>
        <w:pStyle w:val="TOC5"/>
        <w:tabs>
          <w:tab w:val="left" w:pos="1080"/>
        </w:tabs>
        <w:rPr>
          <w:spacing w:val="0"/>
          <w:sz w:val="22"/>
          <w:szCs w:val="22"/>
          <w:lang w:eastAsia="en-AU"/>
        </w:rPr>
      </w:pPr>
      <w:hyperlink w:anchor="_Toc85033668" w:history="1">
        <w:r w:rsidR="007113E9" w:rsidRPr="00515AE4">
          <w:rPr>
            <w:rStyle w:val="Hyperlink"/>
          </w:rPr>
          <w:t>7.4</w:t>
        </w:r>
        <w:r w:rsidR="007113E9">
          <w:rPr>
            <w:spacing w:val="0"/>
            <w:sz w:val="22"/>
            <w:szCs w:val="22"/>
            <w:lang w:eastAsia="en-AU"/>
          </w:rPr>
          <w:tab/>
        </w:r>
        <w:r w:rsidR="007113E9" w:rsidRPr="00515AE4">
          <w:rPr>
            <w:rStyle w:val="Hyperlink"/>
          </w:rPr>
          <w:t>Key dates</w:t>
        </w:r>
        <w:r w:rsidR="007113E9">
          <w:rPr>
            <w:webHidden/>
          </w:rPr>
          <w:tab/>
        </w:r>
        <w:r w:rsidR="007113E9">
          <w:rPr>
            <w:webHidden/>
          </w:rPr>
          <w:fldChar w:fldCharType="begin"/>
        </w:r>
        <w:r w:rsidR="007113E9">
          <w:rPr>
            <w:webHidden/>
          </w:rPr>
          <w:instrText xml:space="preserve"> PAGEREF _Toc85033668 \h </w:instrText>
        </w:r>
        <w:r w:rsidR="007113E9">
          <w:rPr>
            <w:webHidden/>
          </w:rPr>
        </w:r>
        <w:r w:rsidR="007113E9">
          <w:rPr>
            <w:webHidden/>
          </w:rPr>
          <w:fldChar w:fldCharType="separate"/>
        </w:r>
        <w:r w:rsidR="00526B41">
          <w:rPr>
            <w:webHidden/>
          </w:rPr>
          <w:t>20</w:t>
        </w:r>
        <w:r w:rsidR="007113E9">
          <w:rPr>
            <w:webHidden/>
          </w:rPr>
          <w:fldChar w:fldCharType="end"/>
        </w:r>
      </w:hyperlink>
    </w:p>
    <w:p w14:paraId="22386C50" w14:textId="202F8D98" w:rsidR="007113E9" w:rsidRDefault="007155A0">
      <w:pPr>
        <w:pStyle w:val="TOC1"/>
        <w:rPr>
          <w:noProof/>
          <w:color w:val="auto"/>
          <w:sz w:val="22"/>
          <w:szCs w:val="22"/>
        </w:rPr>
      </w:pPr>
      <w:hyperlink w:anchor="_Toc85033669" w:history="1">
        <w:r w:rsidR="007113E9" w:rsidRPr="00515AE4">
          <w:rPr>
            <w:rStyle w:val="Hyperlink"/>
            <w:noProof/>
          </w:rPr>
          <w:t>Appendix 1: Financial and non-financial KPIs</w:t>
        </w:r>
        <w:r w:rsidR="007113E9">
          <w:rPr>
            <w:noProof/>
            <w:webHidden/>
          </w:rPr>
          <w:tab/>
        </w:r>
        <w:r w:rsidR="007113E9">
          <w:rPr>
            <w:noProof/>
            <w:webHidden/>
          </w:rPr>
          <w:fldChar w:fldCharType="begin"/>
        </w:r>
        <w:r w:rsidR="007113E9">
          <w:rPr>
            <w:noProof/>
            <w:webHidden/>
          </w:rPr>
          <w:instrText xml:space="preserve"> PAGEREF _Toc85033669 \h </w:instrText>
        </w:r>
        <w:r w:rsidR="007113E9">
          <w:rPr>
            <w:noProof/>
            <w:webHidden/>
          </w:rPr>
        </w:r>
        <w:r w:rsidR="007113E9">
          <w:rPr>
            <w:noProof/>
            <w:webHidden/>
          </w:rPr>
          <w:fldChar w:fldCharType="separate"/>
        </w:r>
        <w:r w:rsidR="00526B41">
          <w:rPr>
            <w:noProof/>
            <w:webHidden/>
          </w:rPr>
          <w:t>21</w:t>
        </w:r>
        <w:r w:rsidR="007113E9">
          <w:rPr>
            <w:noProof/>
            <w:webHidden/>
          </w:rPr>
          <w:fldChar w:fldCharType="end"/>
        </w:r>
      </w:hyperlink>
    </w:p>
    <w:p w14:paraId="699FF3E1" w14:textId="4EA6C48F" w:rsidR="007113E9" w:rsidRDefault="007155A0">
      <w:pPr>
        <w:pStyle w:val="TOC1"/>
        <w:rPr>
          <w:noProof/>
          <w:color w:val="auto"/>
          <w:sz w:val="22"/>
          <w:szCs w:val="22"/>
        </w:rPr>
      </w:pPr>
      <w:hyperlink w:anchor="_Toc85033670" w:history="1">
        <w:r w:rsidR="007113E9" w:rsidRPr="00515AE4">
          <w:rPr>
            <w:rStyle w:val="Hyperlink"/>
            <w:noProof/>
          </w:rPr>
          <w:t>Appendix 2: Business case submission requirements</w:t>
        </w:r>
        <w:r w:rsidR="007113E9">
          <w:rPr>
            <w:noProof/>
            <w:webHidden/>
          </w:rPr>
          <w:tab/>
        </w:r>
        <w:r w:rsidR="007113E9">
          <w:rPr>
            <w:noProof/>
            <w:webHidden/>
          </w:rPr>
          <w:fldChar w:fldCharType="begin"/>
        </w:r>
        <w:r w:rsidR="007113E9">
          <w:rPr>
            <w:noProof/>
            <w:webHidden/>
          </w:rPr>
          <w:instrText xml:space="preserve"> PAGEREF _Toc85033670 \h </w:instrText>
        </w:r>
        <w:r w:rsidR="007113E9">
          <w:rPr>
            <w:noProof/>
            <w:webHidden/>
          </w:rPr>
        </w:r>
        <w:r w:rsidR="007113E9">
          <w:rPr>
            <w:noProof/>
            <w:webHidden/>
          </w:rPr>
          <w:fldChar w:fldCharType="separate"/>
        </w:r>
        <w:r w:rsidR="00526B41">
          <w:rPr>
            <w:noProof/>
            <w:webHidden/>
          </w:rPr>
          <w:t>23</w:t>
        </w:r>
        <w:r w:rsidR="007113E9">
          <w:rPr>
            <w:noProof/>
            <w:webHidden/>
          </w:rPr>
          <w:fldChar w:fldCharType="end"/>
        </w:r>
      </w:hyperlink>
    </w:p>
    <w:p w14:paraId="385BEF22" w14:textId="2AC6AF4C" w:rsidR="007113E9" w:rsidRDefault="007155A0">
      <w:pPr>
        <w:pStyle w:val="TOC1"/>
        <w:rPr>
          <w:noProof/>
          <w:color w:val="auto"/>
          <w:sz w:val="22"/>
          <w:szCs w:val="22"/>
        </w:rPr>
      </w:pPr>
      <w:hyperlink w:anchor="_Toc85033671" w:history="1">
        <w:r w:rsidR="007113E9" w:rsidRPr="00515AE4">
          <w:rPr>
            <w:rStyle w:val="Hyperlink"/>
            <w:noProof/>
          </w:rPr>
          <w:t>Appendix 3: Abbreviations and definitions</w:t>
        </w:r>
        <w:r w:rsidR="007113E9">
          <w:rPr>
            <w:noProof/>
            <w:webHidden/>
          </w:rPr>
          <w:tab/>
        </w:r>
        <w:r w:rsidR="007113E9">
          <w:rPr>
            <w:noProof/>
            <w:webHidden/>
          </w:rPr>
          <w:fldChar w:fldCharType="begin"/>
        </w:r>
        <w:r w:rsidR="007113E9">
          <w:rPr>
            <w:noProof/>
            <w:webHidden/>
          </w:rPr>
          <w:instrText xml:space="preserve"> PAGEREF _Toc85033671 \h </w:instrText>
        </w:r>
        <w:r w:rsidR="007113E9">
          <w:rPr>
            <w:noProof/>
            <w:webHidden/>
          </w:rPr>
        </w:r>
        <w:r w:rsidR="007113E9">
          <w:rPr>
            <w:noProof/>
            <w:webHidden/>
          </w:rPr>
          <w:fldChar w:fldCharType="separate"/>
        </w:r>
        <w:r w:rsidR="00526B41">
          <w:rPr>
            <w:noProof/>
            <w:webHidden/>
          </w:rPr>
          <w:t>24</w:t>
        </w:r>
        <w:r w:rsidR="007113E9">
          <w:rPr>
            <w:noProof/>
            <w:webHidden/>
          </w:rPr>
          <w:fldChar w:fldCharType="end"/>
        </w:r>
      </w:hyperlink>
    </w:p>
    <w:p w14:paraId="713EE856" w14:textId="39F1B083" w:rsidR="00563527" w:rsidRDefault="00CD3D1B" w:rsidP="004F7954">
      <w:pPr>
        <w:rPr>
          <w:noProof/>
          <w:lang w:eastAsia="en-US"/>
        </w:rPr>
      </w:pPr>
      <w:r>
        <w:rPr>
          <w:noProof/>
          <w:lang w:eastAsia="en-US"/>
        </w:rPr>
        <w:fldChar w:fldCharType="end"/>
      </w:r>
    </w:p>
    <w:p w14:paraId="1564169E" w14:textId="77777777" w:rsidR="0085600D" w:rsidRDefault="0085600D" w:rsidP="004F7954">
      <w:pPr>
        <w:rPr>
          <w:lang w:eastAsia="en-US"/>
        </w:rPr>
      </w:pPr>
    </w:p>
    <w:p w14:paraId="3BC46A1D" w14:textId="77777777" w:rsidR="00FF4E99" w:rsidRDefault="00FF4E99" w:rsidP="004F7954"/>
    <w:p w14:paraId="7927B5A5" w14:textId="77777777" w:rsidR="00FF4E99" w:rsidRDefault="00FF4E99" w:rsidP="004F7954">
      <w:pPr>
        <w:sectPr w:rsidR="00FF4E99" w:rsidSect="00D95610">
          <w:headerReference w:type="even" r:id="rId23"/>
          <w:headerReference w:type="default" r:id="rId24"/>
          <w:footerReference w:type="even" r:id="rId25"/>
          <w:footerReference w:type="default" r:id="rId26"/>
          <w:pgSz w:w="11906" w:h="16838" w:code="9"/>
          <w:pgMar w:top="2160" w:right="1440" w:bottom="1440" w:left="1440" w:header="706" w:footer="461" w:gutter="0"/>
          <w:pgNumType w:fmt="lowerRoman" w:start="1"/>
          <w:cols w:space="708"/>
          <w:docGrid w:linePitch="360"/>
        </w:sectPr>
      </w:pPr>
    </w:p>
    <w:p w14:paraId="557CAFDF" w14:textId="77777777" w:rsidR="00545540" w:rsidRDefault="00545540" w:rsidP="00545540">
      <w:pPr>
        <w:pStyle w:val="Heading1numbered"/>
      </w:pPr>
      <w:bookmarkStart w:id="1" w:name="_Toc41041702"/>
      <w:bookmarkStart w:id="2" w:name="_Toc85033622"/>
      <w:r>
        <w:lastRenderedPageBreak/>
        <w:t>Overview</w:t>
      </w:r>
      <w:bookmarkEnd w:id="1"/>
      <w:bookmarkEnd w:id="2"/>
    </w:p>
    <w:p w14:paraId="2B73EDE2" w14:textId="77777777" w:rsidR="00545540" w:rsidRDefault="00545540" w:rsidP="00545540">
      <w:pPr>
        <w:pStyle w:val="Heading2numbered"/>
      </w:pPr>
      <w:bookmarkStart w:id="3" w:name="_Toc41041703"/>
      <w:bookmarkStart w:id="4" w:name="_Toc85033623"/>
      <w:r>
        <w:t>Government Business Enterprises</w:t>
      </w:r>
      <w:bookmarkEnd w:id="3"/>
      <w:bookmarkEnd w:id="4"/>
    </w:p>
    <w:p w14:paraId="1979B1D9" w14:textId="77777777" w:rsidR="00545540" w:rsidRDefault="00545540" w:rsidP="00545540">
      <w:pPr>
        <w:pStyle w:val="NormalIndent"/>
      </w:pPr>
      <w:r>
        <w:t>Government Business Enterprises (GBEs) are established and owned by government to deliver specific objectives and priorities. There is an ‘arms-length’ relationship with government and GBEs activities are generally commercial in nature.</w:t>
      </w:r>
    </w:p>
    <w:p w14:paraId="6CA894E4" w14:textId="77777777" w:rsidR="00545540" w:rsidRDefault="00545540" w:rsidP="00545540">
      <w:pPr>
        <w:pStyle w:val="NormalIndent"/>
      </w:pPr>
      <w:r>
        <w:t xml:space="preserve">GBEs are primarily accountable to their </w:t>
      </w:r>
      <w:proofErr w:type="gramStart"/>
      <w:r>
        <w:t>portfolio Minister</w:t>
      </w:r>
      <w:proofErr w:type="gramEnd"/>
      <w:r>
        <w:t xml:space="preserve"> and the Parliament for their performance. They are also accountable to the Treasurer where the Treasurer has a legislated role to receive corporate planning or other financial documents. This is generally known as the ‘Shareholder’ role. GBEs must operate efficiently and effectively and have appropriate processes in place to identify and manage risk. GBEs must operate within the Government’s broader policy framework and where required deliver on specified community service obligations.</w:t>
      </w:r>
    </w:p>
    <w:p w14:paraId="1A64DE79" w14:textId="77777777" w:rsidR="00545540" w:rsidRDefault="00545540" w:rsidP="00545540">
      <w:pPr>
        <w:pStyle w:val="Heading2numbered"/>
      </w:pPr>
      <w:bookmarkStart w:id="5" w:name="_Toc41041704"/>
      <w:bookmarkStart w:id="6" w:name="_Toc85033624"/>
      <w:r>
        <w:t>Purpose of the requirements</w:t>
      </w:r>
      <w:bookmarkEnd w:id="5"/>
      <w:bookmarkEnd w:id="6"/>
    </w:p>
    <w:p w14:paraId="2AB79450" w14:textId="77777777" w:rsidR="00545540" w:rsidRDefault="00545540" w:rsidP="00545540">
      <w:pPr>
        <w:pStyle w:val="NormalIndent"/>
      </w:pPr>
      <w:r>
        <w:t>The purpose of the Corporate Planning and Performance Reporting Requirements (the requirements) is to outline the corporate planning, reporting and distribution obligations of GBEs. GBEs must meet these obligations so the Department of Treasury and Finance (DTF) can effectively evaluate GBE performance and provide advice to the Treasurer as shareholder in a timely manner. These requirements are not a general-purpose corporate governance guide and they do not provide advice to directors or officers on their statutory or fiduciary duties.</w:t>
      </w:r>
    </w:p>
    <w:p w14:paraId="5FC1780F" w14:textId="77777777" w:rsidR="00545540" w:rsidRDefault="00545540" w:rsidP="00545540">
      <w:pPr>
        <w:pStyle w:val="NormalIndent"/>
      </w:pPr>
      <w:r>
        <w:t xml:space="preserve">The requirements should be read in conjunction with the Victorian Public Sector Commission’s guidance material which provides further information on the Government’s expectations regarding corporate governance (see </w:t>
      </w:r>
      <w:hyperlink r:id="rId27" w:history="1">
        <w:r w:rsidRPr="00720FF7">
          <w:rPr>
            <w:rStyle w:val="Hyperlink"/>
          </w:rPr>
          <w:t>vpsc.vic.gov.au/governance</w:t>
        </w:r>
      </w:hyperlink>
      <w:r>
        <w:t>).</w:t>
      </w:r>
    </w:p>
    <w:p w14:paraId="1C27BDBB" w14:textId="7A5F5242" w:rsidR="00545540" w:rsidRDefault="00545540" w:rsidP="00545540">
      <w:pPr>
        <w:pStyle w:val="Heading2numbered"/>
      </w:pPr>
      <w:bookmarkStart w:id="7" w:name="_Toc41041705"/>
      <w:bookmarkStart w:id="8" w:name="_Toc85033625"/>
      <w:r>
        <w:t>Applicability of the requirements</w:t>
      </w:r>
      <w:bookmarkEnd w:id="7"/>
      <w:bookmarkEnd w:id="8"/>
    </w:p>
    <w:p w14:paraId="51A86C78" w14:textId="2E612862" w:rsidR="00D12E74" w:rsidRDefault="00545540" w:rsidP="00545540">
      <w:pPr>
        <w:pStyle w:val="NormalIndent"/>
      </w:pPr>
      <w:r w:rsidRPr="004F5E58">
        <w:t>The requirements apply to all GBEs where the Treasurer has a 'Shareholder' role.  This is where the Treasurer has a legislated role to receive corporate planning or other financial documents.</w:t>
      </w:r>
    </w:p>
    <w:p w14:paraId="6259CC7A" w14:textId="77777777" w:rsidR="008C6A5B" w:rsidRDefault="008C6A5B" w:rsidP="008C6A5B">
      <w:pPr>
        <w:pStyle w:val="Heading2numbered"/>
      </w:pPr>
      <w:bookmarkStart w:id="9" w:name="_Toc41041706"/>
      <w:bookmarkStart w:id="10" w:name="_Toc85033626"/>
      <w:r>
        <w:lastRenderedPageBreak/>
        <w:t xml:space="preserve">Planning, reporting and distribution </w:t>
      </w:r>
      <w:proofErr w:type="gramStart"/>
      <w:r>
        <w:t>obligations</w:t>
      </w:r>
      <w:bookmarkEnd w:id="9"/>
      <w:bookmarkEnd w:id="10"/>
      <w:proofErr w:type="gramEnd"/>
    </w:p>
    <w:p w14:paraId="2A0640A2" w14:textId="77777777" w:rsidR="008C6A5B" w:rsidRDefault="008C6A5B" w:rsidP="006B272C">
      <w:pPr>
        <w:pStyle w:val="NormalIndent"/>
        <w:keepNext/>
      </w:pPr>
      <w:r>
        <w:t xml:space="preserve">The requirements provide direction and advice about the content, process, </w:t>
      </w:r>
      <w:proofErr w:type="gramStart"/>
      <w:r>
        <w:t>endorsement</w:t>
      </w:r>
      <w:proofErr w:type="gramEnd"/>
      <w:r>
        <w:t xml:space="preserve"> and key dates associated with GBE planning, reporting and distribution obligations to DTF. Areas covered in the requirements include:</w:t>
      </w:r>
    </w:p>
    <w:p w14:paraId="4CEA584C" w14:textId="3B9E9A88" w:rsidR="008C6A5B" w:rsidRDefault="008C6A5B" w:rsidP="006B272C">
      <w:pPr>
        <w:pStyle w:val="Bulletindent"/>
        <w:keepNext/>
      </w:pPr>
      <w:r>
        <w:t>corporate planning</w:t>
      </w:r>
    </w:p>
    <w:p w14:paraId="554A4675" w14:textId="33536C28" w:rsidR="008C6A5B" w:rsidRDefault="008C6A5B" w:rsidP="008C6A5B">
      <w:pPr>
        <w:pStyle w:val="Bulletindent"/>
      </w:pPr>
      <w:r>
        <w:t xml:space="preserve">capital expenditure </w:t>
      </w:r>
      <w:proofErr w:type="gramStart"/>
      <w:r>
        <w:t>proposals</w:t>
      </w:r>
      <w:proofErr w:type="gramEnd"/>
    </w:p>
    <w:p w14:paraId="1D7DD118" w14:textId="3BAA93C1" w:rsidR="008C6A5B" w:rsidRDefault="008C6A5B" w:rsidP="008C6A5B">
      <w:pPr>
        <w:pStyle w:val="Bulletindent"/>
      </w:pPr>
      <w:r>
        <w:t>quarterly reporting</w:t>
      </w:r>
    </w:p>
    <w:p w14:paraId="7ECB5058" w14:textId="1E15E9E2" w:rsidR="008C6A5B" w:rsidRDefault="008C6A5B" w:rsidP="008C6A5B">
      <w:pPr>
        <w:pStyle w:val="Bulletindent"/>
      </w:pPr>
      <w:r>
        <w:t>annual reporting</w:t>
      </w:r>
    </w:p>
    <w:p w14:paraId="58D63CDF" w14:textId="2F446548" w:rsidR="008C6A5B" w:rsidRDefault="008C6A5B" w:rsidP="008C6A5B">
      <w:pPr>
        <w:pStyle w:val="Bulletindent"/>
      </w:pPr>
      <w:r>
        <w:t>whole of government reporting</w:t>
      </w:r>
    </w:p>
    <w:p w14:paraId="2DEA2F6C" w14:textId="77777777" w:rsidR="008C6A5B" w:rsidRDefault="008C6A5B" w:rsidP="008C6A5B">
      <w:pPr>
        <w:pStyle w:val="Bulletindent"/>
      </w:pPr>
      <w:r>
        <w:t>dividend/distribution payments.</w:t>
      </w:r>
    </w:p>
    <w:p w14:paraId="0C2A181B" w14:textId="77777777" w:rsidR="008C6A5B" w:rsidRDefault="008C6A5B" w:rsidP="008C6A5B">
      <w:pPr>
        <w:pStyle w:val="NormalIndent"/>
      </w:pPr>
      <w:r>
        <w:t>The obligations outlined in the requirements have been determined with due regard to the following legislation:</w:t>
      </w:r>
    </w:p>
    <w:p w14:paraId="45EB7D6E" w14:textId="7274C2CA" w:rsidR="008C6A5B" w:rsidRPr="00C8656E" w:rsidRDefault="008C6A5B" w:rsidP="008C6A5B">
      <w:pPr>
        <w:pStyle w:val="Bulletindent"/>
      </w:pPr>
      <w:r w:rsidRPr="008C6A5B">
        <w:rPr>
          <w:i/>
          <w:iCs/>
        </w:rPr>
        <w:t>Public Administration Act 2004</w:t>
      </w:r>
    </w:p>
    <w:p w14:paraId="7637B295" w14:textId="6C5FF876" w:rsidR="008C6A5B" w:rsidRPr="00C8656E" w:rsidRDefault="008C6A5B" w:rsidP="008C6A5B">
      <w:pPr>
        <w:pStyle w:val="Bulletindent"/>
      </w:pPr>
      <w:r w:rsidRPr="008C6A5B">
        <w:rPr>
          <w:i/>
          <w:iCs/>
        </w:rPr>
        <w:t>Financial Management Act 1994</w:t>
      </w:r>
    </w:p>
    <w:p w14:paraId="51CB0539" w14:textId="77CA3ED3" w:rsidR="008C6A5B" w:rsidRPr="00C8656E" w:rsidRDefault="008C6A5B" w:rsidP="008C6A5B">
      <w:pPr>
        <w:pStyle w:val="Bulletindent"/>
      </w:pPr>
      <w:r w:rsidRPr="008C6A5B">
        <w:rPr>
          <w:i/>
          <w:iCs/>
        </w:rPr>
        <w:t>State Owned Enterprises Act 1992</w:t>
      </w:r>
    </w:p>
    <w:p w14:paraId="749448BA" w14:textId="010D6818" w:rsidR="008C6A5B" w:rsidRPr="00C8656E" w:rsidRDefault="008C6A5B" w:rsidP="008C6A5B">
      <w:pPr>
        <w:pStyle w:val="Bulletindent"/>
      </w:pPr>
      <w:r w:rsidRPr="008C6A5B">
        <w:rPr>
          <w:i/>
          <w:iCs/>
        </w:rPr>
        <w:t>Water Act 1989</w:t>
      </w:r>
    </w:p>
    <w:p w14:paraId="77B6EC6C" w14:textId="390A7699" w:rsidR="008C6A5B" w:rsidRPr="00C8656E" w:rsidRDefault="008C6A5B" w:rsidP="008C6A5B">
      <w:pPr>
        <w:pStyle w:val="Bulletindent"/>
      </w:pPr>
      <w:r w:rsidRPr="008C6A5B">
        <w:rPr>
          <w:i/>
          <w:iCs/>
        </w:rPr>
        <w:t>Transport Integration Act 2010</w:t>
      </w:r>
    </w:p>
    <w:p w14:paraId="3F98D7F5" w14:textId="2021E616" w:rsidR="008C6A5B" w:rsidRPr="00C8656E" w:rsidRDefault="008C6A5B" w:rsidP="008C6A5B">
      <w:pPr>
        <w:pStyle w:val="Bulletindent"/>
      </w:pPr>
      <w:r w:rsidRPr="008C6A5B">
        <w:rPr>
          <w:i/>
          <w:iCs/>
        </w:rPr>
        <w:t>Corporations Act 2001 (</w:t>
      </w:r>
      <w:proofErr w:type="spellStart"/>
      <w:r w:rsidRPr="008C6A5B">
        <w:rPr>
          <w:i/>
          <w:iCs/>
        </w:rPr>
        <w:t>Cth</w:t>
      </w:r>
      <w:proofErr w:type="spellEnd"/>
      <w:r w:rsidRPr="008C6A5B">
        <w:rPr>
          <w:i/>
          <w:iCs/>
        </w:rPr>
        <w:t>)</w:t>
      </w:r>
    </w:p>
    <w:p w14:paraId="65A19B0F" w14:textId="79348E9B" w:rsidR="008C6A5B" w:rsidRPr="00C8656E" w:rsidRDefault="008C6A5B" w:rsidP="008C6A5B">
      <w:pPr>
        <w:pStyle w:val="Bulletindent"/>
      </w:pPr>
      <w:r w:rsidRPr="008C6A5B">
        <w:rPr>
          <w:i/>
          <w:iCs/>
        </w:rPr>
        <w:t>Audit Act 1994</w:t>
      </w:r>
    </w:p>
    <w:p w14:paraId="03C66C1D" w14:textId="77777777" w:rsidR="008C6A5B" w:rsidRPr="00C8656E" w:rsidRDefault="008C6A5B" w:rsidP="008C6A5B">
      <w:pPr>
        <w:pStyle w:val="Bulletindent"/>
      </w:pPr>
      <w:r w:rsidRPr="008C6A5B">
        <w:rPr>
          <w:i/>
          <w:iCs/>
        </w:rPr>
        <w:t>Borrowing and Investment Powers Act 1987.</w:t>
      </w:r>
    </w:p>
    <w:p w14:paraId="00D82967" w14:textId="77777777" w:rsidR="008C6A5B" w:rsidRDefault="008C6A5B" w:rsidP="008C6A5B">
      <w:pPr>
        <w:pStyle w:val="NormalIndent"/>
      </w:pPr>
      <w:r>
        <w:t>GBEs are expected to fulfil the obligations outlined in the requirements together with any other legislative requirements pertaining to that GBE.</w:t>
      </w:r>
    </w:p>
    <w:p w14:paraId="7FB90F62" w14:textId="77777777" w:rsidR="008C6A5B" w:rsidRDefault="008C6A5B" w:rsidP="008C6A5B">
      <w:pPr>
        <w:pStyle w:val="Heading2numbered"/>
      </w:pPr>
      <w:bookmarkStart w:id="11" w:name="_Toc41041707"/>
      <w:bookmarkStart w:id="12" w:name="_Toc85033627"/>
      <w:r>
        <w:t xml:space="preserve">Planning, reporting and distribution </w:t>
      </w:r>
      <w:proofErr w:type="gramStart"/>
      <w:r>
        <w:t>cycle</w:t>
      </w:r>
      <w:bookmarkEnd w:id="11"/>
      <w:bookmarkEnd w:id="12"/>
      <w:proofErr w:type="gramEnd"/>
    </w:p>
    <w:p w14:paraId="799020EE" w14:textId="32AF25C2" w:rsidR="008C6A5B" w:rsidRDefault="008C6A5B" w:rsidP="008C6A5B">
      <w:pPr>
        <w:pStyle w:val="NormalIndent"/>
      </w:pPr>
      <w:r>
        <w:t>Key dates associated with DTF’s planning, reporting and distribution requirements are summarised in the calendar below. Further details are provided in the following chapters.</w:t>
      </w:r>
    </w:p>
    <w:p w14:paraId="3DC0F9A5" w14:textId="77777777" w:rsidR="006B272C" w:rsidRDefault="006B272C" w:rsidP="0048610A"/>
    <w:p w14:paraId="2F360E67" w14:textId="77777777" w:rsidR="006B272C" w:rsidRDefault="006B272C" w:rsidP="0048610A">
      <w:pPr>
        <w:sectPr w:rsidR="006B272C" w:rsidSect="00841617">
          <w:headerReference w:type="even" r:id="rId28"/>
          <w:footerReference w:type="even" r:id="rId29"/>
          <w:footerReference w:type="default" r:id="rId30"/>
          <w:type w:val="oddPage"/>
          <w:pgSz w:w="11906" w:h="16838" w:code="9"/>
          <w:pgMar w:top="2160" w:right="1440" w:bottom="1980" w:left="1440" w:header="706" w:footer="461" w:gutter="0"/>
          <w:pgNumType w:start="1"/>
          <w:cols w:space="708"/>
          <w:docGrid w:linePitch="360"/>
        </w:sectPr>
      </w:pPr>
    </w:p>
    <w:tbl>
      <w:tblPr>
        <w:tblStyle w:val="DTFtexttable"/>
        <w:tblW w:w="15095" w:type="dxa"/>
        <w:tblLook w:val="04A0" w:firstRow="1" w:lastRow="0" w:firstColumn="1" w:lastColumn="0" w:noHBand="0" w:noVBand="1"/>
      </w:tblPr>
      <w:tblGrid>
        <w:gridCol w:w="359"/>
        <w:gridCol w:w="1501"/>
        <w:gridCol w:w="1020"/>
        <w:gridCol w:w="1080"/>
        <w:gridCol w:w="1260"/>
        <w:gridCol w:w="1384"/>
        <w:gridCol w:w="950"/>
        <w:gridCol w:w="1070"/>
        <w:gridCol w:w="1297"/>
        <w:gridCol w:w="987"/>
        <w:gridCol w:w="918"/>
        <w:gridCol w:w="1134"/>
        <w:gridCol w:w="1067"/>
        <w:gridCol w:w="1068"/>
      </w:tblGrid>
      <w:tr w:rsidR="001D148F" w:rsidRPr="007158F9" w14:paraId="562181C7" w14:textId="77777777" w:rsidTr="001D14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9" w:type="dxa"/>
            <w:tcBorders>
              <w:bottom w:val="single" w:sz="6" w:space="0" w:color="A6A6A6" w:themeColor="background1" w:themeShade="A6"/>
            </w:tcBorders>
            <w:shd w:val="clear" w:color="auto" w:fill="FFFFFF" w:themeFill="background1"/>
          </w:tcPr>
          <w:p w14:paraId="2423B9D4" w14:textId="77777777" w:rsidR="00526B41" w:rsidRPr="001D148F" w:rsidRDefault="00526B41" w:rsidP="001D148F">
            <w:pPr>
              <w:pStyle w:val="Tabletext"/>
              <w:spacing w:before="0" w:after="0"/>
              <w:rPr>
                <w:sz w:val="14"/>
                <w:szCs w:val="14"/>
              </w:rPr>
            </w:pPr>
          </w:p>
        </w:tc>
        <w:tc>
          <w:tcPr>
            <w:tcW w:w="1501" w:type="dxa"/>
            <w:tcBorders>
              <w:bottom w:val="single" w:sz="6" w:space="0" w:color="A6A6A6" w:themeColor="background1" w:themeShade="A6"/>
            </w:tcBorders>
            <w:shd w:val="clear" w:color="auto" w:fill="FFFFFF" w:themeFill="background1"/>
          </w:tcPr>
          <w:p w14:paraId="099CC27A" w14:textId="77777777" w:rsidR="00526B41" w:rsidRPr="001D148F" w:rsidRDefault="00526B41" w:rsidP="001D148F">
            <w:pPr>
              <w:pStyle w:val="Tabletext"/>
              <w:cnfStyle w:val="100000000000" w:firstRow="1" w:lastRow="0" w:firstColumn="0" w:lastColumn="0" w:oddVBand="0" w:evenVBand="0" w:oddHBand="0" w:evenHBand="0" w:firstRowFirstColumn="0" w:firstRowLastColumn="0" w:lastRowFirstColumn="0" w:lastRowLastColumn="0"/>
              <w:rPr>
                <w:sz w:val="13"/>
                <w:szCs w:val="13"/>
              </w:rPr>
            </w:pPr>
          </w:p>
        </w:tc>
        <w:tc>
          <w:tcPr>
            <w:tcW w:w="1020" w:type="dxa"/>
            <w:tcBorders>
              <w:bottom w:val="single" w:sz="6" w:space="0" w:color="A6A6A6" w:themeColor="background1" w:themeShade="A6"/>
            </w:tcBorders>
          </w:tcPr>
          <w:p w14:paraId="5DDD683C" w14:textId="77777777" w:rsidR="00526B41" w:rsidRPr="007158F9" w:rsidRDefault="00526B41" w:rsidP="001D148F">
            <w:pPr>
              <w:pStyle w:val="Tabletext"/>
              <w:jc w:val="center"/>
              <w:cnfStyle w:val="100000000000" w:firstRow="1" w:lastRow="0" w:firstColumn="0" w:lastColumn="0" w:oddVBand="0" w:evenVBand="0" w:oddHBand="0" w:evenHBand="0" w:firstRowFirstColumn="0" w:firstRowLastColumn="0" w:lastRowFirstColumn="0" w:lastRowLastColumn="0"/>
              <w:rPr>
                <w:sz w:val="14"/>
                <w:szCs w:val="14"/>
              </w:rPr>
            </w:pPr>
            <w:r w:rsidRPr="007158F9">
              <w:rPr>
                <w:sz w:val="14"/>
                <w:szCs w:val="14"/>
              </w:rPr>
              <w:t>July</w:t>
            </w:r>
          </w:p>
        </w:tc>
        <w:tc>
          <w:tcPr>
            <w:tcW w:w="1080" w:type="dxa"/>
            <w:tcBorders>
              <w:bottom w:val="single" w:sz="6" w:space="0" w:color="A6A6A6" w:themeColor="background1" w:themeShade="A6"/>
            </w:tcBorders>
          </w:tcPr>
          <w:p w14:paraId="11F49C31" w14:textId="77777777" w:rsidR="00526B41" w:rsidRPr="007158F9" w:rsidRDefault="00526B41" w:rsidP="001D148F">
            <w:pPr>
              <w:pStyle w:val="Tabletext"/>
              <w:jc w:val="center"/>
              <w:cnfStyle w:val="100000000000" w:firstRow="1" w:lastRow="0" w:firstColumn="0" w:lastColumn="0" w:oddVBand="0" w:evenVBand="0" w:oddHBand="0" w:evenHBand="0" w:firstRowFirstColumn="0" w:firstRowLastColumn="0" w:lastRowFirstColumn="0" w:lastRowLastColumn="0"/>
              <w:rPr>
                <w:sz w:val="14"/>
                <w:szCs w:val="14"/>
              </w:rPr>
            </w:pPr>
            <w:r w:rsidRPr="007158F9">
              <w:rPr>
                <w:sz w:val="14"/>
                <w:szCs w:val="14"/>
              </w:rPr>
              <w:t>August</w:t>
            </w:r>
          </w:p>
        </w:tc>
        <w:tc>
          <w:tcPr>
            <w:tcW w:w="1260" w:type="dxa"/>
            <w:tcBorders>
              <w:bottom w:val="single" w:sz="6" w:space="0" w:color="A6A6A6" w:themeColor="background1" w:themeShade="A6"/>
            </w:tcBorders>
          </w:tcPr>
          <w:p w14:paraId="7018C7D5" w14:textId="77777777" w:rsidR="00526B41" w:rsidRPr="007158F9" w:rsidRDefault="00526B41" w:rsidP="001D148F">
            <w:pPr>
              <w:pStyle w:val="Tabletext"/>
              <w:jc w:val="center"/>
              <w:cnfStyle w:val="100000000000" w:firstRow="1" w:lastRow="0" w:firstColumn="0" w:lastColumn="0" w:oddVBand="0" w:evenVBand="0" w:oddHBand="0" w:evenHBand="0" w:firstRowFirstColumn="0" w:firstRowLastColumn="0" w:lastRowFirstColumn="0" w:lastRowLastColumn="0"/>
              <w:rPr>
                <w:sz w:val="14"/>
                <w:szCs w:val="14"/>
              </w:rPr>
            </w:pPr>
            <w:r w:rsidRPr="007158F9">
              <w:rPr>
                <w:sz w:val="14"/>
                <w:szCs w:val="14"/>
              </w:rPr>
              <w:t>September</w:t>
            </w:r>
          </w:p>
        </w:tc>
        <w:tc>
          <w:tcPr>
            <w:tcW w:w="1384" w:type="dxa"/>
            <w:tcBorders>
              <w:bottom w:val="single" w:sz="6" w:space="0" w:color="A6A6A6" w:themeColor="background1" w:themeShade="A6"/>
            </w:tcBorders>
          </w:tcPr>
          <w:p w14:paraId="01B733E3" w14:textId="77777777" w:rsidR="00526B41" w:rsidRPr="007158F9" w:rsidRDefault="00526B41" w:rsidP="001D148F">
            <w:pPr>
              <w:pStyle w:val="Tabletext"/>
              <w:jc w:val="center"/>
              <w:cnfStyle w:val="100000000000" w:firstRow="1" w:lastRow="0" w:firstColumn="0" w:lastColumn="0" w:oddVBand="0" w:evenVBand="0" w:oddHBand="0" w:evenHBand="0" w:firstRowFirstColumn="0" w:firstRowLastColumn="0" w:lastRowFirstColumn="0" w:lastRowLastColumn="0"/>
              <w:rPr>
                <w:sz w:val="14"/>
                <w:szCs w:val="14"/>
              </w:rPr>
            </w:pPr>
            <w:r w:rsidRPr="007158F9">
              <w:rPr>
                <w:sz w:val="14"/>
                <w:szCs w:val="14"/>
              </w:rPr>
              <w:t>October</w:t>
            </w:r>
          </w:p>
        </w:tc>
        <w:tc>
          <w:tcPr>
            <w:tcW w:w="950" w:type="dxa"/>
            <w:tcBorders>
              <w:bottom w:val="single" w:sz="6" w:space="0" w:color="A6A6A6" w:themeColor="background1" w:themeShade="A6"/>
            </w:tcBorders>
          </w:tcPr>
          <w:p w14:paraId="6C4E4887" w14:textId="77777777" w:rsidR="00526B41" w:rsidRPr="007158F9" w:rsidRDefault="00526B41" w:rsidP="001D148F">
            <w:pPr>
              <w:pStyle w:val="Tabletext"/>
              <w:jc w:val="center"/>
              <w:cnfStyle w:val="100000000000" w:firstRow="1" w:lastRow="0" w:firstColumn="0" w:lastColumn="0" w:oddVBand="0" w:evenVBand="0" w:oddHBand="0" w:evenHBand="0" w:firstRowFirstColumn="0" w:firstRowLastColumn="0" w:lastRowFirstColumn="0" w:lastRowLastColumn="0"/>
              <w:rPr>
                <w:sz w:val="14"/>
                <w:szCs w:val="14"/>
              </w:rPr>
            </w:pPr>
            <w:r w:rsidRPr="007158F9">
              <w:rPr>
                <w:sz w:val="14"/>
                <w:szCs w:val="14"/>
              </w:rPr>
              <w:t>November</w:t>
            </w:r>
          </w:p>
        </w:tc>
        <w:tc>
          <w:tcPr>
            <w:tcW w:w="1070" w:type="dxa"/>
            <w:tcBorders>
              <w:bottom w:val="single" w:sz="6" w:space="0" w:color="A6A6A6" w:themeColor="background1" w:themeShade="A6"/>
            </w:tcBorders>
          </w:tcPr>
          <w:p w14:paraId="124164AD" w14:textId="77777777" w:rsidR="00526B41" w:rsidRPr="007158F9" w:rsidRDefault="00526B41" w:rsidP="001D148F">
            <w:pPr>
              <w:pStyle w:val="Tabletext"/>
              <w:jc w:val="center"/>
              <w:cnfStyle w:val="100000000000" w:firstRow="1" w:lastRow="0" w:firstColumn="0" w:lastColumn="0" w:oddVBand="0" w:evenVBand="0" w:oddHBand="0" w:evenHBand="0" w:firstRowFirstColumn="0" w:firstRowLastColumn="0" w:lastRowFirstColumn="0" w:lastRowLastColumn="0"/>
              <w:rPr>
                <w:sz w:val="14"/>
                <w:szCs w:val="14"/>
              </w:rPr>
            </w:pPr>
            <w:r w:rsidRPr="007158F9">
              <w:rPr>
                <w:sz w:val="14"/>
                <w:szCs w:val="14"/>
              </w:rPr>
              <w:t>December</w:t>
            </w:r>
          </w:p>
        </w:tc>
        <w:tc>
          <w:tcPr>
            <w:tcW w:w="1297" w:type="dxa"/>
            <w:tcBorders>
              <w:bottom w:val="single" w:sz="6" w:space="0" w:color="A6A6A6" w:themeColor="background1" w:themeShade="A6"/>
            </w:tcBorders>
          </w:tcPr>
          <w:p w14:paraId="71BFEE2D" w14:textId="77777777" w:rsidR="00526B41" w:rsidRPr="007158F9" w:rsidRDefault="00526B41" w:rsidP="001D148F">
            <w:pPr>
              <w:pStyle w:val="Tabletext"/>
              <w:jc w:val="center"/>
              <w:cnfStyle w:val="100000000000" w:firstRow="1" w:lastRow="0" w:firstColumn="0" w:lastColumn="0" w:oddVBand="0" w:evenVBand="0" w:oddHBand="0" w:evenHBand="0" w:firstRowFirstColumn="0" w:firstRowLastColumn="0" w:lastRowFirstColumn="0" w:lastRowLastColumn="0"/>
              <w:rPr>
                <w:sz w:val="14"/>
                <w:szCs w:val="14"/>
              </w:rPr>
            </w:pPr>
            <w:r w:rsidRPr="007158F9">
              <w:rPr>
                <w:sz w:val="14"/>
                <w:szCs w:val="14"/>
              </w:rPr>
              <w:t>January</w:t>
            </w:r>
          </w:p>
        </w:tc>
        <w:tc>
          <w:tcPr>
            <w:tcW w:w="987" w:type="dxa"/>
            <w:tcBorders>
              <w:bottom w:val="single" w:sz="6" w:space="0" w:color="A6A6A6" w:themeColor="background1" w:themeShade="A6"/>
            </w:tcBorders>
          </w:tcPr>
          <w:p w14:paraId="6B21306D" w14:textId="77777777" w:rsidR="00526B41" w:rsidRPr="007158F9" w:rsidRDefault="00526B41" w:rsidP="001D148F">
            <w:pPr>
              <w:pStyle w:val="Tabletext"/>
              <w:jc w:val="center"/>
              <w:cnfStyle w:val="100000000000" w:firstRow="1" w:lastRow="0" w:firstColumn="0" w:lastColumn="0" w:oddVBand="0" w:evenVBand="0" w:oddHBand="0" w:evenHBand="0" w:firstRowFirstColumn="0" w:firstRowLastColumn="0" w:lastRowFirstColumn="0" w:lastRowLastColumn="0"/>
              <w:rPr>
                <w:sz w:val="14"/>
                <w:szCs w:val="14"/>
              </w:rPr>
            </w:pPr>
            <w:r w:rsidRPr="007158F9">
              <w:rPr>
                <w:sz w:val="14"/>
                <w:szCs w:val="14"/>
              </w:rPr>
              <w:t>February</w:t>
            </w:r>
          </w:p>
        </w:tc>
        <w:tc>
          <w:tcPr>
            <w:tcW w:w="918" w:type="dxa"/>
            <w:tcBorders>
              <w:bottom w:val="single" w:sz="6" w:space="0" w:color="A6A6A6" w:themeColor="background1" w:themeShade="A6"/>
            </w:tcBorders>
          </w:tcPr>
          <w:p w14:paraId="734BBE01" w14:textId="77777777" w:rsidR="00526B41" w:rsidRPr="007158F9" w:rsidRDefault="00526B41" w:rsidP="001D148F">
            <w:pPr>
              <w:pStyle w:val="Tabletext"/>
              <w:jc w:val="center"/>
              <w:cnfStyle w:val="100000000000" w:firstRow="1" w:lastRow="0" w:firstColumn="0" w:lastColumn="0" w:oddVBand="0" w:evenVBand="0" w:oddHBand="0" w:evenHBand="0" w:firstRowFirstColumn="0" w:firstRowLastColumn="0" w:lastRowFirstColumn="0" w:lastRowLastColumn="0"/>
              <w:rPr>
                <w:sz w:val="14"/>
                <w:szCs w:val="14"/>
              </w:rPr>
            </w:pPr>
            <w:r w:rsidRPr="007158F9">
              <w:rPr>
                <w:sz w:val="14"/>
                <w:szCs w:val="14"/>
              </w:rPr>
              <w:t>March</w:t>
            </w:r>
          </w:p>
        </w:tc>
        <w:tc>
          <w:tcPr>
            <w:tcW w:w="1134" w:type="dxa"/>
            <w:tcBorders>
              <w:bottom w:val="single" w:sz="6" w:space="0" w:color="A6A6A6" w:themeColor="background1" w:themeShade="A6"/>
            </w:tcBorders>
          </w:tcPr>
          <w:p w14:paraId="3BC528AB" w14:textId="77777777" w:rsidR="00526B41" w:rsidRPr="007158F9" w:rsidRDefault="00526B41" w:rsidP="001D148F">
            <w:pPr>
              <w:pStyle w:val="Tabletext"/>
              <w:jc w:val="center"/>
              <w:cnfStyle w:val="100000000000" w:firstRow="1" w:lastRow="0" w:firstColumn="0" w:lastColumn="0" w:oddVBand="0" w:evenVBand="0" w:oddHBand="0" w:evenHBand="0" w:firstRowFirstColumn="0" w:firstRowLastColumn="0" w:lastRowFirstColumn="0" w:lastRowLastColumn="0"/>
              <w:rPr>
                <w:sz w:val="14"/>
                <w:szCs w:val="14"/>
              </w:rPr>
            </w:pPr>
            <w:r w:rsidRPr="007158F9">
              <w:rPr>
                <w:sz w:val="14"/>
                <w:szCs w:val="14"/>
              </w:rPr>
              <w:t>April</w:t>
            </w:r>
          </w:p>
        </w:tc>
        <w:tc>
          <w:tcPr>
            <w:tcW w:w="1067" w:type="dxa"/>
            <w:tcBorders>
              <w:bottom w:val="single" w:sz="6" w:space="0" w:color="A6A6A6" w:themeColor="background1" w:themeShade="A6"/>
            </w:tcBorders>
          </w:tcPr>
          <w:p w14:paraId="15B60F27" w14:textId="77777777" w:rsidR="00526B41" w:rsidRPr="007158F9" w:rsidRDefault="00526B41" w:rsidP="001D148F">
            <w:pPr>
              <w:pStyle w:val="Tabletext"/>
              <w:jc w:val="center"/>
              <w:cnfStyle w:val="100000000000" w:firstRow="1" w:lastRow="0" w:firstColumn="0" w:lastColumn="0" w:oddVBand="0" w:evenVBand="0" w:oddHBand="0" w:evenHBand="0" w:firstRowFirstColumn="0" w:firstRowLastColumn="0" w:lastRowFirstColumn="0" w:lastRowLastColumn="0"/>
              <w:rPr>
                <w:sz w:val="14"/>
                <w:szCs w:val="14"/>
              </w:rPr>
            </w:pPr>
            <w:r w:rsidRPr="007158F9">
              <w:rPr>
                <w:sz w:val="14"/>
                <w:szCs w:val="14"/>
              </w:rPr>
              <w:t>May</w:t>
            </w:r>
          </w:p>
        </w:tc>
        <w:tc>
          <w:tcPr>
            <w:tcW w:w="1068" w:type="dxa"/>
            <w:tcBorders>
              <w:bottom w:val="single" w:sz="6" w:space="0" w:color="A6A6A6" w:themeColor="background1" w:themeShade="A6"/>
            </w:tcBorders>
          </w:tcPr>
          <w:p w14:paraId="046FF548" w14:textId="77777777" w:rsidR="00526B41" w:rsidRPr="007158F9" w:rsidRDefault="00526B41" w:rsidP="001D148F">
            <w:pPr>
              <w:pStyle w:val="Tabletext"/>
              <w:jc w:val="center"/>
              <w:cnfStyle w:val="100000000000" w:firstRow="1" w:lastRow="0" w:firstColumn="0" w:lastColumn="0" w:oddVBand="0" w:evenVBand="0" w:oddHBand="0" w:evenHBand="0" w:firstRowFirstColumn="0" w:firstRowLastColumn="0" w:lastRowFirstColumn="0" w:lastRowLastColumn="0"/>
              <w:rPr>
                <w:sz w:val="14"/>
                <w:szCs w:val="14"/>
              </w:rPr>
            </w:pPr>
            <w:r w:rsidRPr="007158F9">
              <w:rPr>
                <w:sz w:val="14"/>
                <w:szCs w:val="14"/>
              </w:rPr>
              <w:t>June</w:t>
            </w:r>
          </w:p>
        </w:tc>
      </w:tr>
      <w:tr w:rsidR="001D148F" w:rsidRPr="007158F9" w14:paraId="20CB1DB7" w14:textId="77777777" w:rsidTr="001D148F">
        <w:trPr>
          <w:trHeight w:val="1011"/>
        </w:trPr>
        <w:tc>
          <w:tcPr>
            <w:cnfStyle w:val="001000000000" w:firstRow="0" w:lastRow="0" w:firstColumn="1" w:lastColumn="0" w:oddVBand="0" w:evenVBand="0" w:oddHBand="0" w:evenHBand="0" w:firstRowFirstColumn="0" w:firstRowLastColumn="0" w:lastRowFirstColumn="0" w:lastRowLastColumn="0"/>
            <w:tcW w:w="359" w:type="dxa"/>
            <w:tcBorders>
              <w:top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4C97" w:themeFill="accent3"/>
            <w:textDirection w:val="btLr"/>
          </w:tcPr>
          <w:p w14:paraId="5E7C9917" w14:textId="77777777" w:rsidR="00526B41" w:rsidRPr="001D148F" w:rsidRDefault="00526B41" w:rsidP="001D148F">
            <w:pPr>
              <w:pStyle w:val="Tabletext"/>
              <w:spacing w:before="0" w:after="0"/>
              <w:ind w:left="113" w:right="113"/>
              <w:jc w:val="center"/>
              <w:rPr>
                <w:b/>
                <w:color w:val="FFFFFF" w:themeColor="background1"/>
                <w:sz w:val="14"/>
                <w:szCs w:val="14"/>
              </w:rPr>
            </w:pPr>
            <w:r w:rsidRPr="001D148F">
              <w:rPr>
                <w:b/>
                <w:color w:val="FFFFFF" w:themeColor="background1"/>
                <w:sz w:val="14"/>
                <w:szCs w:val="14"/>
              </w:rPr>
              <w:t>Key dates</w:t>
            </w:r>
          </w:p>
        </w:tc>
        <w:tc>
          <w:tcPr>
            <w:tcW w:w="15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6D09F379" w14:textId="77777777" w:rsidR="00526B41" w:rsidRPr="001D148F" w:rsidRDefault="00526B41" w:rsidP="001D148F">
            <w:pPr>
              <w:pStyle w:val="Tabletext"/>
              <w:spacing w:line="240" w:lineRule="auto"/>
              <w:cnfStyle w:val="000000000000" w:firstRow="0" w:lastRow="0" w:firstColumn="0" w:lastColumn="0" w:oddVBand="0" w:evenVBand="0" w:oddHBand="0" w:evenHBand="0" w:firstRowFirstColumn="0" w:firstRowLastColumn="0" w:lastRowFirstColumn="0" w:lastRowLastColumn="0"/>
              <w:rPr>
                <w:sz w:val="13"/>
                <w:szCs w:val="13"/>
              </w:rPr>
            </w:pPr>
            <w:r w:rsidRPr="001D148F">
              <w:rPr>
                <w:sz w:val="13"/>
                <w:szCs w:val="13"/>
              </w:rPr>
              <w:t>Key dates for publications</w:t>
            </w:r>
          </w:p>
        </w:tc>
        <w:tc>
          <w:tcPr>
            <w:tcW w:w="10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1CE6D48"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0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5743349A"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2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845E2CB"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3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C1A6056"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b/>
                <w:bCs/>
                <w:sz w:val="12"/>
                <w:szCs w:val="12"/>
              </w:rPr>
            </w:pPr>
            <w:r w:rsidRPr="007158F9">
              <w:rPr>
                <w:b/>
                <w:bCs/>
                <w:sz w:val="12"/>
                <w:szCs w:val="12"/>
              </w:rPr>
              <w:t>15 October</w:t>
            </w:r>
          </w:p>
          <w:p w14:paraId="5AEE8DDF"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sz w:val="12"/>
                <w:szCs w:val="12"/>
              </w:rPr>
              <w:t>Annual Financial Report</w:t>
            </w:r>
          </w:p>
        </w:tc>
        <w:tc>
          <w:tcPr>
            <w:tcW w:w="9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CC57A8F"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EFB6B90"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b/>
                <w:bCs/>
                <w:sz w:val="12"/>
                <w:szCs w:val="12"/>
              </w:rPr>
              <w:t>Mid-December</w:t>
            </w:r>
          </w:p>
          <w:p w14:paraId="5E5A1BD9"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sz w:val="12"/>
                <w:szCs w:val="12"/>
              </w:rPr>
              <w:t>Budget Update</w:t>
            </w:r>
          </w:p>
        </w:tc>
        <w:tc>
          <w:tcPr>
            <w:tcW w:w="129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1EB37F0"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9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7CDBF6F"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91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B360FF1"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b/>
                <w:bCs/>
                <w:sz w:val="12"/>
                <w:szCs w:val="12"/>
              </w:rPr>
              <w:t>Early March</w:t>
            </w:r>
          </w:p>
          <w:p w14:paraId="540E6BE3"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sz w:val="12"/>
                <w:szCs w:val="12"/>
              </w:rPr>
              <w:t>Mid-Year Financial Report</w:t>
            </w:r>
          </w:p>
        </w:tc>
        <w:tc>
          <w:tcPr>
            <w:tcW w:w="11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84DCD6A"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06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BCE2F33"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b/>
                <w:bCs/>
                <w:sz w:val="12"/>
                <w:szCs w:val="12"/>
              </w:rPr>
              <w:t>Early May</w:t>
            </w:r>
          </w:p>
          <w:p w14:paraId="5FF5B39B"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sz w:val="12"/>
                <w:szCs w:val="12"/>
              </w:rPr>
              <w:t>Budget</w:t>
            </w:r>
          </w:p>
        </w:tc>
        <w:tc>
          <w:tcPr>
            <w:tcW w:w="1068" w:type="dxa"/>
            <w:tcBorders>
              <w:top w:val="single" w:sz="6" w:space="0" w:color="A6A6A6" w:themeColor="background1" w:themeShade="A6"/>
              <w:left w:val="single" w:sz="6" w:space="0" w:color="A6A6A6" w:themeColor="background1" w:themeShade="A6"/>
              <w:bottom w:val="single" w:sz="6" w:space="0" w:color="A6A6A6" w:themeColor="background1" w:themeShade="A6"/>
            </w:tcBorders>
          </w:tcPr>
          <w:p w14:paraId="6FF839B7"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r>
      <w:tr w:rsidR="001D148F" w:rsidRPr="007158F9" w14:paraId="29FC9BC4" w14:textId="77777777" w:rsidTr="001D14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 w:type="dxa"/>
            <w:vMerge w:val="restart"/>
            <w:tcBorders>
              <w:top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4C97" w:themeFill="accent3"/>
            <w:textDirection w:val="btLr"/>
          </w:tcPr>
          <w:p w14:paraId="2B3FAF40" w14:textId="77777777" w:rsidR="00526B41" w:rsidRPr="001D148F" w:rsidRDefault="00526B41" w:rsidP="001D148F">
            <w:pPr>
              <w:pStyle w:val="Tabletext"/>
              <w:spacing w:before="0" w:after="0"/>
              <w:ind w:left="113" w:right="113"/>
              <w:jc w:val="center"/>
              <w:rPr>
                <w:b/>
                <w:color w:val="FFFFFF" w:themeColor="background1"/>
                <w:sz w:val="14"/>
                <w:szCs w:val="14"/>
              </w:rPr>
            </w:pPr>
            <w:r w:rsidRPr="001D148F">
              <w:rPr>
                <w:b/>
                <w:color w:val="FFFFFF" w:themeColor="background1"/>
                <w:sz w:val="14"/>
                <w:szCs w:val="14"/>
              </w:rPr>
              <w:t>Planning and Reporting</w:t>
            </w:r>
          </w:p>
        </w:tc>
        <w:tc>
          <w:tcPr>
            <w:tcW w:w="15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453305D0" w14:textId="77777777" w:rsidR="00526B41" w:rsidRPr="001D148F" w:rsidRDefault="00526B41" w:rsidP="001D148F">
            <w:pPr>
              <w:pStyle w:val="Tabletext"/>
              <w:spacing w:line="240" w:lineRule="auto"/>
              <w:cnfStyle w:val="000000010000" w:firstRow="0" w:lastRow="0" w:firstColumn="0" w:lastColumn="0" w:oddVBand="0" w:evenVBand="0" w:oddHBand="0" w:evenHBand="1" w:firstRowFirstColumn="0" w:firstRowLastColumn="0" w:lastRowFirstColumn="0" w:lastRowLastColumn="0"/>
              <w:rPr>
                <w:sz w:val="13"/>
                <w:szCs w:val="13"/>
              </w:rPr>
            </w:pPr>
            <w:r w:rsidRPr="001D148F">
              <w:rPr>
                <w:sz w:val="13"/>
                <w:szCs w:val="13"/>
              </w:rPr>
              <w:t xml:space="preserve">Reporting to Ministers, financial </w:t>
            </w:r>
            <w:proofErr w:type="gramStart"/>
            <w:r w:rsidRPr="001D148F">
              <w:rPr>
                <w:sz w:val="13"/>
                <w:szCs w:val="13"/>
              </w:rPr>
              <w:t>statements</w:t>
            </w:r>
            <w:proofErr w:type="gramEnd"/>
            <w:r w:rsidRPr="001D148F">
              <w:rPr>
                <w:sz w:val="13"/>
                <w:szCs w:val="13"/>
              </w:rPr>
              <w:t xml:space="preserve"> and annual report</w:t>
            </w:r>
          </w:p>
        </w:tc>
        <w:tc>
          <w:tcPr>
            <w:tcW w:w="10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5172D50D"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0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3D64416B"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2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6689CE54" w14:textId="77777777" w:rsidR="00526B41" w:rsidRDefault="001D148F"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Pr>
                <w:b/>
                <w:bCs/>
                <w:sz w:val="12"/>
                <w:szCs w:val="12"/>
              </w:rPr>
              <w:t>15 September</w:t>
            </w:r>
          </w:p>
          <w:p w14:paraId="0B093FDC" w14:textId="46881F4C" w:rsidR="001D148F" w:rsidRDefault="001D148F" w:rsidP="001D148F">
            <w:pPr>
              <w:pStyle w:val="Tabletext"/>
              <w:spacing w:line="240" w:lineRule="auto"/>
              <w:cnfStyle w:val="000000010000" w:firstRow="0" w:lastRow="0" w:firstColumn="0" w:lastColumn="0" w:oddVBand="0" w:evenVBand="0" w:oddHBand="0" w:evenHBand="1" w:firstRowFirstColumn="0" w:firstRowLastColumn="0" w:lastRowFirstColumn="0" w:lastRowLastColumn="0"/>
              <w:rPr>
                <w:sz w:val="12"/>
                <w:szCs w:val="12"/>
              </w:rPr>
            </w:pPr>
            <w:r>
              <w:rPr>
                <w:sz w:val="12"/>
                <w:szCs w:val="12"/>
              </w:rPr>
              <w:t>Draft Annual Report of GBE</w:t>
            </w:r>
          </w:p>
          <w:p w14:paraId="2D5DDC09" w14:textId="77777777" w:rsidR="001D148F" w:rsidRDefault="001D148F"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Pr>
                <w:b/>
                <w:bCs/>
                <w:sz w:val="12"/>
                <w:szCs w:val="12"/>
              </w:rPr>
              <w:t>15 September</w:t>
            </w:r>
          </w:p>
          <w:p w14:paraId="4A2E7CB6" w14:textId="55B6DE8C" w:rsidR="001D148F" w:rsidRPr="001D148F" w:rsidRDefault="001D148F"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Pr>
                <w:sz w:val="12"/>
                <w:szCs w:val="12"/>
              </w:rPr>
              <w:t>Report of compliance with the Standing Directions to portfolio Department</w:t>
            </w:r>
          </w:p>
        </w:tc>
        <w:tc>
          <w:tcPr>
            <w:tcW w:w="13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685138B3" w14:textId="77777777" w:rsidR="00526B41" w:rsidRDefault="001D148F"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Pr>
                <w:b/>
                <w:bCs/>
                <w:sz w:val="12"/>
                <w:szCs w:val="12"/>
              </w:rPr>
              <w:t>15 October</w:t>
            </w:r>
          </w:p>
          <w:p w14:paraId="4A5D134B" w14:textId="77777777" w:rsidR="001D148F" w:rsidRDefault="001D148F" w:rsidP="001D148F">
            <w:pPr>
              <w:pStyle w:val="Tabletext"/>
              <w:spacing w:line="240" w:lineRule="auto"/>
              <w:cnfStyle w:val="000000010000" w:firstRow="0" w:lastRow="0" w:firstColumn="0" w:lastColumn="0" w:oddVBand="0" w:evenVBand="0" w:oddHBand="0" w:evenHBand="1" w:firstRowFirstColumn="0" w:firstRowLastColumn="0" w:lastRowFirstColumn="0" w:lastRowLastColumn="0"/>
              <w:rPr>
                <w:sz w:val="12"/>
                <w:szCs w:val="12"/>
              </w:rPr>
            </w:pPr>
            <w:r>
              <w:rPr>
                <w:sz w:val="12"/>
                <w:szCs w:val="12"/>
              </w:rPr>
              <w:t xml:space="preserve">Final Annual Report of GBE (or </w:t>
            </w:r>
            <w:r>
              <w:rPr>
                <w:b/>
                <w:bCs/>
                <w:sz w:val="12"/>
                <w:szCs w:val="12"/>
              </w:rPr>
              <w:t>31 October</w:t>
            </w:r>
            <w:r>
              <w:rPr>
                <w:sz w:val="12"/>
                <w:szCs w:val="12"/>
              </w:rPr>
              <w:t xml:space="preserve"> if Treasurer or Assistant Treasurer is not the Minister responsible.</w:t>
            </w:r>
          </w:p>
          <w:p w14:paraId="7A6DA127" w14:textId="77777777" w:rsidR="001D148F" w:rsidRDefault="001D148F"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Pr>
                <w:b/>
                <w:bCs/>
                <w:sz w:val="12"/>
                <w:szCs w:val="12"/>
              </w:rPr>
              <w:t>31 October</w:t>
            </w:r>
            <w:r>
              <w:rPr>
                <w:sz w:val="12"/>
                <w:szCs w:val="12"/>
              </w:rPr>
              <w:t xml:space="preserve"> </w:t>
            </w:r>
          </w:p>
          <w:p w14:paraId="74733FF6" w14:textId="1F3AA6C7" w:rsidR="001D148F" w:rsidRPr="001D148F" w:rsidRDefault="001D148F"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Pr>
                <w:sz w:val="12"/>
                <w:szCs w:val="12"/>
              </w:rPr>
              <w:t>Portfolio compliance summary to DTF</w:t>
            </w:r>
          </w:p>
        </w:tc>
        <w:tc>
          <w:tcPr>
            <w:tcW w:w="9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0469A526"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63F1621E"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b/>
                <w:bCs/>
                <w:sz w:val="12"/>
                <w:szCs w:val="12"/>
              </w:rPr>
              <w:t>15 December</w:t>
            </w:r>
          </w:p>
          <w:p w14:paraId="3E4E0565"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sz w:val="12"/>
                <w:szCs w:val="12"/>
              </w:rPr>
              <w:t>Whole of government compliance report to</w:t>
            </w:r>
            <w:r>
              <w:rPr>
                <w:sz w:val="12"/>
                <w:szCs w:val="12"/>
              </w:rPr>
              <w:t xml:space="preserve"> </w:t>
            </w:r>
            <w:r w:rsidRPr="007158F9">
              <w:rPr>
                <w:sz w:val="12"/>
                <w:szCs w:val="12"/>
              </w:rPr>
              <w:t xml:space="preserve">Assistant Treasurer </w:t>
            </w:r>
          </w:p>
        </w:tc>
        <w:tc>
          <w:tcPr>
            <w:tcW w:w="129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5231CE21"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9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5BBDAB0B"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91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1657A3C9"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1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3B3300E1"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06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2EB58DAF"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068" w:type="dxa"/>
            <w:tcBorders>
              <w:top w:val="single" w:sz="6" w:space="0" w:color="A6A6A6" w:themeColor="background1" w:themeShade="A6"/>
              <w:left w:val="single" w:sz="6" w:space="0" w:color="A6A6A6" w:themeColor="background1" w:themeShade="A6"/>
              <w:bottom w:val="single" w:sz="6" w:space="0" w:color="A6A6A6" w:themeColor="background1" w:themeShade="A6"/>
            </w:tcBorders>
            <w:shd w:val="clear" w:color="auto" w:fill="E9F8FD"/>
          </w:tcPr>
          <w:p w14:paraId="0609332B"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r>
      <w:tr w:rsidR="001D148F" w:rsidRPr="007158F9" w14:paraId="49FC67A2" w14:textId="77777777" w:rsidTr="001D148F">
        <w:trPr>
          <w:trHeight w:val="281"/>
        </w:trPr>
        <w:tc>
          <w:tcPr>
            <w:cnfStyle w:val="001000000000" w:firstRow="0" w:lastRow="0" w:firstColumn="1" w:lastColumn="0" w:oddVBand="0" w:evenVBand="0" w:oddHBand="0" w:evenHBand="0" w:firstRowFirstColumn="0" w:firstRowLastColumn="0" w:lastRowFirstColumn="0" w:lastRowLastColumn="0"/>
            <w:tcW w:w="359" w:type="dxa"/>
            <w:vMerge/>
            <w:tcBorders>
              <w:top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4C97" w:themeFill="accent3"/>
          </w:tcPr>
          <w:p w14:paraId="5AF068F2" w14:textId="77777777" w:rsidR="00526B41" w:rsidRPr="001D148F" w:rsidRDefault="00526B41" w:rsidP="001D148F">
            <w:pPr>
              <w:pStyle w:val="Tabletext"/>
              <w:spacing w:before="0" w:after="0"/>
              <w:rPr>
                <w:b/>
                <w:color w:val="FFFFFF" w:themeColor="background1"/>
                <w:sz w:val="14"/>
                <w:szCs w:val="14"/>
              </w:rPr>
            </w:pPr>
          </w:p>
        </w:tc>
        <w:tc>
          <w:tcPr>
            <w:tcW w:w="1501" w:type="dxa"/>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53F6F556" w14:textId="77777777" w:rsidR="00526B41" w:rsidRPr="001D148F" w:rsidRDefault="00526B41" w:rsidP="001D148F">
            <w:pPr>
              <w:pStyle w:val="Tabletext"/>
              <w:spacing w:line="240" w:lineRule="auto"/>
              <w:cnfStyle w:val="000000000000" w:firstRow="0" w:lastRow="0" w:firstColumn="0" w:lastColumn="0" w:oddVBand="0" w:evenVBand="0" w:oddHBand="0" w:evenHBand="0" w:firstRowFirstColumn="0" w:firstRowLastColumn="0" w:lastRowFirstColumn="0" w:lastRowLastColumn="0"/>
              <w:rPr>
                <w:sz w:val="13"/>
                <w:szCs w:val="13"/>
              </w:rPr>
            </w:pPr>
            <w:r w:rsidRPr="001D148F">
              <w:rPr>
                <w:sz w:val="13"/>
                <w:szCs w:val="13"/>
              </w:rPr>
              <w:t>Corporate Plan and Statement of Corporate Intent</w:t>
            </w:r>
          </w:p>
        </w:tc>
        <w:tc>
          <w:tcPr>
            <w:tcW w:w="1020" w:type="dxa"/>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42ED3E3"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080" w:type="dxa"/>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5969E35" w14:textId="77777777" w:rsidR="00526B41" w:rsidRDefault="001D148F"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Pr>
                <w:b/>
                <w:bCs/>
                <w:sz w:val="12"/>
                <w:szCs w:val="12"/>
              </w:rPr>
              <w:t>31 August</w:t>
            </w:r>
          </w:p>
          <w:p w14:paraId="538377AB" w14:textId="17BBBB1E" w:rsidR="001D148F" w:rsidRPr="001D148F" w:rsidRDefault="001D148F"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Final Corporate Plan</w:t>
            </w:r>
          </w:p>
        </w:tc>
        <w:tc>
          <w:tcPr>
            <w:tcW w:w="1260" w:type="dxa"/>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592AA8B"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384" w:type="dxa"/>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6A58505"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950" w:type="dxa"/>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6ECC14B"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070" w:type="dxa"/>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3C04818"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297" w:type="dxa"/>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29A7F23"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3039"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4E1F7" w:themeFill="accent2" w:themeFillTint="99"/>
          </w:tcPr>
          <w:p w14:paraId="1C0C20F5" w14:textId="77777777" w:rsidR="00526B41" w:rsidRPr="007158F9" w:rsidRDefault="00526B41" w:rsidP="001D148F">
            <w:pPr>
              <w:pStyle w:val="Tabletext"/>
              <w:spacing w:line="240" w:lineRule="auto"/>
              <w:contextualSpacing/>
              <w:jc w:val="center"/>
              <w:cnfStyle w:val="000000000000" w:firstRow="0" w:lastRow="0" w:firstColumn="0" w:lastColumn="0" w:oddVBand="0" w:evenVBand="0" w:oddHBand="0" w:evenHBand="0" w:firstRowFirstColumn="0" w:firstRowLastColumn="0" w:lastRowFirstColumn="0" w:lastRowLastColumn="0"/>
              <w:rPr>
                <w:sz w:val="13"/>
                <w:szCs w:val="13"/>
              </w:rPr>
            </w:pPr>
            <w:r w:rsidRPr="007158F9">
              <w:rPr>
                <w:sz w:val="13"/>
                <w:szCs w:val="13"/>
              </w:rPr>
              <w:t xml:space="preserve">Corporate Plan preliminary discussions </w:t>
            </w:r>
            <w:r w:rsidRPr="007158F9">
              <w:rPr>
                <w:sz w:val="13"/>
                <w:szCs w:val="13"/>
              </w:rPr>
              <w:br/>
              <w:t>between GBE and DTF</w:t>
            </w:r>
          </w:p>
        </w:tc>
        <w:tc>
          <w:tcPr>
            <w:tcW w:w="1067" w:type="dxa"/>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859162C" w14:textId="77777777" w:rsidR="00526B41"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Pr>
                <w:b/>
                <w:bCs/>
                <w:sz w:val="12"/>
                <w:szCs w:val="12"/>
              </w:rPr>
              <w:t>31 May</w:t>
            </w:r>
          </w:p>
          <w:p w14:paraId="2CB44E2F"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Draft Corporate Plan</w:t>
            </w:r>
          </w:p>
        </w:tc>
        <w:tc>
          <w:tcPr>
            <w:tcW w:w="1068" w:type="dxa"/>
            <w:vMerge w:val="restart"/>
            <w:tcBorders>
              <w:top w:val="single" w:sz="6" w:space="0" w:color="A6A6A6" w:themeColor="background1" w:themeShade="A6"/>
              <w:left w:val="single" w:sz="6" w:space="0" w:color="A6A6A6" w:themeColor="background1" w:themeShade="A6"/>
              <w:bottom w:val="single" w:sz="6" w:space="0" w:color="A6A6A6" w:themeColor="background1" w:themeShade="A6"/>
            </w:tcBorders>
          </w:tcPr>
          <w:p w14:paraId="1C281D65"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r>
      <w:tr w:rsidR="001D148F" w:rsidRPr="007158F9" w14:paraId="604A11C3" w14:textId="77777777" w:rsidTr="001D148F">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9" w:type="dxa"/>
            <w:vMerge/>
            <w:tcBorders>
              <w:top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4C97" w:themeFill="accent3"/>
          </w:tcPr>
          <w:p w14:paraId="732097AD" w14:textId="77777777" w:rsidR="00526B41" w:rsidRPr="001D148F" w:rsidRDefault="00526B41" w:rsidP="001D148F">
            <w:pPr>
              <w:pStyle w:val="Tabletext"/>
              <w:spacing w:before="0" w:after="0"/>
              <w:rPr>
                <w:b/>
                <w:color w:val="FFFFFF" w:themeColor="background1"/>
                <w:sz w:val="14"/>
                <w:szCs w:val="14"/>
              </w:rPr>
            </w:pPr>
          </w:p>
        </w:tc>
        <w:tc>
          <w:tcPr>
            <w:tcW w:w="1501" w:type="dxa"/>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4467C248" w14:textId="77777777" w:rsidR="00526B41" w:rsidRPr="001D148F" w:rsidRDefault="00526B41" w:rsidP="001D148F">
            <w:pPr>
              <w:pStyle w:val="Tabletext"/>
              <w:spacing w:line="240" w:lineRule="auto"/>
              <w:cnfStyle w:val="000000010000" w:firstRow="0" w:lastRow="0" w:firstColumn="0" w:lastColumn="0" w:oddVBand="0" w:evenVBand="0" w:oddHBand="0" w:evenHBand="1" w:firstRowFirstColumn="0" w:firstRowLastColumn="0" w:lastRowFirstColumn="0" w:lastRowLastColumn="0"/>
              <w:rPr>
                <w:sz w:val="13"/>
                <w:szCs w:val="13"/>
              </w:rPr>
            </w:pPr>
          </w:p>
        </w:tc>
        <w:tc>
          <w:tcPr>
            <w:tcW w:w="1020" w:type="dxa"/>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5B951680"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080" w:type="dxa"/>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18D1E3F"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260" w:type="dxa"/>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DCE0006"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384" w:type="dxa"/>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2E3B54F"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950" w:type="dxa"/>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4AF4F7B"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070" w:type="dxa"/>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4891797"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297" w:type="dxa"/>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A5AAC09"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9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386A73E"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91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FCAC46B"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1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0DE4757"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b/>
                <w:bCs/>
                <w:sz w:val="12"/>
                <w:szCs w:val="12"/>
              </w:rPr>
              <w:t>30 April</w:t>
            </w:r>
            <w:r w:rsidRPr="007158F9">
              <w:rPr>
                <w:sz w:val="12"/>
                <w:szCs w:val="12"/>
              </w:rPr>
              <w:t xml:space="preserve"> (per Water Ac</w:t>
            </w:r>
            <w:r>
              <w:rPr>
                <w:sz w:val="12"/>
                <w:szCs w:val="12"/>
              </w:rPr>
              <w:t>t</w:t>
            </w:r>
            <w:r w:rsidRPr="007158F9">
              <w:rPr>
                <w:sz w:val="12"/>
                <w:szCs w:val="12"/>
              </w:rPr>
              <w:t>)</w:t>
            </w:r>
          </w:p>
          <w:p w14:paraId="0A63A1DC"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sz w:val="12"/>
                <w:szCs w:val="12"/>
              </w:rPr>
              <w:t>Water corporation Corporate Plan</w:t>
            </w:r>
          </w:p>
        </w:tc>
        <w:tc>
          <w:tcPr>
            <w:tcW w:w="1067" w:type="dxa"/>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B4532D0"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068" w:type="dxa"/>
            <w:vMerge/>
            <w:tcBorders>
              <w:top w:val="single" w:sz="6" w:space="0" w:color="A6A6A6" w:themeColor="background1" w:themeShade="A6"/>
              <w:left w:val="single" w:sz="6" w:space="0" w:color="A6A6A6" w:themeColor="background1" w:themeShade="A6"/>
              <w:bottom w:val="single" w:sz="6" w:space="0" w:color="A6A6A6" w:themeColor="background1" w:themeShade="A6"/>
            </w:tcBorders>
          </w:tcPr>
          <w:p w14:paraId="18BB30C1"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r>
      <w:tr w:rsidR="001D148F" w:rsidRPr="007158F9" w14:paraId="2CCD3505" w14:textId="77777777" w:rsidTr="001D148F">
        <w:tc>
          <w:tcPr>
            <w:cnfStyle w:val="001000000000" w:firstRow="0" w:lastRow="0" w:firstColumn="1" w:lastColumn="0" w:oddVBand="0" w:evenVBand="0" w:oddHBand="0" w:evenHBand="0" w:firstRowFirstColumn="0" w:firstRowLastColumn="0" w:lastRowFirstColumn="0" w:lastRowLastColumn="0"/>
            <w:tcW w:w="359" w:type="dxa"/>
            <w:vMerge/>
            <w:tcBorders>
              <w:top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4C97" w:themeFill="accent3"/>
          </w:tcPr>
          <w:p w14:paraId="149841C8" w14:textId="77777777" w:rsidR="00526B41" w:rsidRPr="001D148F" w:rsidRDefault="00526B41" w:rsidP="001D148F">
            <w:pPr>
              <w:pStyle w:val="Tabletext"/>
              <w:spacing w:before="0" w:after="0"/>
              <w:rPr>
                <w:b/>
                <w:color w:val="FFFFFF" w:themeColor="background1"/>
                <w:sz w:val="14"/>
                <w:szCs w:val="14"/>
              </w:rPr>
            </w:pPr>
          </w:p>
        </w:tc>
        <w:tc>
          <w:tcPr>
            <w:tcW w:w="15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30204443" w14:textId="77777777" w:rsidR="00526B41" w:rsidRPr="001D148F" w:rsidRDefault="00526B41" w:rsidP="001D148F">
            <w:pPr>
              <w:pStyle w:val="Tabletext"/>
              <w:spacing w:line="240" w:lineRule="auto"/>
              <w:cnfStyle w:val="000000000000" w:firstRow="0" w:lastRow="0" w:firstColumn="0" w:lastColumn="0" w:oddVBand="0" w:evenVBand="0" w:oddHBand="0" w:evenHBand="0" w:firstRowFirstColumn="0" w:firstRowLastColumn="0" w:lastRowFirstColumn="0" w:lastRowLastColumn="0"/>
              <w:rPr>
                <w:sz w:val="13"/>
                <w:szCs w:val="13"/>
              </w:rPr>
            </w:pPr>
            <w:r w:rsidRPr="001D148F">
              <w:rPr>
                <w:sz w:val="13"/>
                <w:szCs w:val="13"/>
              </w:rPr>
              <w:t>Performance monitoring</w:t>
            </w:r>
          </w:p>
        </w:tc>
        <w:tc>
          <w:tcPr>
            <w:tcW w:w="10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1860793D" w14:textId="77777777" w:rsidR="00526B41" w:rsidRDefault="001D148F"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Pr>
                <w:b/>
                <w:bCs/>
                <w:sz w:val="12"/>
                <w:szCs w:val="12"/>
              </w:rPr>
              <w:t>31 July</w:t>
            </w:r>
          </w:p>
          <w:p w14:paraId="60E7976E" w14:textId="0707C662" w:rsidR="001D148F" w:rsidRPr="001D148F" w:rsidRDefault="001D148F"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June quarterly report</w:t>
            </w:r>
          </w:p>
        </w:tc>
        <w:tc>
          <w:tcPr>
            <w:tcW w:w="10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2FA92FAD"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2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0896DC17"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3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61CB76F0" w14:textId="77777777" w:rsidR="00526B41" w:rsidRDefault="001D148F"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Pr>
                <w:b/>
                <w:bCs/>
                <w:sz w:val="12"/>
                <w:szCs w:val="12"/>
              </w:rPr>
              <w:t>31 October</w:t>
            </w:r>
          </w:p>
          <w:p w14:paraId="1E860279" w14:textId="3DF12F00" w:rsidR="001D148F" w:rsidRPr="001D148F" w:rsidRDefault="001D148F"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September quarterly report</w:t>
            </w:r>
          </w:p>
        </w:tc>
        <w:tc>
          <w:tcPr>
            <w:tcW w:w="9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1619A491"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70CB0286"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29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372CC332"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b/>
                <w:bCs/>
                <w:sz w:val="12"/>
                <w:szCs w:val="12"/>
              </w:rPr>
              <w:t>31 January</w:t>
            </w:r>
          </w:p>
          <w:p w14:paraId="4B491A06"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sz w:val="12"/>
                <w:szCs w:val="12"/>
              </w:rPr>
              <w:t>December quarterly report</w:t>
            </w:r>
          </w:p>
        </w:tc>
        <w:tc>
          <w:tcPr>
            <w:tcW w:w="9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4E782F3F"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91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73B96045"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1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29AF35D9"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b/>
                <w:bCs/>
                <w:sz w:val="12"/>
                <w:szCs w:val="12"/>
              </w:rPr>
              <w:t>30 April</w:t>
            </w:r>
          </w:p>
          <w:p w14:paraId="41B18632" w14:textId="34070065"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sz w:val="12"/>
                <w:szCs w:val="12"/>
              </w:rPr>
              <w:t xml:space="preserve">March </w:t>
            </w:r>
            <w:r w:rsidR="001D148F" w:rsidRPr="007158F9">
              <w:rPr>
                <w:sz w:val="12"/>
                <w:szCs w:val="12"/>
              </w:rPr>
              <w:t>quarterly report</w:t>
            </w:r>
          </w:p>
        </w:tc>
        <w:tc>
          <w:tcPr>
            <w:tcW w:w="106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52760720"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068" w:type="dxa"/>
            <w:tcBorders>
              <w:top w:val="single" w:sz="6" w:space="0" w:color="A6A6A6" w:themeColor="background1" w:themeShade="A6"/>
              <w:left w:val="single" w:sz="6" w:space="0" w:color="A6A6A6" w:themeColor="background1" w:themeShade="A6"/>
              <w:bottom w:val="single" w:sz="6" w:space="0" w:color="A6A6A6" w:themeColor="background1" w:themeShade="A6"/>
            </w:tcBorders>
            <w:shd w:val="clear" w:color="auto" w:fill="E9F8FD"/>
          </w:tcPr>
          <w:p w14:paraId="14FC4419"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r>
      <w:tr w:rsidR="001D148F" w:rsidRPr="007158F9" w14:paraId="128F7055" w14:textId="77777777" w:rsidTr="001D14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 w:type="dxa"/>
            <w:vMerge/>
            <w:tcBorders>
              <w:top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4C97" w:themeFill="accent3"/>
          </w:tcPr>
          <w:p w14:paraId="5777D4A9" w14:textId="77777777" w:rsidR="00526B41" w:rsidRPr="001D148F" w:rsidRDefault="00526B41" w:rsidP="001D148F">
            <w:pPr>
              <w:pStyle w:val="Tabletext"/>
              <w:spacing w:before="0" w:after="0"/>
              <w:rPr>
                <w:b/>
                <w:color w:val="FFFFFF" w:themeColor="background1"/>
                <w:sz w:val="14"/>
                <w:szCs w:val="14"/>
              </w:rPr>
            </w:pPr>
          </w:p>
        </w:tc>
        <w:tc>
          <w:tcPr>
            <w:tcW w:w="15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2B263B0D" w14:textId="77777777" w:rsidR="00526B41" w:rsidRPr="001D148F" w:rsidRDefault="00526B41" w:rsidP="001D148F">
            <w:pPr>
              <w:pStyle w:val="Tabletext"/>
              <w:spacing w:line="240" w:lineRule="auto"/>
              <w:cnfStyle w:val="000000010000" w:firstRow="0" w:lastRow="0" w:firstColumn="0" w:lastColumn="0" w:oddVBand="0" w:evenVBand="0" w:oddHBand="0" w:evenHBand="1" w:firstRowFirstColumn="0" w:firstRowLastColumn="0" w:lastRowFirstColumn="0" w:lastRowLastColumn="0"/>
              <w:rPr>
                <w:sz w:val="13"/>
                <w:szCs w:val="13"/>
              </w:rPr>
            </w:pPr>
            <w:r w:rsidRPr="001D148F">
              <w:rPr>
                <w:sz w:val="13"/>
                <w:szCs w:val="13"/>
              </w:rPr>
              <w:t>DTF information request</w:t>
            </w:r>
          </w:p>
        </w:tc>
        <w:tc>
          <w:tcPr>
            <w:tcW w:w="10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4B42B86"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0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EF6B0A9"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b/>
                <w:bCs/>
                <w:sz w:val="12"/>
                <w:szCs w:val="12"/>
              </w:rPr>
              <w:t>Early to mid-August</w:t>
            </w:r>
          </w:p>
          <w:p w14:paraId="18E41C56"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sz w:val="12"/>
                <w:szCs w:val="12"/>
              </w:rPr>
              <w:t xml:space="preserve">Audited annual financial data to SRIMS </w:t>
            </w:r>
            <w:r w:rsidRPr="007158F9">
              <w:rPr>
                <w:sz w:val="12"/>
                <w:szCs w:val="12"/>
                <w:vertAlign w:val="superscript"/>
              </w:rPr>
              <w:t>(a)</w:t>
            </w:r>
          </w:p>
        </w:tc>
        <w:tc>
          <w:tcPr>
            <w:tcW w:w="12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21FDA06"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b/>
                <w:bCs/>
                <w:sz w:val="12"/>
                <w:szCs w:val="12"/>
              </w:rPr>
              <w:t>Late September</w:t>
            </w:r>
          </w:p>
          <w:p w14:paraId="1AFBD64C"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sz w:val="12"/>
                <w:szCs w:val="12"/>
              </w:rPr>
              <w:t>Budget Update distribution tables</w:t>
            </w:r>
          </w:p>
        </w:tc>
        <w:tc>
          <w:tcPr>
            <w:tcW w:w="13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A58EB57"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b/>
                <w:bCs/>
                <w:sz w:val="12"/>
                <w:szCs w:val="12"/>
              </w:rPr>
              <w:t>Mid-October</w:t>
            </w:r>
          </w:p>
          <w:p w14:paraId="50494F42"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sz w:val="12"/>
                <w:szCs w:val="12"/>
              </w:rPr>
              <w:t xml:space="preserve">Budget Update financial data to SRIMS </w:t>
            </w:r>
            <w:r w:rsidRPr="007158F9">
              <w:rPr>
                <w:sz w:val="12"/>
                <w:szCs w:val="12"/>
                <w:vertAlign w:val="superscript"/>
              </w:rPr>
              <w:t>(a)</w:t>
            </w:r>
          </w:p>
        </w:tc>
        <w:tc>
          <w:tcPr>
            <w:tcW w:w="9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7726AF9"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B7E9DAF"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29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3742A7F"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b/>
                <w:bCs/>
                <w:sz w:val="12"/>
                <w:szCs w:val="12"/>
              </w:rPr>
              <w:t>Mid-January</w:t>
            </w:r>
          </w:p>
          <w:p w14:paraId="4A8F47F1"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sz w:val="12"/>
                <w:szCs w:val="12"/>
              </w:rPr>
              <w:t xml:space="preserve">Mid-year financial data to SRIMS </w:t>
            </w:r>
            <w:r w:rsidRPr="007158F9">
              <w:rPr>
                <w:sz w:val="12"/>
                <w:szCs w:val="12"/>
                <w:vertAlign w:val="superscript"/>
              </w:rPr>
              <w:t>(a)</w:t>
            </w:r>
          </w:p>
          <w:p w14:paraId="75C7C17D"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b/>
                <w:bCs/>
                <w:sz w:val="12"/>
                <w:szCs w:val="12"/>
              </w:rPr>
              <w:t>Late January</w:t>
            </w:r>
          </w:p>
          <w:p w14:paraId="0B56C98E"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sz w:val="12"/>
                <w:szCs w:val="12"/>
              </w:rPr>
              <w:t>Budget distribution tables</w:t>
            </w:r>
          </w:p>
        </w:tc>
        <w:tc>
          <w:tcPr>
            <w:tcW w:w="9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602D847" w14:textId="77777777" w:rsidR="00526B41" w:rsidRDefault="007C7FA2"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Pr>
                <w:b/>
                <w:bCs/>
                <w:sz w:val="12"/>
                <w:szCs w:val="12"/>
              </w:rPr>
              <w:t>Mid-February</w:t>
            </w:r>
          </w:p>
          <w:p w14:paraId="1B7F0ADB" w14:textId="078267EE" w:rsidR="007C7FA2" w:rsidRPr="007C7FA2" w:rsidRDefault="007C7FA2"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vertAlign w:val="superscript"/>
              </w:rPr>
            </w:pPr>
            <w:r>
              <w:rPr>
                <w:sz w:val="12"/>
                <w:szCs w:val="12"/>
              </w:rPr>
              <w:t xml:space="preserve">Budget financial data to SRIMS </w:t>
            </w:r>
            <w:r>
              <w:rPr>
                <w:sz w:val="12"/>
                <w:szCs w:val="12"/>
                <w:vertAlign w:val="superscript"/>
              </w:rPr>
              <w:t>(a)</w:t>
            </w:r>
          </w:p>
        </w:tc>
        <w:tc>
          <w:tcPr>
            <w:tcW w:w="91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3D024DC"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1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322F9B2"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b/>
                <w:bCs/>
                <w:sz w:val="12"/>
                <w:szCs w:val="12"/>
              </w:rPr>
              <w:t>Early to mid</w:t>
            </w:r>
            <w:r w:rsidRPr="007158F9">
              <w:rPr>
                <w:b/>
                <w:bCs/>
                <w:sz w:val="12"/>
                <w:szCs w:val="12"/>
              </w:rPr>
              <w:noBreakHyphen/>
              <w:t>April</w:t>
            </w:r>
          </w:p>
          <w:p w14:paraId="3FD1D930"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sz w:val="12"/>
                <w:szCs w:val="12"/>
              </w:rPr>
              <w:t xml:space="preserve">Budget Paper No. 1 data to SRIMS </w:t>
            </w:r>
            <w:r w:rsidRPr="007158F9">
              <w:rPr>
                <w:sz w:val="12"/>
                <w:szCs w:val="12"/>
                <w:vertAlign w:val="superscript"/>
              </w:rPr>
              <w:t>(a)</w:t>
            </w:r>
          </w:p>
        </w:tc>
        <w:tc>
          <w:tcPr>
            <w:tcW w:w="106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085D0C4"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068" w:type="dxa"/>
            <w:tcBorders>
              <w:top w:val="single" w:sz="6" w:space="0" w:color="A6A6A6" w:themeColor="background1" w:themeShade="A6"/>
              <w:left w:val="single" w:sz="6" w:space="0" w:color="A6A6A6" w:themeColor="background1" w:themeShade="A6"/>
              <w:bottom w:val="single" w:sz="6" w:space="0" w:color="A6A6A6" w:themeColor="background1" w:themeShade="A6"/>
            </w:tcBorders>
          </w:tcPr>
          <w:p w14:paraId="58A6D03C"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r>
      <w:tr w:rsidR="001D148F" w:rsidRPr="007158F9" w14:paraId="3913D833" w14:textId="77777777" w:rsidTr="001D148F">
        <w:tc>
          <w:tcPr>
            <w:cnfStyle w:val="001000000000" w:firstRow="0" w:lastRow="0" w:firstColumn="1" w:lastColumn="0" w:oddVBand="0" w:evenVBand="0" w:oddHBand="0" w:evenHBand="0" w:firstRowFirstColumn="0" w:firstRowLastColumn="0" w:lastRowFirstColumn="0" w:lastRowLastColumn="0"/>
            <w:tcW w:w="359" w:type="dxa"/>
            <w:vMerge w:val="restart"/>
            <w:tcBorders>
              <w:top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4C97" w:themeFill="accent3"/>
            <w:textDirection w:val="btLr"/>
          </w:tcPr>
          <w:p w14:paraId="23D51AE3" w14:textId="77777777" w:rsidR="00526B41" w:rsidRPr="001D148F" w:rsidRDefault="00526B41" w:rsidP="001D148F">
            <w:pPr>
              <w:pStyle w:val="Tabletext"/>
              <w:spacing w:before="0" w:after="0"/>
              <w:ind w:left="113" w:right="113"/>
              <w:jc w:val="center"/>
              <w:rPr>
                <w:b/>
                <w:color w:val="FFFFFF" w:themeColor="background1"/>
                <w:sz w:val="14"/>
                <w:szCs w:val="14"/>
              </w:rPr>
            </w:pPr>
            <w:r w:rsidRPr="001D148F">
              <w:rPr>
                <w:b/>
                <w:color w:val="FFFFFF" w:themeColor="background1"/>
                <w:sz w:val="14"/>
                <w:szCs w:val="14"/>
              </w:rPr>
              <w:t>Financial returns</w:t>
            </w:r>
          </w:p>
        </w:tc>
        <w:tc>
          <w:tcPr>
            <w:tcW w:w="15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41753E2C" w14:textId="77777777" w:rsidR="00526B41" w:rsidRPr="001D148F" w:rsidRDefault="00526B41" w:rsidP="001D148F">
            <w:pPr>
              <w:pStyle w:val="Tabletext"/>
              <w:spacing w:line="240" w:lineRule="auto"/>
              <w:cnfStyle w:val="000000000000" w:firstRow="0" w:lastRow="0" w:firstColumn="0" w:lastColumn="0" w:oddVBand="0" w:evenVBand="0" w:oddHBand="0" w:evenHBand="0" w:firstRowFirstColumn="0" w:firstRowLastColumn="0" w:lastRowFirstColumn="0" w:lastRowLastColumn="0"/>
              <w:rPr>
                <w:sz w:val="13"/>
                <w:szCs w:val="13"/>
              </w:rPr>
            </w:pPr>
            <w:r w:rsidRPr="001D148F">
              <w:rPr>
                <w:sz w:val="13"/>
                <w:szCs w:val="13"/>
              </w:rPr>
              <w:t>Dividend</w:t>
            </w:r>
          </w:p>
        </w:tc>
        <w:tc>
          <w:tcPr>
            <w:tcW w:w="10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49DEF14E"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0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08DC1694"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2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7E5AEC0D"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3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011EA916"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b/>
                <w:bCs/>
                <w:sz w:val="12"/>
                <w:szCs w:val="12"/>
              </w:rPr>
              <w:t>31 October</w:t>
            </w:r>
          </w:p>
          <w:p w14:paraId="104955EF"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sz w:val="12"/>
                <w:szCs w:val="12"/>
              </w:rPr>
              <w:t>Final dividend payable</w:t>
            </w:r>
          </w:p>
        </w:tc>
        <w:tc>
          <w:tcPr>
            <w:tcW w:w="9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68727A5B"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0ACCD3CF"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29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6EE666CA"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9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1802553C"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91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2C8CB065"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1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2C57E51D"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b/>
                <w:bCs/>
                <w:sz w:val="12"/>
                <w:szCs w:val="12"/>
              </w:rPr>
              <w:t>30 April</w:t>
            </w:r>
          </w:p>
          <w:p w14:paraId="42FD5BE2"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sz w:val="12"/>
                <w:szCs w:val="12"/>
              </w:rPr>
              <w:t>Interim dividend payable</w:t>
            </w:r>
          </w:p>
        </w:tc>
        <w:tc>
          <w:tcPr>
            <w:tcW w:w="106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9F8FD"/>
          </w:tcPr>
          <w:p w14:paraId="0CBAB87C"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068" w:type="dxa"/>
            <w:tcBorders>
              <w:top w:val="single" w:sz="6" w:space="0" w:color="A6A6A6" w:themeColor="background1" w:themeShade="A6"/>
              <w:left w:val="single" w:sz="6" w:space="0" w:color="A6A6A6" w:themeColor="background1" w:themeShade="A6"/>
              <w:bottom w:val="single" w:sz="6" w:space="0" w:color="A6A6A6" w:themeColor="background1" w:themeShade="A6"/>
            </w:tcBorders>
            <w:shd w:val="clear" w:color="auto" w:fill="E9F8FD"/>
          </w:tcPr>
          <w:p w14:paraId="7244162E"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r>
      <w:tr w:rsidR="001D148F" w:rsidRPr="007158F9" w14:paraId="66B448D8" w14:textId="77777777" w:rsidTr="001D14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 w:type="dxa"/>
            <w:vMerge/>
            <w:tcBorders>
              <w:top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4C97" w:themeFill="accent3"/>
          </w:tcPr>
          <w:p w14:paraId="4959EF2C" w14:textId="77777777" w:rsidR="00526B41" w:rsidRPr="001D148F" w:rsidRDefault="00526B41" w:rsidP="001D148F">
            <w:pPr>
              <w:pStyle w:val="Tabletext"/>
              <w:spacing w:before="0" w:after="0"/>
              <w:rPr>
                <w:b/>
                <w:sz w:val="14"/>
                <w:szCs w:val="14"/>
              </w:rPr>
            </w:pPr>
          </w:p>
        </w:tc>
        <w:tc>
          <w:tcPr>
            <w:tcW w:w="15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1A39523D" w14:textId="77777777" w:rsidR="00526B41" w:rsidRPr="001D148F" w:rsidRDefault="00526B41" w:rsidP="001D148F">
            <w:pPr>
              <w:pStyle w:val="Tabletext"/>
              <w:spacing w:line="240" w:lineRule="auto"/>
              <w:cnfStyle w:val="000000010000" w:firstRow="0" w:lastRow="0" w:firstColumn="0" w:lastColumn="0" w:oddVBand="0" w:evenVBand="0" w:oddHBand="0" w:evenHBand="1" w:firstRowFirstColumn="0" w:firstRowLastColumn="0" w:lastRowFirstColumn="0" w:lastRowLastColumn="0"/>
              <w:rPr>
                <w:sz w:val="13"/>
                <w:szCs w:val="13"/>
              </w:rPr>
            </w:pPr>
            <w:r w:rsidRPr="001D148F">
              <w:rPr>
                <w:sz w:val="13"/>
                <w:szCs w:val="13"/>
              </w:rPr>
              <w:t>Income Tax Equivalent</w:t>
            </w:r>
          </w:p>
        </w:tc>
        <w:tc>
          <w:tcPr>
            <w:tcW w:w="10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414AD2D"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b/>
                <w:bCs/>
                <w:sz w:val="12"/>
                <w:szCs w:val="12"/>
              </w:rPr>
              <w:t>21 July</w:t>
            </w:r>
          </w:p>
          <w:p w14:paraId="484467F8"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sz w:val="12"/>
                <w:szCs w:val="12"/>
              </w:rPr>
              <w:t>ITE payable</w:t>
            </w:r>
          </w:p>
        </w:tc>
        <w:tc>
          <w:tcPr>
            <w:tcW w:w="10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3558005"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2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21CFB04"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3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CD66899"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b/>
                <w:bCs/>
                <w:sz w:val="12"/>
                <w:szCs w:val="12"/>
              </w:rPr>
              <w:t>21 October</w:t>
            </w:r>
          </w:p>
          <w:p w14:paraId="38778C81"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sz w:val="12"/>
                <w:szCs w:val="12"/>
              </w:rPr>
              <w:t>ITE payable</w:t>
            </w:r>
          </w:p>
        </w:tc>
        <w:tc>
          <w:tcPr>
            <w:tcW w:w="9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5D55EFF4"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948A328" w14:textId="77777777" w:rsidR="00526B41" w:rsidRDefault="007C7FA2"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Pr>
                <w:b/>
                <w:bCs/>
                <w:sz w:val="12"/>
                <w:szCs w:val="12"/>
              </w:rPr>
              <w:t>1 December</w:t>
            </w:r>
          </w:p>
          <w:p w14:paraId="44E33B3B" w14:textId="73C51A68" w:rsidR="007C7FA2" w:rsidRPr="007C7FA2" w:rsidRDefault="007C7FA2"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Pr>
                <w:sz w:val="12"/>
                <w:szCs w:val="12"/>
              </w:rPr>
              <w:t>ITE payable</w:t>
            </w:r>
          </w:p>
        </w:tc>
        <w:tc>
          <w:tcPr>
            <w:tcW w:w="129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5C642D3C"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b/>
                <w:bCs/>
                <w:sz w:val="12"/>
                <w:szCs w:val="12"/>
              </w:rPr>
              <w:t>21 January</w:t>
            </w:r>
          </w:p>
          <w:p w14:paraId="0A2838BB"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sz w:val="12"/>
                <w:szCs w:val="12"/>
              </w:rPr>
              <w:t>ITE payable</w:t>
            </w:r>
          </w:p>
        </w:tc>
        <w:tc>
          <w:tcPr>
            <w:tcW w:w="9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41520EB"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91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99CC00B"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1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9062B58" w14:textId="431E4203" w:rsidR="007C7FA2" w:rsidRPr="007158F9" w:rsidRDefault="007C7FA2" w:rsidP="007C7FA2">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b/>
                <w:bCs/>
                <w:sz w:val="12"/>
                <w:szCs w:val="12"/>
              </w:rPr>
              <w:t xml:space="preserve">21 </w:t>
            </w:r>
            <w:r>
              <w:rPr>
                <w:b/>
                <w:bCs/>
                <w:sz w:val="12"/>
                <w:szCs w:val="12"/>
              </w:rPr>
              <w:t>April</w:t>
            </w:r>
          </w:p>
          <w:p w14:paraId="0D805CB0" w14:textId="3CB99A92" w:rsidR="00526B41" w:rsidRPr="007158F9" w:rsidRDefault="007C7FA2" w:rsidP="007C7FA2">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r w:rsidRPr="007158F9">
              <w:rPr>
                <w:sz w:val="12"/>
                <w:szCs w:val="12"/>
              </w:rPr>
              <w:t>ITE payable</w:t>
            </w:r>
          </w:p>
        </w:tc>
        <w:tc>
          <w:tcPr>
            <w:tcW w:w="106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07074A0"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c>
          <w:tcPr>
            <w:tcW w:w="1068" w:type="dxa"/>
            <w:tcBorders>
              <w:top w:val="single" w:sz="6" w:space="0" w:color="A6A6A6" w:themeColor="background1" w:themeShade="A6"/>
              <w:left w:val="single" w:sz="6" w:space="0" w:color="A6A6A6" w:themeColor="background1" w:themeShade="A6"/>
              <w:bottom w:val="single" w:sz="6" w:space="0" w:color="A6A6A6" w:themeColor="background1" w:themeShade="A6"/>
            </w:tcBorders>
          </w:tcPr>
          <w:p w14:paraId="4536E9CD" w14:textId="77777777" w:rsidR="00526B41" w:rsidRPr="007158F9" w:rsidRDefault="00526B41" w:rsidP="001D148F">
            <w:pPr>
              <w:pStyle w:val="Tabletext"/>
              <w:spacing w:line="240" w:lineRule="auto"/>
              <w:contextualSpacing/>
              <w:cnfStyle w:val="000000010000" w:firstRow="0" w:lastRow="0" w:firstColumn="0" w:lastColumn="0" w:oddVBand="0" w:evenVBand="0" w:oddHBand="0" w:evenHBand="1" w:firstRowFirstColumn="0" w:firstRowLastColumn="0" w:lastRowFirstColumn="0" w:lastRowLastColumn="0"/>
              <w:rPr>
                <w:sz w:val="12"/>
                <w:szCs w:val="12"/>
              </w:rPr>
            </w:pPr>
          </w:p>
        </w:tc>
      </w:tr>
      <w:tr w:rsidR="001D148F" w:rsidRPr="007158F9" w14:paraId="1F59054A" w14:textId="77777777" w:rsidTr="001D148F">
        <w:tc>
          <w:tcPr>
            <w:cnfStyle w:val="001000000000" w:firstRow="0" w:lastRow="0" w:firstColumn="1" w:lastColumn="0" w:oddVBand="0" w:evenVBand="0" w:oddHBand="0" w:evenHBand="0" w:firstRowFirstColumn="0" w:firstRowLastColumn="0" w:lastRowFirstColumn="0" w:lastRowLastColumn="0"/>
            <w:tcW w:w="359" w:type="dxa"/>
            <w:vMerge/>
            <w:tcBorders>
              <w:top w:val="single" w:sz="6" w:space="0" w:color="A6A6A6" w:themeColor="background1" w:themeShade="A6"/>
              <w:bottom w:val="single" w:sz="12" w:space="0" w:color="68CEF2" w:themeColor="accent2"/>
              <w:right w:val="single" w:sz="6" w:space="0" w:color="A6A6A6" w:themeColor="background1" w:themeShade="A6"/>
            </w:tcBorders>
            <w:shd w:val="clear" w:color="auto" w:fill="004C97" w:themeFill="accent3"/>
          </w:tcPr>
          <w:p w14:paraId="2D5B6B79" w14:textId="77777777" w:rsidR="00526B41" w:rsidRPr="001D148F" w:rsidRDefault="00526B41" w:rsidP="001D148F">
            <w:pPr>
              <w:pStyle w:val="Tabletext"/>
              <w:spacing w:before="0" w:after="0"/>
              <w:rPr>
                <w:b/>
                <w:sz w:val="14"/>
                <w:szCs w:val="14"/>
              </w:rPr>
            </w:pPr>
          </w:p>
        </w:tc>
        <w:tc>
          <w:tcPr>
            <w:tcW w:w="1501" w:type="dxa"/>
            <w:tcBorders>
              <w:top w:val="single" w:sz="6" w:space="0" w:color="A6A6A6" w:themeColor="background1" w:themeShade="A6"/>
              <w:left w:val="single" w:sz="6" w:space="0" w:color="A6A6A6" w:themeColor="background1" w:themeShade="A6"/>
              <w:bottom w:val="single" w:sz="12" w:space="0" w:color="68CEF2" w:themeColor="accent2"/>
              <w:right w:val="single" w:sz="6" w:space="0" w:color="A6A6A6" w:themeColor="background1" w:themeShade="A6"/>
            </w:tcBorders>
            <w:shd w:val="clear" w:color="auto" w:fill="F2F2F2" w:themeFill="background1" w:themeFillShade="F2"/>
          </w:tcPr>
          <w:p w14:paraId="2736D51A" w14:textId="77777777" w:rsidR="00526B41" w:rsidRPr="001D148F" w:rsidRDefault="00526B41" w:rsidP="001D148F">
            <w:pPr>
              <w:pStyle w:val="Tabletext"/>
              <w:spacing w:line="240" w:lineRule="auto"/>
              <w:cnfStyle w:val="000000000000" w:firstRow="0" w:lastRow="0" w:firstColumn="0" w:lastColumn="0" w:oddVBand="0" w:evenVBand="0" w:oddHBand="0" w:evenHBand="0" w:firstRowFirstColumn="0" w:firstRowLastColumn="0" w:lastRowFirstColumn="0" w:lastRowLastColumn="0"/>
              <w:rPr>
                <w:sz w:val="13"/>
                <w:szCs w:val="13"/>
              </w:rPr>
            </w:pPr>
            <w:r w:rsidRPr="001D148F">
              <w:rPr>
                <w:sz w:val="13"/>
                <w:szCs w:val="13"/>
              </w:rPr>
              <w:t>Borrowings/Financial Accommodation Levy</w:t>
            </w:r>
          </w:p>
        </w:tc>
        <w:tc>
          <w:tcPr>
            <w:tcW w:w="1020" w:type="dxa"/>
            <w:tcBorders>
              <w:top w:val="single" w:sz="6" w:space="0" w:color="A6A6A6" w:themeColor="background1" w:themeShade="A6"/>
              <w:left w:val="single" w:sz="6" w:space="0" w:color="A6A6A6" w:themeColor="background1" w:themeShade="A6"/>
              <w:bottom w:val="single" w:sz="12" w:space="0" w:color="68CEF2" w:themeColor="accent2"/>
              <w:right w:val="single" w:sz="6" w:space="0" w:color="A6A6A6" w:themeColor="background1" w:themeShade="A6"/>
            </w:tcBorders>
            <w:shd w:val="clear" w:color="auto" w:fill="E9F8FD"/>
          </w:tcPr>
          <w:p w14:paraId="7D9A1F9B"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080" w:type="dxa"/>
            <w:tcBorders>
              <w:top w:val="single" w:sz="6" w:space="0" w:color="A6A6A6" w:themeColor="background1" w:themeShade="A6"/>
              <w:left w:val="single" w:sz="6" w:space="0" w:color="A6A6A6" w:themeColor="background1" w:themeShade="A6"/>
              <w:bottom w:val="single" w:sz="12" w:space="0" w:color="68CEF2" w:themeColor="accent2"/>
              <w:right w:val="single" w:sz="6" w:space="0" w:color="A6A6A6" w:themeColor="background1" w:themeShade="A6"/>
            </w:tcBorders>
            <w:shd w:val="clear" w:color="auto" w:fill="E9F8FD"/>
          </w:tcPr>
          <w:p w14:paraId="1CBB835C"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b/>
                <w:bCs/>
                <w:sz w:val="12"/>
                <w:szCs w:val="12"/>
              </w:rPr>
              <w:t>31 August</w:t>
            </w:r>
            <w:r w:rsidRPr="007158F9">
              <w:rPr>
                <w:sz w:val="12"/>
                <w:szCs w:val="12"/>
              </w:rPr>
              <w:t xml:space="preserve"> </w:t>
            </w:r>
          </w:p>
          <w:p w14:paraId="60AB123F"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sz w:val="12"/>
                <w:szCs w:val="12"/>
              </w:rPr>
              <w:t>FAL payable</w:t>
            </w:r>
          </w:p>
        </w:tc>
        <w:tc>
          <w:tcPr>
            <w:tcW w:w="1260" w:type="dxa"/>
            <w:tcBorders>
              <w:top w:val="single" w:sz="6" w:space="0" w:color="A6A6A6" w:themeColor="background1" w:themeShade="A6"/>
              <w:left w:val="single" w:sz="6" w:space="0" w:color="A6A6A6" w:themeColor="background1" w:themeShade="A6"/>
              <w:bottom w:val="single" w:sz="12" w:space="0" w:color="68CEF2" w:themeColor="accent2"/>
              <w:right w:val="single" w:sz="6" w:space="0" w:color="A6A6A6" w:themeColor="background1" w:themeShade="A6"/>
            </w:tcBorders>
            <w:shd w:val="clear" w:color="auto" w:fill="E9F8FD"/>
          </w:tcPr>
          <w:p w14:paraId="1DE7F313"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384" w:type="dxa"/>
            <w:tcBorders>
              <w:top w:val="single" w:sz="6" w:space="0" w:color="A6A6A6" w:themeColor="background1" w:themeShade="A6"/>
              <w:left w:val="single" w:sz="6" w:space="0" w:color="A6A6A6" w:themeColor="background1" w:themeShade="A6"/>
              <w:bottom w:val="single" w:sz="12" w:space="0" w:color="68CEF2" w:themeColor="accent2"/>
              <w:right w:val="single" w:sz="6" w:space="0" w:color="A6A6A6" w:themeColor="background1" w:themeShade="A6"/>
            </w:tcBorders>
            <w:shd w:val="clear" w:color="auto" w:fill="E9F8FD"/>
          </w:tcPr>
          <w:p w14:paraId="6664E0DD"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950" w:type="dxa"/>
            <w:tcBorders>
              <w:top w:val="single" w:sz="6" w:space="0" w:color="A6A6A6" w:themeColor="background1" w:themeShade="A6"/>
              <w:left w:val="single" w:sz="6" w:space="0" w:color="A6A6A6" w:themeColor="background1" w:themeShade="A6"/>
              <w:bottom w:val="single" w:sz="12" w:space="0" w:color="68CEF2" w:themeColor="accent2"/>
              <w:right w:val="single" w:sz="6" w:space="0" w:color="A6A6A6" w:themeColor="background1" w:themeShade="A6"/>
            </w:tcBorders>
            <w:shd w:val="clear" w:color="auto" w:fill="E9F8FD"/>
          </w:tcPr>
          <w:p w14:paraId="47136AA2"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b/>
                <w:bCs/>
                <w:sz w:val="12"/>
                <w:szCs w:val="12"/>
              </w:rPr>
              <w:t>30 November</w:t>
            </w:r>
          </w:p>
          <w:p w14:paraId="4EEE955A"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sz w:val="12"/>
                <w:szCs w:val="12"/>
              </w:rPr>
              <w:t>FAL payable</w:t>
            </w:r>
          </w:p>
        </w:tc>
        <w:tc>
          <w:tcPr>
            <w:tcW w:w="1070" w:type="dxa"/>
            <w:tcBorders>
              <w:top w:val="single" w:sz="6" w:space="0" w:color="A6A6A6" w:themeColor="background1" w:themeShade="A6"/>
              <w:left w:val="single" w:sz="6" w:space="0" w:color="A6A6A6" w:themeColor="background1" w:themeShade="A6"/>
              <w:bottom w:val="single" w:sz="12" w:space="0" w:color="68CEF2" w:themeColor="accent2"/>
              <w:right w:val="single" w:sz="6" w:space="0" w:color="A6A6A6" w:themeColor="background1" w:themeShade="A6"/>
            </w:tcBorders>
            <w:shd w:val="clear" w:color="auto" w:fill="E9F8FD"/>
          </w:tcPr>
          <w:p w14:paraId="31E488FE"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297" w:type="dxa"/>
            <w:tcBorders>
              <w:top w:val="single" w:sz="6" w:space="0" w:color="A6A6A6" w:themeColor="background1" w:themeShade="A6"/>
              <w:left w:val="single" w:sz="6" w:space="0" w:color="A6A6A6" w:themeColor="background1" w:themeShade="A6"/>
              <w:bottom w:val="single" w:sz="12" w:space="0" w:color="68CEF2" w:themeColor="accent2"/>
              <w:right w:val="single" w:sz="6" w:space="0" w:color="A6A6A6" w:themeColor="background1" w:themeShade="A6"/>
            </w:tcBorders>
            <w:shd w:val="clear" w:color="auto" w:fill="E9F8FD"/>
          </w:tcPr>
          <w:p w14:paraId="2768564F"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987" w:type="dxa"/>
            <w:tcBorders>
              <w:top w:val="single" w:sz="6" w:space="0" w:color="A6A6A6" w:themeColor="background1" w:themeShade="A6"/>
              <w:left w:val="single" w:sz="6" w:space="0" w:color="A6A6A6" w:themeColor="background1" w:themeShade="A6"/>
              <w:bottom w:val="single" w:sz="12" w:space="0" w:color="68CEF2" w:themeColor="accent2"/>
              <w:right w:val="single" w:sz="6" w:space="0" w:color="A6A6A6" w:themeColor="background1" w:themeShade="A6"/>
            </w:tcBorders>
            <w:shd w:val="clear" w:color="auto" w:fill="E9F8FD"/>
          </w:tcPr>
          <w:p w14:paraId="659934CF" w14:textId="77777777" w:rsidR="00526B41" w:rsidRDefault="007C7FA2"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Pr>
                <w:b/>
                <w:bCs/>
                <w:sz w:val="12"/>
                <w:szCs w:val="12"/>
              </w:rPr>
              <w:t>28 or 29 February</w:t>
            </w:r>
          </w:p>
          <w:p w14:paraId="68C3ECF6" w14:textId="67E9083D" w:rsidR="007C7FA2" w:rsidRPr="007C7FA2" w:rsidRDefault="007C7FA2"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FAL payable</w:t>
            </w:r>
          </w:p>
        </w:tc>
        <w:tc>
          <w:tcPr>
            <w:tcW w:w="918" w:type="dxa"/>
            <w:tcBorders>
              <w:top w:val="single" w:sz="6" w:space="0" w:color="A6A6A6" w:themeColor="background1" w:themeShade="A6"/>
              <w:left w:val="single" w:sz="6" w:space="0" w:color="A6A6A6" w:themeColor="background1" w:themeShade="A6"/>
              <w:bottom w:val="single" w:sz="12" w:space="0" w:color="68CEF2" w:themeColor="accent2"/>
              <w:right w:val="single" w:sz="6" w:space="0" w:color="A6A6A6" w:themeColor="background1" w:themeShade="A6"/>
            </w:tcBorders>
            <w:shd w:val="clear" w:color="auto" w:fill="E9F8FD"/>
          </w:tcPr>
          <w:p w14:paraId="3F669885"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134" w:type="dxa"/>
            <w:tcBorders>
              <w:top w:val="single" w:sz="6" w:space="0" w:color="A6A6A6" w:themeColor="background1" w:themeShade="A6"/>
              <w:left w:val="single" w:sz="6" w:space="0" w:color="A6A6A6" w:themeColor="background1" w:themeShade="A6"/>
              <w:bottom w:val="single" w:sz="12" w:space="0" w:color="68CEF2" w:themeColor="accent2"/>
              <w:right w:val="single" w:sz="6" w:space="0" w:color="A6A6A6" w:themeColor="background1" w:themeShade="A6"/>
            </w:tcBorders>
            <w:shd w:val="clear" w:color="auto" w:fill="E9F8FD"/>
          </w:tcPr>
          <w:p w14:paraId="5DF60985"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p>
        </w:tc>
        <w:tc>
          <w:tcPr>
            <w:tcW w:w="1067" w:type="dxa"/>
            <w:tcBorders>
              <w:top w:val="single" w:sz="6" w:space="0" w:color="A6A6A6" w:themeColor="background1" w:themeShade="A6"/>
              <w:left w:val="single" w:sz="6" w:space="0" w:color="A6A6A6" w:themeColor="background1" w:themeShade="A6"/>
              <w:bottom w:val="single" w:sz="12" w:space="0" w:color="68CEF2" w:themeColor="accent2"/>
              <w:right w:val="single" w:sz="6" w:space="0" w:color="A6A6A6" w:themeColor="background1" w:themeShade="A6"/>
            </w:tcBorders>
            <w:shd w:val="clear" w:color="auto" w:fill="E9F8FD"/>
          </w:tcPr>
          <w:p w14:paraId="42D8200A"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b/>
                <w:bCs/>
                <w:sz w:val="12"/>
                <w:szCs w:val="12"/>
              </w:rPr>
            </w:pPr>
            <w:r w:rsidRPr="007158F9">
              <w:rPr>
                <w:b/>
                <w:bCs/>
                <w:sz w:val="12"/>
                <w:szCs w:val="12"/>
              </w:rPr>
              <w:t>31 May</w:t>
            </w:r>
          </w:p>
          <w:p w14:paraId="7851E89C"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sz w:val="12"/>
                <w:szCs w:val="12"/>
              </w:rPr>
              <w:t>FAL payable</w:t>
            </w:r>
          </w:p>
        </w:tc>
        <w:tc>
          <w:tcPr>
            <w:tcW w:w="1068" w:type="dxa"/>
            <w:tcBorders>
              <w:top w:val="single" w:sz="6" w:space="0" w:color="A6A6A6" w:themeColor="background1" w:themeShade="A6"/>
              <w:left w:val="single" w:sz="6" w:space="0" w:color="A6A6A6" w:themeColor="background1" w:themeShade="A6"/>
              <w:bottom w:val="single" w:sz="12" w:space="0" w:color="68CEF2" w:themeColor="accent2"/>
            </w:tcBorders>
            <w:shd w:val="clear" w:color="auto" w:fill="E9F8FD"/>
          </w:tcPr>
          <w:p w14:paraId="7955A5B9"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b/>
                <w:bCs/>
                <w:sz w:val="12"/>
                <w:szCs w:val="12"/>
              </w:rPr>
              <w:t>Late June</w:t>
            </w:r>
          </w:p>
          <w:p w14:paraId="65C3B08D" w14:textId="77777777" w:rsidR="00526B41" w:rsidRPr="007158F9" w:rsidRDefault="00526B41" w:rsidP="001D148F">
            <w:pPr>
              <w:pStyle w:val="Tabletext"/>
              <w:spacing w:line="240" w:lineRule="auto"/>
              <w:contextualSpacing/>
              <w:cnfStyle w:val="000000000000" w:firstRow="0" w:lastRow="0" w:firstColumn="0" w:lastColumn="0" w:oddVBand="0" w:evenVBand="0" w:oddHBand="0" w:evenHBand="0" w:firstRowFirstColumn="0" w:firstRowLastColumn="0" w:lastRowFirstColumn="0" w:lastRowLastColumn="0"/>
              <w:rPr>
                <w:sz w:val="12"/>
                <w:szCs w:val="12"/>
              </w:rPr>
            </w:pPr>
            <w:r w:rsidRPr="007158F9">
              <w:rPr>
                <w:sz w:val="12"/>
                <w:szCs w:val="12"/>
              </w:rPr>
              <w:t>Borrowing limits approved by Treasurer</w:t>
            </w:r>
          </w:p>
        </w:tc>
      </w:tr>
    </w:tbl>
    <w:p w14:paraId="0D4B26B8" w14:textId="387E0E53" w:rsidR="006B272C" w:rsidRDefault="001D148F" w:rsidP="001D148F">
      <w:pPr>
        <w:pStyle w:val="NoteNormal"/>
      </w:pPr>
      <w:r>
        <w:t>Note:</w:t>
      </w:r>
    </w:p>
    <w:p w14:paraId="56F86995" w14:textId="2C8AA29F" w:rsidR="001D148F" w:rsidRDefault="001D148F" w:rsidP="001D148F">
      <w:pPr>
        <w:pStyle w:val="NoteNormal"/>
      </w:pPr>
      <w:r>
        <w:t>(a) SRIMS refers to State Resource Information Management System.</w:t>
      </w:r>
    </w:p>
    <w:p w14:paraId="17190AA8" w14:textId="77777777" w:rsidR="006B272C" w:rsidRDefault="006B272C" w:rsidP="0048610A">
      <w:pPr>
        <w:sectPr w:rsidR="006B272C" w:rsidSect="001D148F">
          <w:headerReference w:type="even" r:id="rId31"/>
          <w:headerReference w:type="default" r:id="rId32"/>
          <w:footerReference w:type="even" r:id="rId33"/>
          <w:footerReference w:type="default" r:id="rId34"/>
          <w:pgSz w:w="16838" w:h="11906" w:orient="landscape" w:code="9"/>
          <w:pgMar w:top="2160" w:right="940" w:bottom="1440" w:left="936" w:header="446" w:footer="461" w:gutter="0"/>
          <w:cols w:space="708"/>
          <w:docGrid w:linePitch="360"/>
        </w:sectPr>
      </w:pPr>
    </w:p>
    <w:p w14:paraId="08727BB4" w14:textId="77777777" w:rsidR="008C6A5B" w:rsidRDefault="008C6A5B" w:rsidP="008C6A5B">
      <w:pPr>
        <w:pStyle w:val="Heading1numbered"/>
      </w:pPr>
      <w:bookmarkStart w:id="13" w:name="_Toc41041708"/>
      <w:bookmarkStart w:id="14" w:name="_Toc85033628"/>
      <w:r>
        <w:lastRenderedPageBreak/>
        <w:t>Corporate planning</w:t>
      </w:r>
      <w:bookmarkEnd w:id="13"/>
      <w:bookmarkEnd w:id="14"/>
    </w:p>
    <w:p w14:paraId="2B005AD2" w14:textId="77777777" w:rsidR="008C6A5B" w:rsidRDefault="008C6A5B" w:rsidP="008C6A5B">
      <w:pPr>
        <w:pStyle w:val="NormalIndent"/>
      </w:pPr>
      <w:r>
        <w:t>Corporate planning documents form an agreement between the Board of a GBE and the Government and outline the GBE’s strategic direction and performance targets over the corporate planning period.</w:t>
      </w:r>
    </w:p>
    <w:p w14:paraId="47A8E721" w14:textId="77777777" w:rsidR="008C6A5B" w:rsidRDefault="008C6A5B" w:rsidP="008C6A5B">
      <w:pPr>
        <w:pStyle w:val="NormalIndent"/>
      </w:pPr>
      <w:r>
        <w:t>GBEs must submit the following corporate planning documents to DTF annually:</w:t>
      </w:r>
    </w:p>
    <w:p w14:paraId="35B7C9B6" w14:textId="6C9770E3" w:rsidR="008C6A5B" w:rsidRDefault="008C6A5B" w:rsidP="008C6A5B">
      <w:pPr>
        <w:pStyle w:val="Bulletindent"/>
      </w:pPr>
      <w:r>
        <w:t>Statement of Corporate Intent</w:t>
      </w:r>
    </w:p>
    <w:p w14:paraId="66C21418" w14:textId="41C1E9F7" w:rsidR="008C6A5B" w:rsidRDefault="008C6A5B" w:rsidP="008C6A5B">
      <w:pPr>
        <w:pStyle w:val="Bulletindent"/>
      </w:pPr>
      <w:r>
        <w:t>Corporate Plan</w:t>
      </w:r>
    </w:p>
    <w:p w14:paraId="3E89D9C6" w14:textId="77777777" w:rsidR="008C6A5B" w:rsidRDefault="008C6A5B" w:rsidP="008C6A5B">
      <w:pPr>
        <w:pStyle w:val="Bulletindent"/>
      </w:pPr>
      <w:r>
        <w:t>Business Plan.</w:t>
      </w:r>
    </w:p>
    <w:p w14:paraId="497460D6" w14:textId="77777777" w:rsidR="008C6A5B" w:rsidRDefault="008C6A5B" w:rsidP="008C6A5B">
      <w:pPr>
        <w:pStyle w:val="NormalIndent"/>
      </w:pPr>
      <w:r>
        <w:t>GBEs generally present these documents as a single integrated corporate planning document. The Statement of Corporate Intent is a public document (often disclosed in the GBE’s annual report) while the Corporate Plan and the Business Plan are provided to DTF on a commercial in confidence basis.</w:t>
      </w:r>
    </w:p>
    <w:p w14:paraId="10B3DEC4" w14:textId="77777777" w:rsidR="008C6A5B" w:rsidRDefault="008C6A5B" w:rsidP="008C6A5B">
      <w:pPr>
        <w:pStyle w:val="Heading2numbered"/>
        <w:spacing w:after="180"/>
        <w:ind w:left="794" w:hanging="794"/>
      </w:pPr>
      <w:bookmarkStart w:id="15" w:name="_Toc41041709"/>
      <w:bookmarkStart w:id="16" w:name="_Toc85033629"/>
      <w:r>
        <w:t>Statement of Corporate Intent</w:t>
      </w:r>
      <w:bookmarkEnd w:id="15"/>
      <w:bookmarkEnd w:id="16"/>
    </w:p>
    <w:p w14:paraId="5F75C3B1" w14:textId="407134C1" w:rsidR="008C6A5B" w:rsidRDefault="008C6A5B" w:rsidP="008C6A5B">
      <w:pPr>
        <w:pStyle w:val="NormalIndent"/>
      </w:pPr>
      <w:r>
        <w:t>The Statement of Corporate Intent should provide an overview of the GBE and an outline of the GBE’s:</w:t>
      </w:r>
    </w:p>
    <w:p w14:paraId="43E149DF" w14:textId="0D6B9C35" w:rsidR="008C6A5B" w:rsidRDefault="008C6A5B" w:rsidP="008C6A5B">
      <w:pPr>
        <w:pStyle w:val="Bulletindent"/>
      </w:pPr>
      <w:r>
        <w:t>vision and mission statements</w:t>
      </w:r>
    </w:p>
    <w:p w14:paraId="34DBD16B" w14:textId="49848745" w:rsidR="008C6A5B" w:rsidRDefault="008C6A5B" w:rsidP="008C6A5B">
      <w:pPr>
        <w:pStyle w:val="Bulletindent"/>
      </w:pPr>
      <w:r>
        <w:t>objectives</w:t>
      </w:r>
    </w:p>
    <w:p w14:paraId="6FFDD4CD" w14:textId="35E91151" w:rsidR="008C6A5B" w:rsidRDefault="008C6A5B" w:rsidP="008C6A5B">
      <w:pPr>
        <w:pStyle w:val="Bulletindent"/>
      </w:pPr>
      <w:r>
        <w:t>core business</w:t>
      </w:r>
    </w:p>
    <w:p w14:paraId="77D9C1FE" w14:textId="2DA69FCC" w:rsidR="008C6A5B" w:rsidRDefault="008C6A5B" w:rsidP="008C6A5B">
      <w:pPr>
        <w:pStyle w:val="Bulletindent"/>
      </w:pPr>
      <w:r>
        <w:t>strategic direction</w:t>
      </w:r>
    </w:p>
    <w:p w14:paraId="77F4217C" w14:textId="77777777" w:rsidR="008C6A5B" w:rsidRDefault="008C6A5B" w:rsidP="008C6A5B">
      <w:pPr>
        <w:pStyle w:val="Bulletindent"/>
      </w:pPr>
      <w:r>
        <w:t>KPIs.</w:t>
      </w:r>
    </w:p>
    <w:p w14:paraId="6BB587C2" w14:textId="77777777" w:rsidR="008C6A5B" w:rsidRDefault="008C6A5B" w:rsidP="008C6A5B">
      <w:pPr>
        <w:pStyle w:val="Heading2numbered"/>
        <w:spacing w:after="180"/>
        <w:ind w:left="794" w:hanging="794"/>
      </w:pPr>
      <w:bookmarkStart w:id="17" w:name="_Toc41041710"/>
      <w:bookmarkStart w:id="18" w:name="_Toc85033630"/>
      <w:r>
        <w:t>Corporate Plan</w:t>
      </w:r>
      <w:bookmarkEnd w:id="17"/>
      <w:bookmarkEnd w:id="18"/>
    </w:p>
    <w:p w14:paraId="2E26051B" w14:textId="77777777" w:rsidR="008C6A5B" w:rsidRDefault="008C6A5B" w:rsidP="008C6A5B">
      <w:pPr>
        <w:pStyle w:val="NormalIndent"/>
      </w:pPr>
      <w:r>
        <w:t xml:space="preserve">The Corporate Plan is a comprehensive, rolling, four-year business plan. The financial statements and performance indicators should cover a four-year period matching the coverage of the State budget. </w:t>
      </w:r>
    </w:p>
    <w:p w14:paraId="43F42499" w14:textId="5D10560B" w:rsidR="00545540" w:rsidRDefault="008C6A5B" w:rsidP="007113E9">
      <w:pPr>
        <w:pStyle w:val="NormalIndent"/>
        <w:keepNext/>
      </w:pPr>
      <w:r>
        <w:lastRenderedPageBreak/>
        <w:t>The Corporate Plan should include the following, where appropriate to the GBE:</w:t>
      </w:r>
    </w:p>
    <w:tbl>
      <w:tblPr>
        <w:tblStyle w:val="DTFtexttableindent"/>
        <w:tblW w:w="0" w:type="auto"/>
        <w:tblLook w:val="0420" w:firstRow="1" w:lastRow="0" w:firstColumn="0" w:lastColumn="0" w:noHBand="0" w:noVBand="1"/>
      </w:tblPr>
      <w:tblGrid>
        <w:gridCol w:w="1406"/>
        <w:gridCol w:w="6756"/>
      </w:tblGrid>
      <w:tr w:rsidR="008C6A5B" w:rsidRPr="00A35E18" w14:paraId="383CD6B6" w14:textId="77777777" w:rsidTr="007113E9">
        <w:trPr>
          <w:cnfStyle w:val="100000000000" w:firstRow="1" w:lastRow="0" w:firstColumn="0" w:lastColumn="0" w:oddVBand="0" w:evenVBand="0" w:oddHBand="0" w:evenHBand="0" w:firstRowFirstColumn="0" w:firstRowLastColumn="0" w:lastRowFirstColumn="0" w:lastRowLastColumn="0"/>
          <w:tblHeader/>
        </w:trPr>
        <w:tc>
          <w:tcPr>
            <w:tcW w:w="1406" w:type="dxa"/>
          </w:tcPr>
          <w:p w14:paraId="7BB59C91" w14:textId="77777777" w:rsidR="008C6A5B" w:rsidRPr="00A35E18" w:rsidRDefault="008C6A5B" w:rsidP="003D4E64">
            <w:r w:rsidRPr="00A35E18">
              <w:t xml:space="preserve">Section </w:t>
            </w:r>
          </w:p>
        </w:tc>
        <w:tc>
          <w:tcPr>
            <w:tcW w:w="6756" w:type="dxa"/>
          </w:tcPr>
          <w:p w14:paraId="01446755" w14:textId="77777777" w:rsidR="008C6A5B" w:rsidRPr="00A35E18" w:rsidRDefault="008C6A5B" w:rsidP="003D4E64">
            <w:r w:rsidRPr="00A35E18">
              <w:t>Detail</w:t>
            </w:r>
          </w:p>
        </w:tc>
      </w:tr>
      <w:tr w:rsidR="008C6A5B" w:rsidRPr="00F70165" w14:paraId="16743C32" w14:textId="77777777" w:rsidTr="008C6A5B">
        <w:tc>
          <w:tcPr>
            <w:tcW w:w="1406" w:type="dxa"/>
          </w:tcPr>
          <w:p w14:paraId="1105CBC1" w14:textId="77777777" w:rsidR="008C6A5B" w:rsidRPr="00A35E18" w:rsidRDefault="008C6A5B" w:rsidP="00C8656E">
            <w:pPr>
              <w:pStyle w:val="Tabletext"/>
            </w:pPr>
            <w:r w:rsidRPr="00A35E18">
              <w:t xml:space="preserve">Operating environment </w:t>
            </w:r>
          </w:p>
        </w:tc>
        <w:tc>
          <w:tcPr>
            <w:tcW w:w="6756" w:type="dxa"/>
          </w:tcPr>
          <w:p w14:paraId="26665C91" w14:textId="6547693B" w:rsidR="008C6A5B" w:rsidRPr="007C6983" w:rsidRDefault="008C6A5B" w:rsidP="00C8656E">
            <w:pPr>
              <w:pStyle w:val="Tablebullet"/>
            </w:pPr>
            <w:r w:rsidRPr="007C6983">
              <w:t xml:space="preserve">External factors impacting performance (e.g. regulatory constraints, competitive environment, economic and market conditions, </w:t>
            </w:r>
            <w:proofErr w:type="gramStart"/>
            <w:r w:rsidRPr="007C6983">
              <w:t>opportunities</w:t>
            </w:r>
            <w:proofErr w:type="gramEnd"/>
            <w:r w:rsidRPr="007C6983">
              <w:t xml:space="preserve"> and threats)</w:t>
            </w:r>
          </w:p>
          <w:p w14:paraId="3FF9FC05" w14:textId="1C3A10D1" w:rsidR="008C6A5B" w:rsidRPr="007C6983" w:rsidRDefault="008C6A5B" w:rsidP="00C8656E">
            <w:pPr>
              <w:pStyle w:val="Tablebullet"/>
            </w:pPr>
            <w:r w:rsidRPr="007C6983">
              <w:t xml:space="preserve">Commentary on Community Service Obligations or other policy obligations that are proposed to be performed on behalf of </w:t>
            </w:r>
            <w:proofErr w:type="gramStart"/>
            <w:r w:rsidRPr="007C6983">
              <w:t>government</w:t>
            </w:r>
            <w:proofErr w:type="gramEnd"/>
          </w:p>
          <w:p w14:paraId="74462162" w14:textId="75E92A8C" w:rsidR="008C6A5B" w:rsidRPr="007C6983" w:rsidRDefault="008C6A5B" w:rsidP="00C8656E">
            <w:pPr>
              <w:pStyle w:val="Tablebullet"/>
            </w:pPr>
            <w:r w:rsidRPr="007C6983">
              <w:t>Internal factors impacting performance (e.g. competitive strengths and weaknesses, organisational structure, asset condition)</w:t>
            </w:r>
          </w:p>
          <w:p w14:paraId="417B9713" w14:textId="1ABF4C7E" w:rsidR="008C6A5B" w:rsidRPr="007C6983" w:rsidRDefault="008C6A5B" w:rsidP="00C8656E">
            <w:pPr>
              <w:pStyle w:val="Tablebullet"/>
            </w:pPr>
            <w:r w:rsidRPr="007C6983">
              <w:t>Key drivers of performance (e.g. determinants of demand, key input costs, asset utilisation)</w:t>
            </w:r>
          </w:p>
          <w:p w14:paraId="3D5F9216" w14:textId="77777777" w:rsidR="008C6A5B" w:rsidRPr="00F70165" w:rsidRDefault="008C6A5B" w:rsidP="00C8656E">
            <w:pPr>
              <w:pStyle w:val="Tablebullet"/>
            </w:pPr>
            <w:r w:rsidRPr="007C6983">
              <w:t>Identification of internal and external risks (e.g. business risks, exposure to interest rate and currency movements, technological change, environmental impacts).</w:t>
            </w:r>
          </w:p>
        </w:tc>
      </w:tr>
      <w:tr w:rsidR="008C6A5B" w:rsidRPr="00F70165" w14:paraId="3BBBC8C2" w14:textId="77777777" w:rsidTr="008C6A5B">
        <w:trPr>
          <w:cnfStyle w:val="000000010000" w:firstRow="0" w:lastRow="0" w:firstColumn="0" w:lastColumn="0" w:oddVBand="0" w:evenVBand="0" w:oddHBand="0" w:evenHBand="1" w:firstRowFirstColumn="0" w:firstRowLastColumn="0" w:lastRowFirstColumn="0" w:lastRowLastColumn="0"/>
        </w:trPr>
        <w:tc>
          <w:tcPr>
            <w:tcW w:w="1406" w:type="dxa"/>
          </w:tcPr>
          <w:p w14:paraId="04361AB7" w14:textId="77777777" w:rsidR="008C6A5B" w:rsidRPr="00A35E18" w:rsidRDefault="008C6A5B" w:rsidP="00C8656E">
            <w:pPr>
              <w:pStyle w:val="Tabletext"/>
            </w:pPr>
            <w:r w:rsidRPr="00A35E18">
              <w:t>Key strategies</w:t>
            </w:r>
          </w:p>
        </w:tc>
        <w:tc>
          <w:tcPr>
            <w:tcW w:w="6756" w:type="dxa"/>
          </w:tcPr>
          <w:p w14:paraId="2AAB9C13" w14:textId="23558915" w:rsidR="008C6A5B" w:rsidRPr="00F70165" w:rsidRDefault="008C6A5B" w:rsidP="00C8656E">
            <w:pPr>
              <w:pStyle w:val="Tablebullet"/>
            </w:pPr>
            <w:r w:rsidRPr="00F70165">
              <w:t>Risk and asset management strategies</w:t>
            </w:r>
          </w:p>
          <w:p w14:paraId="148F4438" w14:textId="1F68C9A5" w:rsidR="008C6A5B" w:rsidRPr="00F70165" w:rsidRDefault="008C6A5B" w:rsidP="00C8656E">
            <w:pPr>
              <w:pStyle w:val="Tablebullet"/>
            </w:pPr>
            <w:r w:rsidRPr="00F70165">
              <w:t xml:space="preserve">Strategies to minimise operating costs and achieve operating </w:t>
            </w:r>
            <w:proofErr w:type="gramStart"/>
            <w:r w:rsidRPr="00F70165">
              <w:t>efficiencies</w:t>
            </w:r>
            <w:proofErr w:type="gramEnd"/>
          </w:p>
          <w:p w14:paraId="5738DE7A" w14:textId="77777777" w:rsidR="008C6A5B" w:rsidRPr="00F70165" w:rsidRDefault="008C6A5B" w:rsidP="00C8656E">
            <w:pPr>
              <w:pStyle w:val="Tablebullet"/>
            </w:pPr>
            <w:r w:rsidRPr="00F70165">
              <w:t>Other strategies (e.g. pricing, marketing and customer service, workforce).</w:t>
            </w:r>
          </w:p>
        </w:tc>
      </w:tr>
      <w:tr w:rsidR="008C6A5B" w:rsidRPr="00F70165" w14:paraId="6107E465" w14:textId="77777777" w:rsidTr="008C6A5B">
        <w:trPr>
          <w:trHeight w:val="3108"/>
        </w:trPr>
        <w:tc>
          <w:tcPr>
            <w:tcW w:w="1406" w:type="dxa"/>
          </w:tcPr>
          <w:p w14:paraId="2E119D88" w14:textId="77777777" w:rsidR="008C6A5B" w:rsidRPr="00A35E18" w:rsidRDefault="008C6A5B" w:rsidP="00C8656E">
            <w:pPr>
              <w:pStyle w:val="Tabletext"/>
            </w:pPr>
            <w:r w:rsidRPr="00A35E18">
              <w:t>Capital expenditure</w:t>
            </w:r>
          </w:p>
        </w:tc>
        <w:tc>
          <w:tcPr>
            <w:tcW w:w="6756" w:type="dxa"/>
          </w:tcPr>
          <w:p w14:paraId="74D54930" w14:textId="77777777" w:rsidR="008C6A5B" w:rsidRPr="00F70165" w:rsidRDefault="008C6A5B" w:rsidP="00C8656E">
            <w:pPr>
              <w:pStyle w:val="Tablebullet"/>
            </w:pPr>
            <w:r w:rsidRPr="00F70165">
              <w:t>Outline of the capital expenditure program, including:</w:t>
            </w:r>
          </w:p>
          <w:p w14:paraId="3565AE06" w14:textId="77F710F8" w:rsidR="008C6A5B" w:rsidRPr="00F6192C" w:rsidRDefault="008C6A5B" w:rsidP="00C8656E">
            <w:pPr>
              <w:pStyle w:val="Tabledash"/>
            </w:pPr>
            <w:r w:rsidRPr="00A35E18">
              <w:t>a breakdown of payments for each year of the planning</w:t>
            </w:r>
            <w:r>
              <w:t xml:space="preserve"> </w:t>
            </w:r>
            <w:r w:rsidRPr="00F6192C">
              <w:t>period (consistent with the Statement of Cash Flows)</w:t>
            </w:r>
          </w:p>
          <w:p w14:paraId="18D1F220" w14:textId="77777777" w:rsidR="008C6A5B" w:rsidRPr="00F70165" w:rsidRDefault="008C6A5B" w:rsidP="00C8656E">
            <w:pPr>
              <w:pStyle w:val="Tabledash"/>
            </w:pPr>
            <w:r w:rsidRPr="00A35E18">
              <w:t>financing requirements.</w:t>
            </w:r>
          </w:p>
          <w:p w14:paraId="49427637" w14:textId="77777777" w:rsidR="008C6A5B" w:rsidRPr="00F70165" w:rsidRDefault="008C6A5B" w:rsidP="00C8656E">
            <w:pPr>
              <w:pStyle w:val="Tablebullet"/>
            </w:pPr>
            <w:r w:rsidRPr="00F70165">
              <w:t>For each capital expenditure proposal with a Total Estimated Investment (TEI) above the project approval threshold (see Chapter 3):</w:t>
            </w:r>
          </w:p>
          <w:p w14:paraId="15BDE57D" w14:textId="61D4D456" w:rsidR="008C6A5B" w:rsidRPr="00F70165" w:rsidRDefault="008C6A5B" w:rsidP="00C8656E">
            <w:pPr>
              <w:pStyle w:val="Tabledash"/>
            </w:pPr>
            <w:r w:rsidRPr="00F70165">
              <w:t>the proposal’s TEI</w:t>
            </w:r>
          </w:p>
          <w:p w14:paraId="3119A728" w14:textId="7442B07A" w:rsidR="008C6A5B" w:rsidRPr="00F70165" w:rsidRDefault="008C6A5B" w:rsidP="00C8656E">
            <w:pPr>
              <w:pStyle w:val="Tabledash"/>
            </w:pPr>
            <w:r w:rsidRPr="00F70165">
              <w:t>aggregate capital expenditure in prior years</w:t>
            </w:r>
          </w:p>
          <w:p w14:paraId="402E6C98" w14:textId="77777777" w:rsidR="008C6A5B" w:rsidRPr="00F70165" w:rsidRDefault="008C6A5B" w:rsidP="00C8656E">
            <w:pPr>
              <w:pStyle w:val="Tabledash"/>
            </w:pPr>
            <w:r w:rsidRPr="00F70165">
              <w:t>projected capital expenditure in the first year of the</w:t>
            </w:r>
          </w:p>
          <w:p w14:paraId="5008CC7F" w14:textId="64449D15" w:rsidR="008C6A5B" w:rsidRPr="00F70165" w:rsidRDefault="008C6A5B" w:rsidP="00C8656E">
            <w:pPr>
              <w:pStyle w:val="Tabledash"/>
            </w:pPr>
            <w:r w:rsidRPr="00F70165">
              <w:t>planning period</w:t>
            </w:r>
          </w:p>
          <w:p w14:paraId="7C9A16B3" w14:textId="77777777" w:rsidR="008C6A5B" w:rsidRPr="00F70165" w:rsidRDefault="008C6A5B" w:rsidP="00C8656E">
            <w:pPr>
              <w:pStyle w:val="Tabledash"/>
            </w:pPr>
            <w:r w:rsidRPr="00F70165">
              <w:t>forecast capital expenditure for each year of the</w:t>
            </w:r>
          </w:p>
          <w:p w14:paraId="3E65C6D1" w14:textId="5DA2C40D" w:rsidR="008C6A5B" w:rsidRPr="00F70165" w:rsidRDefault="008C6A5B" w:rsidP="00C8656E">
            <w:pPr>
              <w:pStyle w:val="Tabledash"/>
            </w:pPr>
            <w:r w:rsidRPr="00F70165">
              <w:t>planning period</w:t>
            </w:r>
          </w:p>
          <w:p w14:paraId="61890814" w14:textId="77777777" w:rsidR="008C6A5B" w:rsidRPr="00F70165" w:rsidRDefault="008C6A5B" w:rsidP="00C8656E">
            <w:pPr>
              <w:pStyle w:val="Tabledash"/>
            </w:pPr>
            <w:r w:rsidRPr="00F70165">
              <w:t>financing requirements.</w:t>
            </w:r>
          </w:p>
        </w:tc>
      </w:tr>
      <w:tr w:rsidR="008C6A5B" w:rsidRPr="00F70165" w14:paraId="2E818067" w14:textId="77777777" w:rsidTr="008C6A5B">
        <w:trPr>
          <w:cnfStyle w:val="000000010000" w:firstRow="0" w:lastRow="0" w:firstColumn="0" w:lastColumn="0" w:oddVBand="0" w:evenVBand="0" w:oddHBand="0" w:evenHBand="1" w:firstRowFirstColumn="0" w:firstRowLastColumn="0" w:lastRowFirstColumn="0" w:lastRowLastColumn="0"/>
        </w:trPr>
        <w:tc>
          <w:tcPr>
            <w:tcW w:w="1406" w:type="dxa"/>
          </w:tcPr>
          <w:p w14:paraId="06D1DD92" w14:textId="77777777" w:rsidR="008C6A5B" w:rsidRPr="00A35E18" w:rsidRDefault="008C6A5B" w:rsidP="00C8656E">
            <w:pPr>
              <w:pStyle w:val="Tabletext"/>
            </w:pPr>
            <w:r w:rsidRPr="00A35E18">
              <w:t>Financial information</w:t>
            </w:r>
          </w:p>
        </w:tc>
        <w:tc>
          <w:tcPr>
            <w:tcW w:w="6756" w:type="dxa"/>
          </w:tcPr>
          <w:p w14:paraId="3C2DEC93" w14:textId="06137082" w:rsidR="008C6A5B" w:rsidRPr="00F70165" w:rsidRDefault="008C6A5B" w:rsidP="00C8656E">
            <w:pPr>
              <w:pStyle w:val="Tablebullet"/>
            </w:pPr>
            <w:r w:rsidRPr="00F70165">
              <w:t>Financial statements in nominal dollars</w:t>
            </w:r>
          </w:p>
          <w:p w14:paraId="48D9A8A1" w14:textId="62D593DE" w:rsidR="008C6A5B" w:rsidRPr="00F70165" w:rsidRDefault="008C6A5B" w:rsidP="00C8656E">
            <w:pPr>
              <w:pStyle w:val="Tablebullet"/>
            </w:pPr>
            <w:r w:rsidRPr="00F70165">
              <w:t>Dividend</w:t>
            </w:r>
            <w:r w:rsidR="00C8656E">
              <w:t>/</w:t>
            </w:r>
            <w:r w:rsidRPr="00F70165">
              <w:t>distribution payments (see Chapter 7)</w:t>
            </w:r>
          </w:p>
          <w:p w14:paraId="61271189" w14:textId="1208D1D9" w:rsidR="008C6A5B" w:rsidRPr="00F70165" w:rsidRDefault="008C6A5B" w:rsidP="00C8656E">
            <w:pPr>
              <w:pStyle w:val="Tablebullet"/>
            </w:pPr>
            <w:r w:rsidRPr="00F70165">
              <w:t xml:space="preserve">Financing requirements including borrowing limits and whether borrowings are new or </w:t>
            </w:r>
            <w:proofErr w:type="gramStart"/>
            <w:r w:rsidRPr="00F70165">
              <w:t>refinanced</w:t>
            </w:r>
            <w:proofErr w:type="gramEnd"/>
          </w:p>
          <w:p w14:paraId="32D8A7EF" w14:textId="761B0057" w:rsidR="008C6A5B" w:rsidRPr="00F70165" w:rsidRDefault="008C6A5B" w:rsidP="00C8656E">
            <w:pPr>
              <w:pStyle w:val="Tablebullet"/>
            </w:pPr>
            <w:r w:rsidRPr="00F70165">
              <w:t>Target capital structure (see Chapter 7)</w:t>
            </w:r>
          </w:p>
          <w:p w14:paraId="3CAF5CA2" w14:textId="77777777" w:rsidR="008C6A5B" w:rsidRPr="00F70165" w:rsidRDefault="008C6A5B" w:rsidP="00C8656E">
            <w:pPr>
              <w:pStyle w:val="Tablebullet"/>
            </w:pPr>
            <w:r w:rsidRPr="00F70165">
              <w:t>Sensitivity analysis including high and low scenarios for key planning assumptions.</w:t>
            </w:r>
          </w:p>
        </w:tc>
      </w:tr>
      <w:tr w:rsidR="008C6A5B" w:rsidRPr="00F70165" w14:paraId="7F4969AF" w14:textId="77777777" w:rsidTr="008C6A5B">
        <w:tc>
          <w:tcPr>
            <w:tcW w:w="1406" w:type="dxa"/>
          </w:tcPr>
          <w:p w14:paraId="3927C92F" w14:textId="77777777" w:rsidR="008C6A5B" w:rsidRPr="00A35E18" w:rsidRDefault="008C6A5B" w:rsidP="007113E9">
            <w:pPr>
              <w:pStyle w:val="Tabletext"/>
              <w:keepNext/>
            </w:pPr>
            <w:r w:rsidRPr="00A35E18">
              <w:lastRenderedPageBreak/>
              <w:t>KPIs</w:t>
            </w:r>
          </w:p>
        </w:tc>
        <w:tc>
          <w:tcPr>
            <w:tcW w:w="6756" w:type="dxa"/>
          </w:tcPr>
          <w:p w14:paraId="465DDAC7" w14:textId="781CE3BE" w:rsidR="008C6A5B" w:rsidRPr="00F70165" w:rsidRDefault="008C6A5B" w:rsidP="00C8656E">
            <w:pPr>
              <w:pStyle w:val="Tablebullet"/>
            </w:pPr>
            <w:r w:rsidRPr="00F70165">
              <w:t>Financial and non-financial targets (see Appendix 1)</w:t>
            </w:r>
          </w:p>
          <w:p w14:paraId="199EE1CE" w14:textId="77777777" w:rsidR="008C6A5B" w:rsidRPr="00F70165" w:rsidRDefault="008C6A5B" w:rsidP="00C8656E">
            <w:pPr>
              <w:pStyle w:val="Tablebullet"/>
            </w:pPr>
            <w:r w:rsidRPr="00F70165">
              <w:t>Clear linkages between KPIs and key strategies.</w:t>
            </w:r>
          </w:p>
        </w:tc>
      </w:tr>
      <w:tr w:rsidR="008C6A5B" w:rsidRPr="00F70165" w14:paraId="74CA0FED" w14:textId="77777777" w:rsidTr="008C6A5B">
        <w:trPr>
          <w:cnfStyle w:val="000000010000" w:firstRow="0" w:lastRow="0" w:firstColumn="0" w:lastColumn="0" w:oddVBand="0" w:evenVBand="0" w:oddHBand="0" w:evenHBand="1" w:firstRowFirstColumn="0" w:firstRowLastColumn="0" w:lastRowFirstColumn="0" w:lastRowLastColumn="0"/>
        </w:trPr>
        <w:tc>
          <w:tcPr>
            <w:tcW w:w="1406" w:type="dxa"/>
            <w:tcBorders>
              <w:top w:val="single" w:sz="6" w:space="0" w:color="0072CE" w:themeColor="accent1"/>
              <w:bottom w:val="single" w:sz="12" w:space="0" w:color="0072CE" w:themeColor="accent1"/>
            </w:tcBorders>
          </w:tcPr>
          <w:p w14:paraId="3E685436" w14:textId="77777777" w:rsidR="008C6A5B" w:rsidRPr="00A35E18" w:rsidRDefault="008C6A5B" w:rsidP="00C8656E">
            <w:pPr>
              <w:pStyle w:val="Tabletext"/>
            </w:pPr>
            <w:r w:rsidRPr="00A35E18">
              <w:t>Planning assumptions</w:t>
            </w:r>
            <w:r>
              <w:t xml:space="preserve"> </w:t>
            </w:r>
            <w:r w:rsidRPr="0094071E">
              <w:rPr>
                <w:vertAlign w:val="superscript"/>
              </w:rPr>
              <w:t>(a)</w:t>
            </w:r>
          </w:p>
        </w:tc>
        <w:tc>
          <w:tcPr>
            <w:tcW w:w="6756" w:type="dxa"/>
            <w:tcBorders>
              <w:top w:val="single" w:sz="6" w:space="0" w:color="0072CE" w:themeColor="accent1"/>
              <w:bottom w:val="single" w:sz="12" w:space="0" w:color="0072CE" w:themeColor="accent1"/>
            </w:tcBorders>
          </w:tcPr>
          <w:p w14:paraId="43737C5A" w14:textId="50BE6CFB" w:rsidR="008C6A5B" w:rsidRPr="00F70165" w:rsidRDefault="008C6A5B" w:rsidP="00C8656E">
            <w:pPr>
              <w:pStyle w:val="Tablebullet"/>
            </w:pPr>
            <w:r w:rsidRPr="00F70165">
              <w:t>Pricing</w:t>
            </w:r>
          </w:p>
          <w:p w14:paraId="40764F47" w14:textId="31614184" w:rsidR="008C6A5B" w:rsidRPr="00F70165" w:rsidRDefault="008C6A5B" w:rsidP="00C8656E">
            <w:pPr>
              <w:pStyle w:val="Tablebullet"/>
            </w:pPr>
            <w:r w:rsidRPr="00F70165">
              <w:t>Interest rates</w:t>
            </w:r>
          </w:p>
          <w:p w14:paraId="15CC34AE" w14:textId="4AC05432" w:rsidR="008C6A5B" w:rsidRPr="00F70165" w:rsidRDefault="008C6A5B" w:rsidP="00C8656E">
            <w:pPr>
              <w:pStyle w:val="Tablebullet"/>
            </w:pPr>
            <w:r w:rsidRPr="00F70165">
              <w:t>Labour and other input costs</w:t>
            </w:r>
          </w:p>
          <w:p w14:paraId="560DC18A" w14:textId="067C0625" w:rsidR="008C6A5B" w:rsidRPr="00F70165" w:rsidRDefault="008C6A5B" w:rsidP="00C8656E">
            <w:pPr>
              <w:pStyle w:val="Tablebullet"/>
            </w:pPr>
            <w:r w:rsidRPr="00F70165">
              <w:t>Economic outlook</w:t>
            </w:r>
          </w:p>
          <w:p w14:paraId="68C6AC2A" w14:textId="1639B6CE" w:rsidR="008C6A5B" w:rsidRPr="00F70165" w:rsidRDefault="008C6A5B" w:rsidP="00C8656E">
            <w:pPr>
              <w:pStyle w:val="Tablebullet"/>
            </w:pPr>
            <w:r w:rsidRPr="00F70165">
              <w:t>Climatic conditions</w:t>
            </w:r>
          </w:p>
          <w:p w14:paraId="28C7A9B7" w14:textId="42626755" w:rsidR="008C6A5B" w:rsidRPr="00F70165" w:rsidRDefault="008C6A5B" w:rsidP="00C8656E">
            <w:pPr>
              <w:pStyle w:val="Tablebullet"/>
            </w:pPr>
            <w:r w:rsidRPr="00F70165">
              <w:t>Product and service demand</w:t>
            </w:r>
          </w:p>
          <w:p w14:paraId="0EC69EE2" w14:textId="77777777" w:rsidR="008C6A5B" w:rsidRPr="00F70165" w:rsidRDefault="008C6A5B" w:rsidP="00C8656E">
            <w:pPr>
              <w:pStyle w:val="Tablebullet"/>
            </w:pPr>
            <w:r w:rsidRPr="00F70165">
              <w:t>Supply forecasts.</w:t>
            </w:r>
          </w:p>
        </w:tc>
      </w:tr>
    </w:tbl>
    <w:p w14:paraId="1A042FD0" w14:textId="77777777" w:rsidR="008C6A5B" w:rsidRDefault="008C6A5B" w:rsidP="00C8656E">
      <w:pPr>
        <w:pStyle w:val="NoteNormalindent"/>
      </w:pPr>
      <w:r>
        <w:t>Note:</w:t>
      </w:r>
    </w:p>
    <w:p w14:paraId="2DAAEB99" w14:textId="2EF6FB28" w:rsidR="008C6A5B" w:rsidRPr="0094071E" w:rsidRDefault="008C6A5B" w:rsidP="00C8656E">
      <w:pPr>
        <w:pStyle w:val="NoteNormalindent"/>
      </w:pPr>
      <w:r>
        <w:t>(a)</w:t>
      </w:r>
      <w:r w:rsidR="00C8656E">
        <w:t xml:space="preserve"> </w:t>
      </w:r>
      <w:r>
        <w:t xml:space="preserve">DTF economic forecast data is outlined in Budget Paper No. 2 (Chapter 2 </w:t>
      </w:r>
      <w:r w:rsidRPr="00C8656E">
        <w:rPr>
          <w:i/>
          <w:iCs/>
        </w:rPr>
        <w:t>Economic Conditions and Outlook</w:t>
      </w:r>
      <w:r>
        <w:t>) and in the Budget Update. GBEs are encouraged to use this data to assist in the corporate planning process.</w:t>
      </w:r>
    </w:p>
    <w:p w14:paraId="4D84A72E" w14:textId="77777777" w:rsidR="008C6A5B" w:rsidRDefault="008C6A5B" w:rsidP="008C6A5B">
      <w:pPr>
        <w:pStyle w:val="Heading2numbered"/>
      </w:pPr>
      <w:bookmarkStart w:id="19" w:name="_Toc41041711"/>
      <w:bookmarkStart w:id="20" w:name="_Toc85033631"/>
      <w:r>
        <w:t>Business Plan</w:t>
      </w:r>
      <w:bookmarkEnd w:id="19"/>
      <w:bookmarkEnd w:id="20"/>
    </w:p>
    <w:p w14:paraId="750E7696" w14:textId="77777777" w:rsidR="008C6A5B" w:rsidRDefault="008C6A5B" w:rsidP="00C8656E">
      <w:pPr>
        <w:pStyle w:val="NormalIndent"/>
        <w:keepNext/>
      </w:pPr>
      <w:r>
        <w:t>The Business Plan is a detailed action plan for the first financial year of the Corporate Plan.</w:t>
      </w:r>
    </w:p>
    <w:p w14:paraId="46E84164" w14:textId="77777777" w:rsidR="008C6A5B" w:rsidRDefault="008C6A5B" w:rsidP="00C8656E">
      <w:pPr>
        <w:pStyle w:val="NormalIndent"/>
        <w:keepNext/>
      </w:pPr>
      <w:r>
        <w:t>The Business Plan must include:</w:t>
      </w:r>
    </w:p>
    <w:p w14:paraId="57217E8E" w14:textId="19E6E2A0" w:rsidR="008C6A5B" w:rsidRDefault="008C6A5B" w:rsidP="00C8656E">
      <w:pPr>
        <w:pStyle w:val="Bulletindent"/>
        <w:keepNext/>
      </w:pPr>
      <w:r>
        <w:t xml:space="preserve">the actions and strategies to achieve the GBE’s </w:t>
      </w:r>
      <w:proofErr w:type="gramStart"/>
      <w:r>
        <w:t>objectives</w:t>
      </w:r>
      <w:proofErr w:type="gramEnd"/>
    </w:p>
    <w:p w14:paraId="3B00F6A3" w14:textId="77777777" w:rsidR="008C6A5B" w:rsidRDefault="008C6A5B" w:rsidP="008C6A5B">
      <w:pPr>
        <w:pStyle w:val="Bulletindent"/>
      </w:pPr>
      <w:r>
        <w:t>quarterly phasings (for each quarter and year to date) for the financial statements and KPIs.</w:t>
      </w:r>
    </w:p>
    <w:p w14:paraId="2F029805" w14:textId="77777777" w:rsidR="008C6A5B" w:rsidRDefault="008C6A5B" w:rsidP="008C6A5B">
      <w:pPr>
        <w:pStyle w:val="Heading2numbered"/>
      </w:pPr>
      <w:bookmarkStart w:id="21" w:name="_Toc41041712"/>
      <w:bookmarkStart w:id="22" w:name="_Toc85033632"/>
      <w:r>
        <w:t>Endorsement</w:t>
      </w:r>
      <w:bookmarkEnd w:id="21"/>
      <w:bookmarkEnd w:id="22"/>
    </w:p>
    <w:p w14:paraId="118EB243" w14:textId="77777777" w:rsidR="008C6A5B" w:rsidRDefault="008C6A5B" w:rsidP="008C6A5B">
      <w:pPr>
        <w:pStyle w:val="NormalIndent"/>
      </w:pPr>
      <w:r>
        <w:t>Final corporate planning documents must be approved by the GBE’s board and submitted to the Treasurer and the relevant portfolio Minister.</w:t>
      </w:r>
    </w:p>
    <w:p w14:paraId="2A5981E4" w14:textId="77777777" w:rsidR="008C6A5B" w:rsidRDefault="008C6A5B" w:rsidP="008C6A5B">
      <w:pPr>
        <w:pStyle w:val="NormalIndent"/>
      </w:pPr>
      <w:r>
        <w:t>During the review process DTF may contact the GBE with questions of clarification that will assist in providing advice to DTF’s Ministers.</w:t>
      </w:r>
    </w:p>
    <w:p w14:paraId="46D8E198" w14:textId="77777777" w:rsidR="008C6A5B" w:rsidRDefault="008C6A5B" w:rsidP="008C6A5B">
      <w:pPr>
        <w:pStyle w:val="NormalIndent"/>
      </w:pPr>
      <w:r>
        <w:t>Following a thorough analysis and review the Treasurer may accept the plans in full or otherwise request variations. The Treasurer may wish to write to GBEs early in the annual planning cycle to communicate shareholder expectations for the Corporate Plan.</w:t>
      </w:r>
    </w:p>
    <w:p w14:paraId="09534EED" w14:textId="77777777" w:rsidR="008C6A5B" w:rsidRDefault="008C6A5B" w:rsidP="008C6A5B">
      <w:pPr>
        <w:pStyle w:val="Heading2numbered"/>
      </w:pPr>
      <w:bookmarkStart w:id="23" w:name="_Toc41041713"/>
      <w:bookmarkStart w:id="24" w:name="_Toc85033633"/>
      <w:r w:rsidRPr="007C6983">
        <w:lastRenderedPageBreak/>
        <w:t>Key dates</w:t>
      </w:r>
      <w:bookmarkEnd w:id="23"/>
      <w:bookmarkEnd w:id="24"/>
    </w:p>
    <w:tbl>
      <w:tblPr>
        <w:tblStyle w:val="DTFtexttableindent"/>
        <w:tblW w:w="0" w:type="auto"/>
        <w:tblLook w:val="0420" w:firstRow="1" w:lastRow="0" w:firstColumn="0" w:lastColumn="0" w:noHBand="0" w:noVBand="1"/>
      </w:tblPr>
      <w:tblGrid>
        <w:gridCol w:w="5513"/>
        <w:gridCol w:w="2721"/>
      </w:tblGrid>
      <w:tr w:rsidR="008C6A5B" w:rsidRPr="003D6263" w14:paraId="466F80EF" w14:textId="77777777" w:rsidTr="003D4E64">
        <w:trPr>
          <w:cnfStyle w:val="100000000000" w:firstRow="1" w:lastRow="0" w:firstColumn="0" w:lastColumn="0" w:oddVBand="0" w:evenVBand="0" w:oddHBand="0" w:evenHBand="0" w:firstRowFirstColumn="0" w:firstRowLastColumn="0" w:lastRowFirstColumn="0" w:lastRowLastColumn="0"/>
        </w:trPr>
        <w:tc>
          <w:tcPr>
            <w:tcW w:w="5670" w:type="dxa"/>
          </w:tcPr>
          <w:p w14:paraId="5C07913E" w14:textId="77777777" w:rsidR="008C6A5B" w:rsidRPr="003D6263" w:rsidRDefault="008C6A5B" w:rsidP="007113E9">
            <w:pPr>
              <w:pStyle w:val="Tableheader"/>
            </w:pPr>
            <w:r w:rsidRPr="003D6263">
              <w:t xml:space="preserve">Requirement </w:t>
            </w:r>
          </w:p>
        </w:tc>
        <w:tc>
          <w:tcPr>
            <w:tcW w:w="2788" w:type="dxa"/>
          </w:tcPr>
          <w:p w14:paraId="295BEBBD" w14:textId="77777777" w:rsidR="008C6A5B" w:rsidRPr="003D6263" w:rsidRDefault="008C6A5B" w:rsidP="00C8656E">
            <w:pPr>
              <w:pStyle w:val="Tableheader"/>
            </w:pPr>
            <w:r w:rsidRPr="003D6263">
              <w:t>Due date</w:t>
            </w:r>
          </w:p>
        </w:tc>
      </w:tr>
      <w:tr w:rsidR="008C6A5B" w:rsidRPr="003D6263" w14:paraId="04CEC884" w14:textId="77777777" w:rsidTr="003D4E64">
        <w:tc>
          <w:tcPr>
            <w:tcW w:w="5670" w:type="dxa"/>
          </w:tcPr>
          <w:p w14:paraId="3EB23168" w14:textId="77777777" w:rsidR="008C6A5B" w:rsidRPr="003D6263" w:rsidRDefault="008C6A5B" w:rsidP="007113E9">
            <w:pPr>
              <w:pStyle w:val="Tabletext"/>
              <w:keepNext/>
            </w:pPr>
            <w:r w:rsidRPr="003D6263">
              <w:t>Treasurer may write to GBEs communicating shareholder expectations</w:t>
            </w:r>
          </w:p>
        </w:tc>
        <w:tc>
          <w:tcPr>
            <w:tcW w:w="2788" w:type="dxa"/>
          </w:tcPr>
          <w:p w14:paraId="551E41CA" w14:textId="77777777" w:rsidR="008C6A5B" w:rsidRPr="003D6263" w:rsidRDefault="008C6A5B" w:rsidP="00C8656E">
            <w:pPr>
              <w:pStyle w:val="Tabletext"/>
            </w:pPr>
            <w:r w:rsidRPr="003D6263">
              <w:t>January</w:t>
            </w:r>
          </w:p>
        </w:tc>
      </w:tr>
      <w:tr w:rsidR="008C6A5B" w:rsidRPr="003D6263" w14:paraId="5D21D1F7" w14:textId="77777777" w:rsidTr="003D4E64">
        <w:trPr>
          <w:cnfStyle w:val="000000010000" w:firstRow="0" w:lastRow="0" w:firstColumn="0" w:lastColumn="0" w:oddVBand="0" w:evenVBand="0" w:oddHBand="0" w:evenHBand="1" w:firstRowFirstColumn="0" w:firstRowLastColumn="0" w:lastRowFirstColumn="0" w:lastRowLastColumn="0"/>
        </w:trPr>
        <w:tc>
          <w:tcPr>
            <w:tcW w:w="5670" w:type="dxa"/>
          </w:tcPr>
          <w:p w14:paraId="0BEF132C" w14:textId="77777777" w:rsidR="008C6A5B" w:rsidRPr="003D6263" w:rsidRDefault="008C6A5B" w:rsidP="00C8656E">
            <w:pPr>
              <w:pStyle w:val="Tabletext"/>
            </w:pPr>
            <w:r w:rsidRPr="003D6263">
              <w:t>Preliminary discussions between GBE and DTF regarding corporate planning documents</w:t>
            </w:r>
          </w:p>
        </w:tc>
        <w:tc>
          <w:tcPr>
            <w:tcW w:w="2788" w:type="dxa"/>
          </w:tcPr>
          <w:p w14:paraId="6DBF40B2" w14:textId="77777777" w:rsidR="008C6A5B" w:rsidRPr="003D6263" w:rsidRDefault="008C6A5B" w:rsidP="00C8656E">
            <w:pPr>
              <w:pStyle w:val="Tabletext"/>
            </w:pPr>
            <w:r w:rsidRPr="003D6263">
              <w:t>February-April</w:t>
            </w:r>
          </w:p>
        </w:tc>
      </w:tr>
      <w:tr w:rsidR="008C6A5B" w:rsidRPr="003D6263" w14:paraId="2BD9D34B" w14:textId="77777777" w:rsidTr="003D4E64">
        <w:tc>
          <w:tcPr>
            <w:tcW w:w="5670" w:type="dxa"/>
          </w:tcPr>
          <w:p w14:paraId="7580E0BF" w14:textId="77777777" w:rsidR="008C6A5B" w:rsidRPr="003D6263" w:rsidRDefault="008C6A5B" w:rsidP="00C8656E">
            <w:pPr>
              <w:pStyle w:val="Tabletext"/>
            </w:pPr>
            <w:r w:rsidRPr="003D6263">
              <w:t xml:space="preserve">Proposed corporate planning documents submitted </w:t>
            </w:r>
            <w:r w:rsidRPr="003D6263">
              <w:br/>
              <w:t>(Note: this enables DTF to provide formal feedback)</w:t>
            </w:r>
          </w:p>
        </w:tc>
        <w:tc>
          <w:tcPr>
            <w:tcW w:w="2788" w:type="dxa"/>
          </w:tcPr>
          <w:p w14:paraId="6C3AEE6E" w14:textId="77777777" w:rsidR="008C6A5B" w:rsidRPr="003D6263" w:rsidRDefault="008C6A5B" w:rsidP="00C8656E">
            <w:pPr>
              <w:pStyle w:val="Tabletext"/>
            </w:pPr>
            <w:r w:rsidRPr="003D6263">
              <w:t>Last business day in May</w:t>
            </w:r>
            <w:r w:rsidRPr="003D6263">
              <w:rPr>
                <w:vertAlign w:val="superscript"/>
              </w:rPr>
              <w:t>(a)</w:t>
            </w:r>
          </w:p>
        </w:tc>
      </w:tr>
      <w:tr w:rsidR="008C6A5B" w:rsidRPr="003D6263" w14:paraId="26B31CC6" w14:textId="77777777" w:rsidTr="003D4E64">
        <w:trPr>
          <w:cnfStyle w:val="000000010000" w:firstRow="0" w:lastRow="0" w:firstColumn="0" w:lastColumn="0" w:oddVBand="0" w:evenVBand="0" w:oddHBand="0" w:evenHBand="1" w:firstRowFirstColumn="0" w:firstRowLastColumn="0" w:lastRowFirstColumn="0" w:lastRowLastColumn="0"/>
        </w:trPr>
        <w:tc>
          <w:tcPr>
            <w:tcW w:w="5670" w:type="dxa"/>
            <w:tcBorders>
              <w:top w:val="single" w:sz="6" w:space="0" w:color="0072CE" w:themeColor="accent1"/>
              <w:bottom w:val="single" w:sz="12" w:space="0" w:color="0072CE" w:themeColor="accent1"/>
            </w:tcBorders>
          </w:tcPr>
          <w:p w14:paraId="5E8BBC49" w14:textId="77777777" w:rsidR="008C6A5B" w:rsidRPr="003D6263" w:rsidRDefault="008C6A5B" w:rsidP="00C8656E">
            <w:pPr>
              <w:pStyle w:val="Tabletext"/>
            </w:pPr>
            <w:r w:rsidRPr="003D6263">
              <w:t xml:space="preserve">Final corporate planning documents submitted </w:t>
            </w:r>
          </w:p>
        </w:tc>
        <w:tc>
          <w:tcPr>
            <w:tcW w:w="2788" w:type="dxa"/>
            <w:tcBorders>
              <w:top w:val="single" w:sz="6" w:space="0" w:color="0072CE" w:themeColor="accent1"/>
              <w:bottom w:val="single" w:sz="12" w:space="0" w:color="0072CE" w:themeColor="accent1"/>
            </w:tcBorders>
          </w:tcPr>
          <w:p w14:paraId="31C326C5" w14:textId="77777777" w:rsidR="008C6A5B" w:rsidRPr="003D6263" w:rsidRDefault="008C6A5B" w:rsidP="00C8656E">
            <w:pPr>
              <w:pStyle w:val="Tabletext"/>
            </w:pPr>
            <w:r w:rsidRPr="003D6263">
              <w:t>Last business day in August</w:t>
            </w:r>
          </w:p>
        </w:tc>
      </w:tr>
    </w:tbl>
    <w:p w14:paraId="40639D2A" w14:textId="77777777" w:rsidR="008C6A5B" w:rsidRDefault="008C6A5B" w:rsidP="00C8656E">
      <w:pPr>
        <w:pStyle w:val="NoteNormalindent"/>
      </w:pPr>
      <w:r>
        <w:t>Note:</w:t>
      </w:r>
    </w:p>
    <w:p w14:paraId="489127CD" w14:textId="40A10F53" w:rsidR="008C6A5B" w:rsidRDefault="008C6A5B" w:rsidP="00C8656E">
      <w:pPr>
        <w:pStyle w:val="NoteNormalindent"/>
      </w:pPr>
      <w:r>
        <w:t>(a)</w:t>
      </w:r>
      <w:r w:rsidR="00C8656E">
        <w:t xml:space="preserve"> </w:t>
      </w:r>
      <w:r>
        <w:t xml:space="preserve">Water Corporations are required to submit Corporate Planning documents on the last business day of April, as per the </w:t>
      </w:r>
      <w:r w:rsidRPr="003A3D8C">
        <w:rPr>
          <w:i/>
          <w:iCs/>
        </w:rPr>
        <w:t>Water Act 1989</w:t>
      </w:r>
      <w:r>
        <w:t>.</w:t>
      </w:r>
    </w:p>
    <w:p w14:paraId="370317C9" w14:textId="77777777" w:rsidR="008C6A5B" w:rsidRDefault="008C6A5B" w:rsidP="008C6A5B">
      <w:pPr>
        <w:pStyle w:val="Heading1numbered"/>
      </w:pPr>
      <w:bookmarkStart w:id="25" w:name="_Toc41041714"/>
      <w:bookmarkStart w:id="26" w:name="_Toc85033634"/>
      <w:r>
        <w:t xml:space="preserve">Capital expenditure </w:t>
      </w:r>
      <w:proofErr w:type="gramStart"/>
      <w:r>
        <w:t>proposals</w:t>
      </w:r>
      <w:bookmarkEnd w:id="25"/>
      <w:bookmarkEnd w:id="26"/>
      <w:proofErr w:type="gramEnd"/>
    </w:p>
    <w:p w14:paraId="0CB44075" w14:textId="77777777" w:rsidR="008C6A5B" w:rsidRDefault="008C6A5B" w:rsidP="00C8656E">
      <w:pPr>
        <w:pStyle w:val="NormalIndent"/>
        <w:keepNext/>
      </w:pPr>
      <w:r>
        <w:t>GBEs may be required to seek the Treasurer’s approval for capital investment proposals through the submission of a business case to DTF and the portfolio department.</w:t>
      </w:r>
    </w:p>
    <w:p w14:paraId="7A197216" w14:textId="77777777" w:rsidR="008C6A5B" w:rsidRDefault="008C6A5B" w:rsidP="008C6A5B">
      <w:pPr>
        <w:pStyle w:val="Heading2numbered"/>
        <w:spacing w:after="180"/>
        <w:ind w:left="794" w:hanging="794"/>
      </w:pPr>
      <w:bookmarkStart w:id="27" w:name="_Toc41041715"/>
      <w:bookmarkStart w:id="28" w:name="_Toc85033635"/>
      <w:r>
        <w:t>Business case submission</w:t>
      </w:r>
      <w:bookmarkEnd w:id="27"/>
      <w:bookmarkEnd w:id="28"/>
    </w:p>
    <w:p w14:paraId="3D3AAEED" w14:textId="77777777" w:rsidR="008C6A5B" w:rsidRDefault="008C6A5B" w:rsidP="008C6A5B">
      <w:pPr>
        <w:pStyle w:val="NormalIndent"/>
      </w:pPr>
      <w:r>
        <w:t>GBEs may be required to submit a business case for the Treasurer’s approval depending on the size and risk profile of the GBE and the TEI of the proposal. Information regarding submission requirements for each GBE is outlined in Appendix 2. As noted in Chapter 2, GBEs should outline all capital expenditure proposals in their corporate planning documents.</w:t>
      </w:r>
    </w:p>
    <w:p w14:paraId="0F559A89" w14:textId="77777777" w:rsidR="008C6A5B" w:rsidRDefault="008C6A5B" w:rsidP="008C6A5B">
      <w:pPr>
        <w:pStyle w:val="NormalIndent"/>
      </w:pPr>
      <w:r>
        <w:t>Where a proposal is identified and developed outside the corporate planning process, the GBE should notify DTF as soon as practicable.</w:t>
      </w:r>
    </w:p>
    <w:p w14:paraId="6216247A" w14:textId="77777777" w:rsidR="008C6A5B" w:rsidRDefault="008C6A5B" w:rsidP="008C6A5B">
      <w:pPr>
        <w:pStyle w:val="NormalIndent"/>
      </w:pPr>
      <w:r>
        <w:t>Submission of a business case may also be requested under the following circumstances:</w:t>
      </w:r>
    </w:p>
    <w:p w14:paraId="06824AB2" w14:textId="17B9E8E5" w:rsidR="008C6A5B" w:rsidRDefault="008C6A5B" w:rsidP="008C6A5B">
      <w:pPr>
        <w:pStyle w:val="Bulletindent"/>
      </w:pPr>
      <w:r>
        <w:t>if in accepting a GBE’s Corporate Plan</w:t>
      </w:r>
      <w:r w:rsidR="00C8656E">
        <w:t>,</w:t>
      </w:r>
      <w:r>
        <w:t xml:space="preserve"> the Treasurer requests that a business case be submitted for a </w:t>
      </w:r>
      <w:proofErr w:type="gramStart"/>
      <w:r>
        <w:t>proposal</w:t>
      </w:r>
      <w:proofErr w:type="gramEnd"/>
    </w:p>
    <w:p w14:paraId="4F783121" w14:textId="131D49AA" w:rsidR="008C6A5B" w:rsidRDefault="008C6A5B" w:rsidP="008C6A5B">
      <w:pPr>
        <w:pStyle w:val="Bulletindent"/>
      </w:pPr>
      <w:r>
        <w:t>if a proposal is not identified in the GBE’s Corporate Plan</w:t>
      </w:r>
    </w:p>
    <w:p w14:paraId="5101AE1B" w14:textId="77777777" w:rsidR="008C6A5B" w:rsidRDefault="008C6A5B" w:rsidP="008C6A5B">
      <w:pPr>
        <w:pStyle w:val="Bulletindent"/>
      </w:pPr>
      <w:r>
        <w:t>if a proposal is assessed as high-risk based on the Gateway Project Profile Model.</w:t>
      </w:r>
    </w:p>
    <w:p w14:paraId="488129F5" w14:textId="77777777" w:rsidR="008C6A5B" w:rsidRDefault="008C6A5B" w:rsidP="008C6A5B">
      <w:pPr>
        <w:pStyle w:val="Heading2numbered"/>
        <w:spacing w:after="180"/>
        <w:ind w:left="794" w:hanging="794"/>
      </w:pPr>
      <w:bookmarkStart w:id="29" w:name="_Toc41041716"/>
      <w:bookmarkStart w:id="30" w:name="_Toc85033636"/>
      <w:r>
        <w:lastRenderedPageBreak/>
        <w:t>Business case consideration</w:t>
      </w:r>
      <w:bookmarkEnd w:id="29"/>
      <w:bookmarkEnd w:id="30"/>
    </w:p>
    <w:p w14:paraId="1E338847" w14:textId="77777777" w:rsidR="008C6A5B" w:rsidRDefault="008C6A5B" w:rsidP="007113E9">
      <w:pPr>
        <w:pStyle w:val="NormalIndent"/>
        <w:keepNext/>
      </w:pPr>
      <w:r>
        <w:t xml:space="preserve">Where the Treasurer’s approval is required, DTF will review each business case and provide recommendations to the Treasurer. </w:t>
      </w:r>
      <w:proofErr w:type="gramStart"/>
      <w:r>
        <w:t>In particular, DTF</w:t>
      </w:r>
      <w:proofErr w:type="gramEnd"/>
      <w:r>
        <w:t xml:space="preserve"> will review:</w:t>
      </w:r>
    </w:p>
    <w:p w14:paraId="39FFD154" w14:textId="3EF705D0" w:rsidR="008C6A5B" w:rsidRDefault="008C6A5B" w:rsidP="008C6A5B">
      <w:pPr>
        <w:pStyle w:val="Bulletindent"/>
      </w:pPr>
      <w:r>
        <w:t>the proposal’s consistency with the GBE’s and government’s priorities</w:t>
      </w:r>
    </w:p>
    <w:p w14:paraId="260E4C93" w14:textId="7417A9A0" w:rsidR="008C6A5B" w:rsidRDefault="008C6A5B" w:rsidP="008C6A5B">
      <w:pPr>
        <w:pStyle w:val="Bulletindent"/>
      </w:pPr>
      <w:r>
        <w:t>the costs and benefits of the proposal</w:t>
      </w:r>
    </w:p>
    <w:p w14:paraId="0D9C5AB4" w14:textId="0D45937D" w:rsidR="008C6A5B" w:rsidRDefault="008C6A5B" w:rsidP="008C6A5B">
      <w:pPr>
        <w:pStyle w:val="Bulletindent"/>
      </w:pPr>
      <w:r>
        <w:t xml:space="preserve">the ability to achieve a commercial </w:t>
      </w:r>
      <w:proofErr w:type="gramStart"/>
      <w:r>
        <w:t>return</w:t>
      </w:r>
      <w:proofErr w:type="gramEnd"/>
    </w:p>
    <w:p w14:paraId="425060D1" w14:textId="2F4A9E24" w:rsidR="008C6A5B" w:rsidRDefault="008C6A5B" w:rsidP="00C8656E">
      <w:pPr>
        <w:pStyle w:val="Bulletindent"/>
        <w:ind w:right="-64"/>
      </w:pPr>
      <w:r>
        <w:t>options analysis (including non-asset solutions) to meet the defined service</w:t>
      </w:r>
      <w:r w:rsidR="00C8656E">
        <w:t xml:space="preserve"> </w:t>
      </w:r>
      <w:proofErr w:type="gramStart"/>
      <w:r>
        <w:t>need</w:t>
      </w:r>
      <w:proofErr w:type="gramEnd"/>
    </w:p>
    <w:p w14:paraId="209EF8F6" w14:textId="2A3BFDF0" w:rsidR="008C6A5B" w:rsidRDefault="008C6A5B" w:rsidP="008C6A5B">
      <w:pPr>
        <w:pStyle w:val="Bulletindent"/>
      </w:pPr>
      <w:r>
        <w:t>the financial impact of the proposal (including the extent of any new borrowings) on the GBE and the State</w:t>
      </w:r>
    </w:p>
    <w:p w14:paraId="0DC1B057" w14:textId="25566D18" w:rsidR="008C6A5B" w:rsidRDefault="008C6A5B" w:rsidP="008C6A5B">
      <w:pPr>
        <w:pStyle w:val="Bulletindent"/>
      </w:pPr>
      <w:r>
        <w:t>any risks and proposed mitigation strategies</w:t>
      </w:r>
    </w:p>
    <w:p w14:paraId="5A96AB35" w14:textId="79A521D0" w:rsidR="008C6A5B" w:rsidRDefault="008C6A5B" w:rsidP="008C6A5B">
      <w:pPr>
        <w:pStyle w:val="Bulletindent"/>
      </w:pPr>
      <w:r>
        <w:t xml:space="preserve">the proposed procurement strategy and supporting </w:t>
      </w:r>
      <w:proofErr w:type="gramStart"/>
      <w:r>
        <w:t>analysis</w:t>
      </w:r>
      <w:proofErr w:type="gramEnd"/>
    </w:p>
    <w:p w14:paraId="6132F388" w14:textId="15337FD7" w:rsidR="008C6A5B" w:rsidRDefault="008C6A5B" w:rsidP="008C6A5B">
      <w:pPr>
        <w:pStyle w:val="Bulletindent"/>
      </w:pPr>
      <w:r>
        <w:t>the proposal’s consistency with Victorian Government policies, including the Investment Lifecycle Guidelines and Asset Management Accountability Framework</w:t>
      </w:r>
    </w:p>
    <w:p w14:paraId="7AB59C18" w14:textId="77777777" w:rsidR="008C6A5B" w:rsidRDefault="008C6A5B" w:rsidP="008C6A5B">
      <w:pPr>
        <w:pStyle w:val="Bulletindent"/>
      </w:pPr>
      <w:r>
        <w:t>the proposed governance arrangements.</w:t>
      </w:r>
    </w:p>
    <w:p w14:paraId="24322FF1" w14:textId="77777777" w:rsidR="008C6A5B" w:rsidRDefault="008C6A5B" w:rsidP="008C6A5B">
      <w:pPr>
        <w:pStyle w:val="NormalIndent"/>
      </w:pPr>
      <w:r>
        <w:t>During the review process, DTF may contact GBEs with questions of clarification. DTF will endeavour to complete its review no later than four weeks after receiving a final business case, however, this will depend on the complexity of the proposal. GBEs are encouraged to provide draft business cases and consult with DTF early in the project development cycle.</w:t>
      </w:r>
    </w:p>
    <w:p w14:paraId="346607B2" w14:textId="77777777" w:rsidR="008C6A5B" w:rsidRDefault="008C6A5B" w:rsidP="008C6A5B">
      <w:pPr>
        <w:pStyle w:val="NormalIndent"/>
      </w:pPr>
      <w:r>
        <w:t>Appendix 2 contains the business case submission requirements. These requirements apply to both PFCs and PNFCs and include projects that a GBE proposes to fund through own-sourced revenue.</w:t>
      </w:r>
    </w:p>
    <w:p w14:paraId="295294CE" w14:textId="3DA7D0D2" w:rsidR="008C6A5B" w:rsidRDefault="008C6A5B" w:rsidP="008C6A5B">
      <w:pPr>
        <w:pStyle w:val="Heading2numbered"/>
      </w:pPr>
      <w:bookmarkStart w:id="31" w:name="_Toc41041717"/>
      <w:bookmarkStart w:id="32" w:name="_Toc85033637"/>
      <w:r>
        <w:t xml:space="preserve">Project </w:t>
      </w:r>
      <w:r w:rsidR="00C8656E">
        <w:t>assurance</w:t>
      </w:r>
      <w:bookmarkEnd w:id="31"/>
      <w:bookmarkEnd w:id="32"/>
    </w:p>
    <w:p w14:paraId="6023776E" w14:textId="77777777" w:rsidR="008C6A5B" w:rsidRDefault="008C6A5B" w:rsidP="008C6A5B">
      <w:pPr>
        <w:pStyle w:val="NormalIndent"/>
      </w:pPr>
      <w:r>
        <w:t xml:space="preserve">DTF’s project assurance processes and guidelines seek to provide practical assistance to agencies developing investment projects in Victoria. They help shape proposals, inform investment decisions, monitor project </w:t>
      </w:r>
      <w:proofErr w:type="gramStart"/>
      <w:r>
        <w:t>delivery</w:t>
      </w:r>
      <w:proofErr w:type="gramEnd"/>
      <w:r>
        <w:t xml:space="preserve"> and track the benefits of investments. They also seek to better align the policies, programs and projects of departments and agencies with government priorities.</w:t>
      </w:r>
    </w:p>
    <w:p w14:paraId="4BA99392" w14:textId="77953495" w:rsidR="008C6A5B" w:rsidRDefault="008C6A5B" w:rsidP="008C6A5B">
      <w:pPr>
        <w:pStyle w:val="NormalIndent"/>
      </w:pPr>
      <w:r>
        <w:t>The Gateway Review Process and High Value</w:t>
      </w:r>
      <w:r w:rsidR="00C8656E">
        <w:t>/</w:t>
      </w:r>
      <w:r>
        <w:t xml:space="preserve">High Risk Framework described in the sections below are primarily targeted at major capital projects funded through the State budget. However, DTF strongly recommends that these processes be applied or observed for high value, high risk or complex projects, including those that a GBE proposes to fund through own-sourced revenue. </w:t>
      </w:r>
    </w:p>
    <w:p w14:paraId="438F355C" w14:textId="77777777" w:rsidR="008C6A5B" w:rsidRDefault="008C6A5B" w:rsidP="008C6A5B">
      <w:pPr>
        <w:pStyle w:val="Heading3numbered"/>
      </w:pPr>
      <w:bookmarkStart w:id="33" w:name="_Toc41041718"/>
      <w:bookmarkStart w:id="34" w:name="_Toc85033638"/>
      <w:r>
        <w:lastRenderedPageBreak/>
        <w:t>Gateway Review Process</w:t>
      </w:r>
      <w:bookmarkEnd w:id="33"/>
      <w:bookmarkEnd w:id="34"/>
    </w:p>
    <w:p w14:paraId="67FEE4C9" w14:textId="77777777" w:rsidR="008C6A5B" w:rsidRDefault="008C6A5B" w:rsidP="008C6A5B">
      <w:pPr>
        <w:pStyle w:val="NormalIndent"/>
      </w:pPr>
      <w:r>
        <w:t xml:space="preserve">The Gateway Review Process examines projects and programs at key decision points. It aims to provide timely advice to the Senior Responsible Owner (SRO) as the person responsible for a project or program. A review provides the SRO with an independent view on the current progress of the project or program and assurance that it can proceed successfully to the next stage. The review team can also provide an indication regarding its confidence as to the likelihood for successful delivery of the project or program to time, </w:t>
      </w:r>
      <w:proofErr w:type="gramStart"/>
      <w:r>
        <w:t>cost</w:t>
      </w:r>
      <w:proofErr w:type="gramEnd"/>
      <w:r>
        <w:t xml:space="preserve"> and quality parameters.</w:t>
      </w:r>
    </w:p>
    <w:p w14:paraId="389BCF1B" w14:textId="77777777" w:rsidR="008C6A5B" w:rsidRDefault="008C6A5B" w:rsidP="008C6A5B">
      <w:pPr>
        <w:pStyle w:val="NormalIndent"/>
      </w:pPr>
      <w:r>
        <w:t>A gateway review delivers a peer review, in which independent, external practitioners use their experience and expertise to examine the progress and likelihood of success of the program or project. It provides a valuable perspective on the issues facing the internal team and an external challenge to the strength of the plans and processes. Gateway reviews should be considered complementary to internal assurance processes, and not a substitute or replacement. The review is not an audit and should not be regarded as an alternative to appropriate project or program management.</w:t>
      </w:r>
    </w:p>
    <w:p w14:paraId="4C6521B7" w14:textId="77777777" w:rsidR="008C6A5B" w:rsidRDefault="008C6A5B" w:rsidP="008C6A5B">
      <w:pPr>
        <w:pStyle w:val="NormalIndent"/>
      </w:pPr>
      <w:r>
        <w:t xml:space="preserve">Gateway reviews are mandatory for all High Value or High Risk (HVHR) projects. </w:t>
      </w:r>
    </w:p>
    <w:p w14:paraId="5ECB3A54" w14:textId="5FD7E115" w:rsidR="008C6A5B" w:rsidRDefault="008C6A5B" w:rsidP="008C6A5B">
      <w:pPr>
        <w:pStyle w:val="Heading3numbered"/>
      </w:pPr>
      <w:bookmarkStart w:id="35" w:name="_Toc41041719"/>
      <w:bookmarkStart w:id="36" w:name="_Toc85033639"/>
      <w:r>
        <w:t>High Value</w:t>
      </w:r>
      <w:r w:rsidR="00C8656E">
        <w:t>/</w:t>
      </w:r>
      <w:r>
        <w:t>High Risk Framework</w:t>
      </w:r>
      <w:bookmarkEnd w:id="35"/>
      <w:bookmarkEnd w:id="36"/>
    </w:p>
    <w:p w14:paraId="358981FB" w14:textId="77777777" w:rsidR="008C6A5B" w:rsidRDefault="008C6A5B" w:rsidP="008C6A5B">
      <w:pPr>
        <w:pStyle w:val="NormalIndent"/>
      </w:pPr>
      <w:r>
        <w:t xml:space="preserve">The HVHR process was updated in 2019 and comprises a series of project assurance checks and processes that provide greater scrutiny of major infrastructure and ICT investments. </w:t>
      </w:r>
    </w:p>
    <w:p w14:paraId="774C4F60" w14:textId="77777777" w:rsidR="008C6A5B" w:rsidRDefault="008C6A5B" w:rsidP="008C6A5B">
      <w:pPr>
        <w:pStyle w:val="NormalIndent"/>
      </w:pPr>
      <w:r>
        <w:t>The HVHR Framework seeks to:</w:t>
      </w:r>
    </w:p>
    <w:p w14:paraId="458E03DF" w14:textId="6BAACF93" w:rsidR="008C6A5B" w:rsidRDefault="008C6A5B" w:rsidP="008C6A5B">
      <w:pPr>
        <w:pStyle w:val="Bulletindent"/>
      </w:pPr>
      <w:r>
        <w:t xml:space="preserve">increase the likelihood that projects will achieve their stated benefits and </w:t>
      </w:r>
      <w:proofErr w:type="gramStart"/>
      <w:r>
        <w:t>be delivered successfully,</w:t>
      </w:r>
      <w:proofErr w:type="gramEnd"/>
      <w:r>
        <w:t xml:space="preserve"> on time and on budget</w:t>
      </w:r>
    </w:p>
    <w:p w14:paraId="74374E5C" w14:textId="4CA2ECE4" w:rsidR="008C6A5B" w:rsidRPr="0094071E" w:rsidRDefault="008C6A5B" w:rsidP="008C6A5B">
      <w:pPr>
        <w:pStyle w:val="Bulletindent"/>
      </w:pPr>
      <w:r w:rsidRPr="0094071E">
        <w:t xml:space="preserve">verify that robust project planning and procurement processes have been followed to support quality project planning and procurement processes and </w:t>
      </w:r>
      <w:proofErr w:type="gramStart"/>
      <w:r w:rsidRPr="0094071E">
        <w:t>documentation</w:t>
      </w:r>
      <w:proofErr w:type="gramEnd"/>
    </w:p>
    <w:p w14:paraId="08C62326" w14:textId="77777777" w:rsidR="008C6A5B" w:rsidRDefault="008C6A5B" w:rsidP="008C6A5B">
      <w:pPr>
        <w:pStyle w:val="Bulletindent"/>
      </w:pPr>
      <w:r>
        <w:t>provide impartial and informed advice to Government on deliverability risks.</w:t>
      </w:r>
    </w:p>
    <w:p w14:paraId="343F28DF" w14:textId="77777777" w:rsidR="008C6A5B" w:rsidRDefault="008C6A5B" w:rsidP="00C8656E">
      <w:pPr>
        <w:pStyle w:val="NormalIndent"/>
      </w:pPr>
      <w:r>
        <w:t xml:space="preserve">A project will be classified HVHR if it is a </w:t>
      </w:r>
      <w:proofErr w:type="gramStart"/>
      <w:r>
        <w:t>State</w:t>
      </w:r>
      <w:proofErr w:type="gramEnd"/>
      <w:r>
        <w:t xml:space="preserve"> budget-funded project that is:</w:t>
      </w:r>
    </w:p>
    <w:p w14:paraId="760FB219" w14:textId="37EB76C6" w:rsidR="008C6A5B" w:rsidRDefault="008C6A5B" w:rsidP="008C6A5B">
      <w:pPr>
        <w:pStyle w:val="Bulletindent"/>
      </w:pPr>
      <w:r>
        <w:t>considered high risk using DTF’s risk assessment tool, the Project Profile Model (PPM) (available on the DTF website)</w:t>
      </w:r>
    </w:p>
    <w:p w14:paraId="53306709" w14:textId="76EE8DC6" w:rsidR="008C6A5B" w:rsidRDefault="008C6A5B" w:rsidP="008C6A5B">
      <w:pPr>
        <w:pStyle w:val="Bulletindent"/>
      </w:pPr>
      <w:r>
        <w:t>considered medium risk using the PPM and has a TEI of between $100 million and $250</w:t>
      </w:r>
      <w:r>
        <w:rPr>
          <w:rFonts w:ascii="Calibri" w:hAnsi="Calibri"/>
        </w:rPr>
        <w:t> </w:t>
      </w:r>
      <w:r>
        <w:t>million</w:t>
      </w:r>
    </w:p>
    <w:p w14:paraId="02EDAB26" w14:textId="137A57F9" w:rsidR="008C6A5B" w:rsidRDefault="008C6A5B" w:rsidP="008C6A5B">
      <w:pPr>
        <w:pStyle w:val="Bulletindent"/>
      </w:pPr>
      <w:r>
        <w:t>considered low risk using the PPM, but has a TEI over $250 million</w:t>
      </w:r>
    </w:p>
    <w:p w14:paraId="72CB9357" w14:textId="77777777" w:rsidR="008C6A5B" w:rsidRDefault="008C6A5B" w:rsidP="008C6A5B">
      <w:pPr>
        <w:pStyle w:val="Bulletindent"/>
      </w:pPr>
      <w:r>
        <w:t>identified by Government as warranting the rigour applied to HVHR investments.</w:t>
      </w:r>
    </w:p>
    <w:p w14:paraId="461F8979" w14:textId="77777777" w:rsidR="008C6A5B" w:rsidRDefault="008C6A5B" w:rsidP="007113E9">
      <w:pPr>
        <w:pStyle w:val="NormalIndent"/>
        <w:keepNext/>
      </w:pPr>
      <w:r>
        <w:lastRenderedPageBreak/>
        <w:t>All HVHR investments must:</w:t>
      </w:r>
    </w:p>
    <w:p w14:paraId="42E9C418" w14:textId="24100DAC" w:rsidR="008C6A5B" w:rsidRDefault="008C6A5B" w:rsidP="007113E9">
      <w:pPr>
        <w:pStyle w:val="Bulletindent"/>
        <w:keepNext/>
      </w:pPr>
      <w:r w:rsidRPr="008C6A5B">
        <w:t>prepare</w:t>
      </w:r>
      <w:r>
        <w:t xml:space="preserve"> a full business </w:t>
      </w:r>
      <w:proofErr w:type="gramStart"/>
      <w:r>
        <w:t>case</w:t>
      </w:r>
      <w:proofErr w:type="gramEnd"/>
    </w:p>
    <w:p w14:paraId="1D149E18" w14:textId="016C3990" w:rsidR="008C6A5B" w:rsidRDefault="008C6A5B" w:rsidP="008C6A5B">
      <w:pPr>
        <w:pStyle w:val="Bulletindent"/>
      </w:pPr>
      <w:r>
        <w:t>complete gateway reviews and Project Assurance Reviews (where required)</w:t>
      </w:r>
    </w:p>
    <w:p w14:paraId="3B01BC3C" w14:textId="5517F08E" w:rsidR="008C6A5B" w:rsidRDefault="008C6A5B" w:rsidP="008C6A5B">
      <w:pPr>
        <w:pStyle w:val="Bulletindent"/>
      </w:pPr>
      <w:r>
        <w:t>complete Recommendation Action Plans for any red flag recommendations arising out of gateway and Project Assurance Reviews</w:t>
      </w:r>
    </w:p>
    <w:p w14:paraId="4C9F2881" w14:textId="77777777" w:rsidR="008C6A5B" w:rsidRDefault="008C6A5B" w:rsidP="008C6A5B">
      <w:pPr>
        <w:pStyle w:val="Bulletindent"/>
      </w:pPr>
      <w:r>
        <w:t>provide quarterly updates as part of the Quarterly Asset Investment Report and Major Projects Performance Report.</w:t>
      </w:r>
    </w:p>
    <w:p w14:paraId="10E1CD7C" w14:textId="77777777" w:rsidR="008C6A5B" w:rsidRDefault="008C6A5B" w:rsidP="008C6A5B">
      <w:pPr>
        <w:pStyle w:val="Heading2numbered"/>
      </w:pPr>
      <w:bookmarkStart w:id="37" w:name="_Toc41041720"/>
      <w:bookmarkStart w:id="38" w:name="_Toc85033640"/>
      <w:r>
        <w:t>Guidance material</w:t>
      </w:r>
      <w:bookmarkEnd w:id="37"/>
      <w:bookmarkEnd w:id="38"/>
    </w:p>
    <w:p w14:paraId="4194C1BF" w14:textId="77777777" w:rsidR="008C6A5B" w:rsidRDefault="008C6A5B" w:rsidP="008C6A5B">
      <w:pPr>
        <w:pStyle w:val="NormalIndent"/>
      </w:pPr>
      <w:r>
        <w:t xml:space="preserve">Capital expenditure proposals, including those that are not required to be submitted for endorsement and approval, should be prepared in accordance with relevant Government policy to achieve a consistent approach to infrastructure investment and to facilitate value for money. Relevant policies are listed below and are available on the DTF website at </w:t>
      </w:r>
      <w:hyperlink r:id="rId35" w:history="1">
        <w:r w:rsidRPr="001C1D6B">
          <w:rPr>
            <w:rStyle w:val="Hyperlink"/>
          </w:rPr>
          <w:t>www.dtf.vic.gov.au/infrastructure-investment</w:t>
        </w:r>
      </w:hyperlink>
      <w:r>
        <w:t>.</w:t>
      </w:r>
    </w:p>
    <w:p w14:paraId="02D9A2F8" w14:textId="4084FDFD" w:rsidR="008C6A5B" w:rsidRDefault="008C6A5B" w:rsidP="008C6A5B">
      <w:pPr>
        <w:pStyle w:val="Bulletindent"/>
      </w:pPr>
      <w:r>
        <w:t>Investment Lifecycle Guidance</w:t>
      </w:r>
    </w:p>
    <w:p w14:paraId="724DAAC1" w14:textId="3E8A45B1" w:rsidR="008C6A5B" w:rsidRDefault="008C6A5B" w:rsidP="008C6A5B">
      <w:pPr>
        <w:pStyle w:val="Bulletindent"/>
      </w:pPr>
      <w:r>
        <w:t>Investment Management Standards</w:t>
      </w:r>
    </w:p>
    <w:p w14:paraId="289CA3D4" w14:textId="1F9DA37A" w:rsidR="008C6A5B" w:rsidRDefault="008C6A5B" w:rsidP="008C6A5B">
      <w:pPr>
        <w:pStyle w:val="Bulletindent"/>
      </w:pPr>
      <w:r>
        <w:t>Asset Management Accountability Framework</w:t>
      </w:r>
    </w:p>
    <w:p w14:paraId="1C45D435" w14:textId="25640429" w:rsidR="008C6A5B" w:rsidRDefault="008C6A5B" w:rsidP="008C6A5B">
      <w:pPr>
        <w:pStyle w:val="Bulletindent"/>
      </w:pPr>
      <w:r>
        <w:t>High Value</w:t>
      </w:r>
      <w:r w:rsidR="00C8656E">
        <w:t>/</w:t>
      </w:r>
      <w:r>
        <w:t>High Risk framework</w:t>
      </w:r>
    </w:p>
    <w:p w14:paraId="3DEAC713" w14:textId="77777777" w:rsidR="008C6A5B" w:rsidRDefault="008C6A5B" w:rsidP="008C6A5B">
      <w:pPr>
        <w:pStyle w:val="Bulletindent"/>
      </w:pPr>
      <w:r>
        <w:t>Gateway Review Process.</w:t>
      </w:r>
    </w:p>
    <w:p w14:paraId="72E40B3A" w14:textId="77777777" w:rsidR="008C6A5B" w:rsidRDefault="008C6A5B" w:rsidP="008C6A5B">
      <w:pPr>
        <w:pStyle w:val="Heading3numbered"/>
      </w:pPr>
      <w:bookmarkStart w:id="39" w:name="_Toc41041721"/>
      <w:bookmarkStart w:id="40" w:name="_Toc85033641"/>
      <w:r>
        <w:t>Discount rates</w:t>
      </w:r>
      <w:bookmarkEnd w:id="39"/>
      <w:bookmarkEnd w:id="40"/>
    </w:p>
    <w:p w14:paraId="4027F776" w14:textId="0E551012" w:rsidR="008C6A5B" w:rsidRDefault="008C6A5B" w:rsidP="008C6A5B">
      <w:pPr>
        <w:pStyle w:val="NormalIndent"/>
      </w:pPr>
      <w:r>
        <w:t>A Discount Rate is used to convert projected cash flows into a present value to enable comparison of competing options for which the cash flows reflect differences in both timing and amounts. The Discount Rate reflects the Rate of Return expected by an investor to compensate the investor for placing capital at risk in a project. The following table summarises DTF’s guidance on appropriate discount rates for use in capital investment analysis. The discount rate for PFCs is not included in this guidance, please contact DTF for further information.</w:t>
      </w:r>
    </w:p>
    <w:tbl>
      <w:tblPr>
        <w:tblStyle w:val="DTFtexttableindent"/>
        <w:tblW w:w="8208" w:type="dxa"/>
        <w:tblLayout w:type="fixed"/>
        <w:tblLook w:val="04A0" w:firstRow="1" w:lastRow="0" w:firstColumn="1" w:lastColumn="0" w:noHBand="0" w:noVBand="1"/>
      </w:tblPr>
      <w:tblGrid>
        <w:gridCol w:w="1188"/>
        <w:gridCol w:w="2880"/>
        <w:gridCol w:w="2970"/>
        <w:gridCol w:w="1170"/>
      </w:tblGrid>
      <w:tr w:rsidR="003D4E64" w:rsidRPr="00F70165" w14:paraId="7F32D49F" w14:textId="77777777" w:rsidTr="003D4E6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8" w:type="dxa"/>
            <w:hideMark/>
          </w:tcPr>
          <w:p w14:paraId="474F79B7" w14:textId="77777777" w:rsidR="008C6A5B" w:rsidRPr="00F70165" w:rsidRDefault="008C6A5B" w:rsidP="003D4E64">
            <w:pPr>
              <w:pStyle w:val="Tableheader"/>
            </w:pPr>
            <w:r w:rsidRPr="00F70165">
              <w:lastRenderedPageBreak/>
              <w:t>Categor</w:t>
            </w:r>
            <w:r>
              <w:t>y</w:t>
            </w:r>
          </w:p>
        </w:tc>
        <w:tc>
          <w:tcPr>
            <w:tcW w:w="2880" w:type="dxa"/>
            <w:hideMark/>
          </w:tcPr>
          <w:p w14:paraId="4EFD4163" w14:textId="77777777" w:rsidR="008C6A5B" w:rsidRPr="00F70165" w:rsidRDefault="008C6A5B" w:rsidP="003D4E64">
            <w:pPr>
              <w:pStyle w:val="Tableheader"/>
              <w:cnfStyle w:val="100000000000" w:firstRow="1" w:lastRow="0" w:firstColumn="0" w:lastColumn="0" w:oddVBand="0" w:evenVBand="0" w:oddHBand="0" w:evenHBand="0" w:firstRowFirstColumn="0" w:firstRowLastColumn="0" w:lastRowFirstColumn="0" w:lastRowLastColumn="0"/>
            </w:pPr>
            <w:r w:rsidRPr="00F70165">
              <w:t>Types of investment</w:t>
            </w:r>
          </w:p>
        </w:tc>
        <w:tc>
          <w:tcPr>
            <w:tcW w:w="2970" w:type="dxa"/>
            <w:hideMark/>
          </w:tcPr>
          <w:p w14:paraId="64C25FFC" w14:textId="77777777" w:rsidR="008C6A5B" w:rsidRPr="00F70165" w:rsidRDefault="008C6A5B" w:rsidP="003D4E64">
            <w:pPr>
              <w:pStyle w:val="Tableheader"/>
              <w:cnfStyle w:val="100000000000" w:firstRow="1" w:lastRow="0" w:firstColumn="0" w:lastColumn="0" w:oddVBand="0" w:evenVBand="0" w:oddHBand="0" w:evenHBand="0" w:firstRowFirstColumn="0" w:firstRowLastColumn="0" w:lastRowFirstColumn="0" w:lastRowLastColumn="0"/>
            </w:pPr>
            <w:r w:rsidRPr="00F70165">
              <w:t>Basis</w:t>
            </w:r>
          </w:p>
        </w:tc>
        <w:tc>
          <w:tcPr>
            <w:tcW w:w="1170" w:type="dxa"/>
            <w:hideMark/>
          </w:tcPr>
          <w:p w14:paraId="0FE92B67" w14:textId="77777777" w:rsidR="008C6A5B" w:rsidRPr="00F70165" w:rsidRDefault="008C6A5B" w:rsidP="003D4E64">
            <w:pPr>
              <w:pStyle w:val="Tableheader"/>
              <w:cnfStyle w:val="100000000000" w:firstRow="1" w:lastRow="0" w:firstColumn="0" w:lastColumn="0" w:oddVBand="0" w:evenVBand="0" w:oddHBand="0" w:evenHBand="0" w:firstRowFirstColumn="0" w:firstRowLastColumn="0" w:lastRowFirstColumn="0" w:lastRowLastColumn="0"/>
            </w:pPr>
            <w:r w:rsidRPr="00F70165">
              <w:t>Rate (real)</w:t>
            </w:r>
          </w:p>
        </w:tc>
      </w:tr>
      <w:tr w:rsidR="008C6A5B" w:rsidRPr="00F70165" w14:paraId="41467A70" w14:textId="77777777" w:rsidTr="003D4E64">
        <w:tc>
          <w:tcPr>
            <w:cnfStyle w:val="001000000000" w:firstRow="0" w:lastRow="0" w:firstColumn="1" w:lastColumn="0" w:oddVBand="0" w:evenVBand="0" w:oddHBand="0" w:evenHBand="0" w:firstRowFirstColumn="0" w:firstRowLastColumn="0" w:lastRowFirstColumn="0" w:lastRowLastColumn="0"/>
            <w:tcW w:w="1188" w:type="dxa"/>
            <w:hideMark/>
          </w:tcPr>
          <w:p w14:paraId="5C13DF88" w14:textId="77777777" w:rsidR="008C6A5B" w:rsidRPr="00F70165" w:rsidRDefault="008C6A5B" w:rsidP="003D4E64">
            <w:pPr>
              <w:pStyle w:val="Tabletext"/>
            </w:pPr>
            <w:r w:rsidRPr="00F70165">
              <w:t>Category 1</w:t>
            </w:r>
          </w:p>
        </w:tc>
        <w:tc>
          <w:tcPr>
            <w:tcW w:w="2880" w:type="dxa"/>
            <w:hideMark/>
          </w:tcPr>
          <w:p w14:paraId="01734358" w14:textId="6A9BE4AF" w:rsidR="008C6A5B" w:rsidRPr="00F70165" w:rsidRDefault="008C6A5B" w:rsidP="003D4E64">
            <w:pPr>
              <w:pStyle w:val="Tabletext"/>
              <w:cnfStyle w:val="000000000000" w:firstRow="0" w:lastRow="0" w:firstColumn="0" w:lastColumn="0" w:oddVBand="0" w:evenVBand="0" w:oddHBand="0" w:evenHBand="0" w:firstRowFirstColumn="0" w:firstRowLastColumn="0" w:lastRowFirstColumn="0" w:lastRowLastColumn="0"/>
            </w:pPr>
            <w:r w:rsidRPr="00F70165">
              <w:t xml:space="preserve">Provision of goods and services in traditional core service delivery areas of government, such as public health, </w:t>
            </w:r>
            <w:proofErr w:type="gramStart"/>
            <w:r w:rsidRPr="00F70165">
              <w:t>justice</w:t>
            </w:r>
            <w:proofErr w:type="gramEnd"/>
            <w:r w:rsidRPr="00F70165">
              <w:t xml:space="preserve"> and education.  The benefits of these projects can be articulated but are not easily translated to monetary terms</w:t>
            </w:r>
            <w:r w:rsidR="003D4E64">
              <w:t>, e</w:t>
            </w:r>
            <w:r w:rsidRPr="00F70165">
              <w:t>.g.</w:t>
            </w:r>
            <w:r w:rsidR="003D4E64">
              <w:rPr>
                <w:rFonts w:ascii="Calibri" w:hAnsi="Calibri" w:cs="Calibri"/>
              </w:rPr>
              <w:t> </w:t>
            </w:r>
            <w:r w:rsidRPr="00F70165">
              <w:t>schools, hospitals, police stations and civic open spaces.</w:t>
            </w:r>
          </w:p>
          <w:p w14:paraId="3DEB3FC4" w14:textId="77777777" w:rsidR="008C6A5B" w:rsidRPr="00F70165" w:rsidRDefault="008C6A5B" w:rsidP="003D4E64">
            <w:pPr>
              <w:pStyle w:val="Tabletext"/>
              <w:cnfStyle w:val="000000000000" w:firstRow="0" w:lastRow="0" w:firstColumn="0" w:lastColumn="0" w:oddVBand="0" w:evenVBand="0" w:oddHBand="0" w:evenHBand="0" w:firstRowFirstColumn="0" w:firstRowLastColumn="0" w:lastRowFirstColumn="0" w:lastRowLastColumn="0"/>
            </w:pPr>
            <w:r w:rsidRPr="00F70165">
              <w:t xml:space="preserve">Other projects in this category include projects evaluating potentially catastrophic scenarios for which considerable uncertainty surrounds estimates of costs and benefits. </w:t>
            </w:r>
          </w:p>
        </w:tc>
        <w:tc>
          <w:tcPr>
            <w:tcW w:w="2970" w:type="dxa"/>
            <w:hideMark/>
          </w:tcPr>
          <w:p w14:paraId="04FA0FE9" w14:textId="37F97CDD" w:rsidR="008C6A5B" w:rsidRPr="00F70165" w:rsidRDefault="008C6A5B" w:rsidP="003D4E64">
            <w:pPr>
              <w:pStyle w:val="Tabletext"/>
              <w:cnfStyle w:val="000000000000" w:firstRow="0" w:lastRow="0" w:firstColumn="0" w:lastColumn="0" w:oddVBand="0" w:evenVBand="0" w:oddHBand="0" w:evenHBand="0" w:firstRowFirstColumn="0" w:firstRowLastColumn="0" w:lastRowFirstColumn="0" w:lastRowLastColumn="0"/>
            </w:pPr>
            <w:r w:rsidRPr="00F70165">
              <w:t>Projects falling within this category should use a real risk-free rate plus a very small risk premium. Based on long</w:t>
            </w:r>
            <w:r w:rsidR="003D4E64">
              <w:noBreakHyphen/>
            </w:r>
            <w:r w:rsidRPr="00F70165">
              <w:t xml:space="preserve">term average government bond rates, </w:t>
            </w:r>
            <w:r w:rsidRPr="0094071E">
              <w:rPr>
                <w:b/>
                <w:bCs/>
              </w:rPr>
              <w:t>an appropriate real discount rate for these projects is 4</w:t>
            </w:r>
            <w:r w:rsidR="003D4E64">
              <w:rPr>
                <w:rFonts w:ascii="Calibri" w:hAnsi="Calibri" w:cs="Calibri"/>
                <w:b/>
                <w:bCs/>
              </w:rPr>
              <w:t> </w:t>
            </w:r>
            <w:r w:rsidRPr="0094071E">
              <w:rPr>
                <w:b/>
                <w:bCs/>
              </w:rPr>
              <w:t>per</w:t>
            </w:r>
            <w:r w:rsidR="003D4E64">
              <w:rPr>
                <w:rFonts w:ascii="Calibri" w:hAnsi="Calibri" w:cs="Calibri"/>
                <w:b/>
                <w:bCs/>
              </w:rPr>
              <w:t> </w:t>
            </w:r>
            <w:r w:rsidRPr="0094071E">
              <w:rPr>
                <w:b/>
                <w:bCs/>
              </w:rPr>
              <w:t>cent</w:t>
            </w:r>
            <w:r w:rsidRPr="00F70165">
              <w:t>.</w:t>
            </w:r>
          </w:p>
        </w:tc>
        <w:tc>
          <w:tcPr>
            <w:tcW w:w="1170" w:type="dxa"/>
            <w:hideMark/>
          </w:tcPr>
          <w:p w14:paraId="08410416" w14:textId="77777777" w:rsidR="008C6A5B" w:rsidRPr="00F70165" w:rsidRDefault="008C6A5B" w:rsidP="003D4E64">
            <w:pPr>
              <w:pStyle w:val="Tabletext"/>
              <w:cnfStyle w:val="000000000000" w:firstRow="0" w:lastRow="0" w:firstColumn="0" w:lastColumn="0" w:oddVBand="0" w:evenVBand="0" w:oddHBand="0" w:evenHBand="0" w:firstRowFirstColumn="0" w:firstRowLastColumn="0" w:lastRowFirstColumn="0" w:lastRowLastColumn="0"/>
            </w:pPr>
            <w:r w:rsidRPr="00F70165">
              <w:t>4%</w:t>
            </w:r>
          </w:p>
        </w:tc>
      </w:tr>
      <w:tr w:rsidR="008C6A5B" w:rsidRPr="00F70165" w14:paraId="49174966" w14:textId="77777777" w:rsidTr="003D4E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bottom w:val="single" w:sz="6" w:space="0" w:color="0072CE" w:themeColor="accent1"/>
            </w:tcBorders>
            <w:hideMark/>
          </w:tcPr>
          <w:p w14:paraId="47D3E83D" w14:textId="77777777" w:rsidR="008C6A5B" w:rsidRPr="00F70165" w:rsidRDefault="008C6A5B" w:rsidP="003D4E64">
            <w:pPr>
              <w:pStyle w:val="Tabletext"/>
            </w:pPr>
            <w:r w:rsidRPr="00F70165">
              <w:t>Category 2</w:t>
            </w:r>
          </w:p>
        </w:tc>
        <w:tc>
          <w:tcPr>
            <w:tcW w:w="2880" w:type="dxa"/>
            <w:tcBorders>
              <w:bottom w:val="single" w:sz="6" w:space="0" w:color="0072CE" w:themeColor="accent1"/>
            </w:tcBorders>
            <w:hideMark/>
          </w:tcPr>
          <w:p w14:paraId="278145ED" w14:textId="77777777" w:rsidR="008C6A5B" w:rsidRPr="00F70165" w:rsidRDefault="008C6A5B" w:rsidP="003D4E64">
            <w:pPr>
              <w:pStyle w:val="Tabletext"/>
              <w:cnfStyle w:val="000000010000" w:firstRow="0" w:lastRow="0" w:firstColumn="0" w:lastColumn="0" w:oddVBand="0" w:evenVBand="0" w:oddHBand="0" w:evenHBand="1" w:firstRowFirstColumn="0" w:firstRowLastColumn="0" w:lastRowFirstColumn="0" w:lastRowLastColumn="0"/>
            </w:pPr>
            <w:r w:rsidRPr="00F70165">
              <w:t xml:space="preserve">Provision of goods and services in traditional core service delivery areas of government (i.e. non-commercial investments), but those for which the benefits attributed to the project are more easily translated to monetary terms. </w:t>
            </w:r>
            <w:r>
              <w:t>e</w:t>
            </w:r>
            <w:r w:rsidRPr="00F70165">
              <w:t xml:space="preserve">.g. public transport, </w:t>
            </w:r>
            <w:proofErr w:type="gramStart"/>
            <w:r w:rsidRPr="00F70165">
              <w:t>roads</w:t>
            </w:r>
            <w:proofErr w:type="gramEnd"/>
            <w:r w:rsidRPr="00F70165">
              <w:t xml:space="preserve"> and public housing.</w:t>
            </w:r>
          </w:p>
        </w:tc>
        <w:tc>
          <w:tcPr>
            <w:tcW w:w="2970" w:type="dxa"/>
            <w:tcBorders>
              <w:bottom w:val="single" w:sz="6" w:space="0" w:color="0072CE" w:themeColor="accent1"/>
            </w:tcBorders>
            <w:hideMark/>
          </w:tcPr>
          <w:p w14:paraId="25645FCE" w14:textId="77777777" w:rsidR="008C6A5B" w:rsidRPr="00F70165" w:rsidRDefault="008C6A5B" w:rsidP="003D4E64">
            <w:pPr>
              <w:pStyle w:val="Tabletext"/>
              <w:cnfStyle w:val="000000010000" w:firstRow="0" w:lastRow="0" w:firstColumn="0" w:lastColumn="0" w:oddVBand="0" w:evenVBand="0" w:oddHBand="0" w:evenHBand="1" w:firstRowFirstColumn="0" w:firstRowLastColumn="0" w:lastRowFirstColumn="0" w:lastRowLastColumn="0"/>
            </w:pPr>
            <w:r w:rsidRPr="00F70165">
              <w:t xml:space="preserve">These projects should be discounted using a risk-free rate plus a modest risk premium depending on the project’s sensitivity to the economy. Based on long term average government bond rates, </w:t>
            </w:r>
            <w:r w:rsidRPr="0094071E">
              <w:rPr>
                <w:b/>
                <w:bCs/>
              </w:rPr>
              <w:t>an appropriate real discount rate for these projects is 7</w:t>
            </w:r>
            <w:r w:rsidRPr="0094071E">
              <w:rPr>
                <w:rFonts w:ascii="Calibri" w:hAnsi="Calibri" w:cs="Calibri"/>
                <w:b/>
                <w:bCs/>
              </w:rPr>
              <w:t> </w:t>
            </w:r>
            <w:r w:rsidRPr="0094071E">
              <w:rPr>
                <w:b/>
                <w:bCs/>
              </w:rPr>
              <w:t>per cent</w:t>
            </w:r>
            <w:r w:rsidRPr="00F70165">
              <w:t>.</w:t>
            </w:r>
          </w:p>
        </w:tc>
        <w:tc>
          <w:tcPr>
            <w:tcW w:w="1170" w:type="dxa"/>
            <w:tcBorders>
              <w:bottom w:val="single" w:sz="6" w:space="0" w:color="0072CE" w:themeColor="accent1"/>
            </w:tcBorders>
            <w:hideMark/>
          </w:tcPr>
          <w:p w14:paraId="16BC18FC" w14:textId="77777777" w:rsidR="008C6A5B" w:rsidRPr="00F70165" w:rsidRDefault="008C6A5B" w:rsidP="003D4E64">
            <w:pPr>
              <w:pStyle w:val="Tabletext"/>
              <w:cnfStyle w:val="000000010000" w:firstRow="0" w:lastRow="0" w:firstColumn="0" w:lastColumn="0" w:oddVBand="0" w:evenVBand="0" w:oddHBand="0" w:evenHBand="1" w:firstRowFirstColumn="0" w:firstRowLastColumn="0" w:lastRowFirstColumn="0" w:lastRowLastColumn="0"/>
            </w:pPr>
            <w:r w:rsidRPr="00F70165">
              <w:t>7%</w:t>
            </w:r>
          </w:p>
        </w:tc>
      </w:tr>
      <w:tr w:rsidR="008C6A5B" w:rsidRPr="00F70165" w14:paraId="17F49613" w14:textId="77777777" w:rsidTr="003D4E64">
        <w:tc>
          <w:tcPr>
            <w:cnfStyle w:val="001000000000" w:firstRow="0" w:lastRow="0" w:firstColumn="1" w:lastColumn="0" w:oddVBand="0" w:evenVBand="0" w:oddHBand="0" w:evenHBand="0" w:firstRowFirstColumn="0" w:firstRowLastColumn="0" w:lastRowFirstColumn="0" w:lastRowLastColumn="0"/>
            <w:tcW w:w="1188" w:type="dxa"/>
            <w:tcBorders>
              <w:bottom w:val="single" w:sz="12" w:space="0" w:color="0072CE" w:themeColor="accent1"/>
            </w:tcBorders>
            <w:hideMark/>
          </w:tcPr>
          <w:p w14:paraId="1D679D55" w14:textId="77777777" w:rsidR="008C6A5B" w:rsidRPr="00F70165" w:rsidRDefault="008C6A5B" w:rsidP="003D4E64">
            <w:pPr>
              <w:pStyle w:val="Tabletext"/>
            </w:pPr>
            <w:r w:rsidRPr="00F70165">
              <w:t>Category 3</w:t>
            </w:r>
          </w:p>
        </w:tc>
        <w:tc>
          <w:tcPr>
            <w:tcW w:w="2880" w:type="dxa"/>
            <w:tcBorders>
              <w:bottom w:val="single" w:sz="12" w:space="0" w:color="0072CE" w:themeColor="accent1"/>
            </w:tcBorders>
            <w:hideMark/>
          </w:tcPr>
          <w:p w14:paraId="2B0B801A" w14:textId="77777777" w:rsidR="008C6A5B" w:rsidRPr="00F70165" w:rsidRDefault="008C6A5B" w:rsidP="003D4E64">
            <w:pPr>
              <w:pStyle w:val="Tabletext"/>
              <w:cnfStyle w:val="000000000000" w:firstRow="0" w:lastRow="0" w:firstColumn="0" w:lastColumn="0" w:oddVBand="0" w:evenVBand="0" w:oddHBand="0" w:evenHBand="0" w:firstRowFirstColumn="0" w:firstRowLastColumn="0" w:lastRowFirstColumn="0" w:lastRowLastColumn="0"/>
            </w:pPr>
            <w:r w:rsidRPr="00F70165">
              <w:t>Commercial investments with similar risks as the private sector. While there should ideally be limited government involvement in this area, government should require a rate of return on commercial investments comparable to what the private sector requires given the degree of risk associated with the area of activity.</w:t>
            </w:r>
          </w:p>
        </w:tc>
        <w:tc>
          <w:tcPr>
            <w:tcW w:w="2970" w:type="dxa"/>
            <w:tcBorders>
              <w:bottom w:val="single" w:sz="12" w:space="0" w:color="0072CE" w:themeColor="accent1"/>
            </w:tcBorders>
            <w:hideMark/>
          </w:tcPr>
          <w:p w14:paraId="733E1E17" w14:textId="77777777" w:rsidR="008C6A5B" w:rsidRPr="00F70165" w:rsidRDefault="008C6A5B" w:rsidP="003D4E64">
            <w:pPr>
              <w:pStyle w:val="Tabletext"/>
              <w:cnfStyle w:val="000000000000" w:firstRow="0" w:lastRow="0" w:firstColumn="0" w:lastColumn="0" w:oddVBand="0" w:evenVBand="0" w:oddHBand="0" w:evenHBand="0" w:firstRowFirstColumn="0" w:firstRowLastColumn="0" w:lastRowFirstColumn="0" w:lastRowLastColumn="0"/>
            </w:pPr>
            <w:r w:rsidRPr="00F70165">
              <w:t xml:space="preserve">These projects should use a market rate of return as the default discount rate, commensurate with the risk profile associated with the industry and specific characteristics of the project. </w:t>
            </w:r>
          </w:p>
          <w:p w14:paraId="31153E7C" w14:textId="77777777" w:rsidR="008C6A5B" w:rsidRPr="00F70165" w:rsidRDefault="008C6A5B" w:rsidP="003D4E64">
            <w:pPr>
              <w:pStyle w:val="Tabletext"/>
              <w:cnfStyle w:val="000000000000" w:firstRow="0" w:lastRow="0" w:firstColumn="0" w:lastColumn="0" w:oddVBand="0" w:evenVBand="0" w:oddHBand="0" w:evenHBand="0" w:firstRowFirstColumn="0" w:firstRowLastColumn="0" w:lastRowFirstColumn="0" w:lastRowLastColumn="0"/>
            </w:pPr>
            <w:r w:rsidRPr="00F70165">
              <w:t xml:space="preserve">Given that there is the potential for such investments to be significantly riskier than an average market return, </w:t>
            </w:r>
            <w:r w:rsidRPr="0094071E">
              <w:rPr>
                <w:b/>
                <w:bCs/>
              </w:rPr>
              <w:t>project proponents should liaise with DTF regarding the appropriate rate</w:t>
            </w:r>
            <w:r w:rsidRPr="00F70165">
              <w:t xml:space="preserve">. </w:t>
            </w:r>
          </w:p>
        </w:tc>
        <w:tc>
          <w:tcPr>
            <w:tcW w:w="1170" w:type="dxa"/>
            <w:tcBorders>
              <w:bottom w:val="single" w:sz="12" w:space="0" w:color="0072CE" w:themeColor="accent1"/>
            </w:tcBorders>
            <w:hideMark/>
          </w:tcPr>
          <w:p w14:paraId="170AE4B4" w14:textId="77777777" w:rsidR="008C6A5B" w:rsidRPr="00F70165" w:rsidRDefault="008C6A5B" w:rsidP="003D4E64">
            <w:pPr>
              <w:pStyle w:val="Tabletext"/>
              <w:cnfStyle w:val="000000000000" w:firstRow="0" w:lastRow="0" w:firstColumn="0" w:lastColumn="0" w:oddVBand="0" w:evenVBand="0" w:oddHBand="0" w:evenHBand="0" w:firstRowFirstColumn="0" w:firstRowLastColumn="0" w:lastRowFirstColumn="0" w:lastRowLastColumn="0"/>
            </w:pPr>
            <w:r w:rsidRPr="00F70165">
              <w:t>Consult with DTF</w:t>
            </w:r>
          </w:p>
        </w:tc>
      </w:tr>
    </w:tbl>
    <w:p w14:paraId="15490AD5" w14:textId="77777777" w:rsidR="008C6A5B" w:rsidRDefault="008C6A5B" w:rsidP="008C6A5B">
      <w:pPr>
        <w:pStyle w:val="Heading2numbered"/>
      </w:pPr>
      <w:bookmarkStart w:id="41" w:name="_Toc41041722"/>
      <w:bookmarkStart w:id="42" w:name="_Toc85033642"/>
      <w:r>
        <w:t>Endorsement</w:t>
      </w:r>
      <w:bookmarkEnd w:id="41"/>
      <w:bookmarkEnd w:id="42"/>
    </w:p>
    <w:p w14:paraId="2E31578F" w14:textId="77777777" w:rsidR="008C6A5B" w:rsidRDefault="008C6A5B" w:rsidP="008C6A5B">
      <w:pPr>
        <w:pStyle w:val="NormalIndent"/>
      </w:pPr>
      <w:r>
        <w:t>Final business cases must be endorsed by the GBE’s board and portfolio Minister prior to being submitted to the Treasurer for approval.</w:t>
      </w:r>
    </w:p>
    <w:p w14:paraId="2902765D" w14:textId="77777777" w:rsidR="008C6A5B" w:rsidRDefault="008C6A5B" w:rsidP="008C6A5B">
      <w:pPr>
        <w:pStyle w:val="Heading1numbered"/>
      </w:pPr>
      <w:bookmarkStart w:id="43" w:name="_Toc41041723"/>
      <w:bookmarkStart w:id="44" w:name="_Toc85033643"/>
      <w:r>
        <w:lastRenderedPageBreak/>
        <w:t>Quarterly reporting</w:t>
      </w:r>
      <w:bookmarkEnd w:id="43"/>
      <w:bookmarkEnd w:id="44"/>
    </w:p>
    <w:p w14:paraId="5E838D19" w14:textId="77777777" w:rsidR="008C6A5B" w:rsidRDefault="008C6A5B" w:rsidP="008C6A5B">
      <w:pPr>
        <w:pStyle w:val="NormalIndent"/>
      </w:pPr>
      <w:r>
        <w:t>Quarterly reports provide a summary of a GBE’s performance against targets established in the corporate planning documents.</w:t>
      </w:r>
    </w:p>
    <w:p w14:paraId="77C8E493" w14:textId="77777777" w:rsidR="008C6A5B" w:rsidRDefault="008C6A5B" w:rsidP="008C6A5B">
      <w:pPr>
        <w:pStyle w:val="Heading2numbered"/>
      </w:pPr>
      <w:bookmarkStart w:id="45" w:name="_Toc41041724"/>
      <w:bookmarkStart w:id="46" w:name="_Toc85033644"/>
      <w:r>
        <w:t>Quarterly performance reports</w:t>
      </w:r>
      <w:bookmarkEnd w:id="45"/>
      <w:bookmarkEnd w:id="46"/>
    </w:p>
    <w:p w14:paraId="70F5DC34" w14:textId="77777777" w:rsidR="008C6A5B" w:rsidRDefault="008C6A5B" w:rsidP="008C6A5B">
      <w:pPr>
        <w:pStyle w:val="NormalIndent"/>
      </w:pPr>
      <w:r>
        <w:t>Each quarter, GBEs must provide a report to DTF containing the following information:</w:t>
      </w:r>
    </w:p>
    <w:p w14:paraId="230D9A06" w14:textId="048F270B" w:rsidR="008C6A5B" w:rsidRDefault="003D4E64" w:rsidP="008C6A5B">
      <w:pPr>
        <w:pStyle w:val="Bulletindent"/>
      </w:pPr>
      <w:r>
        <w:t xml:space="preserve">financial </w:t>
      </w:r>
      <w:r w:rsidR="008C6A5B">
        <w:t xml:space="preserve">statements in nominal dollars for the quarter and year to date (actual against plan). The level of detail provided in the financial statements should be comparable with that provided in the agreed corporate planning </w:t>
      </w:r>
      <w:proofErr w:type="gramStart"/>
      <w:r w:rsidR="008C6A5B">
        <w:t>documents</w:t>
      </w:r>
      <w:proofErr w:type="gramEnd"/>
    </w:p>
    <w:p w14:paraId="5BDA97A5" w14:textId="5300D799" w:rsidR="008C6A5B" w:rsidRDefault="008C6A5B" w:rsidP="008C6A5B">
      <w:pPr>
        <w:pStyle w:val="Bulletindent"/>
      </w:pPr>
      <w:r>
        <w:t>KPI results for the quarter and year to date (actual against plan)</w:t>
      </w:r>
    </w:p>
    <w:p w14:paraId="6BF86902" w14:textId="47F7341E" w:rsidR="008C6A5B" w:rsidRDefault="003D4E64" w:rsidP="008C6A5B">
      <w:pPr>
        <w:pStyle w:val="Bulletindent"/>
      </w:pPr>
      <w:r>
        <w:t xml:space="preserve">commentary </w:t>
      </w:r>
      <w:r w:rsidR="008C6A5B">
        <w:t>on the GBE’s performance for the quarter and year to date. Commentary should be provided for all material variations (greater than +/-10</w:t>
      </w:r>
      <w:r>
        <w:rPr>
          <w:rFonts w:ascii="Calibri" w:hAnsi="Calibri"/>
        </w:rPr>
        <w:t> </w:t>
      </w:r>
      <w:r w:rsidR="008C6A5B">
        <w:t xml:space="preserve">per cent and/or $10 million) from plan for each line item in the financial statements and any material variations for KPIs. The commentary provided should reflect the underlying factor(s) driving the variance and corrective actions being taken to address underperformance or non-achievement of financial targets and </w:t>
      </w:r>
      <w:proofErr w:type="gramStart"/>
      <w:r w:rsidR="008C6A5B">
        <w:t>KPIs</w:t>
      </w:r>
      <w:proofErr w:type="gramEnd"/>
    </w:p>
    <w:p w14:paraId="33E16A4A" w14:textId="7920EE60" w:rsidR="008C6A5B" w:rsidRDefault="003D4E64" w:rsidP="008C6A5B">
      <w:pPr>
        <w:pStyle w:val="Bulletindent"/>
      </w:pPr>
      <w:r>
        <w:t xml:space="preserve">capital </w:t>
      </w:r>
      <w:r w:rsidR="008C6A5B">
        <w:t xml:space="preserve">expenditure program </w:t>
      </w:r>
      <w:proofErr w:type="gramStart"/>
      <w:r w:rsidR="008C6A5B">
        <w:t>update</w:t>
      </w:r>
      <w:proofErr w:type="gramEnd"/>
    </w:p>
    <w:p w14:paraId="69B75666" w14:textId="3E4A3E28" w:rsidR="008C6A5B" w:rsidRDefault="003D4E64" w:rsidP="008C6A5B">
      <w:pPr>
        <w:pStyle w:val="Bulletindent"/>
      </w:pPr>
      <w:r>
        <w:t xml:space="preserve">any </w:t>
      </w:r>
      <w:r w:rsidR="008C6A5B">
        <w:t>expected material changes to full-year financial results.</w:t>
      </w:r>
    </w:p>
    <w:p w14:paraId="397A65C4" w14:textId="77777777" w:rsidR="008C6A5B" w:rsidRDefault="008C6A5B" w:rsidP="008C6A5B">
      <w:pPr>
        <w:pStyle w:val="NormalIndent"/>
      </w:pPr>
      <w:r>
        <w:t>In addition to providing quarterly performance reports, each GBE is required to submit a final copy of its annual report to DTF. GBEs where the Treasurer or Assistant Treasurer are portfolio Ministers can find additional information on DTF’s annual reporting requirements in Chapter 5.</w:t>
      </w:r>
    </w:p>
    <w:p w14:paraId="279EDA75" w14:textId="77777777" w:rsidR="008C6A5B" w:rsidRDefault="008C6A5B" w:rsidP="008C6A5B">
      <w:pPr>
        <w:pStyle w:val="NormalIndent"/>
      </w:pPr>
      <w:r>
        <w:t>Quarterly performance reports include commentary on progress in delivering Community Service Obligations or other policy obligations being performed on behalf of government (see section 7.3.3).</w:t>
      </w:r>
    </w:p>
    <w:p w14:paraId="142F9492" w14:textId="77777777" w:rsidR="008C6A5B" w:rsidRDefault="008C6A5B" w:rsidP="008C6A5B">
      <w:pPr>
        <w:pStyle w:val="Heading2numbered"/>
      </w:pPr>
      <w:bookmarkStart w:id="47" w:name="_Toc41041725"/>
      <w:bookmarkStart w:id="48" w:name="_Toc85033645"/>
      <w:r>
        <w:t>Continuous disclosure requirements</w:t>
      </w:r>
      <w:bookmarkEnd w:id="47"/>
      <w:bookmarkEnd w:id="48"/>
    </w:p>
    <w:p w14:paraId="00636542" w14:textId="77777777" w:rsidR="008C6A5B" w:rsidRDefault="008C6A5B" w:rsidP="008C6A5B">
      <w:pPr>
        <w:pStyle w:val="NormalIndent"/>
      </w:pPr>
      <w:r>
        <w:t>GBEs should adhere to continuous disclosure and are expected to inform DTF and their portfolio department as soon as they become aware of:</w:t>
      </w:r>
    </w:p>
    <w:p w14:paraId="00303BA5" w14:textId="6B2E9944" w:rsidR="008C6A5B" w:rsidRDefault="008C6A5B" w:rsidP="008C6A5B">
      <w:pPr>
        <w:pStyle w:val="Bulletindent"/>
      </w:pPr>
      <w:r>
        <w:t xml:space="preserve">significant variations to strategies compared to </w:t>
      </w:r>
      <w:proofErr w:type="gramStart"/>
      <w:r>
        <w:t>plan</w:t>
      </w:r>
      <w:proofErr w:type="gramEnd"/>
    </w:p>
    <w:p w14:paraId="556CD1ED" w14:textId="568AC840" w:rsidR="008C6A5B" w:rsidRDefault="008C6A5B" w:rsidP="003D4E64">
      <w:pPr>
        <w:pStyle w:val="Bulletindent"/>
        <w:ind w:right="-154"/>
      </w:pPr>
      <w:r>
        <w:t xml:space="preserve">significant variations to the TEI or timing of capital investments compared to </w:t>
      </w:r>
      <w:proofErr w:type="gramStart"/>
      <w:r>
        <w:t>plan</w:t>
      </w:r>
      <w:proofErr w:type="gramEnd"/>
    </w:p>
    <w:p w14:paraId="4ABE6706" w14:textId="3E47E712" w:rsidR="008C6A5B" w:rsidRDefault="008C6A5B" w:rsidP="008C6A5B">
      <w:pPr>
        <w:pStyle w:val="Bulletindent"/>
      </w:pPr>
      <w:r>
        <w:t xml:space="preserve">a material variation (greater than +/- 10 per cent and/or $10 million) in forecast full year profit or cash flow from operating activities compared to </w:t>
      </w:r>
      <w:proofErr w:type="gramStart"/>
      <w:r>
        <w:t>plan</w:t>
      </w:r>
      <w:proofErr w:type="gramEnd"/>
    </w:p>
    <w:p w14:paraId="058321A8" w14:textId="7ECBA805" w:rsidR="008C6A5B" w:rsidRDefault="008C6A5B" w:rsidP="008C6A5B">
      <w:pPr>
        <w:pStyle w:val="Bulletindent"/>
      </w:pPr>
      <w:r>
        <w:t xml:space="preserve">significant variations in KPIs compared to </w:t>
      </w:r>
      <w:proofErr w:type="gramStart"/>
      <w:r>
        <w:t>plan</w:t>
      </w:r>
      <w:proofErr w:type="gramEnd"/>
    </w:p>
    <w:p w14:paraId="12AEE0A8" w14:textId="77777777" w:rsidR="008C6A5B" w:rsidRDefault="008C6A5B" w:rsidP="008C6A5B">
      <w:pPr>
        <w:pStyle w:val="Bulletindent"/>
      </w:pPr>
      <w:r>
        <w:t>any financial or non-financial (including reputational) developments which may materially impact the GBE or the Government.</w:t>
      </w:r>
    </w:p>
    <w:p w14:paraId="59ED5077" w14:textId="77777777" w:rsidR="008C6A5B" w:rsidRDefault="008C6A5B" w:rsidP="008C6A5B">
      <w:pPr>
        <w:pStyle w:val="NormalIndent"/>
      </w:pPr>
      <w:r>
        <w:lastRenderedPageBreak/>
        <w:t>Further, GBEs are required to inform the Treasurer as soon as they become aware of a material variation (greater than +/- 10 per cent or $10 million) to the estimated TEI of a project approved by the Treasurer.</w:t>
      </w:r>
    </w:p>
    <w:p w14:paraId="0034D15B" w14:textId="77777777" w:rsidR="008C6A5B" w:rsidRDefault="008C6A5B" w:rsidP="008C6A5B">
      <w:pPr>
        <w:pStyle w:val="Heading2numbered"/>
      </w:pPr>
      <w:bookmarkStart w:id="49" w:name="_Toc41041726"/>
      <w:bookmarkStart w:id="50" w:name="_Toc85033646"/>
      <w:r>
        <w:t>Endorsement</w:t>
      </w:r>
      <w:bookmarkEnd w:id="49"/>
      <w:bookmarkEnd w:id="50"/>
    </w:p>
    <w:p w14:paraId="055047A9" w14:textId="77777777" w:rsidR="008C6A5B" w:rsidRDefault="008C6A5B" w:rsidP="008C6A5B">
      <w:pPr>
        <w:pStyle w:val="NormalIndent"/>
      </w:pPr>
      <w:r>
        <w:t>Quarterly performance reports and annual reports must be endorsed by the GBE’s board.</w:t>
      </w:r>
    </w:p>
    <w:p w14:paraId="28611EF9" w14:textId="77777777" w:rsidR="008C6A5B" w:rsidRDefault="008C6A5B" w:rsidP="008C6A5B">
      <w:pPr>
        <w:pStyle w:val="Heading2numbered"/>
      </w:pPr>
      <w:bookmarkStart w:id="51" w:name="_Toc41041727"/>
      <w:bookmarkStart w:id="52" w:name="_Toc85033647"/>
      <w:r>
        <w:t>Key dates</w:t>
      </w:r>
      <w:bookmarkEnd w:id="51"/>
      <w:bookmarkEnd w:id="52"/>
    </w:p>
    <w:tbl>
      <w:tblPr>
        <w:tblStyle w:val="DTFtexttableindent"/>
        <w:tblW w:w="0" w:type="auto"/>
        <w:tblLook w:val="0420" w:firstRow="1" w:lastRow="0" w:firstColumn="0" w:lastColumn="0" w:noHBand="0" w:noVBand="1"/>
      </w:tblPr>
      <w:tblGrid>
        <w:gridCol w:w="3191"/>
        <w:gridCol w:w="5043"/>
      </w:tblGrid>
      <w:tr w:rsidR="008C6A5B" w:rsidRPr="007A656F" w14:paraId="1D9BA8E8" w14:textId="77777777" w:rsidTr="003D4E64">
        <w:trPr>
          <w:cnfStyle w:val="100000000000" w:firstRow="1" w:lastRow="0" w:firstColumn="0" w:lastColumn="0" w:oddVBand="0" w:evenVBand="0" w:oddHBand="0" w:evenHBand="0" w:firstRowFirstColumn="0" w:firstRowLastColumn="0" w:lastRowFirstColumn="0" w:lastRowLastColumn="0"/>
        </w:trPr>
        <w:tc>
          <w:tcPr>
            <w:tcW w:w="3261" w:type="dxa"/>
          </w:tcPr>
          <w:p w14:paraId="30EE116C" w14:textId="77777777" w:rsidR="008C6A5B" w:rsidRPr="007A656F" w:rsidRDefault="008C6A5B" w:rsidP="003D4E64">
            <w:pPr>
              <w:pStyle w:val="Tableheader"/>
            </w:pPr>
            <w:r w:rsidRPr="007A656F">
              <w:t xml:space="preserve">Requirement </w:t>
            </w:r>
          </w:p>
        </w:tc>
        <w:tc>
          <w:tcPr>
            <w:tcW w:w="5197" w:type="dxa"/>
          </w:tcPr>
          <w:p w14:paraId="381F2358" w14:textId="77777777" w:rsidR="008C6A5B" w:rsidRPr="007A656F" w:rsidRDefault="008C6A5B" w:rsidP="003D4E64">
            <w:pPr>
              <w:pStyle w:val="Tableheader"/>
            </w:pPr>
            <w:r w:rsidRPr="007A656F">
              <w:t>Due date</w:t>
            </w:r>
          </w:p>
        </w:tc>
      </w:tr>
      <w:tr w:rsidR="008C6A5B" w:rsidRPr="007A656F" w14:paraId="1B5EC71D" w14:textId="77777777" w:rsidTr="003D4E64">
        <w:tc>
          <w:tcPr>
            <w:tcW w:w="3261" w:type="dxa"/>
          </w:tcPr>
          <w:p w14:paraId="77ABA01F" w14:textId="77777777" w:rsidR="008C6A5B" w:rsidRPr="007A656F" w:rsidRDefault="008C6A5B" w:rsidP="003D4E64">
            <w:pPr>
              <w:pStyle w:val="Tabletext"/>
            </w:pPr>
            <w:r w:rsidRPr="007A656F">
              <w:t xml:space="preserve">Quarter 1 report submitted </w:t>
            </w:r>
          </w:p>
        </w:tc>
        <w:tc>
          <w:tcPr>
            <w:tcW w:w="5197" w:type="dxa"/>
          </w:tcPr>
          <w:p w14:paraId="0E2ACF48" w14:textId="77777777" w:rsidR="008C6A5B" w:rsidRPr="007A656F" w:rsidRDefault="008C6A5B" w:rsidP="003D4E64">
            <w:pPr>
              <w:pStyle w:val="Tabletext"/>
            </w:pPr>
            <w:r w:rsidRPr="007A656F">
              <w:t>Last business day in October</w:t>
            </w:r>
          </w:p>
        </w:tc>
      </w:tr>
      <w:tr w:rsidR="008C6A5B" w:rsidRPr="007A656F" w14:paraId="63F93B98" w14:textId="77777777" w:rsidTr="003D4E64">
        <w:trPr>
          <w:cnfStyle w:val="000000010000" w:firstRow="0" w:lastRow="0" w:firstColumn="0" w:lastColumn="0" w:oddVBand="0" w:evenVBand="0" w:oddHBand="0" w:evenHBand="1" w:firstRowFirstColumn="0" w:firstRowLastColumn="0" w:lastRowFirstColumn="0" w:lastRowLastColumn="0"/>
        </w:trPr>
        <w:tc>
          <w:tcPr>
            <w:tcW w:w="3261" w:type="dxa"/>
          </w:tcPr>
          <w:p w14:paraId="1E0961BA" w14:textId="77777777" w:rsidR="008C6A5B" w:rsidRPr="007A656F" w:rsidRDefault="008C6A5B" w:rsidP="003D4E64">
            <w:pPr>
              <w:pStyle w:val="Tabletext"/>
            </w:pPr>
            <w:r w:rsidRPr="007A656F">
              <w:t xml:space="preserve">Quarter 2 report submitted </w:t>
            </w:r>
          </w:p>
        </w:tc>
        <w:tc>
          <w:tcPr>
            <w:tcW w:w="5197" w:type="dxa"/>
          </w:tcPr>
          <w:p w14:paraId="68F6ED44" w14:textId="77777777" w:rsidR="008C6A5B" w:rsidRPr="007A656F" w:rsidRDefault="008C6A5B" w:rsidP="003D4E64">
            <w:pPr>
              <w:pStyle w:val="Tabletext"/>
            </w:pPr>
            <w:r w:rsidRPr="007A656F">
              <w:t xml:space="preserve">Last business day in January </w:t>
            </w:r>
            <w:r w:rsidRPr="007A656F">
              <w:rPr>
                <w:vertAlign w:val="superscript"/>
              </w:rPr>
              <w:t>(a)</w:t>
            </w:r>
          </w:p>
        </w:tc>
      </w:tr>
      <w:tr w:rsidR="008C6A5B" w:rsidRPr="007A656F" w14:paraId="6011168D" w14:textId="77777777" w:rsidTr="003D4E64">
        <w:tc>
          <w:tcPr>
            <w:tcW w:w="3261" w:type="dxa"/>
          </w:tcPr>
          <w:p w14:paraId="6B7013A7" w14:textId="77777777" w:rsidR="008C6A5B" w:rsidRPr="007A656F" w:rsidRDefault="008C6A5B" w:rsidP="003D4E64">
            <w:pPr>
              <w:pStyle w:val="Tabletext"/>
            </w:pPr>
            <w:r w:rsidRPr="007A656F">
              <w:t xml:space="preserve">Quarter 3 report submitted </w:t>
            </w:r>
          </w:p>
        </w:tc>
        <w:tc>
          <w:tcPr>
            <w:tcW w:w="5197" w:type="dxa"/>
          </w:tcPr>
          <w:p w14:paraId="45AEDAEA" w14:textId="77777777" w:rsidR="008C6A5B" w:rsidRPr="007A656F" w:rsidRDefault="008C6A5B" w:rsidP="003D4E64">
            <w:pPr>
              <w:pStyle w:val="Tabletext"/>
            </w:pPr>
            <w:r w:rsidRPr="007A656F">
              <w:t>Last business day in April</w:t>
            </w:r>
          </w:p>
        </w:tc>
      </w:tr>
      <w:tr w:rsidR="008C6A5B" w:rsidRPr="007A656F" w14:paraId="72DD02CE" w14:textId="77777777" w:rsidTr="003D4E64">
        <w:trPr>
          <w:cnfStyle w:val="000000010000" w:firstRow="0" w:lastRow="0" w:firstColumn="0" w:lastColumn="0" w:oddVBand="0" w:evenVBand="0" w:oddHBand="0" w:evenHBand="1" w:firstRowFirstColumn="0" w:firstRowLastColumn="0" w:lastRowFirstColumn="0" w:lastRowLastColumn="0"/>
        </w:trPr>
        <w:tc>
          <w:tcPr>
            <w:tcW w:w="3261" w:type="dxa"/>
            <w:tcBorders>
              <w:top w:val="single" w:sz="6" w:space="0" w:color="0072CE" w:themeColor="accent1"/>
              <w:bottom w:val="single" w:sz="12" w:space="0" w:color="0072CE" w:themeColor="accent1"/>
            </w:tcBorders>
          </w:tcPr>
          <w:p w14:paraId="0A9B0D5F" w14:textId="77777777" w:rsidR="008C6A5B" w:rsidRPr="007A656F" w:rsidRDefault="008C6A5B" w:rsidP="003D4E64">
            <w:pPr>
              <w:pStyle w:val="Tabletext"/>
            </w:pPr>
            <w:r w:rsidRPr="007A656F">
              <w:t xml:space="preserve">Quarter 4 report submitted </w:t>
            </w:r>
          </w:p>
        </w:tc>
        <w:tc>
          <w:tcPr>
            <w:tcW w:w="5197" w:type="dxa"/>
            <w:tcBorders>
              <w:top w:val="single" w:sz="6" w:space="0" w:color="0072CE" w:themeColor="accent1"/>
              <w:bottom w:val="single" w:sz="12" w:space="0" w:color="0072CE" w:themeColor="accent1"/>
            </w:tcBorders>
          </w:tcPr>
          <w:p w14:paraId="795CA96F" w14:textId="77777777" w:rsidR="008C6A5B" w:rsidRPr="007A656F" w:rsidRDefault="008C6A5B" w:rsidP="003D4E64">
            <w:pPr>
              <w:pStyle w:val="Tabletext"/>
            </w:pPr>
            <w:r w:rsidRPr="007A656F">
              <w:t xml:space="preserve">Last business day in July </w:t>
            </w:r>
            <w:r w:rsidRPr="007A656F">
              <w:rPr>
                <w:vertAlign w:val="superscript"/>
              </w:rPr>
              <w:t>(b)</w:t>
            </w:r>
          </w:p>
        </w:tc>
      </w:tr>
    </w:tbl>
    <w:p w14:paraId="23C17FDD" w14:textId="77777777" w:rsidR="008C6A5B" w:rsidRDefault="008C6A5B" w:rsidP="003D4E64">
      <w:pPr>
        <w:pStyle w:val="NoteNormalindent"/>
      </w:pPr>
      <w:r>
        <w:t>Notes:</w:t>
      </w:r>
    </w:p>
    <w:p w14:paraId="515311D5" w14:textId="0ED3DFFC" w:rsidR="008C6A5B" w:rsidRDefault="008C6A5B" w:rsidP="003D4E64">
      <w:pPr>
        <w:pStyle w:val="NoteNormalindent"/>
      </w:pPr>
      <w:r>
        <w:t>(a)</w:t>
      </w:r>
      <w:r w:rsidR="003D4E64">
        <w:t xml:space="preserve"> </w:t>
      </w:r>
      <w:r>
        <w:t>The Quarter 2 report may be submitted on the last business day of February where a board meeting does not take place in January.</w:t>
      </w:r>
    </w:p>
    <w:p w14:paraId="7ADFFC54" w14:textId="116BA2E5" w:rsidR="008C6A5B" w:rsidRDefault="008C6A5B" w:rsidP="003D4E64">
      <w:pPr>
        <w:pStyle w:val="NoteNormalindent"/>
      </w:pPr>
      <w:r>
        <w:t>(b)</w:t>
      </w:r>
      <w:r w:rsidR="003D4E64">
        <w:t xml:space="preserve"> </w:t>
      </w:r>
      <w:r>
        <w:t>The Quarter 4 report can be submitted prior to the audit of the annual financial statements.</w:t>
      </w:r>
    </w:p>
    <w:p w14:paraId="0F520CEC" w14:textId="77777777" w:rsidR="008C6A5B" w:rsidRDefault="008C6A5B" w:rsidP="008C6A5B">
      <w:pPr>
        <w:pStyle w:val="Heading1numbered"/>
      </w:pPr>
      <w:bookmarkStart w:id="53" w:name="_Toc41041728"/>
      <w:bookmarkStart w:id="54" w:name="_Toc85033648"/>
      <w:r>
        <w:t>Annual reports</w:t>
      </w:r>
      <w:bookmarkEnd w:id="53"/>
      <w:bookmarkEnd w:id="54"/>
    </w:p>
    <w:p w14:paraId="59C67E11" w14:textId="77777777" w:rsidR="008C6A5B" w:rsidRDefault="008C6A5B" w:rsidP="008C6A5B">
      <w:pPr>
        <w:pStyle w:val="NormalIndent"/>
      </w:pPr>
      <w:r>
        <w:t xml:space="preserve">Annual reports detail the performance of a GBE over the previous financial year. The Treasurer or the Assistant Treasurer is responsible for tabling a GBE’s annual report in Parliament if they are the GBE’s portfolio Minister. Where the Treasurer or Assistant Treasurer is the </w:t>
      </w:r>
      <w:proofErr w:type="gramStart"/>
      <w:r>
        <w:t>portfolio Minister</w:t>
      </w:r>
      <w:proofErr w:type="gramEnd"/>
      <w:r>
        <w:t>, the GBE should adhere to the requirements outlined below. All other GBEs should contact their relevant portfolio department regarding annual reporting requirements.</w:t>
      </w:r>
    </w:p>
    <w:p w14:paraId="2EDF4531" w14:textId="77777777" w:rsidR="008C6A5B" w:rsidRDefault="008C6A5B" w:rsidP="008C6A5B">
      <w:pPr>
        <w:pStyle w:val="Heading2numbered"/>
      </w:pPr>
      <w:bookmarkStart w:id="55" w:name="_Toc41041729"/>
      <w:bookmarkStart w:id="56" w:name="_Toc85033649"/>
      <w:r>
        <w:t>Content of annual reports</w:t>
      </w:r>
      <w:bookmarkEnd w:id="55"/>
      <w:bookmarkEnd w:id="56"/>
    </w:p>
    <w:p w14:paraId="466E3BAC" w14:textId="77777777" w:rsidR="008C6A5B" w:rsidRDefault="008C6A5B" w:rsidP="008C6A5B">
      <w:pPr>
        <w:pStyle w:val="NormalIndent"/>
      </w:pPr>
      <w:r>
        <w:t>GBEs must provide an annual report that has been prepared in accordance with:</w:t>
      </w:r>
    </w:p>
    <w:p w14:paraId="0DF40B48" w14:textId="16EEC969" w:rsidR="008C6A5B" w:rsidRDefault="008C6A5B" w:rsidP="008C6A5B">
      <w:pPr>
        <w:pStyle w:val="Bulletindent"/>
      </w:pPr>
      <w:r>
        <w:t>the annual reporting requirements outlined in Part 4 of the Standing Directions of the Minister for Finance</w:t>
      </w:r>
    </w:p>
    <w:p w14:paraId="66617BCE" w14:textId="55FC0F8E" w:rsidR="008C6A5B" w:rsidRDefault="008C6A5B" w:rsidP="008C6A5B">
      <w:pPr>
        <w:pStyle w:val="Bulletindent"/>
      </w:pPr>
      <w:r>
        <w:t>any other applicable legislation</w:t>
      </w:r>
      <w:r w:rsidR="003D4E64">
        <w:t>.</w:t>
      </w:r>
    </w:p>
    <w:p w14:paraId="44D785F2" w14:textId="77777777" w:rsidR="008C6A5B" w:rsidRDefault="008C6A5B" w:rsidP="008C6A5B">
      <w:pPr>
        <w:pStyle w:val="Heading2numbered"/>
      </w:pPr>
      <w:bookmarkStart w:id="57" w:name="_Toc41041730"/>
      <w:bookmarkStart w:id="58" w:name="_Toc85033650"/>
      <w:r>
        <w:lastRenderedPageBreak/>
        <w:t>Tabling requirements</w:t>
      </w:r>
      <w:bookmarkEnd w:id="57"/>
      <w:bookmarkEnd w:id="58"/>
    </w:p>
    <w:p w14:paraId="1B3A7546" w14:textId="77777777" w:rsidR="008C6A5B" w:rsidRDefault="008C6A5B" w:rsidP="008C6A5B">
      <w:pPr>
        <w:pStyle w:val="NormalIndent"/>
      </w:pPr>
      <w:r>
        <w:t xml:space="preserve">Where the Treasurer or Assistant Treasurer is the </w:t>
      </w:r>
      <w:proofErr w:type="gramStart"/>
      <w:r>
        <w:t>portfolio Minister</w:t>
      </w:r>
      <w:proofErr w:type="gramEnd"/>
      <w:r>
        <w:t xml:space="preserve"> of a GBE it must provide copies of its annual report to DTF for tabling in Parliament (GBEs should confirm with DTF the number of copies required each year). Delivery of the annual reports should occur no later than two weeks prior to the tabling date.</w:t>
      </w:r>
    </w:p>
    <w:p w14:paraId="2CB1C889" w14:textId="77777777" w:rsidR="008C6A5B" w:rsidRDefault="008C6A5B" w:rsidP="008C6A5B">
      <w:pPr>
        <w:pStyle w:val="NormalIndent"/>
      </w:pPr>
      <w:r>
        <w:t>Copies of the annual report should be delivered to:</w:t>
      </w:r>
    </w:p>
    <w:p w14:paraId="3B66FBE6" w14:textId="77777777" w:rsidR="008C6A5B" w:rsidRPr="003D4E64" w:rsidRDefault="008C6A5B" w:rsidP="003D4E64">
      <w:pPr>
        <w:pStyle w:val="NormalIndent"/>
        <w:ind w:left="1440"/>
        <w:contextualSpacing/>
        <w:rPr>
          <w:sz w:val="19"/>
          <w:szCs w:val="19"/>
        </w:rPr>
      </w:pPr>
      <w:r w:rsidRPr="003D4E64">
        <w:rPr>
          <w:sz w:val="19"/>
          <w:szCs w:val="19"/>
        </w:rPr>
        <w:t>Cabinet and Parliamentary Services</w:t>
      </w:r>
    </w:p>
    <w:p w14:paraId="78DA6F02" w14:textId="77777777" w:rsidR="008C6A5B" w:rsidRPr="003D4E64" w:rsidRDefault="008C6A5B" w:rsidP="003D4E64">
      <w:pPr>
        <w:pStyle w:val="NormalIndent"/>
        <w:ind w:left="1440"/>
        <w:contextualSpacing/>
        <w:rPr>
          <w:sz w:val="19"/>
          <w:szCs w:val="19"/>
        </w:rPr>
      </w:pPr>
      <w:r w:rsidRPr="003D4E64">
        <w:rPr>
          <w:sz w:val="19"/>
          <w:szCs w:val="19"/>
        </w:rPr>
        <w:t>Department of Treasury and Finance</w:t>
      </w:r>
    </w:p>
    <w:p w14:paraId="6EE1925D" w14:textId="77777777" w:rsidR="008C6A5B" w:rsidRPr="003D4E64" w:rsidRDefault="008C6A5B" w:rsidP="003D4E64">
      <w:pPr>
        <w:pStyle w:val="NormalIndent"/>
        <w:ind w:left="1440"/>
        <w:contextualSpacing/>
        <w:rPr>
          <w:sz w:val="19"/>
          <w:szCs w:val="19"/>
        </w:rPr>
      </w:pPr>
      <w:r w:rsidRPr="003D4E64">
        <w:rPr>
          <w:sz w:val="19"/>
          <w:szCs w:val="19"/>
        </w:rPr>
        <w:t>Level 5, 1 Treasury Place</w:t>
      </w:r>
    </w:p>
    <w:p w14:paraId="5EB8F6B0" w14:textId="77777777" w:rsidR="008C6A5B" w:rsidRPr="003D4E64" w:rsidRDefault="008C6A5B" w:rsidP="003D4E64">
      <w:pPr>
        <w:pStyle w:val="NormalIndent"/>
        <w:ind w:left="1440"/>
        <w:rPr>
          <w:sz w:val="19"/>
          <w:szCs w:val="19"/>
        </w:rPr>
      </w:pPr>
      <w:r w:rsidRPr="003D4E64">
        <w:rPr>
          <w:sz w:val="19"/>
          <w:szCs w:val="19"/>
        </w:rPr>
        <w:t>Melbourne   VIC   3002</w:t>
      </w:r>
    </w:p>
    <w:p w14:paraId="464C4A33" w14:textId="77777777" w:rsidR="008C6A5B" w:rsidRDefault="008C6A5B" w:rsidP="003D4E64">
      <w:pPr>
        <w:pStyle w:val="NormalIndent"/>
      </w:pPr>
      <w:r>
        <w:t xml:space="preserve">Annual reports </w:t>
      </w:r>
      <w:r w:rsidRPr="003D4E64">
        <w:t>must</w:t>
      </w:r>
      <w:r>
        <w:t xml:space="preserve"> not be made publicly available until after they have been tabled in Parliament.</w:t>
      </w:r>
    </w:p>
    <w:p w14:paraId="77C766A8" w14:textId="77777777" w:rsidR="008C6A5B" w:rsidRDefault="008C6A5B" w:rsidP="008C6A5B">
      <w:pPr>
        <w:pStyle w:val="Heading2numbered"/>
      </w:pPr>
      <w:bookmarkStart w:id="59" w:name="_Toc41041731"/>
      <w:bookmarkStart w:id="60" w:name="_Toc85033651"/>
      <w:r>
        <w:t>Endorsement</w:t>
      </w:r>
      <w:bookmarkEnd w:id="59"/>
      <w:bookmarkEnd w:id="60"/>
    </w:p>
    <w:p w14:paraId="37BA3CF5" w14:textId="77777777" w:rsidR="008C6A5B" w:rsidRDefault="008C6A5B" w:rsidP="003D4E64">
      <w:pPr>
        <w:pStyle w:val="NormalIndent"/>
      </w:pPr>
      <w:r>
        <w:t>Final annual reports must be approved by the GBE’s board.</w:t>
      </w:r>
    </w:p>
    <w:p w14:paraId="598D28FF" w14:textId="77F2743B" w:rsidR="008C6A5B" w:rsidRDefault="008C6A5B" w:rsidP="003D4E64">
      <w:pPr>
        <w:pStyle w:val="Captionindent"/>
        <w:spacing w:before="120"/>
      </w:pPr>
      <w:bookmarkStart w:id="61" w:name="_Toc41041732"/>
      <w:r>
        <w:t>Key dates</w:t>
      </w:r>
      <w:bookmarkEnd w:id="61"/>
    </w:p>
    <w:tbl>
      <w:tblPr>
        <w:tblStyle w:val="DTFtexttableindent"/>
        <w:tblW w:w="0" w:type="auto"/>
        <w:tblLook w:val="0420" w:firstRow="1" w:lastRow="0" w:firstColumn="0" w:lastColumn="0" w:noHBand="0" w:noVBand="1"/>
      </w:tblPr>
      <w:tblGrid>
        <w:gridCol w:w="4248"/>
        <w:gridCol w:w="3914"/>
      </w:tblGrid>
      <w:tr w:rsidR="008C6A5B" w:rsidRPr="00DA31B7" w14:paraId="02125B85" w14:textId="77777777" w:rsidTr="003D4E64">
        <w:trPr>
          <w:cnfStyle w:val="100000000000" w:firstRow="1" w:lastRow="0" w:firstColumn="0" w:lastColumn="0" w:oddVBand="0" w:evenVBand="0" w:oddHBand="0" w:evenHBand="0" w:firstRowFirstColumn="0" w:firstRowLastColumn="0" w:lastRowFirstColumn="0" w:lastRowLastColumn="0"/>
        </w:trPr>
        <w:tc>
          <w:tcPr>
            <w:tcW w:w="4248" w:type="dxa"/>
          </w:tcPr>
          <w:p w14:paraId="21CEBD00" w14:textId="77777777" w:rsidR="008C6A5B" w:rsidRPr="00DA31B7" w:rsidRDefault="008C6A5B" w:rsidP="003D4E64">
            <w:pPr>
              <w:pStyle w:val="Tableheader"/>
            </w:pPr>
            <w:r w:rsidRPr="00DA31B7">
              <w:t xml:space="preserve">Requirement </w:t>
            </w:r>
          </w:p>
        </w:tc>
        <w:tc>
          <w:tcPr>
            <w:tcW w:w="3914" w:type="dxa"/>
          </w:tcPr>
          <w:p w14:paraId="1335628C" w14:textId="6B002932" w:rsidR="008C6A5B" w:rsidRPr="00DA31B7" w:rsidRDefault="008C6A5B" w:rsidP="003D4E64">
            <w:pPr>
              <w:pStyle w:val="Tableheader"/>
            </w:pPr>
            <w:r w:rsidRPr="00DA31B7">
              <w:t xml:space="preserve">Due date </w:t>
            </w:r>
            <w:r w:rsidRPr="003D4E64">
              <w:rPr>
                <w:b w:val="0"/>
                <w:bCs/>
              </w:rPr>
              <w:t>(or as otherwise advised by DTF)</w:t>
            </w:r>
          </w:p>
        </w:tc>
      </w:tr>
      <w:tr w:rsidR="008C6A5B" w:rsidRPr="00DA31B7" w14:paraId="1C3E2032" w14:textId="77777777" w:rsidTr="003D4E64">
        <w:tc>
          <w:tcPr>
            <w:tcW w:w="4248" w:type="dxa"/>
          </w:tcPr>
          <w:p w14:paraId="154DBBCF" w14:textId="77777777" w:rsidR="008C6A5B" w:rsidRPr="00DA31B7" w:rsidRDefault="008C6A5B" w:rsidP="003D4E64">
            <w:pPr>
              <w:pStyle w:val="Tabletext"/>
            </w:pPr>
            <w:r w:rsidRPr="00DA31B7">
              <w:t>Draft annual reports submitted (</w:t>
            </w:r>
            <w:r w:rsidRPr="003D4E64">
              <w:rPr>
                <w:b/>
                <w:bCs/>
              </w:rPr>
              <w:t>Note</w:t>
            </w:r>
            <w:r w:rsidRPr="00DA31B7">
              <w:t xml:space="preserve">: this enables DTF to provide formal feedback) </w:t>
            </w:r>
          </w:p>
        </w:tc>
        <w:tc>
          <w:tcPr>
            <w:tcW w:w="3914" w:type="dxa"/>
          </w:tcPr>
          <w:p w14:paraId="622ABA68" w14:textId="77777777" w:rsidR="008C6A5B" w:rsidRPr="00DA31B7" w:rsidRDefault="008C6A5B" w:rsidP="003D4E64">
            <w:pPr>
              <w:pStyle w:val="Tabletext"/>
            </w:pPr>
            <w:r w:rsidRPr="00DA31B7">
              <w:t>Mid-September</w:t>
            </w:r>
          </w:p>
        </w:tc>
      </w:tr>
      <w:tr w:rsidR="008C6A5B" w:rsidRPr="00DA31B7" w14:paraId="60544E6F" w14:textId="77777777" w:rsidTr="003D4E64">
        <w:trPr>
          <w:cnfStyle w:val="000000010000" w:firstRow="0" w:lastRow="0" w:firstColumn="0" w:lastColumn="0" w:oddVBand="0" w:evenVBand="0" w:oddHBand="0" w:evenHBand="1" w:firstRowFirstColumn="0" w:firstRowLastColumn="0" w:lastRowFirstColumn="0" w:lastRowLastColumn="0"/>
        </w:trPr>
        <w:tc>
          <w:tcPr>
            <w:tcW w:w="4248" w:type="dxa"/>
          </w:tcPr>
          <w:p w14:paraId="1665CDAC" w14:textId="77777777" w:rsidR="008C6A5B" w:rsidRPr="00DA31B7" w:rsidRDefault="008C6A5B" w:rsidP="003D4E64">
            <w:pPr>
              <w:pStyle w:val="Tabletext"/>
            </w:pPr>
            <w:r w:rsidRPr="00DA31B7">
              <w:t>Final annual reports submitted</w:t>
            </w:r>
          </w:p>
        </w:tc>
        <w:tc>
          <w:tcPr>
            <w:tcW w:w="3914" w:type="dxa"/>
          </w:tcPr>
          <w:p w14:paraId="5A8FF91A" w14:textId="77777777" w:rsidR="008C6A5B" w:rsidRPr="00DA31B7" w:rsidRDefault="008C6A5B" w:rsidP="003D4E64">
            <w:pPr>
              <w:pStyle w:val="Tabletext"/>
            </w:pPr>
            <w:r w:rsidRPr="00DA31B7">
              <w:t>15 October</w:t>
            </w:r>
          </w:p>
        </w:tc>
      </w:tr>
      <w:tr w:rsidR="008C6A5B" w:rsidRPr="00DA31B7" w14:paraId="03DF9FCC" w14:textId="77777777" w:rsidTr="003D4E64">
        <w:tc>
          <w:tcPr>
            <w:tcW w:w="4248" w:type="dxa"/>
          </w:tcPr>
          <w:p w14:paraId="1D51D90F" w14:textId="77777777" w:rsidR="008C6A5B" w:rsidRPr="00DA31B7" w:rsidRDefault="008C6A5B" w:rsidP="003D4E64">
            <w:pPr>
              <w:pStyle w:val="Tabletext"/>
            </w:pPr>
            <w:r w:rsidRPr="00DA31B7">
              <w:t>Final annual report submitted – where Treasurer or Minister for Finance is not the responsible Minister</w:t>
            </w:r>
          </w:p>
        </w:tc>
        <w:tc>
          <w:tcPr>
            <w:tcW w:w="3914" w:type="dxa"/>
          </w:tcPr>
          <w:p w14:paraId="6800DB08" w14:textId="77777777" w:rsidR="008C6A5B" w:rsidRPr="00DA31B7" w:rsidRDefault="008C6A5B" w:rsidP="003D4E64">
            <w:pPr>
              <w:pStyle w:val="Tabletext"/>
            </w:pPr>
            <w:r w:rsidRPr="00DA31B7">
              <w:t>Last business day in October</w:t>
            </w:r>
          </w:p>
        </w:tc>
      </w:tr>
    </w:tbl>
    <w:p w14:paraId="4BEDEFE5" w14:textId="77777777" w:rsidR="008C6A5B" w:rsidRDefault="008C6A5B" w:rsidP="008C6A5B">
      <w:pPr>
        <w:pStyle w:val="Heading1numbered"/>
      </w:pPr>
      <w:bookmarkStart w:id="62" w:name="_Toc41041733"/>
      <w:bookmarkStart w:id="63" w:name="_Toc85033652"/>
      <w:r>
        <w:t>Whole of government reporting</w:t>
      </w:r>
      <w:bookmarkEnd w:id="62"/>
      <w:bookmarkEnd w:id="63"/>
    </w:p>
    <w:p w14:paraId="02190EE5" w14:textId="5DF2691E" w:rsidR="008C6A5B" w:rsidRDefault="008C6A5B" w:rsidP="003D4E64">
      <w:pPr>
        <w:pStyle w:val="Heading2numbered"/>
      </w:pPr>
      <w:bookmarkStart w:id="64" w:name="_Toc41041734"/>
      <w:bookmarkStart w:id="65" w:name="_Toc85033653"/>
      <w:r>
        <w:t xml:space="preserve">Criticality of </w:t>
      </w:r>
      <w:r w:rsidR="003D4E64">
        <w:t xml:space="preserve">whole </w:t>
      </w:r>
      <w:r>
        <w:t xml:space="preserve">of </w:t>
      </w:r>
      <w:r w:rsidR="003D4E64">
        <w:t>government reporting</w:t>
      </w:r>
      <w:bookmarkEnd w:id="64"/>
      <w:bookmarkEnd w:id="65"/>
    </w:p>
    <w:p w14:paraId="165D0D7C" w14:textId="1A975662" w:rsidR="008C6A5B" w:rsidRDefault="008C6A5B" w:rsidP="003D4E64">
      <w:pPr>
        <w:pStyle w:val="NormalIndent"/>
        <w:ind w:right="116"/>
      </w:pPr>
      <w:r>
        <w:t>GBEs are required to upload financial data into SRIMS up to five times per year. The data provided by GBEs assists in completing whole of government reports (i.e.</w:t>
      </w:r>
      <w:r w:rsidR="003D4E64">
        <w:rPr>
          <w:rFonts w:ascii="Calibri" w:hAnsi="Calibri" w:cs="Calibri"/>
        </w:rPr>
        <w:t> </w:t>
      </w:r>
      <w:r>
        <w:t xml:space="preserve">the Budget, Budget </w:t>
      </w:r>
      <w:r w:rsidRPr="003D4E64">
        <w:t>Update</w:t>
      </w:r>
      <w:r>
        <w:t>, Mid</w:t>
      </w:r>
      <w:r>
        <w:noBreakHyphen/>
        <w:t>Year Report, Financial Report and Pre</w:t>
      </w:r>
      <w:r w:rsidR="003D4E64">
        <w:noBreakHyphen/>
      </w:r>
      <w:r>
        <w:t>Election Budget Update).</w:t>
      </w:r>
    </w:p>
    <w:p w14:paraId="0ADAFA8F" w14:textId="77777777" w:rsidR="008C6A5B" w:rsidRDefault="008C6A5B" w:rsidP="008C6A5B">
      <w:pPr>
        <w:pStyle w:val="Heading2numbered"/>
      </w:pPr>
      <w:bookmarkStart w:id="66" w:name="_Toc41041735"/>
      <w:bookmarkStart w:id="67" w:name="_Toc85033654"/>
      <w:r>
        <w:lastRenderedPageBreak/>
        <w:t>Data uploads</w:t>
      </w:r>
      <w:bookmarkEnd w:id="66"/>
      <w:bookmarkEnd w:id="67"/>
    </w:p>
    <w:p w14:paraId="0DCB0663" w14:textId="77777777" w:rsidR="008C6A5B" w:rsidRDefault="008C6A5B" w:rsidP="008C6A5B">
      <w:pPr>
        <w:pStyle w:val="NormalIndent"/>
      </w:pPr>
      <w:r>
        <w:t>A DTF Information Request for PNFC and PFC entities will be circulated to GBEs prior to commencement of the relevant financial year, outlining key dates together with any specific data requests. This will be followed up by guidance specific to each publication, which will be circulated prior to the collection of information for that publication and include any revisions to timetables and/or data required.</w:t>
      </w:r>
    </w:p>
    <w:p w14:paraId="40C0AD8D" w14:textId="77777777" w:rsidR="008C6A5B" w:rsidRDefault="008C6A5B" w:rsidP="008C6A5B">
      <w:pPr>
        <w:pStyle w:val="NormalIndent"/>
      </w:pPr>
      <w:r>
        <w:t>For each data upload GBEs should ensure that:</w:t>
      </w:r>
    </w:p>
    <w:p w14:paraId="3ACECCCB" w14:textId="5E8CE34B" w:rsidR="008C6A5B" w:rsidRDefault="008C6A5B" w:rsidP="008C6A5B">
      <w:pPr>
        <w:pStyle w:val="Bulletindent"/>
      </w:pPr>
      <w:r>
        <w:t xml:space="preserve">data is submitted in accordance with the timelines outlined in the DTF Information Request and/or Guidance </w:t>
      </w:r>
      <w:proofErr w:type="gramStart"/>
      <w:r>
        <w:t>document</w:t>
      </w:r>
      <w:proofErr w:type="gramEnd"/>
    </w:p>
    <w:p w14:paraId="2A936808" w14:textId="6C49AD17" w:rsidR="008C6A5B" w:rsidRDefault="008C6A5B" w:rsidP="008C6A5B">
      <w:pPr>
        <w:pStyle w:val="Bulletindent"/>
      </w:pPr>
      <w:r>
        <w:t xml:space="preserve">all data is accurate, timely and </w:t>
      </w:r>
      <w:proofErr w:type="gramStart"/>
      <w:r>
        <w:t>complete</w:t>
      </w:r>
      <w:proofErr w:type="gramEnd"/>
    </w:p>
    <w:p w14:paraId="740ABE0A" w14:textId="493E45A8" w:rsidR="008C6A5B" w:rsidRDefault="008C6A5B" w:rsidP="008C6A5B">
      <w:pPr>
        <w:pStyle w:val="Bulletindent"/>
      </w:pPr>
      <w:r>
        <w:t xml:space="preserve">commentary is provided by CFOs explaining the reason for material variances (as defined in the Guidance documents) across all financial statements (Operating Statement, Balance </w:t>
      </w:r>
      <w:proofErr w:type="gramStart"/>
      <w:r>
        <w:t>Sheet</w:t>
      </w:r>
      <w:proofErr w:type="gramEnd"/>
      <w:r>
        <w:t xml:space="preserve"> and Cash Flow Statement) between budgeted and actual data and between budgeted years (where applicable)</w:t>
      </w:r>
    </w:p>
    <w:p w14:paraId="5B297C3E" w14:textId="77777777" w:rsidR="008C6A5B" w:rsidRDefault="008C6A5B" w:rsidP="008C6A5B">
      <w:pPr>
        <w:pStyle w:val="Bulletindent"/>
      </w:pPr>
      <w:r>
        <w:t>all related party transactions are agreed with the other party to the transactions (e.g. where contributions towards capital expenditure projects are expected from a portfolio department), so that the amounts reported, and the accounting treatment agrees with the transaction reported by the relevant related party.</w:t>
      </w:r>
    </w:p>
    <w:p w14:paraId="6190450A" w14:textId="77777777" w:rsidR="008C6A5B" w:rsidRDefault="008C6A5B" w:rsidP="008C6A5B">
      <w:pPr>
        <w:pStyle w:val="Heading2numbered"/>
      </w:pPr>
      <w:bookmarkStart w:id="68" w:name="_Toc41041736"/>
      <w:bookmarkStart w:id="69" w:name="_Toc85033655"/>
      <w:r>
        <w:t xml:space="preserve">DTF data </w:t>
      </w:r>
      <w:proofErr w:type="gramStart"/>
      <w:r>
        <w:t>review</w:t>
      </w:r>
      <w:bookmarkEnd w:id="68"/>
      <w:bookmarkEnd w:id="69"/>
      <w:proofErr w:type="gramEnd"/>
    </w:p>
    <w:p w14:paraId="76B58DC3" w14:textId="77777777" w:rsidR="008C6A5B" w:rsidRDefault="008C6A5B" w:rsidP="008C6A5B">
      <w:pPr>
        <w:pStyle w:val="NormalIndent"/>
      </w:pPr>
      <w:r>
        <w:t>DTF reviews each data upload and will contact GBEs for clarification or correction where inconsistencies are identified. GBEs are expected to respond to DTF requests in a timely manner. The need for clarification will be minimised if GBEs adhere to the requirements outlined above and in the Information Requests and Guidance documents.</w:t>
      </w:r>
    </w:p>
    <w:p w14:paraId="2E0C58B8" w14:textId="77777777" w:rsidR="008C6A5B" w:rsidRDefault="008C6A5B" w:rsidP="008C6A5B">
      <w:pPr>
        <w:pStyle w:val="Heading2numbered"/>
      </w:pPr>
      <w:bookmarkStart w:id="70" w:name="_Toc41041737"/>
      <w:bookmarkStart w:id="71" w:name="_Toc85033656"/>
      <w:r>
        <w:t>Endorsement</w:t>
      </w:r>
      <w:bookmarkEnd w:id="70"/>
      <w:bookmarkEnd w:id="71"/>
    </w:p>
    <w:p w14:paraId="2AB44D75" w14:textId="6A320EF3" w:rsidR="008C6A5B" w:rsidRDefault="008C6A5B" w:rsidP="008C6A5B">
      <w:pPr>
        <w:pStyle w:val="NormalIndent"/>
      </w:pPr>
      <w:r>
        <w:t xml:space="preserve">Each entity’s CFO is ultimately responsible for the quality, timeliness, </w:t>
      </w:r>
      <w:proofErr w:type="gramStart"/>
      <w:r>
        <w:t>completeness</w:t>
      </w:r>
      <w:proofErr w:type="gramEnd"/>
      <w:r>
        <w:t xml:space="preserve"> and accuracy of their entity’s data for each publication. CFO sign-off is required for annual data upload and in providing this sign-off, the CFO certifies that all requirements of the DTF Information Request have been met for the annual </w:t>
      </w:r>
      <w:r w:rsidR="003D4E64">
        <w:t>financial report</w:t>
      </w:r>
      <w:r>
        <w:t>.</w:t>
      </w:r>
    </w:p>
    <w:p w14:paraId="61E57D33" w14:textId="77777777" w:rsidR="008C6A5B" w:rsidRDefault="008C6A5B" w:rsidP="007113E9">
      <w:pPr>
        <w:pStyle w:val="Heading2numbered"/>
        <w:pageBreakBefore/>
      </w:pPr>
      <w:bookmarkStart w:id="72" w:name="_Toc41041738"/>
      <w:bookmarkStart w:id="73" w:name="_Toc85033657"/>
      <w:r>
        <w:lastRenderedPageBreak/>
        <w:t>Key dates</w:t>
      </w:r>
      <w:bookmarkEnd w:id="72"/>
      <w:bookmarkEnd w:id="73"/>
    </w:p>
    <w:tbl>
      <w:tblPr>
        <w:tblStyle w:val="DTFtexttableindent"/>
        <w:tblW w:w="0" w:type="auto"/>
        <w:tblLook w:val="0420" w:firstRow="1" w:lastRow="0" w:firstColumn="0" w:lastColumn="0" w:noHBand="0" w:noVBand="1"/>
      </w:tblPr>
      <w:tblGrid>
        <w:gridCol w:w="4068"/>
        <w:gridCol w:w="2047"/>
        <w:gridCol w:w="2047"/>
      </w:tblGrid>
      <w:tr w:rsidR="008C6A5B" w:rsidRPr="00DA31B7" w14:paraId="3A2BC65B" w14:textId="77777777" w:rsidTr="003D4E64">
        <w:trPr>
          <w:cnfStyle w:val="100000000000" w:firstRow="1" w:lastRow="0" w:firstColumn="0" w:lastColumn="0" w:oddVBand="0" w:evenVBand="0" w:oddHBand="0" w:evenHBand="0" w:firstRowFirstColumn="0" w:firstRowLastColumn="0" w:lastRowFirstColumn="0" w:lastRowLastColumn="0"/>
        </w:trPr>
        <w:tc>
          <w:tcPr>
            <w:tcW w:w="4068" w:type="dxa"/>
          </w:tcPr>
          <w:p w14:paraId="3C00F561" w14:textId="77777777" w:rsidR="008C6A5B" w:rsidRPr="00DA31B7" w:rsidRDefault="008C6A5B" w:rsidP="003D4E64">
            <w:pPr>
              <w:pStyle w:val="Tableheader"/>
            </w:pPr>
            <w:r w:rsidRPr="00DA31B7">
              <w:t xml:space="preserve">Requirement </w:t>
            </w:r>
          </w:p>
        </w:tc>
        <w:tc>
          <w:tcPr>
            <w:tcW w:w="2047" w:type="dxa"/>
          </w:tcPr>
          <w:p w14:paraId="0BD25AA4" w14:textId="77777777" w:rsidR="008C6A5B" w:rsidRPr="00DA31B7" w:rsidRDefault="008C6A5B" w:rsidP="003D4E64">
            <w:pPr>
              <w:pStyle w:val="Tableheader"/>
            </w:pPr>
            <w:r w:rsidRPr="00DA31B7">
              <w:t xml:space="preserve">Due date </w:t>
            </w:r>
            <w:r>
              <w:t>– PNFC</w:t>
            </w:r>
          </w:p>
        </w:tc>
        <w:tc>
          <w:tcPr>
            <w:tcW w:w="2047" w:type="dxa"/>
          </w:tcPr>
          <w:p w14:paraId="1FEBF53C" w14:textId="77777777" w:rsidR="008C6A5B" w:rsidRPr="00DA31B7" w:rsidRDefault="008C6A5B" w:rsidP="003D4E64">
            <w:pPr>
              <w:pStyle w:val="Tableheader"/>
            </w:pPr>
            <w:r w:rsidRPr="00DA31B7">
              <w:t xml:space="preserve">Due date </w:t>
            </w:r>
            <w:r>
              <w:t>– PFC</w:t>
            </w:r>
          </w:p>
        </w:tc>
      </w:tr>
      <w:tr w:rsidR="008C6A5B" w:rsidRPr="00DA31B7" w14:paraId="1EDC7ABD" w14:textId="77777777" w:rsidTr="003D4E64">
        <w:tc>
          <w:tcPr>
            <w:tcW w:w="4068" w:type="dxa"/>
          </w:tcPr>
          <w:p w14:paraId="3C655671" w14:textId="77777777" w:rsidR="008C6A5B" w:rsidRPr="00DA31B7" w:rsidRDefault="008C6A5B" w:rsidP="003D4E64">
            <w:pPr>
              <w:pStyle w:val="Tabletext"/>
              <w:rPr>
                <w:sz w:val="20"/>
              </w:rPr>
            </w:pPr>
            <w:r w:rsidRPr="00612E62">
              <w:t xml:space="preserve">Mid-year financial data uploaded </w:t>
            </w:r>
          </w:p>
        </w:tc>
        <w:tc>
          <w:tcPr>
            <w:tcW w:w="2047" w:type="dxa"/>
          </w:tcPr>
          <w:p w14:paraId="16B20E89" w14:textId="77777777" w:rsidR="008C6A5B" w:rsidRPr="00DA31B7" w:rsidRDefault="008C6A5B" w:rsidP="003D4E64">
            <w:pPr>
              <w:pStyle w:val="Tabletext"/>
              <w:rPr>
                <w:sz w:val="20"/>
              </w:rPr>
            </w:pPr>
            <w:r w:rsidRPr="00612E62">
              <w:t>Mid-January</w:t>
            </w:r>
          </w:p>
        </w:tc>
        <w:tc>
          <w:tcPr>
            <w:tcW w:w="2047" w:type="dxa"/>
          </w:tcPr>
          <w:p w14:paraId="47E45D4F" w14:textId="77777777" w:rsidR="008C6A5B" w:rsidRPr="00DA31B7" w:rsidRDefault="008C6A5B" w:rsidP="003D4E64">
            <w:pPr>
              <w:pStyle w:val="Tabletext"/>
            </w:pPr>
            <w:r w:rsidRPr="00612E62">
              <w:t>Mid-January</w:t>
            </w:r>
          </w:p>
        </w:tc>
      </w:tr>
      <w:tr w:rsidR="008C6A5B" w:rsidRPr="00DA31B7" w14:paraId="57878444" w14:textId="77777777" w:rsidTr="003D4E64">
        <w:trPr>
          <w:cnfStyle w:val="000000010000" w:firstRow="0" w:lastRow="0" w:firstColumn="0" w:lastColumn="0" w:oddVBand="0" w:evenVBand="0" w:oddHBand="0" w:evenHBand="1" w:firstRowFirstColumn="0" w:firstRowLastColumn="0" w:lastRowFirstColumn="0" w:lastRowLastColumn="0"/>
        </w:trPr>
        <w:tc>
          <w:tcPr>
            <w:tcW w:w="4068" w:type="dxa"/>
          </w:tcPr>
          <w:p w14:paraId="0B5D72BD" w14:textId="77777777" w:rsidR="008C6A5B" w:rsidRPr="00DA31B7" w:rsidRDefault="008C6A5B" w:rsidP="003D4E64">
            <w:pPr>
              <w:pStyle w:val="Tabletext"/>
              <w:rPr>
                <w:sz w:val="20"/>
              </w:rPr>
            </w:pPr>
            <w:r w:rsidRPr="00612E62">
              <w:t xml:space="preserve">Budget financial data uploaded </w:t>
            </w:r>
          </w:p>
        </w:tc>
        <w:tc>
          <w:tcPr>
            <w:tcW w:w="2047" w:type="dxa"/>
          </w:tcPr>
          <w:p w14:paraId="1B077A7B" w14:textId="77777777" w:rsidR="008C6A5B" w:rsidRPr="00DA31B7" w:rsidRDefault="008C6A5B" w:rsidP="003D4E64">
            <w:pPr>
              <w:pStyle w:val="Tabletext"/>
              <w:rPr>
                <w:sz w:val="20"/>
              </w:rPr>
            </w:pPr>
            <w:r w:rsidRPr="00612E62">
              <w:t>Mid-February</w:t>
            </w:r>
          </w:p>
        </w:tc>
        <w:tc>
          <w:tcPr>
            <w:tcW w:w="2047" w:type="dxa"/>
          </w:tcPr>
          <w:p w14:paraId="08F26E8B" w14:textId="77777777" w:rsidR="008C6A5B" w:rsidRPr="00DA31B7" w:rsidRDefault="008C6A5B" w:rsidP="003D4E64">
            <w:pPr>
              <w:pStyle w:val="Tabletext"/>
            </w:pPr>
            <w:r w:rsidRPr="00612E62">
              <w:t>Mid-February</w:t>
            </w:r>
          </w:p>
        </w:tc>
      </w:tr>
      <w:tr w:rsidR="008C6A5B" w:rsidRPr="00DA31B7" w14:paraId="5A0800FA" w14:textId="77777777" w:rsidTr="003D4E64">
        <w:tc>
          <w:tcPr>
            <w:tcW w:w="4068" w:type="dxa"/>
          </w:tcPr>
          <w:p w14:paraId="04EA0045" w14:textId="77777777" w:rsidR="008C6A5B" w:rsidRPr="00DA31B7" w:rsidRDefault="008C6A5B" w:rsidP="003D4E64">
            <w:pPr>
              <w:pStyle w:val="Tabletext"/>
              <w:rPr>
                <w:sz w:val="20"/>
              </w:rPr>
            </w:pPr>
            <w:r w:rsidRPr="00612E62">
              <w:t>Budget Paper No.4 (State Capital Program) data uploaded</w:t>
            </w:r>
          </w:p>
        </w:tc>
        <w:tc>
          <w:tcPr>
            <w:tcW w:w="2047" w:type="dxa"/>
          </w:tcPr>
          <w:p w14:paraId="20190932" w14:textId="77777777" w:rsidR="008C6A5B" w:rsidRPr="00DA31B7" w:rsidRDefault="008C6A5B" w:rsidP="003D4E64">
            <w:pPr>
              <w:pStyle w:val="Tabletext"/>
              <w:rPr>
                <w:sz w:val="20"/>
              </w:rPr>
            </w:pPr>
            <w:r w:rsidRPr="00612E62">
              <w:t>Early April</w:t>
            </w:r>
          </w:p>
        </w:tc>
        <w:tc>
          <w:tcPr>
            <w:tcW w:w="2047" w:type="dxa"/>
          </w:tcPr>
          <w:p w14:paraId="7B828A7E" w14:textId="5BC3EBCF" w:rsidR="008C6A5B" w:rsidRPr="00DA31B7" w:rsidRDefault="008C6A5B" w:rsidP="003D4E64">
            <w:pPr>
              <w:pStyle w:val="Tabletext"/>
            </w:pPr>
            <w:r>
              <w:t>n</w:t>
            </w:r>
            <w:r w:rsidR="003D4E64">
              <w:t>/</w:t>
            </w:r>
            <w:r>
              <w:t>a</w:t>
            </w:r>
          </w:p>
        </w:tc>
      </w:tr>
      <w:tr w:rsidR="008C6A5B" w:rsidRPr="00DA31B7" w14:paraId="40E3DB9C" w14:textId="77777777" w:rsidTr="003D4E64">
        <w:trPr>
          <w:cnfStyle w:val="000000010000" w:firstRow="0" w:lastRow="0" w:firstColumn="0" w:lastColumn="0" w:oddVBand="0" w:evenVBand="0" w:oddHBand="0" w:evenHBand="1" w:firstRowFirstColumn="0" w:firstRowLastColumn="0" w:lastRowFirstColumn="0" w:lastRowLastColumn="0"/>
        </w:trPr>
        <w:tc>
          <w:tcPr>
            <w:tcW w:w="4068" w:type="dxa"/>
            <w:tcBorders>
              <w:bottom w:val="single" w:sz="6" w:space="0" w:color="0072CE" w:themeColor="accent1"/>
            </w:tcBorders>
          </w:tcPr>
          <w:p w14:paraId="001A64BF" w14:textId="77777777" w:rsidR="008C6A5B" w:rsidRPr="00DA31B7" w:rsidRDefault="008C6A5B" w:rsidP="003D4E64">
            <w:pPr>
              <w:pStyle w:val="Tabletext"/>
            </w:pPr>
            <w:r w:rsidRPr="00612E62">
              <w:t xml:space="preserve">Annual financial data uploaded </w:t>
            </w:r>
          </w:p>
        </w:tc>
        <w:tc>
          <w:tcPr>
            <w:tcW w:w="2047" w:type="dxa"/>
            <w:tcBorders>
              <w:bottom w:val="single" w:sz="6" w:space="0" w:color="0072CE" w:themeColor="accent1"/>
            </w:tcBorders>
          </w:tcPr>
          <w:p w14:paraId="0F979269" w14:textId="77777777" w:rsidR="008C6A5B" w:rsidRPr="00DA31B7" w:rsidRDefault="008C6A5B" w:rsidP="003D4E64">
            <w:pPr>
              <w:pStyle w:val="Tabletext"/>
            </w:pPr>
            <w:r w:rsidRPr="00612E62">
              <w:t>Early-to-mid August</w:t>
            </w:r>
          </w:p>
        </w:tc>
        <w:tc>
          <w:tcPr>
            <w:tcW w:w="2047" w:type="dxa"/>
            <w:tcBorders>
              <w:bottom w:val="single" w:sz="6" w:space="0" w:color="0072CE" w:themeColor="accent1"/>
            </w:tcBorders>
          </w:tcPr>
          <w:p w14:paraId="44D88144" w14:textId="77777777" w:rsidR="008C6A5B" w:rsidRPr="00DA31B7" w:rsidRDefault="008C6A5B" w:rsidP="003D4E64">
            <w:pPr>
              <w:pStyle w:val="Tabletext"/>
            </w:pPr>
            <w:r w:rsidRPr="00612E62">
              <w:t>Early-to-mid August</w:t>
            </w:r>
          </w:p>
        </w:tc>
      </w:tr>
      <w:tr w:rsidR="008C6A5B" w:rsidRPr="00DA31B7" w14:paraId="4CB26A2E" w14:textId="77777777" w:rsidTr="003D4E64">
        <w:tc>
          <w:tcPr>
            <w:tcW w:w="4068" w:type="dxa"/>
            <w:tcBorders>
              <w:bottom w:val="single" w:sz="12" w:space="0" w:color="0072CE" w:themeColor="accent1"/>
            </w:tcBorders>
          </w:tcPr>
          <w:p w14:paraId="006CCDC9" w14:textId="77777777" w:rsidR="008C6A5B" w:rsidRPr="00DA31B7" w:rsidRDefault="008C6A5B" w:rsidP="003D4E64">
            <w:pPr>
              <w:pStyle w:val="Tabletext"/>
            </w:pPr>
            <w:r w:rsidRPr="00612E62">
              <w:t xml:space="preserve">Budget Update data uploaded </w:t>
            </w:r>
          </w:p>
        </w:tc>
        <w:tc>
          <w:tcPr>
            <w:tcW w:w="2047" w:type="dxa"/>
            <w:tcBorders>
              <w:bottom w:val="single" w:sz="12" w:space="0" w:color="0072CE" w:themeColor="accent1"/>
            </w:tcBorders>
          </w:tcPr>
          <w:p w14:paraId="691F50E3" w14:textId="77777777" w:rsidR="008C6A5B" w:rsidRPr="00DA31B7" w:rsidRDefault="008C6A5B" w:rsidP="003D4E64">
            <w:pPr>
              <w:pStyle w:val="Tabletext"/>
            </w:pPr>
            <w:r w:rsidRPr="00612E62">
              <w:t>Mid-October</w:t>
            </w:r>
          </w:p>
        </w:tc>
        <w:tc>
          <w:tcPr>
            <w:tcW w:w="2047" w:type="dxa"/>
            <w:tcBorders>
              <w:bottom w:val="single" w:sz="12" w:space="0" w:color="0072CE" w:themeColor="accent1"/>
            </w:tcBorders>
          </w:tcPr>
          <w:p w14:paraId="716F0F7F" w14:textId="77777777" w:rsidR="008C6A5B" w:rsidRPr="00DA31B7" w:rsidRDefault="008C6A5B" w:rsidP="003D4E64">
            <w:pPr>
              <w:pStyle w:val="Tabletext"/>
            </w:pPr>
            <w:r w:rsidRPr="00612E62">
              <w:t>Mid-October</w:t>
            </w:r>
          </w:p>
        </w:tc>
      </w:tr>
    </w:tbl>
    <w:p w14:paraId="1F52D780" w14:textId="1F0C29D0" w:rsidR="008C6A5B" w:rsidRDefault="008C6A5B" w:rsidP="008C6A5B">
      <w:pPr>
        <w:pStyle w:val="Heading1numbered"/>
      </w:pPr>
      <w:bookmarkStart w:id="74" w:name="_Toc41041739"/>
      <w:bookmarkStart w:id="75" w:name="_Toc85033658"/>
      <w:r>
        <w:t>Capital structure and dividends/</w:t>
      </w:r>
      <w:r w:rsidR="00226E33">
        <w:t xml:space="preserve"> </w:t>
      </w:r>
      <w:r>
        <w:t xml:space="preserve">distributions to </w:t>
      </w:r>
      <w:proofErr w:type="gramStart"/>
      <w:r>
        <w:t>government</w:t>
      </w:r>
      <w:bookmarkEnd w:id="74"/>
      <w:bookmarkEnd w:id="75"/>
      <w:proofErr w:type="gramEnd"/>
    </w:p>
    <w:p w14:paraId="48221879" w14:textId="77777777" w:rsidR="008C6A5B" w:rsidRDefault="008C6A5B" w:rsidP="008C6A5B">
      <w:pPr>
        <w:pStyle w:val="Heading2numbered"/>
      </w:pPr>
      <w:bookmarkStart w:id="76" w:name="_Toc41041740"/>
      <w:bookmarkStart w:id="77" w:name="_Toc85033659"/>
      <w:r>
        <w:t>Target capital structure</w:t>
      </w:r>
      <w:bookmarkEnd w:id="76"/>
      <w:bookmarkEnd w:id="77"/>
    </w:p>
    <w:p w14:paraId="5F11C507" w14:textId="0390E310" w:rsidR="008C6A5B" w:rsidRDefault="008C6A5B" w:rsidP="00226E33">
      <w:pPr>
        <w:pStyle w:val="NormalIndent"/>
      </w:pPr>
      <w:r>
        <w:t xml:space="preserve">Capital structure refers to the combination of debt and equity used by a GBE to finance its operations and growth. Debt comes in the form of loans while equity may come in the form of owners’ contributions and retained earnings. Capital structures vary significantly by industry and GBEs with stable cash flows and providing certainty regarding their ability to repay debt can hold higher amounts of debt on their balance sheet. In the absence of a targeted Weighted Average Cost of Capital (WACC) for GBEs and the practical difficulties in achieving the lowest WACC, it is recommended that a target credit rating be set for each entity and </w:t>
      </w:r>
      <w:r w:rsidR="005B753D">
        <w:t>the capital</w:t>
      </w:r>
      <w:r>
        <w:t xml:space="preserve"> structure that corresponds to that rating be established as the target to </w:t>
      </w:r>
      <w:proofErr w:type="gramStart"/>
      <w:r>
        <w:t>be  maintained</w:t>
      </w:r>
      <w:proofErr w:type="gramEnd"/>
      <w:r>
        <w:t xml:space="preserve">. This will </w:t>
      </w:r>
      <w:r w:rsidRPr="00226E33">
        <w:t>ensure</w:t>
      </w:r>
      <w:r>
        <w:t xml:space="preserve"> that the Government’s risk tolerance is balanced with its expectations for commercial returns on its investment. </w:t>
      </w:r>
    </w:p>
    <w:p w14:paraId="47C08D09" w14:textId="77777777" w:rsidR="008C6A5B" w:rsidRDefault="008C6A5B" w:rsidP="008C6A5B">
      <w:pPr>
        <w:pStyle w:val="NormalIndent"/>
      </w:pPr>
      <w:r>
        <w:t>The target credit rating for GBEs is determined to be investment grade if it is rated BBB by Standard and Poor’s and Fitch or Baa2 by Moody’s. DTF may determine an alternative target credit rating, after consulting with the GBE. DTF currently arranges a stand-alone credit rating assessment for applicable GBEs as part of the Financial Accommodation Levy process each year. Where this credit rating assessment higher than the target credit rating then there is capacity for the GBE to take on more debt and it may be required to distribute excess capital in the form of dividends as determined under the current distribution policy. If the credit assessment is lower than the target credit rating, DTF and the business will agree to a course of action and time frame to move the GBE to the target rating and that may result in reduced dividends and/or a capital contribution if approved by the Treasurer in consultation with the GBE.</w:t>
      </w:r>
    </w:p>
    <w:p w14:paraId="40EF76E6" w14:textId="77777777" w:rsidR="008C6A5B" w:rsidRPr="00132ADD" w:rsidRDefault="008C6A5B" w:rsidP="008C6A5B">
      <w:pPr>
        <w:pStyle w:val="Heading2numbered"/>
      </w:pPr>
      <w:bookmarkStart w:id="78" w:name="_Toc41041741"/>
      <w:bookmarkStart w:id="79" w:name="_Toc85033660"/>
      <w:r w:rsidRPr="00132ADD">
        <w:lastRenderedPageBreak/>
        <w:t>Dividends</w:t>
      </w:r>
      <w:bookmarkEnd w:id="78"/>
      <w:bookmarkEnd w:id="79"/>
    </w:p>
    <w:p w14:paraId="3DB12D39" w14:textId="77777777" w:rsidR="008C6A5B" w:rsidRDefault="008C6A5B" w:rsidP="008C6A5B">
      <w:pPr>
        <w:pStyle w:val="NormalIndent"/>
      </w:pPr>
      <w:r>
        <w:t>Dividends/distributions to government are intended to reinforce the commercial focus of GBEs and ensure that GBEs operate with an optimal and efficient capital structure.</w:t>
      </w:r>
    </w:p>
    <w:p w14:paraId="5120AB1D" w14:textId="77777777" w:rsidR="008C6A5B" w:rsidRPr="00132ADD" w:rsidRDefault="008C6A5B" w:rsidP="008C6A5B">
      <w:pPr>
        <w:pStyle w:val="Heading3numbered"/>
        <w:numPr>
          <w:ilvl w:val="4"/>
          <w:numId w:val="18"/>
        </w:numPr>
        <w:tabs>
          <w:tab w:val="clear" w:pos="792"/>
          <w:tab w:val="num" w:pos="360"/>
        </w:tabs>
        <w:ind w:left="360" w:hanging="360"/>
      </w:pPr>
      <w:bookmarkStart w:id="80" w:name="_Toc41041742"/>
      <w:bookmarkStart w:id="81" w:name="_Toc85033661"/>
      <w:r w:rsidRPr="00132ADD">
        <w:t>Dividend policy</w:t>
      </w:r>
      <w:bookmarkEnd w:id="80"/>
      <w:bookmarkEnd w:id="81"/>
    </w:p>
    <w:p w14:paraId="6D515558" w14:textId="07D2443A" w:rsidR="008C6A5B" w:rsidRDefault="008C6A5B" w:rsidP="008C6A5B">
      <w:pPr>
        <w:pStyle w:val="NormalIndent"/>
      </w:pPr>
      <w:r>
        <w:t>In determining the appropriate dividend payout ratio for a GBE, DTF will consider a</w:t>
      </w:r>
      <w:r w:rsidR="00226E33">
        <w:rPr>
          <w:rFonts w:ascii="Calibri" w:hAnsi="Calibri" w:cs="Calibri"/>
        </w:rPr>
        <w:t> </w:t>
      </w:r>
      <w:r>
        <w:t>GBE’s:</w:t>
      </w:r>
    </w:p>
    <w:p w14:paraId="6443FAB1" w14:textId="37508F11" w:rsidR="008C6A5B" w:rsidRDefault="008C6A5B" w:rsidP="008C6A5B">
      <w:pPr>
        <w:pStyle w:val="Bulletindent"/>
      </w:pPr>
      <w:r>
        <w:t>profit</w:t>
      </w:r>
    </w:p>
    <w:p w14:paraId="1EF53D88" w14:textId="6F9EAF74" w:rsidR="008C6A5B" w:rsidRDefault="008C6A5B" w:rsidP="008C6A5B">
      <w:pPr>
        <w:pStyle w:val="Bulletindent"/>
      </w:pPr>
      <w:r>
        <w:t xml:space="preserve">retained </w:t>
      </w:r>
      <w:proofErr w:type="gramStart"/>
      <w:r>
        <w:t>earnings</w:t>
      </w:r>
      <w:proofErr w:type="gramEnd"/>
    </w:p>
    <w:p w14:paraId="41464D18" w14:textId="64BFD893" w:rsidR="008C6A5B" w:rsidRDefault="008C6A5B" w:rsidP="008C6A5B">
      <w:pPr>
        <w:pStyle w:val="Bulletindent"/>
      </w:pPr>
      <w:r>
        <w:t>gearing and interest cover</w:t>
      </w:r>
    </w:p>
    <w:p w14:paraId="41085E85" w14:textId="34DBADC6" w:rsidR="008C6A5B" w:rsidRDefault="008C6A5B" w:rsidP="008C6A5B">
      <w:pPr>
        <w:pStyle w:val="Bulletindent"/>
      </w:pPr>
      <w:r>
        <w:t xml:space="preserve">liquidity and working capital </w:t>
      </w:r>
      <w:proofErr w:type="gramStart"/>
      <w:r>
        <w:t>requirements</w:t>
      </w:r>
      <w:proofErr w:type="gramEnd"/>
    </w:p>
    <w:p w14:paraId="791EF51F" w14:textId="03782ECE" w:rsidR="008C6A5B" w:rsidRDefault="008C6A5B" w:rsidP="008C6A5B">
      <w:pPr>
        <w:pStyle w:val="Bulletindent"/>
      </w:pPr>
      <w:r>
        <w:t>operating and forecast cash flow requirements (including planned capital expenditure)</w:t>
      </w:r>
    </w:p>
    <w:p w14:paraId="33AE9A2D" w14:textId="0260E817" w:rsidR="008C6A5B" w:rsidRDefault="008C6A5B" w:rsidP="008C6A5B">
      <w:pPr>
        <w:pStyle w:val="Bulletindent"/>
      </w:pPr>
      <w:r>
        <w:t>target capital structure</w:t>
      </w:r>
    </w:p>
    <w:p w14:paraId="4C5D8A30" w14:textId="77777777" w:rsidR="008C6A5B" w:rsidRDefault="008C6A5B" w:rsidP="008C6A5B">
      <w:pPr>
        <w:pStyle w:val="Bulletindent"/>
      </w:pPr>
      <w:r>
        <w:t>individual circumstances.</w:t>
      </w:r>
    </w:p>
    <w:p w14:paraId="3B8B251C" w14:textId="77777777" w:rsidR="008C6A5B" w:rsidRDefault="008C6A5B" w:rsidP="008C6A5B">
      <w:pPr>
        <w:pStyle w:val="NormalIndent"/>
      </w:pPr>
      <w:r>
        <w:t>The Victorian Government budget position will also be considered in determining a GBE’s dividend payment.</w:t>
      </w:r>
    </w:p>
    <w:p w14:paraId="641B7C8F" w14:textId="77777777" w:rsidR="008C6A5B" w:rsidRDefault="008C6A5B" w:rsidP="008C6A5B">
      <w:pPr>
        <w:pStyle w:val="NormalIndent"/>
      </w:pPr>
      <w:r>
        <w:t>The estimated dividend payout ratio should be included in the Corporate Plan and negotiated with DTF.</w:t>
      </w:r>
    </w:p>
    <w:p w14:paraId="2E1D70D1" w14:textId="77777777" w:rsidR="008C6A5B" w:rsidRDefault="008C6A5B" w:rsidP="00226E33">
      <w:pPr>
        <w:pStyle w:val="NormalIndent"/>
        <w:keepNext/>
      </w:pPr>
      <w:r>
        <w:t>The following two benchmarks can be used as a starting point for these discussions:</w:t>
      </w:r>
    </w:p>
    <w:p w14:paraId="3A7DD000" w14:textId="0CFCC2BE" w:rsidR="008C6A5B" w:rsidRDefault="008C6A5B" w:rsidP="00226E33">
      <w:pPr>
        <w:pStyle w:val="Bulletindent"/>
        <w:keepNext/>
      </w:pPr>
      <w:r>
        <w:t>50 per cent of net profit after tax</w:t>
      </w:r>
    </w:p>
    <w:p w14:paraId="07A1742F" w14:textId="179F0758" w:rsidR="008C6A5B" w:rsidRDefault="008C6A5B" w:rsidP="00226E33">
      <w:pPr>
        <w:pStyle w:val="Bulletindent"/>
        <w:keepNext/>
      </w:pPr>
      <w:r>
        <w:t>65 per cent of pre-tax profit (used for GBEs not under the income tax equivalent regime or where income tax payable is significantly different from income tax expense)</w:t>
      </w:r>
    </w:p>
    <w:p w14:paraId="57F2DCEE" w14:textId="77777777" w:rsidR="008C6A5B" w:rsidRDefault="008C6A5B" w:rsidP="008C6A5B">
      <w:pPr>
        <w:pStyle w:val="Bulletindent"/>
      </w:pPr>
      <w:r>
        <w:t>65 per cent of pre-tax profit less income tax equivalents (used by GBEs under the income tax equivalent regime).</w:t>
      </w:r>
    </w:p>
    <w:p w14:paraId="1B127699" w14:textId="77777777" w:rsidR="008C6A5B" w:rsidRDefault="008C6A5B" w:rsidP="008C6A5B">
      <w:pPr>
        <w:pStyle w:val="Heading3numbered"/>
      </w:pPr>
      <w:bookmarkStart w:id="82" w:name="_Toc41041743"/>
      <w:bookmarkStart w:id="83" w:name="_Toc85033662"/>
      <w:r>
        <w:t>Dividend determination</w:t>
      </w:r>
      <w:bookmarkEnd w:id="82"/>
      <w:bookmarkEnd w:id="83"/>
    </w:p>
    <w:p w14:paraId="2E5C80C8" w14:textId="77777777" w:rsidR="008C6A5B" w:rsidRDefault="008C6A5B" w:rsidP="008C6A5B">
      <w:pPr>
        <w:pStyle w:val="NormalIndent"/>
      </w:pPr>
      <w:r>
        <w:t>Forecast dividend payments are reflected in a GBE’s Corporate Plan.</w:t>
      </w:r>
    </w:p>
    <w:p w14:paraId="2DC55126" w14:textId="77777777" w:rsidR="008C6A5B" w:rsidRDefault="008C6A5B" w:rsidP="008C6A5B">
      <w:pPr>
        <w:pStyle w:val="NormalIndent"/>
      </w:pPr>
      <w:r>
        <w:t xml:space="preserve">Actual dividends are determined by the Treasurer, </w:t>
      </w:r>
      <w:proofErr w:type="gramStart"/>
      <w:r>
        <w:t>taking into account</w:t>
      </w:r>
      <w:proofErr w:type="gramEnd"/>
      <w:r>
        <w:t xml:space="preserve"> how the GBE has performed. Therefore, actual dividend payments may vary from forecast dividends. The Treasurer will consult with the board and the </w:t>
      </w:r>
      <w:proofErr w:type="gramStart"/>
      <w:r>
        <w:t>portfolio Minister</w:t>
      </w:r>
      <w:proofErr w:type="gramEnd"/>
      <w:r>
        <w:t xml:space="preserve"> on the proposed dividends and issue a formal dividend determination (or formal resolution for State owned companies) to the GBE.</w:t>
      </w:r>
    </w:p>
    <w:p w14:paraId="05C6E624" w14:textId="77777777" w:rsidR="008C6A5B" w:rsidRDefault="008C6A5B" w:rsidP="007113E9">
      <w:pPr>
        <w:pStyle w:val="NormalIndent"/>
        <w:keepNext/>
      </w:pPr>
      <w:r>
        <w:lastRenderedPageBreak/>
        <w:t>Actual dividend payments are generally paid twice a year as follows:</w:t>
      </w:r>
    </w:p>
    <w:p w14:paraId="3A77A38F" w14:textId="0AD53BCF" w:rsidR="008C6A5B" w:rsidRDefault="008C6A5B" w:rsidP="007113E9">
      <w:pPr>
        <w:pStyle w:val="Bulletindent"/>
        <w:keepNext/>
      </w:pPr>
      <w:r>
        <w:t xml:space="preserve">interim dividend – paid in April based on the half-year financial </w:t>
      </w:r>
      <w:proofErr w:type="gramStart"/>
      <w:r>
        <w:t>results</w:t>
      </w:r>
      <w:proofErr w:type="gramEnd"/>
    </w:p>
    <w:p w14:paraId="1ACA6C6F" w14:textId="77777777" w:rsidR="008C6A5B" w:rsidRDefault="008C6A5B" w:rsidP="008C6A5B">
      <w:pPr>
        <w:pStyle w:val="Bulletindent"/>
      </w:pPr>
      <w:r>
        <w:t>final dividend – paid in October based on the annual financial results.</w:t>
      </w:r>
    </w:p>
    <w:p w14:paraId="62AE9CBD" w14:textId="77777777" w:rsidR="008C6A5B" w:rsidRDefault="008C6A5B" w:rsidP="008C6A5B">
      <w:pPr>
        <w:pStyle w:val="NormalIndent"/>
      </w:pPr>
      <w:r>
        <w:t xml:space="preserve">While forecast dividend payments will be reflected in a GBE’s corporate plan, the Treasurer will </w:t>
      </w:r>
      <w:proofErr w:type="gramStart"/>
      <w:r>
        <w:t>take into account</w:t>
      </w:r>
      <w:proofErr w:type="gramEnd"/>
      <w:r>
        <w:t xml:space="preserve"> how the GBE has performed when determining the actual dividend to be paid. As such, actual dividend payments may vary from those projected in the corporate planning documents.</w:t>
      </w:r>
    </w:p>
    <w:p w14:paraId="5FBFE443" w14:textId="77777777" w:rsidR="008C6A5B" w:rsidRDefault="008C6A5B" w:rsidP="008C6A5B">
      <w:pPr>
        <w:pStyle w:val="NormalIndent"/>
      </w:pPr>
      <w:r>
        <w:t xml:space="preserve">The Treasurer will consult the Board and the </w:t>
      </w:r>
      <w:proofErr w:type="gramStart"/>
      <w:r>
        <w:t>portfolio Minister</w:t>
      </w:r>
      <w:proofErr w:type="gramEnd"/>
      <w:r>
        <w:t xml:space="preserve"> on the proposed actual dividend to be paid. Once consultation has taken place, the Treasurer will issue a formal dividend determination (or formal resolution under written direction of the State in the case of State-owned companies) to the GBE.</w:t>
      </w:r>
    </w:p>
    <w:p w14:paraId="5FA4C3DE" w14:textId="77777777" w:rsidR="008C6A5B" w:rsidRDefault="008C6A5B" w:rsidP="008C6A5B">
      <w:pPr>
        <w:pStyle w:val="Heading2numbered"/>
      </w:pPr>
      <w:bookmarkStart w:id="84" w:name="_Toc41041744"/>
      <w:bookmarkStart w:id="85" w:name="_Toc85033663"/>
      <w:r>
        <w:t>Other distributions</w:t>
      </w:r>
      <w:bookmarkEnd w:id="84"/>
      <w:bookmarkEnd w:id="85"/>
    </w:p>
    <w:p w14:paraId="4EFAFA35" w14:textId="77777777" w:rsidR="008C6A5B" w:rsidRDefault="008C6A5B" w:rsidP="00226E33">
      <w:pPr>
        <w:pStyle w:val="Heading3numbered"/>
        <w:numPr>
          <w:ilvl w:val="4"/>
          <w:numId w:val="18"/>
        </w:numPr>
      </w:pPr>
      <w:bookmarkStart w:id="86" w:name="_Toc41041745"/>
      <w:bookmarkStart w:id="87" w:name="_Toc85033664"/>
      <w:r w:rsidRPr="00226E33">
        <w:t>Capital</w:t>
      </w:r>
      <w:r>
        <w:t xml:space="preserve"> </w:t>
      </w:r>
      <w:proofErr w:type="gramStart"/>
      <w:r>
        <w:t>repayments</w:t>
      </w:r>
      <w:bookmarkEnd w:id="86"/>
      <w:bookmarkEnd w:id="87"/>
      <w:proofErr w:type="gramEnd"/>
    </w:p>
    <w:p w14:paraId="0D5DA5F0" w14:textId="77777777" w:rsidR="008C6A5B" w:rsidRDefault="008C6A5B" w:rsidP="008C6A5B">
      <w:pPr>
        <w:pStyle w:val="NormalIndent"/>
      </w:pPr>
      <w:r>
        <w:t>In line with specific legislative provisions, the Treasurer, after consultation with the Board and, where applicable, the relevant portfolio Minister, can direct a GBE to repay capital to the State.</w:t>
      </w:r>
    </w:p>
    <w:p w14:paraId="5CB3A421" w14:textId="77777777" w:rsidR="008C6A5B" w:rsidRDefault="008C6A5B" w:rsidP="00226E33">
      <w:pPr>
        <w:pStyle w:val="Heading3numbered"/>
      </w:pPr>
      <w:bookmarkStart w:id="88" w:name="_Toc41041746"/>
      <w:bookmarkStart w:id="89" w:name="_Toc85033665"/>
      <w:r>
        <w:t>Competitive neutrality payments</w:t>
      </w:r>
      <w:bookmarkEnd w:id="88"/>
      <w:bookmarkEnd w:id="89"/>
    </w:p>
    <w:p w14:paraId="72AC6BD0" w14:textId="77777777" w:rsidR="008C6A5B" w:rsidRDefault="008C6A5B" w:rsidP="00226E33">
      <w:pPr>
        <w:pStyle w:val="NormalIndent"/>
        <w:keepNext/>
      </w:pPr>
      <w:r>
        <w:t>GBEs may be required to make payments to ensure they operate on a competitively neutral basis with the private sector, consistent with National Competition Policy. These payments include:</w:t>
      </w:r>
    </w:p>
    <w:p w14:paraId="5BB104FE" w14:textId="790B2B62" w:rsidR="008C6A5B" w:rsidRDefault="008C6A5B" w:rsidP="008C6A5B">
      <w:pPr>
        <w:pStyle w:val="Bulletindent"/>
      </w:pPr>
      <w:r w:rsidRPr="00132ADD">
        <w:rPr>
          <w:b/>
          <w:bCs/>
        </w:rPr>
        <w:t xml:space="preserve">Income </w:t>
      </w:r>
      <w:r w:rsidR="00226E33" w:rsidRPr="00132ADD">
        <w:rPr>
          <w:b/>
          <w:bCs/>
        </w:rPr>
        <w:t>tax equivalents</w:t>
      </w:r>
      <w:r>
        <w:t>: Many GBEs are subject to the National Tax Equivalent Regime and are required to pay income tax equivalent instalments to the Government. Income tax equivalents are paid up to five times per year.</w:t>
      </w:r>
    </w:p>
    <w:p w14:paraId="31197CFC" w14:textId="77777777" w:rsidR="008C6A5B" w:rsidRDefault="008C6A5B" w:rsidP="008C6A5B">
      <w:pPr>
        <w:pStyle w:val="Bulletindent"/>
      </w:pPr>
      <w:r w:rsidRPr="00132ADD">
        <w:rPr>
          <w:b/>
          <w:bCs/>
        </w:rPr>
        <w:t>Financial Accommodation Levy</w:t>
      </w:r>
      <w:r>
        <w:rPr>
          <w:b/>
          <w:bCs/>
        </w:rPr>
        <w:t xml:space="preserve"> (FAL)</w:t>
      </w:r>
      <w:r>
        <w:t>: Where a GBE has borrowings greater than $5</w:t>
      </w:r>
      <w:r>
        <w:rPr>
          <w:rFonts w:ascii="Calibri" w:hAnsi="Calibri"/>
        </w:rPr>
        <w:t> </w:t>
      </w:r>
      <w:r>
        <w:t>million it may be liable for the FAL. The FAL is paid four times per year.</w:t>
      </w:r>
    </w:p>
    <w:p w14:paraId="39DC9AED" w14:textId="77777777" w:rsidR="008C6A5B" w:rsidRDefault="008C6A5B" w:rsidP="008C6A5B">
      <w:pPr>
        <w:pStyle w:val="Bulletindent"/>
      </w:pPr>
      <w:r w:rsidRPr="00132ADD">
        <w:rPr>
          <w:b/>
          <w:bCs/>
        </w:rPr>
        <w:t>Local Government Rate Equivalent</w:t>
      </w:r>
      <w:r>
        <w:rPr>
          <w:b/>
          <w:bCs/>
        </w:rPr>
        <w:t xml:space="preserve"> (LGRE)</w:t>
      </w:r>
      <w:r>
        <w:t>: Some GBEs are subject to a LGRE system. The LGRE is paid annually.</w:t>
      </w:r>
    </w:p>
    <w:p w14:paraId="1551B5E9" w14:textId="74392642" w:rsidR="008C6A5B" w:rsidRDefault="008C6A5B" w:rsidP="00226E33">
      <w:pPr>
        <w:pStyle w:val="Heading3numbered"/>
      </w:pPr>
      <w:bookmarkStart w:id="90" w:name="_Toc41041747"/>
      <w:bookmarkStart w:id="91" w:name="_Toc85033666"/>
      <w:r>
        <w:t xml:space="preserve">Community </w:t>
      </w:r>
      <w:r w:rsidR="00226E33">
        <w:t>service obligations</w:t>
      </w:r>
      <w:bookmarkEnd w:id="90"/>
      <w:bookmarkEnd w:id="91"/>
    </w:p>
    <w:p w14:paraId="7ABC7419" w14:textId="33276077" w:rsidR="008C6A5B" w:rsidRDefault="008C6A5B" w:rsidP="00226E33">
      <w:pPr>
        <w:pStyle w:val="NormalIndent"/>
        <w:ind w:right="26"/>
      </w:pPr>
      <w:r>
        <w:t>Community service obligations (CSOs) are non-commercial activities undertaken by GBEs at the direction of government to achieve social policy objectives. A</w:t>
      </w:r>
      <w:r w:rsidR="00226E33">
        <w:rPr>
          <w:rFonts w:ascii="Calibri" w:hAnsi="Calibri" w:cs="Calibri"/>
        </w:rPr>
        <w:t> </w:t>
      </w:r>
      <w:r>
        <w:t>community service obligation arises when a government specifically requires a GBE to carry out activities relating to outputs or inputs which it would not elect to do on a commercial basis, and which the government does not generally require other businesses in the public or private sectors to undertake, or which it would only do commercially at higher prices.</w:t>
      </w:r>
    </w:p>
    <w:p w14:paraId="2ABED5B9" w14:textId="77777777" w:rsidR="008C6A5B" w:rsidRDefault="008C6A5B" w:rsidP="008C6A5B">
      <w:pPr>
        <w:pStyle w:val="NormalIndent"/>
      </w:pPr>
      <w:r>
        <w:lastRenderedPageBreak/>
        <w:t xml:space="preserve">CSOs should be funded directly through budget appropriation however, often government requires its GBEs to internally fund CSOs and chooses to accept a lower rate of return on the GBE’s assets or charge higher prices for its commercial services. Internally funding CSOs will conflict with GBEs operating on a fully commercial basis. </w:t>
      </w:r>
    </w:p>
    <w:p w14:paraId="7619F0BF" w14:textId="77777777" w:rsidR="008C6A5B" w:rsidRDefault="008C6A5B" w:rsidP="008C6A5B">
      <w:pPr>
        <w:pStyle w:val="NormalIndent"/>
      </w:pPr>
      <w:r>
        <w:t xml:space="preserve">Financial losses caused by underfunded (or unfunded) CSOs lower a GBE’s return on assets and can also lead to decreased cost recovery if operating expenses are increased without a corresponding increase in operating revenue (through higher than necessary customer charges). </w:t>
      </w:r>
    </w:p>
    <w:p w14:paraId="5C35C7B8" w14:textId="77777777" w:rsidR="008C6A5B" w:rsidRDefault="008C6A5B" w:rsidP="008C6A5B">
      <w:pPr>
        <w:pStyle w:val="NormalIndent"/>
      </w:pPr>
      <w:r>
        <w:t xml:space="preserve">There are many inconsistencies in the identification and funding of CSOs. Some GBEs provide CSOs but do not identify them as such. For example, GBEs providing pensioner concessions and other rebates without labelling them as CSOs. Similar activities performed by GBEs that may be regarded as CSOs are not consistently reported or funded as such. </w:t>
      </w:r>
    </w:p>
    <w:p w14:paraId="163BD342" w14:textId="77777777" w:rsidR="008C6A5B" w:rsidRDefault="008C6A5B" w:rsidP="008C6A5B">
      <w:pPr>
        <w:pStyle w:val="NormalIndent"/>
      </w:pPr>
      <w:r>
        <w:t>The identification of CSOs assists GBEs in assessing their financial performance and capital management. CSO reporting should form part of the planning and annual budgeting of GBEs to enable DTF to monitor and quantify CSOs and to determine the return on commercial operations.</w:t>
      </w:r>
    </w:p>
    <w:p w14:paraId="102456A8" w14:textId="30BBCDE6" w:rsidR="008C6A5B" w:rsidRDefault="008C6A5B" w:rsidP="008C6A5B">
      <w:pPr>
        <w:pStyle w:val="Heading3numbered"/>
      </w:pPr>
      <w:bookmarkStart w:id="92" w:name="_Toc41041748"/>
      <w:bookmarkStart w:id="93" w:name="_Toc85033667"/>
      <w:r>
        <w:t>Victorian Government Landholding Policy and Guidelines</w:t>
      </w:r>
      <w:bookmarkEnd w:id="92"/>
      <w:bookmarkEnd w:id="93"/>
    </w:p>
    <w:p w14:paraId="5D1D300A" w14:textId="77777777" w:rsidR="008C6A5B" w:rsidRDefault="008C6A5B" w:rsidP="008C6A5B">
      <w:pPr>
        <w:pStyle w:val="NormalIndent"/>
      </w:pPr>
      <w:r>
        <w:t xml:space="preserve">As required by the </w:t>
      </w:r>
      <w:r w:rsidRPr="00FC68D9">
        <w:rPr>
          <w:i/>
          <w:iCs/>
        </w:rPr>
        <w:t>Victorian Government Landholding Policy and Guidelines</w:t>
      </w:r>
      <w:r>
        <w:t>, all government agencies are required to actively manage their assets and maintain an accurate dataset of landholdings. Government entities should ensure their land information is accurate and up to date and identify senior managers and/or executives who can provide authoritative information to Land Use Victoria (LUV) on land-related issues across their portfolios.</w:t>
      </w:r>
    </w:p>
    <w:p w14:paraId="43C8D4A3" w14:textId="77777777" w:rsidR="008C6A5B" w:rsidRDefault="008C6A5B" w:rsidP="008C6A5B">
      <w:pPr>
        <w:pStyle w:val="NormalIndent"/>
      </w:pPr>
      <w:r>
        <w:t>Government entities are also encouraged to proactively consider how they can improve their land utilisation, including:</w:t>
      </w:r>
    </w:p>
    <w:p w14:paraId="0A92455D" w14:textId="6F41B7FB" w:rsidR="008C6A5B" w:rsidRDefault="008C6A5B" w:rsidP="008C6A5B">
      <w:pPr>
        <w:pStyle w:val="Bulletindent"/>
      </w:pPr>
      <w:r>
        <w:t xml:space="preserve">opportunities to reduce their footprint, identifying unused land that could be made available for another </w:t>
      </w:r>
      <w:proofErr w:type="gramStart"/>
      <w:r>
        <w:t>purpose</w:t>
      </w:r>
      <w:proofErr w:type="gramEnd"/>
    </w:p>
    <w:p w14:paraId="287BB397" w14:textId="58C95F08" w:rsidR="008C6A5B" w:rsidRDefault="008C6A5B" w:rsidP="008C6A5B">
      <w:pPr>
        <w:pStyle w:val="Bulletindent"/>
      </w:pPr>
      <w:r>
        <w:t>considering co-locating with other government agencies</w:t>
      </w:r>
    </w:p>
    <w:p w14:paraId="2CA5612D" w14:textId="1071D19E" w:rsidR="008C6A5B" w:rsidRDefault="008C6A5B" w:rsidP="008C6A5B">
      <w:pPr>
        <w:pStyle w:val="Bulletindent"/>
      </w:pPr>
      <w:r>
        <w:t xml:space="preserve">investigating opportunities to develop land to unlock further </w:t>
      </w:r>
      <w:proofErr w:type="gramStart"/>
      <w:r>
        <w:t>value</w:t>
      </w:r>
      <w:proofErr w:type="gramEnd"/>
    </w:p>
    <w:p w14:paraId="5F8DD376" w14:textId="77777777" w:rsidR="008C6A5B" w:rsidRDefault="008C6A5B" w:rsidP="008C6A5B">
      <w:pPr>
        <w:pStyle w:val="Bulletindent"/>
      </w:pPr>
      <w:r>
        <w:t>providing temporary use of their land for other purposes.</w:t>
      </w:r>
    </w:p>
    <w:p w14:paraId="5EF64715" w14:textId="77777777" w:rsidR="008C6A5B" w:rsidRDefault="008C6A5B" w:rsidP="008C6A5B">
      <w:pPr>
        <w:pStyle w:val="NormalIndent"/>
      </w:pPr>
      <w:r>
        <w:t>In October 2019, the Government approved new policy requirements to improve the utilisation of government land. Changes include:</w:t>
      </w:r>
    </w:p>
    <w:p w14:paraId="2911DC14" w14:textId="4714F148" w:rsidR="008C6A5B" w:rsidRDefault="008C6A5B" w:rsidP="008C6A5B">
      <w:pPr>
        <w:pStyle w:val="Bulletindent"/>
      </w:pPr>
      <w:r>
        <w:t>the establishment of a ‘Land Utilisation Working Group’ under the Expenditure Review Committee (LUWG) to centrally make decisions to improve the use of government land, informed by a departmental ‘Land Utilisation Steering Committee’ (LUSC)</w:t>
      </w:r>
    </w:p>
    <w:p w14:paraId="15195D8C" w14:textId="2D8B7B81" w:rsidR="008C6A5B" w:rsidRDefault="008C6A5B" w:rsidP="008C6A5B">
      <w:pPr>
        <w:pStyle w:val="Bulletindent"/>
      </w:pPr>
      <w:r>
        <w:lastRenderedPageBreak/>
        <w:t>the requirement for LUV – part of the Department of Environment, Land Water and Planning (DELWP) – to impartially assess the utilisation of all government land and make recommendations to the LUSC and LUWG</w:t>
      </w:r>
    </w:p>
    <w:p w14:paraId="09269071" w14:textId="741201A0" w:rsidR="008C6A5B" w:rsidRDefault="008C6A5B" w:rsidP="008C6A5B">
      <w:pPr>
        <w:pStyle w:val="Bulletindent"/>
      </w:pPr>
      <w:r>
        <w:t xml:space="preserve">the requirement for all government agencies to actively cooperate with LUV and action any decisions made by </w:t>
      </w:r>
      <w:proofErr w:type="gramStart"/>
      <w:r>
        <w:t>Government</w:t>
      </w:r>
      <w:proofErr w:type="gramEnd"/>
    </w:p>
    <w:p w14:paraId="277FE497" w14:textId="410C69C6" w:rsidR="008C6A5B" w:rsidRDefault="008C6A5B" w:rsidP="008C6A5B">
      <w:pPr>
        <w:pStyle w:val="Bulletindent"/>
      </w:pPr>
      <w:r>
        <w:t xml:space="preserve">the requirement for the net land sales proceeds from all land sales to be returned to the Consolidated Fund unless certain circumstances </w:t>
      </w:r>
      <w:proofErr w:type="gramStart"/>
      <w:r>
        <w:t>apply</w:t>
      </w:r>
      <w:proofErr w:type="gramEnd"/>
    </w:p>
    <w:p w14:paraId="70714EC4" w14:textId="77777777" w:rsidR="008C6A5B" w:rsidRDefault="008C6A5B" w:rsidP="008C6A5B">
      <w:pPr>
        <w:pStyle w:val="Bulletindent"/>
      </w:pPr>
      <w:r>
        <w:t>to improve efficiencies, a simplified valuation process will be used for land transactions between two State government entities.</w:t>
      </w:r>
    </w:p>
    <w:p w14:paraId="45E7B435" w14:textId="77777777" w:rsidR="008C6A5B" w:rsidRDefault="008C6A5B" w:rsidP="008C6A5B">
      <w:pPr>
        <w:pStyle w:val="Heading2numbered"/>
      </w:pPr>
      <w:bookmarkStart w:id="94" w:name="_Toc41041749"/>
      <w:bookmarkStart w:id="95" w:name="_Toc85033668"/>
      <w:r>
        <w:t>Key dates</w:t>
      </w:r>
      <w:bookmarkEnd w:id="94"/>
      <w:bookmarkEnd w:id="95"/>
    </w:p>
    <w:tbl>
      <w:tblPr>
        <w:tblStyle w:val="DTFtexttableindent"/>
        <w:tblW w:w="8298" w:type="dxa"/>
        <w:tblLook w:val="0420" w:firstRow="1" w:lastRow="0" w:firstColumn="0" w:lastColumn="0" w:noHBand="0" w:noVBand="1"/>
      </w:tblPr>
      <w:tblGrid>
        <w:gridCol w:w="3798"/>
        <w:gridCol w:w="4500"/>
      </w:tblGrid>
      <w:tr w:rsidR="008C6A5B" w:rsidRPr="00FC68D9" w14:paraId="57A66D47" w14:textId="77777777" w:rsidTr="00226E33">
        <w:trPr>
          <w:cnfStyle w:val="100000000000" w:firstRow="1" w:lastRow="0" w:firstColumn="0" w:lastColumn="0" w:oddVBand="0" w:evenVBand="0" w:oddHBand="0" w:evenHBand="0" w:firstRowFirstColumn="0" w:firstRowLastColumn="0" w:lastRowFirstColumn="0" w:lastRowLastColumn="0"/>
        </w:trPr>
        <w:tc>
          <w:tcPr>
            <w:tcW w:w="3798" w:type="dxa"/>
          </w:tcPr>
          <w:p w14:paraId="64F92A98" w14:textId="77777777" w:rsidR="008C6A5B" w:rsidRPr="00FC68D9" w:rsidRDefault="008C6A5B" w:rsidP="00226E33">
            <w:pPr>
              <w:pStyle w:val="Tableheader"/>
            </w:pPr>
            <w:r w:rsidRPr="00FC68D9">
              <w:t xml:space="preserve">Requirement </w:t>
            </w:r>
          </w:p>
        </w:tc>
        <w:tc>
          <w:tcPr>
            <w:tcW w:w="4500" w:type="dxa"/>
          </w:tcPr>
          <w:p w14:paraId="45E40526" w14:textId="77777777" w:rsidR="008C6A5B" w:rsidRPr="00FC68D9" w:rsidRDefault="008C6A5B" w:rsidP="00226E33">
            <w:pPr>
              <w:pStyle w:val="Tableheader"/>
            </w:pPr>
            <w:r w:rsidRPr="00FC68D9">
              <w:t>Due date</w:t>
            </w:r>
          </w:p>
        </w:tc>
      </w:tr>
      <w:tr w:rsidR="008C6A5B" w:rsidRPr="00FC68D9" w14:paraId="78FA7FD5" w14:textId="77777777" w:rsidTr="00226E33">
        <w:tc>
          <w:tcPr>
            <w:tcW w:w="3798" w:type="dxa"/>
          </w:tcPr>
          <w:p w14:paraId="26BB1AE8" w14:textId="77777777" w:rsidR="008C6A5B" w:rsidRPr="00FC68D9" w:rsidRDefault="008C6A5B" w:rsidP="00226E33">
            <w:pPr>
              <w:pStyle w:val="Tabletext"/>
              <w:spacing w:before="15" w:after="15" w:line="252" w:lineRule="auto"/>
            </w:pPr>
            <w:r w:rsidRPr="00FC68D9">
              <w:t xml:space="preserve">Interim Dividend payment </w:t>
            </w:r>
          </w:p>
        </w:tc>
        <w:tc>
          <w:tcPr>
            <w:tcW w:w="4500" w:type="dxa"/>
          </w:tcPr>
          <w:p w14:paraId="7303EF26" w14:textId="77777777" w:rsidR="008C6A5B" w:rsidRPr="00FC68D9" w:rsidRDefault="008C6A5B" w:rsidP="00226E33">
            <w:pPr>
              <w:pStyle w:val="Tabletext"/>
              <w:spacing w:before="15" w:after="15" w:line="252" w:lineRule="auto"/>
            </w:pPr>
            <w:r w:rsidRPr="00FC68D9">
              <w:t>Last business day in April</w:t>
            </w:r>
          </w:p>
        </w:tc>
      </w:tr>
      <w:tr w:rsidR="008C6A5B" w:rsidRPr="00FC68D9" w14:paraId="1C9F7A4E" w14:textId="77777777" w:rsidTr="00226E33">
        <w:trPr>
          <w:cnfStyle w:val="000000010000" w:firstRow="0" w:lastRow="0" w:firstColumn="0" w:lastColumn="0" w:oddVBand="0" w:evenVBand="0" w:oddHBand="0" w:evenHBand="1" w:firstRowFirstColumn="0" w:firstRowLastColumn="0" w:lastRowFirstColumn="0" w:lastRowLastColumn="0"/>
        </w:trPr>
        <w:tc>
          <w:tcPr>
            <w:tcW w:w="3798" w:type="dxa"/>
          </w:tcPr>
          <w:p w14:paraId="3D071879" w14:textId="77777777" w:rsidR="008C6A5B" w:rsidRPr="00FC68D9" w:rsidRDefault="008C6A5B" w:rsidP="00226E33">
            <w:pPr>
              <w:pStyle w:val="Tabletext"/>
              <w:spacing w:before="15" w:after="15" w:line="252" w:lineRule="auto"/>
            </w:pPr>
            <w:r w:rsidRPr="00FC68D9">
              <w:t xml:space="preserve">Final Dividend payment </w:t>
            </w:r>
          </w:p>
        </w:tc>
        <w:tc>
          <w:tcPr>
            <w:tcW w:w="4500" w:type="dxa"/>
          </w:tcPr>
          <w:p w14:paraId="5442AACE" w14:textId="77777777" w:rsidR="008C6A5B" w:rsidRPr="00FC68D9" w:rsidRDefault="008C6A5B" w:rsidP="00226E33">
            <w:pPr>
              <w:pStyle w:val="Tabletext"/>
              <w:spacing w:before="15" w:after="15" w:line="252" w:lineRule="auto"/>
            </w:pPr>
            <w:r w:rsidRPr="00FC68D9">
              <w:t>Last business day in October</w:t>
            </w:r>
          </w:p>
        </w:tc>
      </w:tr>
      <w:tr w:rsidR="008C6A5B" w:rsidRPr="00FC68D9" w14:paraId="253B37F8" w14:textId="77777777" w:rsidTr="00226E33">
        <w:tc>
          <w:tcPr>
            <w:tcW w:w="3798" w:type="dxa"/>
          </w:tcPr>
          <w:p w14:paraId="2D23B12B" w14:textId="77777777" w:rsidR="008C6A5B" w:rsidRPr="00FC68D9" w:rsidRDefault="008C6A5B" w:rsidP="00226E33">
            <w:pPr>
              <w:pStyle w:val="Tabletext"/>
              <w:spacing w:before="15" w:after="15" w:line="252" w:lineRule="auto"/>
            </w:pPr>
            <w:r w:rsidRPr="00FC68D9">
              <w:t xml:space="preserve">Income Tax Equivalent payment </w:t>
            </w:r>
          </w:p>
        </w:tc>
        <w:tc>
          <w:tcPr>
            <w:tcW w:w="4500" w:type="dxa"/>
          </w:tcPr>
          <w:p w14:paraId="4D508641" w14:textId="6EAEFDF7" w:rsidR="008C6A5B" w:rsidRPr="00FC68D9" w:rsidRDefault="008C6A5B" w:rsidP="00226E33">
            <w:pPr>
              <w:pStyle w:val="Tabletext"/>
              <w:spacing w:before="15" w:after="15" w:line="252" w:lineRule="auto"/>
            </w:pPr>
            <w:r w:rsidRPr="00FC68D9">
              <w:t>21 October, 21 January, 21 April, 21 July and (‘wash</w:t>
            </w:r>
            <w:r w:rsidR="00226E33">
              <w:rPr>
                <w:rFonts w:ascii="Calibri" w:hAnsi="Calibri" w:cs="Calibri"/>
              </w:rPr>
              <w:t> </w:t>
            </w:r>
            <w:r w:rsidRPr="00FC68D9">
              <w:t>up’ payment) 1 December</w:t>
            </w:r>
          </w:p>
        </w:tc>
      </w:tr>
      <w:tr w:rsidR="008C6A5B" w:rsidRPr="00FC68D9" w14:paraId="3B8BD271" w14:textId="77777777" w:rsidTr="00226E33">
        <w:trPr>
          <w:cnfStyle w:val="000000010000" w:firstRow="0" w:lastRow="0" w:firstColumn="0" w:lastColumn="0" w:oddVBand="0" w:evenVBand="0" w:oddHBand="0" w:evenHBand="1" w:firstRowFirstColumn="0" w:firstRowLastColumn="0" w:lastRowFirstColumn="0" w:lastRowLastColumn="0"/>
        </w:trPr>
        <w:tc>
          <w:tcPr>
            <w:tcW w:w="3798" w:type="dxa"/>
          </w:tcPr>
          <w:p w14:paraId="6BDEDC17" w14:textId="77777777" w:rsidR="008C6A5B" w:rsidRPr="00FC68D9" w:rsidRDefault="008C6A5B" w:rsidP="00226E33">
            <w:pPr>
              <w:pStyle w:val="Tabletext"/>
              <w:spacing w:before="15" w:after="15" w:line="252" w:lineRule="auto"/>
            </w:pPr>
            <w:r w:rsidRPr="00FC68D9">
              <w:t xml:space="preserve">Financial Accommodation Levy payment </w:t>
            </w:r>
          </w:p>
        </w:tc>
        <w:tc>
          <w:tcPr>
            <w:tcW w:w="4500" w:type="dxa"/>
          </w:tcPr>
          <w:p w14:paraId="5FAE44A2" w14:textId="750D43AE" w:rsidR="008C6A5B" w:rsidRPr="00FC68D9" w:rsidRDefault="008C6A5B" w:rsidP="00226E33">
            <w:pPr>
              <w:pStyle w:val="Tabletext"/>
              <w:spacing w:before="15" w:after="15" w:line="252" w:lineRule="auto"/>
            </w:pPr>
            <w:r w:rsidRPr="00FC68D9">
              <w:t xml:space="preserve">Last business day in November, February, </w:t>
            </w:r>
            <w:proofErr w:type="gramStart"/>
            <w:r w:rsidRPr="00FC68D9">
              <w:t>May</w:t>
            </w:r>
            <w:proofErr w:type="gramEnd"/>
            <w:r w:rsidRPr="00FC68D9">
              <w:t xml:space="preserve"> and</w:t>
            </w:r>
            <w:r w:rsidR="00226E33">
              <w:rPr>
                <w:rFonts w:ascii="Calibri" w:hAnsi="Calibri" w:cs="Calibri"/>
              </w:rPr>
              <w:t> </w:t>
            </w:r>
            <w:r w:rsidRPr="00FC68D9">
              <w:t>August</w:t>
            </w:r>
          </w:p>
        </w:tc>
      </w:tr>
      <w:tr w:rsidR="008C6A5B" w:rsidRPr="00FC68D9" w14:paraId="7504450C" w14:textId="77777777" w:rsidTr="00226E33">
        <w:tc>
          <w:tcPr>
            <w:tcW w:w="3798" w:type="dxa"/>
          </w:tcPr>
          <w:p w14:paraId="7E151FD9" w14:textId="77777777" w:rsidR="008C6A5B" w:rsidRPr="00FC68D9" w:rsidRDefault="008C6A5B" w:rsidP="00226E33">
            <w:pPr>
              <w:pStyle w:val="Tabletext"/>
              <w:spacing w:before="15" w:after="15" w:line="252" w:lineRule="auto"/>
            </w:pPr>
            <w:r w:rsidRPr="00FC68D9">
              <w:t xml:space="preserve">Local Government Rate Equivalent payment </w:t>
            </w:r>
          </w:p>
        </w:tc>
        <w:tc>
          <w:tcPr>
            <w:tcW w:w="4500" w:type="dxa"/>
          </w:tcPr>
          <w:p w14:paraId="0B73D021" w14:textId="77777777" w:rsidR="008C6A5B" w:rsidRPr="00FC68D9" w:rsidRDefault="008C6A5B" w:rsidP="00226E33">
            <w:pPr>
              <w:pStyle w:val="Tabletext"/>
              <w:spacing w:before="15" w:after="15" w:line="252" w:lineRule="auto"/>
            </w:pPr>
            <w:r w:rsidRPr="00FC68D9">
              <w:t>15 February (in line with local council rate notices)</w:t>
            </w:r>
          </w:p>
        </w:tc>
      </w:tr>
    </w:tbl>
    <w:p w14:paraId="7C0B815D" w14:textId="77777777" w:rsidR="008C6A5B" w:rsidRDefault="008C6A5B" w:rsidP="007113E9">
      <w:pPr>
        <w:pStyle w:val="Heading1"/>
        <w:pageBreakBefore/>
      </w:pPr>
      <w:bookmarkStart w:id="96" w:name="_Toc41041750"/>
      <w:bookmarkStart w:id="97" w:name="_Toc85033669"/>
      <w:r>
        <w:lastRenderedPageBreak/>
        <w:t>Appendix 1: Financial and non-financial KPIs</w:t>
      </w:r>
      <w:bookmarkEnd w:id="96"/>
      <w:bookmarkEnd w:id="97"/>
    </w:p>
    <w:p w14:paraId="606EB768" w14:textId="77777777" w:rsidR="008C6A5B" w:rsidRDefault="008C6A5B" w:rsidP="008C6A5B">
      <w:r>
        <w:t xml:space="preserve">The KPIs listed below are intended to act as a guide only for PNFCs. However, for PFCs and Insurance GBEs, the nominated KPIs are considered default requirements unless otherwise advised by DTF. Each GBE should consider which KPIs are relevant to their business. KPIs should be consistently reported across the corporate planning documents, quarterly </w:t>
      </w:r>
      <w:proofErr w:type="gramStart"/>
      <w:r>
        <w:t>reports</w:t>
      </w:r>
      <w:proofErr w:type="gramEnd"/>
      <w:r>
        <w:t xml:space="preserve"> and annual reports. Each KPI should be clearly defined, targets clearly specified (i.e. forecast, budget, prudential, industry targets, etc.) and at least five years of historical performance provided.</w:t>
      </w:r>
    </w:p>
    <w:p w14:paraId="127EFCE8" w14:textId="77777777" w:rsidR="008C6A5B" w:rsidRDefault="008C6A5B" w:rsidP="008C6A5B">
      <w:r>
        <w:t>The financial KPIs below reflect DTF’s core financial metric requirements from a shareholder perspective. GBEs can agree additional operational KPIs with their portfolio departments outside of DTF’s framework and are encouraged to identify and report KPIs that are relevant to their specific business.</w:t>
      </w:r>
    </w:p>
    <w:tbl>
      <w:tblPr>
        <w:tblStyle w:val="DTFtexttable"/>
        <w:tblW w:w="0" w:type="auto"/>
        <w:tblLayout w:type="fixed"/>
        <w:tblLook w:val="04A0" w:firstRow="1" w:lastRow="0" w:firstColumn="1" w:lastColumn="0" w:noHBand="0" w:noVBand="1"/>
      </w:tblPr>
      <w:tblGrid>
        <w:gridCol w:w="2160"/>
        <w:gridCol w:w="818"/>
        <w:gridCol w:w="3322"/>
        <w:gridCol w:w="810"/>
        <w:gridCol w:w="844"/>
        <w:gridCol w:w="1072"/>
      </w:tblGrid>
      <w:tr w:rsidR="008C6A5B" w14:paraId="51E4E668" w14:textId="77777777" w:rsidTr="00226E3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60" w:type="dxa"/>
          </w:tcPr>
          <w:p w14:paraId="26CFBCCA" w14:textId="77777777" w:rsidR="008C6A5B" w:rsidRDefault="008C6A5B" w:rsidP="00226E33">
            <w:pPr>
              <w:pStyle w:val="Tableheader"/>
            </w:pPr>
            <w:r>
              <w:t>Name</w:t>
            </w:r>
          </w:p>
        </w:tc>
        <w:tc>
          <w:tcPr>
            <w:tcW w:w="818" w:type="dxa"/>
          </w:tcPr>
          <w:p w14:paraId="0A8A55B9" w14:textId="77777777" w:rsidR="008C6A5B" w:rsidRDefault="008C6A5B" w:rsidP="00226E33">
            <w:pPr>
              <w:pStyle w:val="Tableheader"/>
              <w:jc w:val="center"/>
              <w:cnfStyle w:val="100000000000" w:firstRow="1" w:lastRow="0" w:firstColumn="0" w:lastColumn="0" w:oddVBand="0" w:evenVBand="0" w:oddHBand="0" w:evenHBand="0" w:firstRowFirstColumn="0" w:firstRowLastColumn="0" w:lastRowFirstColumn="0" w:lastRowLastColumn="0"/>
            </w:pPr>
          </w:p>
        </w:tc>
        <w:tc>
          <w:tcPr>
            <w:tcW w:w="3322" w:type="dxa"/>
          </w:tcPr>
          <w:p w14:paraId="7807407E" w14:textId="77777777" w:rsidR="008C6A5B" w:rsidRDefault="008C6A5B" w:rsidP="00226E33">
            <w:pPr>
              <w:pStyle w:val="Tableheader"/>
              <w:cnfStyle w:val="100000000000" w:firstRow="1" w:lastRow="0" w:firstColumn="0" w:lastColumn="0" w:oddVBand="0" w:evenVBand="0" w:oddHBand="0" w:evenHBand="0" w:firstRowFirstColumn="0" w:firstRowLastColumn="0" w:lastRowFirstColumn="0" w:lastRowLastColumn="0"/>
            </w:pPr>
            <w:r>
              <w:t>Definition</w:t>
            </w:r>
          </w:p>
        </w:tc>
        <w:tc>
          <w:tcPr>
            <w:tcW w:w="810" w:type="dxa"/>
          </w:tcPr>
          <w:p w14:paraId="49421B02" w14:textId="77777777" w:rsidR="008C6A5B" w:rsidRDefault="008C6A5B" w:rsidP="00226E33">
            <w:pPr>
              <w:pStyle w:val="Tableheader"/>
              <w:jc w:val="right"/>
              <w:cnfStyle w:val="100000000000" w:firstRow="1" w:lastRow="0" w:firstColumn="0" w:lastColumn="0" w:oddVBand="0" w:evenVBand="0" w:oddHBand="0" w:evenHBand="0" w:firstRowFirstColumn="0" w:firstRowLastColumn="0" w:lastRowFirstColumn="0" w:lastRowLastColumn="0"/>
            </w:pPr>
            <w:r>
              <w:t>PNFC</w:t>
            </w:r>
          </w:p>
        </w:tc>
        <w:tc>
          <w:tcPr>
            <w:tcW w:w="844" w:type="dxa"/>
          </w:tcPr>
          <w:p w14:paraId="0812F1AC" w14:textId="77777777" w:rsidR="008C6A5B" w:rsidRDefault="008C6A5B" w:rsidP="00226E33">
            <w:pPr>
              <w:pStyle w:val="Tableheader"/>
              <w:jc w:val="right"/>
              <w:cnfStyle w:val="100000000000" w:firstRow="1" w:lastRow="0" w:firstColumn="0" w:lastColumn="0" w:oddVBand="0" w:evenVBand="0" w:oddHBand="0" w:evenHBand="0" w:firstRowFirstColumn="0" w:firstRowLastColumn="0" w:lastRowFirstColumn="0" w:lastRowLastColumn="0"/>
            </w:pPr>
            <w:r>
              <w:t>PFC</w:t>
            </w:r>
          </w:p>
        </w:tc>
        <w:tc>
          <w:tcPr>
            <w:tcW w:w="1072" w:type="dxa"/>
          </w:tcPr>
          <w:p w14:paraId="59CE1412" w14:textId="77777777" w:rsidR="008C6A5B" w:rsidRDefault="008C6A5B" w:rsidP="00226E33">
            <w:pPr>
              <w:pStyle w:val="Tableheader"/>
              <w:jc w:val="right"/>
              <w:cnfStyle w:val="100000000000" w:firstRow="1" w:lastRow="0" w:firstColumn="0" w:lastColumn="0" w:oddVBand="0" w:evenVBand="0" w:oddHBand="0" w:evenHBand="0" w:firstRowFirstColumn="0" w:firstRowLastColumn="0" w:lastRowFirstColumn="0" w:lastRowLastColumn="0"/>
            </w:pPr>
            <w:r>
              <w:t>Insurance</w:t>
            </w:r>
          </w:p>
        </w:tc>
      </w:tr>
      <w:tr w:rsidR="008C6A5B" w:rsidRPr="00226E33" w14:paraId="129061E4" w14:textId="77777777" w:rsidTr="00226E3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26" w:type="dxa"/>
            <w:gridSpan w:val="6"/>
            <w:shd w:val="clear" w:color="auto" w:fill="E0F5FC" w:themeFill="accent2" w:themeFillTint="33"/>
          </w:tcPr>
          <w:p w14:paraId="556804E3" w14:textId="77777777" w:rsidR="008C6A5B" w:rsidRPr="00226E33" w:rsidRDefault="008C6A5B" w:rsidP="00226E33">
            <w:pPr>
              <w:pStyle w:val="Tabletext"/>
            </w:pPr>
            <w:r w:rsidRPr="00226E33">
              <w:t>Financial KPIs</w:t>
            </w:r>
          </w:p>
        </w:tc>
      </w:tr>
      <w:tr w:rsidR="008C6A5B" w14:paraId="0AEF3F8E" w14:textId="77777777" w:rsidTr="00226E33">
        <w:tc>
          <w:tcPr>
            <w:cnfStyle w:val="001000000000" w:firstRow="0" w:lastRow="0" w:firstColumn="1" w:lastColumn="0" w:oddVBand="0" w:evenVBand="0" w:oddHBand="0" w:evenHBand="0" w:firstRowFirstColumn="0" w:firstRowLastColumn="0" w:lastRowFirstColumn="0" w:lastRowLastColumn="0"/>
            <w:tcW w:w="2160" w:type="dxa"/>
          </w:tcPr>
          <w:p w14:paraId="4808311C" w14:textId="77777777" w:rsidR="008C6A5B" w:rsidRDefault="008C6A5B" w:rsidP="00226E33">
            <w:pPr>
              <w:pStyle w:val="Tabletext"/>
            </w:pPr>
            <w:r w:rsidRPr="00E01371">
              <w:t xml:space="preserve">Capital structure </w:t>
            </w:r>
          </w:p>
        </w:tc>
        <w:tc>
          <w:tcPr>
            <w:tcW w:w="818" w:type="dxa"/>
          </w:tcPr>
          <w:p w14:paraId="7D50CB5F" w14:textId="77777777" w:rsidR="008C6A5B"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E01371">
              <w:t>%</w:t>
            </w:r>
          </w:p>
        </w:tc>
        <w:tc>
          <w:tcPr>
            <w:tcW w:w="3322" w:type="dxa"/>
          </w:tcPr>
          <w:p w14:paraId="1F96F14D" w14:textId="77777777" w:rsidR="008C6A5B" w:rsidRDefault="008C6A5B" w:rsidP="00226E33">
            <w:pPr>
              <w:pStyle w:val="Tabletext"/>
              <w:cnfStyle w:val="000000000000" w:firstRow="0" w:lastRow="0" w:firstColumn="0" w:lastColumn="0" w:oddVBand="0" w:evenVBand="0" w:oddHBand="0" w:evenHBand="0" w:firstRowFirstColumn="0" w:firstRowLastColumn="0" w:lastRowFirstColumn="0" w:lastRowLastColumn="0"/>
            </w:pPr>
            <w:r w:rsidRPr="00E01371">
              <w:t>Total liabilities</w:t>
            </w:r>
            <w:r>
              <w:t xml:space="preserve">: </w:t>
            </w:r>
            <w:r>
              <w:br/>
            </w:r>
            <w:r w:rsidRPr="00C556CA">
              <w:t>Total assets</w:t>
            </w:r>
          </w:p>
        </w:tc>
        <w:tc>
          <w:tcPr>
            <w:tcW w:w="810" w:type="dxa"/>
          </w:tcPr>
          <w:p w14:paraId="7CB3DF20"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c>
          <w:tcPr>
            <w:tcW w:w="844" w:type="dxa"/>
          </w:tcPr>
          <w:p w14:paraId="1B83CBC2"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c>
          <w:tcPr>
            <w:tcW w:w="1072" w:type="dxa"/>
          </w:tcPr>
          <w:p w14:paraId="2A2C9224"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r>
      <w:tr w:rsidR="008C6A5B" w14:paraId="65771213" w14:textId="77777777" w:rsidTr="00226E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765E136" w14:textId="77777777" w:rsidR="008C6A5B" w:rsidRDefault="008C6A5B" w:rsidP="00226E33">
            <w:pPr>
              <w:pStyle w:val="Tabletext"/>
            </w:pPr>
            <w:r w:rsidRPr="00E01371">
              <w:t xml:space="preserve">Current ratio </w:t>
            </w:r>
          </w:p>
        </w:tc>
        <w:tc>
          <w:tcPr>
            <w:tcW w:w="818" w:type="dxa"/>
          </w:tcPr>
          <w:p w14:paraId="3A7D980E" w14:textId="77777777" w:rsidR="008C6A5B"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E01371">
              <w:t>%</w:t>
            </w:r>
          </w:p>
        </w:tc>
        <w:tc>
          <w:tcPr>
            <w:tcW w:w="3322" w:type="dxa"/>
          </w:tcPr>
          <w:p w14:paraId="7F3F16D7" w14:textId="77777777" w:rsidR="008C6A5B" w:rsidRDefault="008C6A5B" w:rsidP="00226E33">
            <w:pPr>
              <w:pStyle w:val="Tabletext"/>
              <w:cnfStyle w:val="000000010000" w:firstRow="0" w:lastRow="0" w:firstColumn="0" w:lastColumn="0" w:oddVBand="0" w:evenVBand="0" w:oddHBand="0" w:evenHBand="1" w:firstRowFirstColumn="0" w:firstRowLastColumn="0" w:lastRowFirstColumn="0" w:lastRowLastColumn="0"/>
            </w:pPr>
            <w:r w:rsidRPr="00E01371">
              <w:t>Current assets</w:t>
            </w:r>
            <w:r>
              <w:t xml:space="preserve">: </w:t>
            </w:r>
            <w:r>
              <w:br/>
            </w:r>
            <w:r w:rsidRPr="00C556CA">
              <w:t>Current liabilities</w:t>
            </w:r>
          </w:p>
        </w:tc>
        <w:tc>
          <w:tcPr>
            <w:tcW w:w="810" w:type="dxa"/>
          </w:tcPr>
          <w:p w14:paraId="325C3A6E"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c>
          <w:tcPr>
            <w:tcW w:w="844" w:type="dxa"/>
          </w:tcPr>
          <w:p w14:paraId="173A5F69"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c>
          <w:tcPr>
            <w:tcW w:w="1072" w:type="dxa"/>
          </w:tcPr>
          <w:p w14:paraId="356B03A1"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p>
        </w:tc>
      </w:tr>
      <w:tr w:rsidR="008C6A5B" w14:paraId="77AA4686" w14:textId="77777777" w:rsidTr="00226E33">
        <w:tc>
          <w:tcPr>
            <w:cnfStyle w:val="001000000000" w:firstRow="0" w:lastRow="0" w:firstColumn="1" w:lastColumn="0" w:oddVBand="0" w:evenVBand="0" w:oddHBand="0" w:evenHBand="0" w:firstRowFirstColumn="0" w:firstRowLastColumn="0" w:lastRowFirstColumn="0" w:lastRowLastColumn="0"/>
            <w:tcW w:w="2160" w:type="dxa"/>
          </w:tcPr>
          <w:p w14:paraId="23FD53E5" w14:textId="77777777" w:rsidR="008C6A5B" w:rsidRDefault="008C6A5B" w:rsidP="00226E33">
            <w:pPr>
              <w:pStyle w:val="Tabletext"/>
            </w:pPr>
            <w:r w:rsidRPr="00E01371">
              <w:t xml:space="preserve">Distribution payout ratio </w:t>
            </w:r>
          </w:p>
        </w:tc>
        <w:tc>
          <w:tcPr>
            <w:tcW w:w="818" w:type="dxa"/>
          </w:tcPr>
          <w:p w14:paraId="48884EBC" w14:textId="77777777" w:rsidR="008C6A5B"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E01371">
              <w:t>%</w:t>
            </w:r>
          </w:p>
        </w:tc>
        <w:tc>
          <w:tcPr>
            <w:tcW w:w="3322" w:type="dxa"/>
          </w:tcPr>
          <w:p w14:paraId="30415445" w14:textId="4523CDDE" w:rsidR="008C6A5B" w:rsidRDefault="008C6A5B" w:rsidP="00226E33">
            <w:pPr>
              <w:pStyle w:val="Tabletext"/>
              <w:cnfStyle w:val="000000000000" w:firstRow="0" w:lastRow="0" w:firstColumn="0" w:lastColumn="0" w:oddVBand="0" w:evenVBand="0" w:oddHBand="0" w:evenHBand="0" w:firstRowFirstColumn="0" w:firstRowLastColumn="0" w:lastRowFirstColumn="0" w:lastRowLastColumn="0"/>
            </w:pPr>
            <w:r w:rsidRPr="00E01371">
              <w:t xml:space="preserve">(Dividend payment tax equivalent payment): </w:t>
            </w:r>
            <w:r>
              <w:br/>
            </w:r>
            <w:r w:rsidRPr="00C556CA">
              <w:t>(Profit before tax)</w:t>
            </w:r>
          </w:p>
        </w:tc>
        <w:tc>
          <w:tcPr>
            <w:tcW w:w="810" w:type="dxa"/>
          </w:tcPr>
          <w:p w14:paraId="554AA9F7"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c>
          <w:tcPr>
            <w:tcW w:w="844" w:type="dxa"/>
          </w:tcPr>
          <w:p w14:paraId="2C674CD6"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c>
          <w:tcPr>
            <w:tcW w:w="1072" w:type="dxa"/>
          </w:tcPr>
          <w:p w14:paraId="11FB7AFF"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r>
      <w:tr w:rsidR="008C6A5B" w14:paraId="70DD3600" w14:textId="77777777" w:rsidTr="00226E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A60843B" w14:textId="77777777" w:rsidR="008C6A5B" w:rsidRDefault="008C6A5B" w:rsidP="00226E33">
            <w:pPr>
              <w:pStyle w:val="Tabletext"/>
            </w:pPr>
            <w:r w:rsidRPr="00E01371">
              <w:t xml:space="preserve">Dividend payout ratio </w:t>
            </w:r>
          </w:p>
        </w:tc>
        <w:tc>
          <w:tcPr>
            <w:tcW w:w="818" w:type="dxa"/>
          </w:tcPr>
          <w:p w14:paraId="43BDA785" w14:textId="77777777" w:rsidR="008C6A5B"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E01371">
              <w:t>%</w:t>
            </w:r>
          </w:p>
        </w:tc>
        <w:tc>
          <w:tcPr>
            <w:tcW w:w="3322" w:type="dxa"/>
          </w:tcPr>
          <w:p w14:paraId="5DD07C38" w14:textId="77777777" w:rsidR="008C6A5B" w:rsidRDefault="008C6A5B" w:rsidP="00226E33">
            <w:pPr>
              <w:pStyle w:val="Tabletext"/>
              <w:cnfStyle w:val="000000010000" w:firstRow="0" w:lastRow="0" w:firstColumn="0" w:lastColumn="0" w:oddVBand="0" w:evenVBand="0" w:oddHBand="0" w:evenHBand="1" w:firstRowFirstColumn="0" w:firstRowLastColumn="0" w:lastRowFirstColumn="0" w:lastRowLastColumn="0"/>
            </w:pPr>
            <w:r w:rsidRPr="00E01371">
              <w:t xml:space="preserve">Dividend Payment: </w:t>
            </w:r>
            <w:r>
              <w:br/>
            </w:r>
            <w:r w:rsidRPr="00E01371">
              <w:t>Net profit after tax</w:t>
            </w:r>
          </w:p>
        </w:tc>
        <w:tc>
          <w:tcPr>
            <w:tcW w:w="810" w:type="dxa"/>
          </w:tcPr>
          <w:p w14:paraId="223A678F"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c>
          <w:tcPr>
            <w:tcW w:w="844" w:type="dxa"/>
          </w:tcPr>
          <w:p w14:paraId="35A38C0D"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c>
          <w:tcPr>
            <w:tcW w:w="1072" w:type="dxa"/>
          </w:tcPr>
          <w:p w14:paraId="5E40A3EA"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r>
      <w:tr w:rsidR="008C6A5B" w14:paraId="3585B9CC" w14:textId="77777777" w:rsidTr="00226E33">
        <w:tc>
          <w:tcPr>
            <w:cnfStyle w:val="001000000000" w:firstRow="0" w:lastRow="0" w:firstColumn="1" w:lastColumn="0" w:oddVBand="0" w:evenVBand="0" w:oddHBand="0" w:evenHBand="0" w:firstRowFirstColumn="0" w:firstRowLastColumn="0" w:lastRowFirstColumn="0" w:lastRowLastColumn="0"/>
            <w:tcW w:w="2160" w:type="dxa"/>
          </w:tcPr>
          <w:p w14:paraId="716D90B6" w14:textId="77777777" w:rsidR="008C6A5B" w:rsidRDefault="008C6A5B" w:rsidP="00226E33">
            <w:pPr>
              <w:pStyle w:val="Tabletext"/>
            </w:pPr>
            <w:r w:rsidRPr="00E01371">
              <w:t>Gearing ratio</w:t>
            </w:r>
          </w:p>
        </w:tc>
        <w:tc>
          <w:tcPr>
            <w:tcW w:w="818" w:type="dxa"/>
          </w:tcPr>
          <w:p w14:paraId="135599EB" w14:textId="77777777" w:rsidR="008C6A5B"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E01371">
              <w:t>%</w:t>
            </w:r>
          </w:p>
        </w:tc>
        <w:tc>
          <w:tcPr>
            <w:tcW w:w="3322" w:type="dxa"/>
          </w:tcPr>
          <w:p w14:paraId="55FE9354" w14:textId="77777777" w:rsidR="008C6A5B" w:rsidRDefault="008C6A5B" w:rsidP="00226E33">
            <w:pPr>
              <w:pStyle w:val="Tabletext"/>
              <w:cnfStyle w:val="000000000000" w:firstRow="0" w:lastRow="0" w:firstColumn="0" w:lastColumn="0" w:oddVBand="0" w:evenVBand="0" w:oddHBand="0" w:evenHBand="0" w:firstRowFirstColumn="0" w:firstRowLastColumn="0" w:lastRowFirstColumn="0" w:lastRowLastColumn="0"/>
            </w:pPr>
            <w:r w:rsidRPr="00E01371">
              <w:t>Total debt: Total assets</w:t>
            </w:r>
          </w:p>
        </w:tc>
        <w:tc>
          <w:tcPr>
            <w:tcW w:w="810" w:type="dxa"/>
          </w:tcPr>
          <w:p w14:paraId="2266D7E2"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c>
          <w:tcPr>
            <w:tcW w:w="844" w:type="dxa"/>
          </w:tcPr>
          <w:p w14:paraId="5E74AED3"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c>
          <w:tcPr>
            <w:tcW w:w="1072" w:type="dxa"/>
          </w:tcPr>
          <w:p w14:paraId="3D63B78F"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r>
      <w:tr w:rsidR="008C6A5B" w14:paraId="14AC6F35" w14:textId="77777777" w:rsidTr="00226E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635A092" w14:textId="77777777" w:rsidR="008C6A5B" w:rsidRDefault="008C6A5B" w:rsidP="00226E33">
            <w:pPr>
              <w:pStyle w:val="Tabletext"/>
            </w:pPr>
            <w:r w:rsidRPr="00E01371">
              <w:t>Interest cover, cash</w:t>
            </w:r>
          </w:p>
        </w:tc>
        <w:tc>
          <w:tcPr>
            <w:tcW w:w="818" w:type="dxa"/>
          </w:tcPr>
          <w:p w14:paraId="325DFC99" w14:textId="77777777" w:rsidR="008C6A5B"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E01371">
              <w:t>times</w:t>
            </w:r>
          </w:p>
        </w:tc>
        <w:tc>
          <w:tcPr>
            <w:tcW w:w="3322" w:type="dxa"/>
          </w:tcPr>
          <w:p w14:paraId="5AB04136" w14:textId="2C51EC8B" w:rsidR="008C6A5B" w:rsidRDefault="008C6A5B" w:rsidP="00226E33">
            <w:pPr>
              <w:pStyle w:val="Tabletext"/>
              <w:cnfStyle w:val="000000010000" w:firstRow="0" w:lastRow="0" w:firstColumn="0" w:lastColumn="0" w:oddVBand="0" w:evenVBand="0" w:oddHBand="0" w:evenHBand="1" w:firstRowFirstColumn="0" w:firstRowLastColumn="0" w:lastRowFirstColumn="0" w:lastRowLastColumn="0"/>
            </w:pPr>
            <w:r w:rsidRPr="00E01371">
              <w:t>Cash flow from operations before net interest and tax payments</w:t>
            </w:r>
            <w:r w:rsidR="00C8656E">
              <w:t>/</w:t>
            </w:r>
            <w:r w:rsidRPr="00E01371">
              <w:t>Net interest payments</w:t>
            </w:r>
          </w:p>
        </w:tc>
        <w:tc>
          <w:tcPr>
            <w:tcW w:w="810" w:type="dxa"/>
          </w:tcPr>
          <w:p w14:paraId="36C2A755"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c>
          <w:tcPr>
            <w:tcW w:w="844" w:type="dxa"/>
          </w:tcPr>
          <w:p w14:paraId="649A453D"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p>
        </w:tc>
        <w:tc>
          <w:tcPr>
            <w:tcW w:w="1072" w:type="dxa"/>
          </w:tcPr>
          <w:p w14:paraId="0D5F1B71"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p>
        </w:tc>
      </w:tr>
      <w:tr w:rsidR="008C6A5B" w14:paraId="0EB835DE" w14:textId="77777777" w:rsidTr="00226E33">
        <w:tc>
          <w:tcPr>
            <w:cnfStyle w:val="001000000000" w:firstRow="0" w:lastRow="0" w:firstColumn="1" w:lastColumn="0" w:oddVBand="0" w:evenVBand="0" w:oddHBand="0" w:evenHBand="0" w:firstRowFirstColumn="0" w:firstRowLastColumn="0" w:lastRowFirstColumn="0" w:lastRowLastColumn="0"/>
            <w:tcW w:w="2160" w:type="dxa"/>
          </w:tcPr>
          <w:p w14:paraId="3632FDBA" w14:textId="77777777" w:rsidR="008C6A5B" w:rsidRDefault="008C6A5B" w:rsidP="00226E33">
            <w:pPr>
              <w:pStyle w:val="Tabletext"/>
            </w:pPr>
            <w:r w:rsidRPr="00E01371">
              <w:t xml:space="preserve">Interest cover, EBIT </w:t>
            </w:r>
          </w:p>
        </w:tc>
        <w:tc>
          <w:tcPr>
            <w:tcW w:w="818" w:type="dxa"/>
          </w:tcPr>
          <w:p w14:paraId="5D3C8842" w14:textId="77777777" w:rsidR="008C6A5B"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E01371">
              <w:t>times</w:t>
            </w:r>
          </w:p>
        </w:tc>
        <w:tc>
          <w:tcPr>
            <w:tcW w:w="3322" w:type="dxa"/>
          </w:tcPr>
          <w:p w14:paraId="764434F3" w14:textId="4F81F064" w:rsidR="008C6A5B" w:rsidRDefault="008C6A5B" w:rsidP="00226E33">
            <w:pPr>
              <w:pStyle w:val="Tabletext"/>
              <w:cnfStyle w:val="000000000000" w:firstRow="0" w:lastRow="0" w:firstColumn="0" w:lastColumn="0" w:oddVBand="0" w:evenVBand="0" w:oddHBand="0" w:evenHBand="0" w:firstRowFirstColumn="0" w:firstRowLastColumn="0" w:lastRowFirstColumn="0" w:lastRowLastColumn="0"/>
            </w:pPr>
            <w:r w:rsidRPr="00E01371">
              <w:t>EBIT</w:t>
            </w:r>
            <w:r w:rsidR="00C8656E">
              <w:t>/</w:t>
            </w:r>
            <w:r w:rsidRPr="00E01371">
              <w:t>Net interest expense</w:t>
            </w:r>
          </w:p>
        </w:tc>
        <w:tc>
          <w:tcPr>
            <w:tcW w:w="810" w:type="dxa"/>
          </w:tcPr>
          <w:p w14:paraId="31B03A7A"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c>
          <w:tcPr>
            <w:tcW w:w="844" w:type="dxa"/>
          </w:tcPr>
          <w:p w14:paraId="50C018E2"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c>
          <w:tcPr>
            <w:tcW w:w="1072" w:type="dxa"/>
          </w:tcPr>
          <w:p w14:paraId="748789A3"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r>
      <w:tr w:rsidR="008C6A5B" w14:paraId="37013570" w14:textId="77777777" w:rsidTr="00226E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BF73EAB" w14:textId="77777777" w:rsidR="008C6A5B" w:rsidRDefault="008C6A5B" w:rsidP="00226E33">
            <w:pPr>
              <w:pStyle w:val="Tabletext"/>
            </w:pPr>
            <w:r w:rsidRPr="00E01371">
              <w:t>Return on assets</w:t>
            </w:r>
          </w:p>
        </w:tc>
        <w:tc>
          <w:tcPr>
            <w:tcW w:w="818" w:type="dxa"/>
          </w:tcPr>
          <w:p w14:paraId="672C08BA" w14:textId="77777777" w:rsidR="008C6A5B"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E01371">
              <w:t>%</w:t>
            </w:r>
          </w:p>
        </w:tc>
        <w:tc>
          <w:tcPr>
            <w:tcW w:w="3322" w:type="dxa"/>
          </w:tcPr>
          <w:p w14:paraId="1F57A2E9" w14:textId="0206C757" w:rsidR="008C6A5B" w:rsidRDefault="008C6A5B" w:rsidP="00226E33">
            <w:pPr>
              <w:pStyle w:val="Tabletext"/>
              <w:cnfStyle w:val="000000010000" w:firstRow="0" w:lastRow="0" w:firstColumn="0" w:lastColumn="0" w:oddVBand="0" w:evenVBand="0" w:oddHBand="0" w:evenHBand="1" w:firstRowFirstColumn="0" w:firstRowLastColumn="0" w:lastRowFirstColumn="0" w:lastRowLastColumn="0"/>
            </w:pPr>
            <w:r w:rsidRPr="00E01371">
              <w:t>EBNIT</w:t>
            </w:r>
            <w:r w:rsidR="00C8656E">
              <w:t>/</w:t>
            </w:r>
            <w:r w:rsidRPr="00E01371">
              <w:t>Average assets</w:t>
            </w:r>
          </w:p>
        </w:tc>
        <w:tc>
          <w:tcPr>
            <w:tcW w:w="810" w:type="dxa"/>
          </w:tcPr>
          <w:p w14:paraId="0011883C"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c>
          <w:tcPr>
            <w:tcW w:w="844" w:type="dxa"/>
          </w:tcPr>
          <w:p w14:paraId="3BA41321"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c>
          <w:tcPr>
            <w:tcW w:w="1072" w:type="dxa"/>
          </w:tcPr>
          <w:p w14:paraId="207EAEB6"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r>
      <w:tr w:rsidR="008C6A5B" w14:paraId="44184D48" w14:textId="77777777" w:rsidTr="00226E33">
        <w:tc>
          <w:tcPr>
            <w:cnfStyle w:val="001000000000" w:firstRow="0" w:lastRow="0" w:firstColumn="1" w:lastColumn="0" w:oddVBand="0" w:evenVBand="0" w:oddHBand="0" w:evenHBand="0" w:firstRowFirstColumn="0" w:firstRowLastColumn="0" w:lastRowFirstColumn="0" w:lastRowLastColumn="0"/>
            <w:tcW w:w="2160" w:type="dxa"/>
          </w:tcPr>
          <w:p w14:paraId="446BE1CE" w14:textId="77777777" w:rsidR="008C6A5B" w:rsidRDefault="008C6A5B" w:rsidP="00226E33">
            <w:pPr>
              <w:pStyle w:val="Tabletext"/>
            </w:pPr>
            <w:r w:rsidRPr="00E01371">
              <w:t>Return on equity</w:t>
            </w:r>
          </w:p>
        </w:tc>
        <w:tc>
          <w:tcPr>
            <w:tcW w:w="818" w:type="dxa"/>
          </w:tcPr>
          <w:p w14:paraId="79C266B0" w14:textId="77777777" w:rsidR="008C6A5B"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E01371">
              <w:t>%</w:t>
            </w:r>
          </w:p>
        </w:tc>
        <w:tc>
          <w:tcPr>
            <w:tcW w:w="3322" w:type="dxa"/>
          </w:tcPr>
          <w:p w14:paraId="31EA5963" w14:textId="5514120E" w:rsidR="008C6A5B" w:rsidRDefault="008C6A5B" w:rsidP="00226E33">
            <w:pPr>
              <w:pStyle w:val="Tabletext"/>
              <w:cnfStyle w:val="000000000000" w:firstRow="0" w:lastRow="0" w:firstColumn="0" w:lastColumn="0" w:oddVBand="0" w:evenVBand="0" w:oddHBand="0" w:evenHBand="0" w:firstRowFirstColumn="0" w:firstRowLastColumn="0" w:lastRowFirstColumn="0" w:lastRowLastColumn="0"/>
            </w:pPr>
            <w:r w:rsidRPr="00E01371">
              <w:t>Net profit after tax</w:t>
            </w:r>
            <w:r w:rsidR="00C8656E">
              <w:t>/</w:t>
            </w:r>
            <w:r w:rsidRPr="00E01371">
              <w:t>Average equit</w:t>
            </w:r>
            <w:r>
              <w:t>y</w:t>
            </w:r>
          </w:p>
        </w:tc>
        <w:tc>
          <w:tcPr>
            <w:tcW w:w="810" w:type="dxa"/>
          </w:tcPr>
          <w:p w14:paraId="0673F0BA"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c>
          <w:tcPr>
            <w:tcW w:w="844" w:type="dxa"/>
          </w:tcPr>
          <w:p w14:paraId="28E6C72B"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c>
          <w:tcPr>
            <w:tcW w:w="1072" w:type="dxa"/>
          </w:tcPr>
          <w:p w14:paraId="38738DEB"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r>
      <w:tr w:rsidR="008C6A5B" w14:paraId="429C2E4B" w14:textId="77777777" w:rsidTr="00226E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359A5FC" w14:textId="77777777" w:rsidR="008C6A5B" w:rsidRDefault="008C6A5B" w:rsidP="00226E33">
            <w:pPr>
              <w:pStyle w:val="Tabletext"/>
            </w:pPr>
            <w:r w:rsidRPr="00E01371">
              <w:t>Sales margin</w:t>
            </w:r>
          </w:p>
        </w:tc>
        <w:tc>
          <w:tcPr>
            <w:tcW w:w="818" w:type="dxa"/>
          </w:tcPr>
          <w:p w14:paraId="5141A4CA" w14:textId="77777777" w:rsidR="008C6A5B"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E01371">
              <w:t>$</w:t>
            </w:r>
          </w:p>
        </w:tc>
        <w:tc>
          <w:tcPr>
            <w:tcW w:w="3322" w:type="dxa"/>
          </w:tcPr>
          <w:p w14:paraId="5E5BB71E" w14:textId="3487D6E8" w:rsidR="008C6A5B" w:rsidRDefault="008C6A5B" w:rsidP="00226E33">
            <w:pPr>
              <w:pStyle w:val="Tabletext"/>
              <w:cnfStyle w:val="000000010000" w:firstRow="0" w:lastRow="0" w:firstColumn="0" w:lastColumn="0" w:oddVBand="0" w:evenVBand="0" w:oddHBand="0" w:evenHBand="1" w:firstRowFirstColumn="0" w:firstRowLastColumn="0" w:lastRowFirstColumn="0" w:lastRowLastColumn="0"/>
            </w:pPr>
            <w:r w:rsidRPr="00E01371">
              <w:t>EBIT</w:t>
            </w:r>
            <w:r w:rsidR="00C8656E">
              <w:t>/</w:t>
            </w:r>
            <w:r w:rsidRPr="00E01371">
              <w:t>Sales revenue</w:t>
            </w:r>
          </w:p>
        </w:tc>
        <w:tc>
          <w:tcPr>
            <w:tcW w:w="810" w:type="dxa"/>
          </w:tcPr>
          <w:p w14:paraId="7F8CDCA6"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c>
          <w:tcPr>
            <w:tcW w:w="844" w:type="dxa"/>
          </w:tcPr>
          <w:p w14:paraId="59F9DBF1"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p>
        </w:tc>
        <w:tc>
          <w:tcPr>
            <w:tcW w:w="1072" w:type="dxa"/>
          </w:tcPr>
          <w:p w14:paraId="61778E55"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p>
        </w:tc>
      </w:tr>
      <w:tr w:rsidR="008C6A5B" w14:paraId="0F63CED4" w14:textId="77777777" w:rsidTr="00226E33">
        <w:tc>
          <w:tcPr>
            <w:cnfStyle w:val="001000000000" w:firstRow="0" w:lastRow="0" w:firstColumn="1" w:lastColumn="0" w:oddVBand="0" w:evenVBand="0" w:oddHBand="0" w:evenHBand="0" w:firstRowFirstColumn="0" w:firstRowLastColumn="0" w:lastRowFirstColumn="0" w:lastRowLastColumn="0"/>
            <w:tcW w:w="2160" w:type="dxa"/>
          </w:tcPr>
          <w:p w14:paraId="7CA8BDCC" w14:textId="77777777" w:rsidR="008C6A5B" w:rsidRDefault="008C6A5B" w:rsidP="00226E33">
            <w:pPr>
              <w:pStyle w:val="Tabletext"/>
            </w:pPr>
            <w:r w:rsidRPr="00E01371">
              <w:t>Cash flow from operations before net interest and tax</w:t>
            </w:r>
          </w:p>
        </w:tc>
        <w:tc>
          <w:tcPr>
            <w:tcW w:w="818" w:type="dxa"/>
          </w:tcPr>
          <w:p w14:paraId="7086310B" w14:textId="77777777" w:rsidR="008C6A5B"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E01371">
              <w:t>$</w:t>
            </w:r>
          </w:p>
        </w:tc>
        <w:tc>
          <w:tcPr>
            <w:tcW w:w="3322" w:type="dxa"/>
          </w:tcPr>
          <w:p w14:paraId="67146F9A" w14:textId="77777777" w:rsidR="008C6A5B" w:rsidRDefault="008C6A5B" w:rsidP="00226E33">
            <w:pPr>
              <w:pStyle w:val="Tabletext"/>
              <w:cnfStyle w:val="000000000000" w:firstRow="0" w:lastRow="0" w:firstColumn="0" w:lastColumn="0" w:oddVBand="0" w:evenVBand="0" w:oddHBand="0" w:evenHBand="0" w:firstRowFirstColumn="0" w:firstRowLastColumn="0" w:lastRowFirstColumn="0" w:lastRowLastColumn="0"/>
            </w:pPr>
            <w:r w:rsidRPr="00E01371">
              <w:t>Net cash flow from operating activities less interest received less interest and other costs of finance paid</w:t>
            </w:r>
          </w:p>
        </w:tc>
        <w:tc>
          <w:tcPr>
            <w:tcW w:w="810" w:type="dxa"/>
          </w:tcPr>
          <w:p w14:paraId="160A437C"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c>
          <w:tcPr>
            <w:tcW w:w="844" w:type="dxa"/>
          </w:tcPr>
          <w:p w14:paraId="22CBAC0A"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c>
          <w:tcPr>
            <w:tcW w:w="1072" w:type="dxa"/>
          </w:tcPr>
          <w:p w14:paraId="7A93B3C0"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r>
      <w:tr w:rsidR="008C6A5B" w14:paraId="46AD28C1" w14:textId="77777777" w:rsidTr="00226E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3025B15" w14:textId="77777777" w:rsidR="008C6A5B" w:rsidRDefault="008C6A5B" w:rsidP="00226E33">
            <w:pPr>
              <w:pStyle w:val="Tabletext"/>
            </w:pPr>
            <w:r w:rsidRPr="00E01371">
              <w:t xml:space="preserve">EBIT </w:t>
            </w:r>
          </w:p>
        </w:tc>
        <w:tc>
          <w:tcPr>
            <w:tcW w:w="818" w:type="dxa"/>
          </w:tcPr>
          <w:p w14:paraId="0C6CF3B9" w14:textId="77777777" w:rsidR="008C6A5B"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E01371">
              <w:t>$</w:t>
            </w:r>
          </w:p>
        </w:tc>
        <w:tc>
          <w:tcPr>
            <w:tcW w:w="3322" w:type="dxa"/>
          </w:tcPr>
          <w:p w14:paraId="4ACEB170" w14:textId="77777777" w:rsidR="008C6A5B" w:rsidRDefault="008C6A5B" w:rsidP="00226E33">
            <w:pPr>
              <w:pStyle w:val="Tabletext"/>
              <w:cnfStyle w:val="000000010000" w:firstRow="0" w:lastRow="0" w:firstColumn="0" w:lastColumn="0" w:oddVBand="0" w:evenVBand="0" w:oddHBand="0" w:evenHBand="1" w:firstRowFirstColumn="0" w:firstRowLastColumn="0" w:lastRowFirstColumn="0" w:lastRowLastColumn="0"/>
            </w:pPr>
            <w:r w:rsidRPr="00E01371">
              <w:t xml:space="preserve">Total revenue less Total expenses before finance and tax expenses </w:t>
            </w:r>
          </w:p>
        </w:tc>
        <w:tc>
          <w:tcPr>
            <w:tcW w:w="810" w:type="dxa"/>
          </w:tcPr>
          <w:p w14:paraId="7679ED1E"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c>
          <w:tcPr>
            <w:tcW w:w="844" w:type="dxa"/>
          </w:tcPr>
          <w:p w14:paraId="3E8A87D7"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p>
        </w:tc>
        <w:tc>
          <w:tcPr>
            <w:tcW w:w="1072" w:type="dxa"/>
          </w:tcPr>
          <w:p w14:paraId="638A2B54"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p>
        </w:tc>
      </w:tr>
      <w:tr w:rsidR="008C6A5B" w14:paraId="342181CE" w14:textId="77777777" w:rsidTr="00226E33">
        <w:tc>
          <w:tcPr>
            <w:cnfStyle w:val="001000000000" w:firstRow="0" w:lastRow="0" w:firstColumn="1" w:lastColumn="0" w:oddVBand="0" w:evenVBand="0" w:oddHBand="0" w:evenHBand="0" w:firstRowFirstColumn="0" w:firstRowLastColumn="0" w:lastRowFirstColumn="0" w:lastRowLastColumn="0"/>
            <w:tcW w:w="2160" w:type="dxa"/>
          </w:tcPr>
          <w:p w14:paraId="7C015BE3" w14:textId="77777777" w:rsidR="008C6A5B" w:rsidRDefault="008C6A5B" w:rsidP="00226E33">
            <w:pPr>
              <w:pStyle w:val="Tabletext"/>
            </w:pPr>
            <w:r w:rsidRPr="00E01371">
              <w:t>EBNIT</w:t>
            </w:r>
          </w:p>
        </w:tc>
        <w:tc>
          <w:tcPr>
            <w:tcW w:w="818" w:type="dxa"/>
          </w:tcPr>
          <w:p w14:paraId="5B2F0342" w14:textId="77777777" w:rsidR="008C6A5B"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E01371">
              <w:t>$</w:t>
            </w:r>
          </w:p>
        </w:tc>
        <w:tc>
          <w:tcPr>
            <w:tcW w:w="3322" w:type="dxa"/>
          </w:tcPr>
          <w:p w14:paraId="359CD51E" w14:textId="77777777" w:rsidR="008C6A5B" w:rsidRDefault="008C6A5B" w:rsidP="00226E33">
            <w:pPr>
              <w:pStyle w:val="Tabletext"/>
              <w:cnfStyle w:val="000000000000" w:firstRow="0" w:lastRow="0" w:firstColumn="0" w:lastColumn="0" w:oddVBand="0" w:evenVBand="0" w:oddHBand="0" w:evenHBand="0" w:firstRowFirstColumn="0" w:firstRowLastColumn="0" w:lastRowFirstColumn="0" w:lastRowLastColumn="0"/>
            </w:pPr>
            <w:r w:rsidRPr="00E01371">
              <w:t>EBIT less Interest income</w:t>
            </w:r>
          </w:p>
        </w:tc>
        <w:tc>
          <w:tcPr>
            <w:tcW w:w="810" w:type="dxa"/>
          </w:tcPr>
          <w:p w14:paraId="5CA8A714"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c>
          <w:tcPr>
            <w:tcW w:w="844" w:type="dxa"/>
          </w:tcPr>
          <w:p w14:paraId="4D1E9989"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c>
          <w:tcPr>
            <w:tcW w:w="1072" w:type="dxa"/>
          </w:tcPr>
          <w:p w14:paraId="29F4EC7F"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r>
      <w:tr w:rsidR="008C6A5B" w14:paraId="486C4DD4" w14:textId="77777777" w:rsidTr="00226E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47D821F" w14:textId="77777777" w:rsidR="008C6A5B" w:rsidRPr="00E01371" w:rsidRDefault="008C6A5B" w:rsidP="00226E33">
            <w:pPr>
              <w:pStyle w:val="Tabletext"/>
            </w:pPr>
            <w:r w:rsidRPr="006A5ACE">
              <w:lastRenderedPageBreak/>
              <w:t>Debtors age (days)</w:t>
            </w:r>
          </w:p>
        </w:tc>
        <w:tc>
          <w:tcPr>
            <w:tcW w:w="818" w:type="dxa"/>
          </w:tcPr>
          <w:p w14:paraId="5DF5A146" w14:textId="77777777" w:rsidR="008C6A5B" w:rsidRPr="00E01371"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6A5ACE">
              <w:t>days</w:t>
            </w:r>
          </w:p>
        </w:tc>
        <w:tc>
          <w:tcPr>
            <w:tcW w:w="3322" w:type="dxa"/>
          </w:tcPr>
          <w:p w14:paraId="3338D53E" w14:textId="77777777" w:rsidR="008C6A5B" w:rsidRPr="00E01371" w:rsidRDefault="008C6A5B" w:rsidP="00226E33">
            <w:pPr>
              <w:pStyle w:val="Tabletext"/>
              <w:cnfStyle w:val="000000010000" w:firstRow="0" w:lastRow="0" w:firstColumn="0" w:lastColumn="0" w:oddVBand="0" w:evenVBand="0" w:oddHBand="0" w:evenHBand="1" w:firstRowFirstColumn="0" w:firstRowLastColumn="0" w:lastRowFirstColumn="0" w:lastRowLastColumn="0"/>
            </w:pPr>
            <w:r w:rsidRPr="006A5ACE">
              <w:t>(debtors/revenue) x 365</w:t>
            </w:r>
          </w:p>
        </w:tc>
        <w:tc>
          <w:tcPr>
            <w:tcW w:w="810" w:type="dxa"/>
          </w:tcPr>
          <w:p w14:paraId="26598B0F"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c>
          <w:tcPr>
            <w:tcW w:w="844" w:type="dxa"/>
          </w:tcPr>
          <w:p w14:paraId="543888A1"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p>
        </w:tc>
        <w:tc>
          <w:tcPr>
            <w:tcW w:w="1072" w:type="dxa"/>
          </w:tcPr>
          <w:p w14:paraId="17DE5B96"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p>
        </w:tc>
      </w:tr>
      <w:tr w:rsidR="008C6A5B" w14:paraId="6BAD400E" w14:textId="77777777" w:rsidTr="00226E33">
        <w:tc>
          <w:tcPr>
            <w:cnfStyle w:val="001000000000" w:firstRow="0" w:lastRow="0" w:firstColumn="1" w:lastColumn="0" w:oddVBand="0" w:evenVBand="0" w:oddHBand="0" w:evenHBand="0" w:firstRowFirstColumn="0" w:firstRowLastColumn="0" w:lastRowFirstColumn="0" w:lastRowLastColumn="0"/>
            <w:tcW w:w="2160" w:type="dxa"/>
          </w:tcPr>
          <w:p w14:paraId="7DF28AAA" w14:textId="77777777" w:rsidR="008C6A5B" w:rsidRPr="00E01371" w:rsidRDefault="008C6A5B" w:rsidP="00226E33">
            <w:pPr>
              <w:pStyle w:val="Tabletext"/>
            </w:pPr>
            <w:r w:rsidRPr="006A5ACE">
              <w:t xml:space="preserve">Average assets </w:t>
            </w:r>
          </w:p>
        </w:tc>
        <w:tc>
          <w:tcPr>
            <w:tcW w:w="818" w:type="dxa"/>
          </w:tcPr>
          <w:p w14:paraId="5CBE94FE" w14:textId="77777777" w:rsidR="008C6A5B" w:rsidRPr="00E01371"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6A5ACE">
              <w:t>$</w:t>
            </w:r>
          </w:p>
        </w:tc>
        <w:tc>
          <w:tcPr>
            <w:tcW w:w="3322" w:type="dxa"/>
          </w:tcPr>
          <w:p w14:paraId="1666AA38" w14:textId="3E48E501" w:rsidR="008C6A5B" w:rsidRPr="00E01371" w:rsidRDefault="008C6A5B" w:rsidP="00226E33">
            <w:pPr>
              <w:pStyle w:val="Tabletext"/>
              <w:cnfStyle w:val="000000000000" w:firstRow="0" w:lastRow="0" w:firstColumn="0" w:lastColumn="0" w:oddVBand="0" w:evenVBand="0" w:oddHBand="0" w:evenHBand="0" w:firstRowFirstColumn="0" w:firstRowLastColumn="0" w:lastRowFirstColumn="0" w:lastRowLastColumn="0"/>
            </w:pPr>
            <w:r w:rsidRPr="006A5ACE">
              <w:t>(Total assets at the start of the period + total assets at the end of the period)</w:t>
            </w:r>
            <w:r w:rsidR="00C8656E">
              <w:t>/</w:t>
            </w:r>
            <w:r w:rsidRPr="006A5ACE">
              <w:t>2</w:t>
            </w:r>
          </w:p>
        </w:tc>
        <w:tc>
          <w:tcPr>
            <w:tcW w:w="810" w:type="dxa"/>
          </w:tcPr>
          <w:p w14:paraId="7B9CE6EE"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c>
          <w:tcPr>
            <w:tcW w:w="844" w:type="dxa"/>
          </w:tcPr>
          <w:p w14:paraId="4D542854"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c>
          <w:tcPr>
            <w:tcW w:w="1072" w:type="dxa"/>
          </w:tcPr>
          <w:p w14:paraId="309BFFB3"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r>
      <w:tr w:rsidR="008C6A5B" w14:paraId="18EBAFFE" w14:textId="77777777" w:rsidTr="00226E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07F449B" w14:textId="77777777" w:rsidR="008C6A5B" w:rsidRPr="00E01371" w:rsidRDefault="008C6A5B" w:rsidP="00226E33">
            <w:pPr>
              <w:pStyle w:val="Tabletext"/>
            </w:pPr>
            <w:r w:rsidRPr="006A5ACE">
              <w:t xml:space="preserve">Average equity </w:t>
            </w:r>
          </w:p>
        </w:tc>
        <w:tc>
          <w:tcPr>
            <w:tcW w:w="818" w:type="dxa"/>
          </w:tcPr>
          <w:p w14:paraId="5D77E152" w14:textId="77777777" w:rsidR="008C6A5B" w:rsidRPr="00E01371"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6A5ACE">
              <w:t>$</w:t>
            </w:r>
          </w:p>
        </w:tc>
        <w:tc>
          <w:tcPr>
            <w:tcW w:w="3322" w:type="dxa"/>
          </w:tcPr>
          <w:p w14:paraId="5B0C0019" w14:textId="6E6B3CF5" w:rsidR="008C6A5B" w:rsidRPr="00E01371" w:rsidRDefault="008C6A5B" w:rsidP="00226E33">
            <w:pPr>
              <w:pStyle w:val="Tabletext"/>
              <w:cnfStyle w:val="000000010000" w:firstRow="0" w:lastRow="0" w:firstColumn="0" w:lastColumn="0" w:oddVBand="0" w:evenVBand="0" w:oddHBand="0" w:evenHBand="1" w:firstRowFirstColumn="0" w:firstRowLastColumn="0" w:lastRowFirstColumn="0" w:lastRowLastColumn="0"/>
            </w:pPr>
            <w:r w:rsidRPr="006A5ACE">
              <w:t>(Total equity at the start of the period + total equity at the end of the period)</w:t>
            </w:r>
            <w:r w:rsidR="00C8656E">
              <w:t>/</w:t>
            </w:r>
            <w:r w:rsidRPr="006A5ACE">
              <w:t>2</w:t>
            </w:r>
          </w:p>
        </w:tc>
        <w:tc>
          <w:tcPr>
            <w:tcW w:w="810" w:type="dxa"/>
          </w:tcPr>
          <w:p w14:paraId="766C9BD7"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c>
          <w:tcPr>
            <w:tcW w:w="844" w:type="dxa"/>
          </w:tcPr>
          <w:p w14:paraId="3FA3825D"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p>
        </w:tc>
        <w:tc>
          <w:tcPr>
            <w:tcW w:w="1072" w:type="dxa"/>
          </w:tcPr>
          <w:p w14:paraId="7ECCFBFA"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p>
        </w:tc>
      </w:tr>
      <w:tr w:rsidR="008C6A5B" w14:paraId="15A57CD3" w14:textId="77777777" w:rsidTr="00226E33">
        <w:tc>
          <w:tcPr>
            <w:cnfStyle w:val="001000000000" w:firstRow="0" w:lastRow="0" w:firstColumn="1" w:lastColumn="0" w:oddVBand="0" w:evenVBand="0" w:oddHBand="0" w:evenHBand="0" w:firstRowFirstColumn="0" w:firstRowLastColumn="0" w:lastRowFirstColumn="0" w:lastRowLastColumn="0"/>
            <w:tcW w:w="2160" w:type="dxa"/>
          </w:tcPr>
          <w:p w14:paraId="24CB54A7" w14:textId="77777777" w:rsidR="008C6A5B" w:rsidRPr="00E01371" w:rsidRDefault="008C6A5B" w:rsidP="00226E33">
            <w:pPr>
              <w:pStyle w:val="Tabletext"/>
            </w:pPr>
            <w:r w:rsidRPr="006A5ACE">
              <w:t>Asset replacement ratio</w:t>
            </w:r>
          </w:p>
        </w:tc>
        <w:tc>
          <w:tcPr>
            <w:tcW w:w="818" w:type="dxa"/>
          </w:tcPr>
          <w:p w14:paraId="277B590B" w14:textId="77777777" w:rsidR="008C6A5B" w:rsidRPr="00E01371"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6A5ACE">
              <w:t>%</w:t>
            </w:r>
          </w:p>
        </w:tc>
        <w:tc>
          <w:tcPr>
            <w:tcW w:w="3322" w:type="dxa"/>
          </w:tcPr>
          <w:p w14:paraId="4213D4AF" w14:textId="2DEED294" w:rsidR="008C6A5B" w:rsidRPr="00E01371" w:rsidRDefault="008C6A5B" w:rsidP="00226E33">
            <w:pPr>
              <w:pStyle w:val="Tabletext"/>
              <w:cnfStyle w:val="000000000000" w:firstRow="0" w:lastRow="0" w:firstColumn="0" w:lastColumn="0" w:oddVBand="0" w:evenVBand="0" w:oddHBand="0" w:evenHBand="0" w:firstRowFirstColumn="0" w:firstRowLastColumn="0" w:lastRowFirstColumn="0" w:lastRowLastColumn="0"/>
            </w:pPr>
            <w:r w:rsidRPr="006A5ACE">
              <w:t>Capital expenditure</w:t>
            </w:r>
            <w:r w:rsidR="00C8656E">
              <w:t>/</w:t>
            </w:r>
            <w:r w:rsidR="00226E33">
              <w:t xml:space="preserve"> </w:t>
            </w:r>
            <w:r w:rsidRPr="006A5ACE">
              <w:t>depreciation expense</w:t>
            </w:r>
          </w:p>
        </w:tc>
        <w:tc>
          <w:tcPr>
            <w:tcW w:w="810" w:type="dxa"/>
          </w:tcPr>
          <w:p w14:paraId="0DD327AD"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c>
          <w:tcPr>
            <w:tcW w:w="844" w:type="dxa"/>
          </w:tcPr>
          <w:p w14:paraId="78A5D31D"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c>
          <w:tcPr>
            <w:tcW w:w="1072" w:type="dxa"/>
          </w:tcPr>
          <w:p w14:paraId="0CA0F361"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r>
      <w:tr w:rsidR="008C6A5B" w14:paraId="650D0F4E" w14:textId="77777777" w:rsidTr="00226E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8B2610E" w14:textId="77777777" w:rsidR="008C6A5B" w:rsidRPr="00E01371" w:rsidRDefault="008C6A5B" w:rsidP="00226E33">
            <w:pPr>
              <w:pStyle w:val="Tabletext"/>
            </w:pPr>
            <w:r w:rsidRPr="006A5ACE">
              <w:t>Capital adequacy</w:t>
            </w:r>
          </w:p>
        </w:tc>
        <w:tc>
          <w:tcPr>
            <w:tcW w:w="818" w:type="dxa"/>
          </w:tcPr>
          <w:p w14:paraId="3E42049E" w14:textId="77777777" w:rsidR="008C6A5B" w:rsidRPr="00E01371"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6A5ACE">
              <w:t>%</w:t>
            </w:r>
          </w:p>
        </w:tc>
        <w:tc>
          <w:tcPr>
            <w:tcW w:w="3322" w:type="dxa"/>
          </w:tcPr>
          <w:p w14:paraId="05B7F386" w14:textId="166CE839" w:rsidR="008C6A5B" w:rsidRPr="00E01371" w:rsidRDefault="008C6A5B" w:rsidP="00226E33">
            <w:pPr>
              <w:pStyle w:val="Tabletext"/>
              <w:cnfStyle w:val="000000010000" w:firstRow="0" w:lastRow="0" w:firstColumn="0" w:lastColumn="0" w:oddVBand="0" w:evenVBand="0" w:oddHBand="0" w:evenHBand="1" w:firstRowFirstColumn="0" w:firstRowLastColumn="0" w:lastRowFirstColumn="0" w:lastRowLastColumn="0"/>
            </w:pPr>
            <w:r w:rsidRPr="006A5ACE">
              <w:t>Equity</w:t>
            </w:r>
            <w:r w:rsidR="00C8656E">
              <w:t>/</w:t>
            </w:r>
            <w:r w:rsidRPr="006A5ACE">
              <w:t>risk weighted assets</w:t>
            </w:r>
          </w:p>
        </w:tc>
        <w:tc>
          <w:tcPr>
            <w:tcW w:w="810" w:type="dxa"/>
          </w:tcPr>
          <w:p w14:paraId="7D061226"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p>
        </w:tc>
        <w:tc>
          <w:tcPr>
            <w:tcW w:w="844" w:type="dxa"/>
          </w:tcPr>
          <w:p w14:paraId="6CF33E07"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c>
          <w:tcPr>
            <w:tcW w:w="1072" w:type="dxa"/>
          </w:tcPr>
          <w:p w14:paraId="4A9F870E"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p>
        </w:tc>
      </w:tr>
      <w:tr w:rsidR="008C6A5B" w14:paraId="1811DB03" w14:textId="77777777" w:rsidTr="00226E33">
        <w:tc>
          <w:tcPr>
            <w:cnfStyle w:val="001000000000" w:firstRow="0" w:lastRow="0" w:firstColumn="1" w:lastColumn="0" w:oddVBand="0" w:evenVBand="0" w:oddHBand="0" w:evenHBand="0" w:firstRowFirstColumn="0" w:firstRowLastColumn="0" w:lastRowFirstColumn="0" w:lastRowLastColumn="0"/>
            <w:tcW w:w="2160" w:type="dxa"/>
          </w:tcPr>
          <w:p w14:paraId="411120C4" w14:textId="77777777" w:rsidR="008C6A5B" w:rsidRPr="00E01371" w:rsidRDefault="008C6A5B" w:rsidP="00226E33">
            <w:pPr>
              <w:pStyle w:val="Tabletext"/>
            </w:pPr>
            <w:r w:rsidRPr="006A5ACE">
              <w:t>Capital ratio</w:t>
            </w:r>
          </w:p>
        </w:tc>
        <w:tc>
          <w:tcPr>
            <w:tcW w:w="818" w:type="dxa"/>
          </w:tcPr>
          <w:p w14:paraId="4922DB97" w14:textId="77777777" w:rsidR="008C6A5B" w:rsidRPr="00E01371"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6A5ACE">
              <w:t>%</w:t>
            </w:r>
          </w:p>
        </w:tc>
        <w:tc>
          <w:tcPr>
            <w:tcW w:w="3322" w:type="dxa"/>
          </w:tcPr>
          <w:p w14:paraId="594F0845" w14:textId="77777777" w:rsidR="008C6A5B" w:rsidRPr="00E01371" w:rsidRDefault="008C6A5B" w:rsidP="00226E33">
            <w:pPr>
              <w:pStyle w:val="Tabletext"/>
              <w:cnfStyle w:val="000000000000" w:firstRow="0" w:lastRow="0" w:firstColumn="0" w:lastColumn="0" w:oddVBand="0" w:evenVBand="0" w:oddHBand="0" w:evenHBand="0" w:firstRowFirstColumn="0" w:firstRowLastColumn="0" w:lastRowFirstColumn="0" w:lastRowLastColumn="0"/>
            </w:pPr>
            <w:r w:rsidRPr="006A5ACE">
              <w:t xml:space="preserve">Capital ratio (as determined) </w:t>
            </w:r>
          </w:p>
        </w:tc>
        <w:tc>
          <w:tcPr>
            <w:tcW w:w="810" w:type="dxa"/>
          </w:tcPr>
          <w:p w14:paraId="47FD25CB"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c>
          <w:tcPr>
            <w:tcW w:w="844" w:type="dxa"/>
          </w:tcPr>
          <w:p w14:paraId="559FB7B5"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c>
          <w:tcPr>
            <w:tcW w:w="1072" w:type="dxa"/>
          </w:tcPr>
          <w:p w14:paraId="6B578839"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r>
      <w:tr w:rsidR="008C6A5B" w14:paraId="72978BF3" w14:textId="77777777" w:rsidTr="00226E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00BAF93" w14:textId="77777777" w:rsidR="008C6A5B" w:rsidRPr="00E01371" w:rsidRDefault="008C6A5B" w:rsidP="00226E33">
            <w:pPr>
              <w:pStyle w:val="Tabletext"/>
            </w:pPr>
            <w:r w:rsidRPr="006A5ACE">
              <w:t>Performance from insurance operations</w:t>
            </w:r>
          </w:p>
        </w:tc>
        <w:tc>
          <w:tcPr>
            <w:tcW w:w="818" w:type="dxa"/>
          </w:tcPr>
          <w:p w14:paraId="5B5B57B1" w14:textId="77777777" w:rsidR="008C6A5B" w:rsidRPr="00E01371"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6A5ACE">
              <w:t>$</w:t>
            </w:r>
          </w:p>
        </w:tc>
        <w:tc>
          <w:tcPr>
            <w:tcW w:w="3322" w:type="dxa"/>
          </w:tcPr>
          <w:p w14:paraId="5A401178" w14:textId="77777777" w:rsidR="008C6A5B" w:rsidRPr="00E01371" w:rsidRDefault="008C6A5B" w:rsidP="00226E33">
            <w:pPr>
              <w:pStyle w:val="Tabletext"/>
              <w:cnfStyle w:val="000000010000" w:firstRow="0" w:lastRow="0" w:firstColumn="0" w:lastColumn="0" w:oddVBand="0" w:evenVBand="0" w:oddHBand="0" w:evenHBand="1" w:firstRowFirstColumn="0" w:firstRowLastColumn="0" w:lastRowFirstColumn="0" w:lastRowLastColumn="0"/>
            </w:pPr>
            <w:r w:rsidRPr="006A5ACE">
              <w:t>As determined by the GBE</w:t>
            </w:r>
          </w:p>
        </w:tc>
        <w:tc>
          <w:tcPr>
            <w:tcW w:w="810" w:type="dxa"/>
          </w:tcPr>
          <w:p w14:paraId="66EB0CD9"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p>
        </w:tc>
        <w:tc>
          <w:tcPr>
            <w:tcW w:w="844" w:type="dxa"/>
          </w:tcPr>
          <w:p w14:paraId="6258BC05"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p>
        </w:tc>
        <w:tc>
          <w:tcPr>
            <w:tcW w:w="1072" w:type="dxa"/>
          </w:tcPr>
          <w:p w14:paraId="0131E7D5"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r>
      <w:tr w:rsidR="008C6A5B" w14:paraId="47A43AE2" w14:textId="77777777" w:rsidTr="00226E33">
        <w:tc>
          <w:tcPr>
            <w:cnfStyle w:val="001000000000" w:firstRow="0" w:lastRow="0" w:firstColumn="1" w:lastColumn="0" w:oddVBand="0" w:evenVBand="0" w:oddHBand="0" w:evenHBand="0" w:firstRowFirstColumn="0" w:firstRowLastColumn="0" w:lastRowFirstColumn="0" w:lastRowLastColumn="0"/>
            <w:tcW w:w="2160" w:type="dxa"/>
          </w:tcPr>
          <w:p w14:paraId="3AE0E49C" w14:textId="77777777" w:rsidR="008C6A5B" w:rsidRPr="00E01371" w:rsidRDefault="008C6A5B" w:rsidP="00226E33">
            <w:pPr>
              <w:pStyle w:val="Tabletext"/>
            </w:pPr>
            <w:r w:rsidRPr="006A5ACE">
              <w:t xml:space="preserve">Funding ratio </w:t>
            </w:r>
          </w:p>
        </w:tc>
        <w:tc>
          <w:tcPr>
            <w:tcW w:w="818" w:type="dxa"/>
          </w:tcPr>
          <w:p w14:paraId="60AF194D" w14:textId="77777777" w:rsidR="008C6A5B" w:rsidRPr="00E01371"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6A5ACE">
              <w:t>%</w:t>
            </w:r>
          </w:p>
        </w:tc>
        <w:tc>
          <w:tcPr>
            <w:tcW w:w="3322" w:type="dxa"/>
          </w:tcPr>
          <w:p w14:paraId="386A76A4" w14:textId="77777777" w:rsidR="008C6A5B" w:rsidRPr="00E01371" w:rsidRDefault="008C6A5B" w:rsidP="00226E33">
            <w:pPr>
              <w:pStyle w:val="Tabletext"/>
              <w:cnfStyle w:val="000000000000" w:firstRow="0" w:lastRow="0" w:firstColumn="0" w:lastColumn="0" w:oddVBand="0" w:evenVBand="0" w:oddHBand="0" w:evenHBand="0" w:firstRowFirstColumn="0" w:firstRowLastColumn="0" w:lastRowFirstColumn="0" w:lastRowLastColumn="0"/>
            </w:pPr>
            <w:r w:rsidRPr="006A5ACE">
              <w:t xml:space="preserve">As determined by the GBE </w:t>
            </w:r>
          </w:p>
        </w:tc>
        <w:tc>
          <w:tcPr>
            <w:tcW w:w="810" w:type="dxa"/>
          </w:tcPr>
          <w:p w14:paraId="675638FC"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c>
          <w:tcPr>
            <w:tcW w:w="844" w:type="dxa"/>
          </w:tcPr>
          <w:p w14:paraId="71D4F95B"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c>
          <w:tcPr>
            <w:tcW w:w="1072" w:type="dxa"/>
          </w:tcPr>
          <w:p w14:paraId="126F01C9"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r>
      <w:tr w:rsidR="008C6A5B" w14:paraId="01631E64" w14:textId="77777777" w:rsidTr="00226E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273D928" w14:textId="77777777" w:rsidR="008C6A5B" w:rsidRPr="00E01371" w:rsidRDefault="008C6A5B" w:rsidP="00226E33">
            <w:pPr>
              <w:pStyle w:val="Tabletext"/>
            </w:pPr>
            <w:r w:rsidRPr="006A5ACE">
              <w:t>Salaries as a percentage of profit</w:t>
            </w:r>
          </w:p>
        </w:tc>
        <w:tc>
          <w:tcPr>
            <w:tcW w:w="818" w:type="dxa"/>
          </w:tcPr>
          <w:p w14:paraId="315E79F8" w14:textId="77777777" w:rsidR="008C6A5B" w:rsidRPr="00E01371"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6A5ACE">
              <w:t>%</w:t>
            </w:r>
          </w:p>
        </w:tc>
        <w:tc>
          <w:tcPr>
            <w:tcW w:w="3322" w:type="dxa"/>
          </w:tcPr>
          <w:p w14:paraId="1079FFE8" w14:textId="351F9B5B" w:rsidR="008C6A5B" w:rsidRPr="00E01371" w:rsidRDefault="008C6A5B" w:rsidP="00226E33">
            <w:pPr>
              <w:pStyle w:val="Tabletext"/>
              <w:cnfStyle w:val="000000010000" w:firstRow="0" w:lastRow="0" w:firstColumn="0" w:lastColumn="0" w:oddVBand="0" w:evenVBand="0" w:oddHBand="0" w:evenHBand="1" w:firstRowFirstColumn="0" w:firstRowLastColumn="0" w:lastRowFirstColumn="0" w:lastRowLastColumn="0"/>
            </w:pPr>
            <w:r w:rsidRPr="006A5ACE">
              <w:t>Total salaries</w:t>
            </w:r>
            <w:r w:rsidR="00C8656E">
              <w:t>/</w:t>
            </w:r>
            <w:r w:rsidRPr="006A5ACE">
              <w:t xml:space="preserve">Net profit </w:t>
            </w:r>
          </w:p>
        </w:tc>
        <w:tc>
          <w:tcPr>
            <w:tcW w:w="810" w:type="dxa"/>
          </w:tcPr>
          <w:p w14:paraId="335B2579"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c>
          <w:tcPr>
            <w:tcW w:w="844" w:type="dxa"/>
          </w:tcPr>
          <w:p w14:paraId="4AB963A8"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c>
          <w:tcPr>
            <w:tcW w:w="1072" w:type="dxa"/>
          </w:tcPr>
          <w:p w14:paraId="4530EF8F"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r>
      <w:tr w:rsidR="008C6A5B" w14:paraId="5466D9BE" w14:textId="77777777" w:rsidTr="00226E33">
        <w:tc>
          <w:tcPr>
            <w:cnfStyle w:val="001000000000" w:firstRow="0" w:lastRow="0" w:firstColumn="1" w:lastColumn="0" w:oddVBand="0" w:evenVBand="0" w:oddHBand="0" w:evenHBand="0" w:firstRowFirstColumn="0" w:firstRowLastColumn="0" w:lastRowFirstColumn="0" w:lastRowLastColumn="0"/>
            <w:tcW w:w="2160" w:type="dxa"/>
          </w:tcPr>
          <w:p w14:paraId="529182D9" w14:textId="77777777" w:rsidR="008C6A5B" w:rsidRPr="00E01371" w:rsidRDefault="008C6A5B" w:rsidP="00226E33">
            <w:pPr>
              <w:pStyle w:val="Tabletext"/>
            </w:pPr>
            <w:r w:rsidRPr="006A5ACE">
              <w:t>Wages expense ratio</w:t>
            </w:r>
          </w:p>
        </w:tc>
        <w:tc>
          <w:tcPr>
            <w:tcW w:w="818" w:type="dxa"/>
          </w:tcPr>
          <w:p w14:paraId="3355923B" w14:textId="77777777" w:rsidR="008C6A5B" w:rsidRPr="00E01371"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6A5ACE">
              <w:t>%</w:t>
            </w:r>
          </w:p>
        </w:tc>
        <w:tc>
          <w:tcPr>
            <w:tcW w:w="3322" w:type="dxa"/>
          </w:tcPr>
          <w:p w14:paraId="74D7A6BD" w14:textId="13A6BA85" w:rsidR="008C6A5B" w:rsidRPr="00E01371" w:rsidRDefault="008C6A5B" w:rsidP="00226E33">
            <w:pPr>
              <w:pStyle w:val="Tabletext"/>
              <w:cnfStyle w:val="000000000000" w:firstRow="0" w:lastRow="0" w:firstColumn="0" w:lastColumn="0" w:oddVBand="0" w:evenVBand="0" w:oddHBand="0" w:evenHBand="0" w:firstRowFirstColumn="0" w:firstRowLastColumn="0" w:lastRowFirstColumn="0" w:lastRowLastColumn="0"/>
            </w:pPr>
            <w:r w:rsidRPr="006A5ACE">
              <w:t>Cost of wages and salaries</w:t>
            </w:r>
            <w:r w:rsidR="00C8656E">
              <w:t>/</w:t>
            </w:r>
            <w:r w:rsidRPr="006A5ACE">
              <w:t>operating revenue</w:t>
            </w:r>
          </w:p>
        </w:tc>
        <w:tc>
          <w:tcPr>
            <w:tcW w:w="810" w:type="dxa"/>
          </w:tcPr>
          <w:p w14:paraId="1024A18A"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c>
          <w:tcPr>
            <w:tcW w:w="844" w:type="dxa"/>
          </w:tcPr>
          <w:p w14:paraId="6855EECA"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c>
          <w:tcPr>
            <w:tcW w:w="1072" w:type="dxa"/>
          </w:tcPr>
          <w:p w14:paraId="43B6BC69"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r>
      <w:tr w:rsidR="008C6A5B" w14:paraId="1F612D8A" w14:textId="77777777" w:rsidTr="00226E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8BC2073" w14:textId="77777777" w:rsidR="008C6A5B" w:rsidRPr="00E01371" w:rsidRDefault="008C6A5B" w:rsidP="00226E33">
            <w:pPr>
              <w:pStyle w:val="Tabletext"/>
            </w:pPr>
            <w:r w:rsidRPr="006A5ACE">
              <w:t>Return on investment portfolios</w:t>
            </w:r>
          </w:p>
        </w:tc>
        <w:tc>
          <w:tcPr>
            <w:tcW w:w="818" w:type="dxa"/>
          </w:tcPr>
          <w:p w14:paraId="343587C3" w14:textId="77777777" w:rsidR="008C6A5B" w:rsidRPr="00E01371"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6A5ACE">
              <w:t>%</w:t>
            </w:r>
          </w:p>
        </w:tc>
        <w:tc>
          <w:tcPr>
            <w:tcW w:w="3322" w:type="dxa"/>
          </w:tcPr>
          <w:p w14:paraId="04A60F39" w14:textId="77777777" w:rsidR="008C6A5B" w:rsidRPr="00E01371" w:rsidRDefault="008C6A5B" w:rsidP="00226E33">
            <w:pPr>
              <w:pStyle w:val="Tabletext"/>
              <w:cnfStyle w:val="000000010000" w:firstRow="0" w:lastRow="0" w:firstColumn="0" w:lastColumn="0" w:oddVBand="0" w:evenVBand="0" w:oddHBand="0" w:evenHBand="1" w:firstRowFirstColumn="0" w:firstRowLastColumn="0" w:lastRowFirstColumn="0" w:lastRowLastColumn="0"/>
            </w:pPr>
            <w:r w:rsidRPr="006A5ACE">
              <w:t>Investment return provided by VFMC</w:t>
            </w:r>
          </w:p>
        </w:tc>
        <w:tc>
          <w:tcPr>
            <w:tcW w:w="810" w:type="dxa"/>
          </w:tcPr>
          <w:p w14:paraId="71A2A6D7"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p>
        </w:tc>
        <w:tc>
          <w:tcPr>
            <w:tcW w:w="844" w:type="dxa"/>
          </w:tcPr>
          <w:p w14:paraId="07E77B99"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p>
        </w:tc>
        <w:tc>
          <w:tcPr>
            <w:tcW w:w="1072" w:type="dxa"/>
          </w:tcPr>
          <w:p w14:paraId="567D48DD" w14:textId="77777777" w:rsidR="008C6A5B" w:rsidRPr="00B253F6" w:rsidRDefault="008C6A5B" w:rsidP="00226E33">
            <w:pPr>
              <w:pStyle w:val="Tabletext"/>
              <w:jc w:val="center"/>
              <w:cnfStyle w:val="000000010000" w:firstRow="0" w:lastRow="0" w:firstColumn="0" w:lastColumn="0" w:oddVBand="0" w:evenVBand="0" w:oddHBand="0" w:evenHBand="1" w:firstRowFirstColumn="0" w:firstRowLastColumn="0" w:lastRowFirstColumn="0" w:lastRowLastColumn="0"/>
            </w:pPr>
            <w:r w:rsidRPr="00B253F6">
              <w:sym w:font="Wingdings" w:char="F0FC"/>
            </w:r>
          </w:p>
        </w:tc>
      </w:tr>
      <w:tr w:rsidR="008C6A5B" w14:paraId="11C79945" w14:textId="77777777" w:rsidTr="00226E33">
        <w:tc>
          <w:tcPr>
            <w:cnfStyle w:val="001000000000" w:firstRow="0" w:lastRow="0" w:firstColumn="1" w:lastColumn="0" w:oddVBand="0" w:evenVBand="0" w:oddHBand="0" w:evenHBand="0" w:firstRowFirstColumn="0" w:firstRowLastColumn="0" w:lastRowFirstColumn="0" w:lastRowLastColumn="0"/>
            <w:tcW w:w="2160" w:type="dxa"/>
          </w:tcPr>
          <w:p w14:paraId="6E1CC625" w14:textId="77777777" w:rsidR="008C6A5B" w:rsidRPr="006A5ACE" w:rsidRDefault="008C6A5B" w:rsidP="00226E33">
            <w:pPr>
              <w:pStyle w:val="Tabletext"/>
            </w:pPr>
            <w:r w:rsidRPr="000D256B">
              <w:t xml:space="preserve">Claims cost </w:t>
            </w:r>
          </w:p>
        </w:tc>
        <w:tc>
          <w:tcPr>
            <w:tcW w:w="818" w:type="dxa"/>
          </w:tcPr>
          <w:p w14:paraId="60EA706D" w14:textId="77777777" w:rsidR="008C6A5B" w:rsidRPr="006A5ACE"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0D256B">
              <w:t>$</w:t>
            </w:r>
          </w:p>
        </w:tc>
        <w:tc>
          <w:tcPr>
            <w:tcW w:w="3322" w:type="dxa"/>
          </w:tcPr>
          <w:p w14:paraId="1CE7F086" w14:textId="77777777" w:rsidR="008C6A5B" w:rsidRPr="006A5ACE" w:rsidRDefault="008C6A5B" w:rsidP="00226E33">
            <w:pPr>
              <w:pStyle w:val="Tabletext"/>
              <w:cnfStyle w:val="000000000000" w:firstRow="0" w:lastRow="0" w:firstColumn="0" w:lastColumn="0" w:oddVBand="0" w:evenVBand="0" w:oddHBand="0" w:evenHBand="0" w:firstRowFirstColumn="0" w:firstRowLastColumn="0" w:lastRowFirstColumn="0" w:lastRowLastColumn="0"/>
            </w:pPr>
            <w:r w:rsidRPr="000D256B">
              <w:t xml:space="preserve">Claims cost </w:t>
            </w:r>
          </w:p>
        </w:tc>
        <w:tc>
          <w:tcPr>
            <w:tcW w:w="810" w:type="dxa"/>
          </w:tcPr>
          <w:p w14:paraId="0902FFE0"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c>
          <w:tcPr>
            <w:tcW w:w="844" w:type="dxa"/>
          </w:tcPr>
          <w:p w14:paraId="531EFAE2"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p>
        </w:tc>
        <w:tc>
          <w:tcPr>
            <w:tcW w:w="1072" w:type="dxa"/>
          </w:tcPr>
          <w:p w14:paraId="668B8704" w14:textId="77777777" w:rsidR="008C6A5B" w:rsidRPr="00B253F6" w:rsidRDefault="008C6A5B" w:rsidP="00226E33">
            <w:pPr>
              <w:pStyle w:val="Tabletext"/>
              <w:jc w:val="center"/>
              <w:cnfStyle w:val="000000000000" w:firstRow="0" w:lastRow="0" w:firstColumn="0" w:lastColumn="0" w:oddVBand="0" w:evenVBand="0" w:oddHBand="0" w:evenHBand="0" w:firstRowFirstColumn="0" w:firstRowLastColumn="0" w:lastRowFirstColumn="0" w:lastRowLastColumn="0"/>
            </w:pPr>
            <w:r w:rsidRPr="00B253F6">
              <w:sym w:font="Wingdings" w:char="F0FC"/>
            </w:r>
          </w:p>
        </w:tc>
      </w:tr>
    </w:tbl>
    <w:p w14:paraId="5BB6A8AB" w14:textId="77777777" w:rsidR="008C6A5B" w:rsidRDefault="008C6A5B" w:rsidP="008C6A5B">
      <w:r w:rsidRPr="00B253F6">
        <w:t>The following list of non-financial KPIs is not exhaustive. When incorporating such KPIs into the Corporate Plan, a GBE will need to take account of its operating environment and the requirements of its Portfolio Department and Minister.</w:t>
      </w:r>
    </w:p>
    <w:tbl>
      <w:tblPr>
        <w:tblStyle w:val="DTFtexttable"/>
        <w:tblW w:w="0" w:type="auto"/>
        <w:tblLayout w:type="fixed"/>
        <w:tblLook w:val="04A0" w:firstRow="1" w:lastRow="0" w:firstColumn="1" w:lastColumn="0" w:noHBand="0" w:noVBand="1"/>
      </w:tblPr>
      <w:tblGrid>
        <w:gridCol w:w="2160"/>
        <w:gridCol w:w="818"/>
        <w:gridCol w:w="3322"/>
        <w:gridCol w:w="810"/>
        <w:gridCol w:w="900"/>
        <w:gridCol w:w="1016"/>
      </w:tblGrid>
      <w:tr w:rsidR="008C6A5B" w14:paraId="27EF09C8" w14:textId="77777777" w:rsidTr="00226E3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60" w:type="dxa"/>
          </w:tcPr>
          <w:p w14:paraId="09718FE7" w14:textId="77777777" w:rsidR="008C6A5B" w:rsidRDefault="008C6A5B" w:rsidP="003D4E64">
            <w:r>
              <w:t>Name</w:t>
            </w:r>
          </w:p>
        </w:tc>
        <w:tc>
          <w:tcPr>
            <w:tcW w:w="818" w:type="dxa"/>
          </w:tcPr>
          <w:p w14:paraId="64AA33FC" w14:textId="77777777" w:rsidR="008C6A5B" w:rsidRDefault="008C6A5B" w:rsidP="003D4E64">
            <w:pPr>
              <w:jc w:val="center"/>
              <w:cnfStyle w:val="100000000000" w:firstRow="1" w:lastRow="0" w:firstColumn="0" w:lastColumn="0" w:oddVBand="0" w:evenVBand="0" w:oddHBand="0" w:evenHBand="0" w:firstRowFirstColumn="0" w:firstRowLastColumn="0" w:lastRowFirstColumn="0" w:lastRowLastColumn="0"/>
            </w:pPr>
          </w:p>
        </w:tc>
        <w:tc>
          <w:tcPr>
            <w:tcW w:w="3322" w:type="dxa"/>
          </w:tcPr>
          <w:p w14:paraId="709924AF" w14:textId="77777777" w:rsidR="008C6A5B" w:rsidRDefault="008C6A5B" w:rsidP="003D4E64">
            <w:pPr>
              <w:cnfStyle w:val="100000000000" w:firstRow="1" w:lastRow="0" w:firstColumn="0" w:lastColumn="0" w:oddVBand="0" w:evenVBand="0" w:oddHBand="0" w:evenHBand="0" w:firstRowFirstColumn="0" w:firstRowLastColumn="0" w:lastRowFirstColumn="0" w:lastRowLastColumn="0"/>
            </w:pPr>
            <w:r>
              <w:t>Definition</w:t>
            </w:r>
          </w:p>
        </w:tc>
        <w:tc>
          <w:tcPr>
            <w:tcW w:w="810" w:type="dxa"/>
          </w:tcPr>
          <w:p w14:paraId="3E213B1F" w14:textId="77777777" w:rsidR="008C6A5B" w:rsidRDefault="008C6A5B" w:rsidP="003D4E64">
            <w:pPr>
              <w:jc w:val="center"/>
              <w:cnfStyle w:val="100000000000" w:firstRow="1" w:lastRow="0" w:firstColumn="0" w:lastColumn="0" w:oddVBand="0" w:evenVBand="0" w:oddHBand="0" w:evenHBand="0" w:firstRowFirstColumn="0" w:firstRowLastColumn="0" w:lastRowFirstColumn="0" w:lastRowLastColumn="0"/>
            </w:pPr>
            <w:r>
              <w:t>PNFC</w:t>
            </w:r>
          </w:p>
        </w:tc>
        <w:tc>
          <w:tcPr>
            <w:tcW w:w="900" w:type="dxa"/>
          </w:tcPr>
          <w:p w14:paraId="1BE5DD52" w14:textId="77777777" w:rsidR="008C6A5B" w:rsidRDefault="008C6A5B" w:rsidP="003D4E64">
            <w:pPr>
              <w:jc w:val="center"/>
              <w:cnfStyle w:val="100000000000" w:firstRow="1" w:lastRow="0" w:firstColumn="0" w:lastColumn="0" w:oddVBand="0" w:evenVBand="0" w:oddHBand="0" w:evenHBand="0" w:firstRowFirstColumn="0" w:firstRowLastColumn="0" w:lastRowFirstColumn="0" w:lastRowLastColumn="0"/>
            </w:pPr>
            <w:r>
              <w:t>PFC</w:t>
            </w:r>
          </w:p>
        </w:tc>
        <w:tc>
          <w:tcPr>
            <w:tcW w:w="1016" w:type="dxa"/>
          </w:tcPr>
          <w:p w14:paraId="5C684A16" w14:textId="77777777" w:rsidR="008C6A5B" w:rsidRDefault="008C6A5B" w:rsidP="003D4E64">
            <w:pPr>
              <w:jc w:val="center"/>
              <w:cnfStyle w:val="100000000000" w:firstRow="1" w:lastRow="0" w:firstColumn="0" w:lastColumn="0" w:oddVBand="0" w:evenVBand="0" w:oddHBand="0" w:evenHBand="0" w:firstRowFirstColumn="0" w:firstRowLastColumn="0" w:lastRowFirstColumn="0" w:lastRowLastColumn="0"/>
            </w:pPr>
            <w:r>
              <w:t>Insurance</w:t>
            </w:r>
          </w:p>
        </w:tc>
      </w:tr>
      <w:tr w:rsidR="008C6A5B" w:rsidRPr="00226E33" w14:paraId="5D5BB545" w14:textId="77777777" w:rsidTr="00226E3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26" w:type="dxa"/>
            <w:gridSpan w:val="6"/>
            <w:shd w:val="clear" w:color="auto" w:fill="E0F5FC" w:themeFill="accent2" w:themeFillTint="33"/>
          </w:tcPr>
          <w:p w14:paraId="185704B1" w14:textId="77777777" w:rsidR="008C6A5B" w:rsidRPr="00226E33" w:rsidRDefault="008C6A5B" w:rsidP="00226E33">
            <w:pPr>
              <w:pStyle w:val="Tabletext"/>
            </w:pPr>
            <w:r w:rsidRPr="00226E33">
              <w:t>Non-financial KPIs</w:t>
            </w:r>
          </w:p>
        </w:tc>
      </w:tr>
      <w:tr w:rsidR="008C6A5B" w14:paraId="61B5640A" w14:textId="77777777" w:rsidTr="00226E33">
        <w:tc>
          <w:tcPr>
            <w:cnfStyle w:val="001000000000" w:firstRow="0" w:lastRow="0" w:firstColumn="1" w:lastColumn="0" w:oddVBand="0" w:evenVBand="0" w:oddHBand="0" w:evenHBand="0" w:firstRowFirstColumn="0" w:firstRowLastColumn="0" w:lastRowFirstColumn="0" w:lastRowLastColumn="0"/>
            <w:tcW w:w="2160" w:type="dxa"/>
          </w:tcPr>
          <w:p w14:paraId="2245F009" w14:textId="77777777" w:rsidR="008C6A5B" w:rsidRDefault="008C6A5B" w:rsidP="00226E33">
            <w:pPr>
              <w:pStyle w:val="Tabletext"/>
            </w:pPr>
            <w:r w:rsidRPr="00FD5F7D">
              <w:t xml:space="preserve">Client satisfaction </w:t>
            </w:r>
          </w:p>
        </w:tc>
        <w:tc>
          <w:tcPr>
            <w:tcW w:w="818" w:type="dxa"/>
          </w:tcPr>
          <w:p w14:paraId="7016462F" w14:textId="77777777" w:rsidR="008C6A5B" w:rsidRDefault="008C6A5B" w:rsidP="005C1386">
            <w:pPr>
              <w:pStyle w:val="Tabletext"/>
              <w:jc w:val="center"/>
              <w:cnfStyle w:val="000000000000" w:firstRow="0" w:lastRow="0" w:firstColumn="0" w:lastColumn="0" w:oddVBand="0" w:evenVBand="0" w:oddHBand="0" w:evenHBand="0" w:firstRowFirstColumn="0" w:firstRowLastColumn="0" w:lastRowFirstColumn="0" w:lastRowLastColumn="0"/>
            </w:pPr>
            <w:r w:rsidRPr="00926C60">
              <w:t>%</w:t>
            </w:r>
          </w:p>
        </w:tc>
        <w:tc>
          <w:tcPr>
            <w:tcW w:w="3322" w:type="dxa"/>
          </w:tcPr>
          <w:p w14:paraId="218F6CC4" w14:textId="77777777" w:rsidR="008C6A5B" w:rsidRDefault="008C6A5B" w:rsidP="00226E33">
            <w:pPr>
              <w:pStyle w:val="Tabletext"/>
              <w:cnfStyle w:val="000000000000" w:firstRow="0" w:lastRow="0" w:firstColumn="0" w:lastColumn="0" w:oddVBand="0" w:evenVBand="0" w:oddHBand="0" w:evenHBand="0" w:firstRowFirstColumn="0" w:firstRowLastColumn="0" w:lastRowFirstColumn="0" w:lastRowLastColumn="0"/>
            </w:pPr>
            <w:r w:rsidRPr="006F4634">
              <w:t xml:space="preserve">Result from surveys </w:t>
            </w:r>
          </w:p>
        </w:tc>
        <w:tc>
          <w:tcPr>
            <w:tcW w:w="810" w:type="dxa"/>
          </w:tcPr>
          <w:p w14:paraId="164C6011" w14:textId="77777777" w:rsidR="008C6A5B" w:rsidRPr="00B253F6" w:rsidRDefault="008C6A5B" w:rsidP="005C1386">
            <w:pPr>
              <w:pStyle w:val="Tabletext"/>
              <w:jc w:val="center"/>
              <w:cnfStyle w:val="000000000000" w:firstRow="0" w:lastRow="0" w:firstColumn="0" w:lastColumn="0" w:oddVBand="0" w:evenVBand="0" w:oddHBand="0" w:evenHBand="0" w:firstRowFirstColumn="0" w:firstRowLastColumn="0" w:lastRowFirstColumn="0" w:lastRowLastColumn="0"/>
              <w:rPr>
                <w:sz w:val="20"/>
                <w:szCs w:val="24"/>
              </w:rPr>
            </w:pPr>
            <w:r w:rsidRPr="00B253F6">
              <w:rPr>
                <w:sz w:val="20"/>
                <w:szCs w:val="24"/>
              </w:rPr>
              <w:sym w:font="Wingdings" w:char="F0FC"/>
            </w:r>
          </w:p>
        </w:tc>
        <w:tc>
          <w:tcPr>
            <w:tcW w:w="900" w:type="dxa"/>
          </w:tcPr>
          <w:p w14:paraId="0B0E1CE2" w14:textId="77777777" w:rsidR="008C6A5B" w:rsidRPr="00B253F6" w:rsidRDefault="008C6A5B" w:rsidP="005C1386">
            <w:pPr>
              <w:pStyle w:val="Tabletext"/>
              <w:jc w:val="center"/>
              <w:cnfStyle w:val="000000000000" w:firstRow="0" w:lastRow="0" w:firstColumn="0" w:lastColumn="0" w:oddVBand="0" w:evenVBand="0" w:oddHBand="0" w:evenHBand="0" w:firstRowFirstColumn="0" w:firstRowLastColumn="0" w:lastRowFirstColumn="0" w:lastRowLastColumn="0"/>
              <w:rPr>
                <w:sz w:val="20"/>
                <w:szCs w:val="24"/>
              </w:rPr>
            </w:pPr>
            <w:r w:rsidRPr="00B253F6">
              <w:rPr>
                <w:sz w:val="20"/>
                <w:szCs w:val="24"/>
              </w:rPr>
              <w:sym w:font="Wingdings" w:char="F0FC"/>
            </w:r>
          </w:p>
        </w:tc>
        <w:tc>
          <w:tcPr>
            <w:tcW w:w="1016" w:type="dxa"/>
          </w:tcPr>
          <w:p w14:paraId="3776C020" w14:textId="77777777" w:rsidR="008C6A5B" w:rsidRPr="00B253F6" w:rsidRDefault="008C6A5B" w:rsidP="005C1386">
            <w:pPr>
              <w:pStyle w:val="Tabletext"/>
              <w:jc w:val="center"/>
              <w:cnfStyle w:val="000000000000" w:firstRow="0" w:lastRow="0" w:firstColumn="0" w:lastColumn="0" w:oddVBand="0" w:evenVBand="0" w:oddHBand="0" w:evenHBand="0" w:firstRowFirstColumn="0" w:firstRowLastColumn="0" w:lastRowFirstColumn="0" w:lastRowLastColumn="0"/>
              <w:rPr>
                <w:sz w:val="20"/>
                <w:szCs w:val="24"/>
              </w:rPr>
            </w:pPr>
            <w:r w:rsidRPr="00B253F6">
              <w:rPr>
                <w:sz w:val="20"/>
                <w:szCs w:val="24"/>
              </w:rPr>
              <w:sym w:font="Wingdings" w:char="F0FC"/>
            </w:r>
          </w:p>
        </w:tc>
      </w:tr>
      <w:tr w:rsidR="008C6A5B" w14:paraId="107A4381" w14:textId="77777777" w:rsidTr="00226E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6CBBA5D" w14:textId="3379B9F9" w:rsidR="008C6A5B" w:rsidRDefault="008C6A5B" w:rsidP="00226E33">
            <w:pPr>
              <w:pStyle w:val="Tabletext"/>
            </w:pPr>
            <w:r w:rsidRPr="00FD5F7D">
              <w:t>Staff morale</w:t>
            </w:r>
            <w:r w:rsidR="00C8656E">
              <w:t>/</w:t>
            </w:r>
            <w:r w:rsidR="00226E33">
              <w:t xml:space="preserve"> </w:t>
            </w:r>
            <w:r w:rsidRPr="00FD5F7D">
              <w:t>absenteeism</w:t>
            </w:r>
          </w:p>
        </w:tc>
        <w:tc>
          <w:tcPr>
            <w:tcW w:w="818" w:type="dxa"/>
          </w:tcPr>
          <w:p w14:paraId="50B93662" w14:textId="77777777" w:rsidR="008C6A5B" w:rsidRDefault="008C6A5B" w:rsidP="005C1386">
            <w:pPr>
              <w:pStyle w:val="Tabletext"/>
              <w:jc w:val="center"/>
              <w:cnfStyle w:val="000000010000" w:firstRow="0" w:lastRow="0" w:firstColumn="0" w:lastColumn="0" w:oddVBand="0" w:evenVBand="0" w:oddHBand="0" w:evenHBand="1" w:firstRowFirstColumn="0" w:firstRowLastColumn="0" w:lastRowFirstColumn="0" w:lastRowLastColumn="0"/>
            </w:pPr>
            <w:r w:rsidRPr="00926C60">
              <w:t>%</w:t>
            </w:r>
          </w:p>
        </w:tc>
        <w:tc>
          <w:tcPr>
            <w:tcW w:w="3322" w:type="dxa"/>
          </w:tcPr>
          <w:p w14:paraId="6C683B12" w14:textId="77777777" w:rsidR="008C6A5B" w:rsidRDefault="008C6A5B" w:rsidP="00226E33">
            <w:pPr>
              <w:pStyle w:val="Tabletext"/>
              <w:cnfStyle w:val="000000010000" w:firstRow="0" w:lastRow="0" w:firstColumn="0" w:lastColumn="0" w:oddVBand="0" w:evenVBand="0" w:oddHBand="0" w:evenHBand="1" w:firstRowFirstColumn="0" w:firstRowLastColumn="0" w:lastRowFirstColumn="0" w:lastRowLastColumn="0"/>
            </w:pPr>
            <w:r w:rsidRPr="006F4634">
              <w:t xml:space="preserve">Results from surveys </w:t>
            </w:r>
          </w:p>
        </w:tc>
        <w:tc>
          <w:tcPr>
            <w:tcW w:w="810" w:type="dxa"/>
          </w:tcPr>
          <w:p w14:paraId="75AF09D6" w14:textId="77777777" w:rsidR="008C6A5B" w:rsidRPr="00B253F6" w:rsidRDefault="008C6A5B" w:rsidP="005C1386">
            <w:pPr>
              <w:pStyle w:val="Tabletext"/>
              <w:jc w:val="center"/>
              <w:cnfStyle w:val="000000010000" w:firstRow="0" w:lastRow="0" w:firstColumn="0" w:lastColumn="0" w:oddVBand="0" w:evenVBand="0" w:oddHBand="0" w:evenHBand="1" w:firstRowFirstColumn="0" w:firstRowLastColumn="0" w:lastRowFirstColumn="0" w:lastRowLastColumn="0"/>
              <w:rPr>
                <w:sz w:val="20"/>
                <w:szCs w:val="24"/>
              </w:rPr>
            </w:pPr>
            <w:r w:rsidRPr="00B253F6">
              <w:rPr>
                <w:sz w:val="20"/>
                <w:szCs w:val="24"/>
              </w:rPr>
              <w:sym w:font="Wingdings" w:char="F0FC"/>
            </w:r>
          </w:p>
        </w:tc>
        <w:tc>
          <w:tcPr>
            <w:tcW w:w="900" w:type="dxa"/>
          </w:tcPr>
          <w:p w14:paraId="571950F3" w14:textId="77777777" w:rsidR="008C6A5B" w:rsidRPr="00B253F6" w:rsidRDefault="008C6A5B" w:rsidP="005C1386">
            <w:pPr>
              <w:pStyle w:val="Tabletext"/>
              <w:jc w:val="center"/>
              <w:cnfStyle w:val="000000010000" w:firstRow="0" w:lastRow="0" w:firstColumn="0" w:lastColumn="0" w:oddVBand="0" w:evenVBand="0" w:oddHBand="0" w:evenHBand="1" w:firstRowFirstColumn="0" w:firstRowLastColumn="0" w:lastRowFirstColumn="0" w:lastRowLastColumn="0"/>
              <w:rPr>
                <w:sz w:val="20"/>
                <w:szCs w:val="24"/>
              </w:rPr>
            </w:pPr>
            <w:r w:rsidRPr="00B253F6">
              <w:rPr>
                <w:sz w:val="20"/>
                <w:szCs w:val="24"/>
              </w:rPr>
              <w:sym w:font="Wingdings" w:char="F0FC"/>
            </w:r>
          </w:p>
        </w:tc>
        <w:tc>
          <w:tcPr>
            <w:tcW w:w="1016" w:type="dxa"/>
          </w:tcPr>
          <w:p w14:paraId="01435E03" w14:textId="77777777" w:rsidR="008C6A5B" w:rsidRPr="00B253F6" w:rsidRDefault="008C6A5B" w:rsidP="005C1386">
            <w:pPr>
              <w:pStyle w:val="Tabletext"/>
              <w:jc w:val="center"/>
              <w:cnfStyle w:val="000000010000" w:firstRow="0" w:lastRow="0" w:firstColumn="0" w:lastColumn="0" w:oddVBand="0" w:evenVBand="0" w:oddHBand="0" w:evenHBand="1" w:firstRowFirstColumn="0" w:firstRowLastColumn="0" w:lastRowFirstColumn="0" w:lastRowLastColumn="0"/>
              <w:rPr>
                <w:sz w:val="20"/>
                <w:szCs w:val="24"/>
              </w:rPr>
            </w:pPr>
            <w:r w:rsidRPr="00B253F6">
              <w:rPr>
                <w:sz w:val="20"/>
                <w:szCs w:val="24"/>
              </w:rPr>
              <w:sym w:font="Wingdings" w:char="F0FC"/>
            </w:r>
          </w:p>
        </w:tc>
      </w:tr>
      <w:tr w:rsidR="008C6A5B" w14:paraId="5EB12B0F" w14:textId="77777777" w:rsidTr="00226E33">
        <w:tc>
          <w:tcPr>
            <w:cnfStyle w:val="001000000000" w:firstRow="0" w:lastRow="0" w:firstColumn="1" w:lastColumn="0" w:oddVBand="0" w:evenVBand="0" w:oddHBand="0" w:evenHBand="0" w:firstRowFirstColumn="0" w:firstRowLastColumn="0" w:lastRowFirstColumn="0" w:lastRowLastColumn="0"/>
            <w:tcW w:w="2160" w:type="dxa"/>
          </w:tcPr>
          <w:p w14:paraId="3D7C57FF" w14:textId="77777777" w:rsidR="008C6A5B" w:rsidRDefault="008C6A5B" w:rsidP="00226E33">
            <w:pPr>
              <w:pStyle w:val="Tabletext"/>
            </w:pPr>
            <w:r w:rsidRPr="00FD5F7D">
              <w:t>Complaints per customer interaction</w:t>
            </w:r>
          </w:p>
        </w:tc>
        <w:tc>
          <w:tcPr>
            <w:tcW w:w="818" w:type="dxa"/>
          </w:tcPr>
          <w:p w14:paraId="6648B673" w14:textId="77777777" w:rsidR="008C6A5B" w:rsidRDefault="008C6A5B" w:rsidP="005C1386">
            <w:pPr>
              <w:pStyle w:val="Tabletext"/>
              <w:jc w:val="center"/>
              <w:cnfStyle w:val="000000000000" w:firstRow="0" w:lastRow="0" w:firstColumn="0" w:lastColumn="0" w:oddVBand="0" w:evenVBand="0" w:oddHBand="0" w:evenHBand="0" w:firstRowFirstColumn="0" w:firstRowLastColumn="0" w:lastRowFirstColumn="0" w:lastRowLastColumn="0"/>
            </w:pPr>
            <w:r>
              <w:t>number</w:t>
            </w:r>
          </w:p>
        </w:tc>
        <w:tc>
          <w:tcPr>
            <w:tcW w:w="3322" w:type="dxa"/>
          </w:tcPr>
          <w:p w14:paraId="0E8C5603" w14:textId="77777777" w:rsidR="008C6A5B" w:rsidRDefault="008C6A5B" w:rsidP="00226E33">
            <w:pPr>
              <w:pStyle w:val="Tabletext"/>
              <w:cnfStyle w:val="000000000000" w:firstRow="0" w:lastRow="0" w:firstColumn="0" w:lastColumn="0" w:oddVBand="0" w:evenVBand="0" w:oddHBand="0" w:evenHBand="0" w:firstRowFirstColumn="0" w:firstRowLastColumn="0" w:lastRowFirstColumn="0" w:lastRowLastColumn="0"/>
            </w:pPr>
            <w:r w:rsidRPr="006F4634">
              <w:t xml:space="preserve">Number of complaints </w:t>
            </w:r>
          </w:p>
        </w:tc>
        <w:tc>
          <w:tcPr>
            <w:tcW w:w="810" w:type="dxa"/>
          </w:tcPr>
          <w:p w14:paraId="38CC6AB6" w14:textId="77777777" w:rsidR="008C6A5B" w:rsidRPr="00B253F6" w:rsidRDefault="008C6A5B" w:rsidP="005C1386">
            <w:pPr>
              <w:pStyle w:val="Tabletext"/>
              <w:jc w:val="center"/>
              <w:cnfStyle w:val="000000000000" w:firstRow="0" w:lastRow="0" w:firstColumn="0" w:lastColumn="0" w:oddVBand="0" w:evenVBand="0" w:oddHBand="0" w:evenHBand="0" w:firstRowFirstColumn="0" w:firstRowLastColumn="0" w:lastRowFirstColumn="0" w:lastRowLastColumn="0"/>
              <w:rPr>
                <w:sz w:val="20"/>
                <w:szCs w:val="24"/>
              </w:rPr>
            </w:pPr>
            <w:r w:rsidRPr="00B253F6">
              <w:rPr>
                <w:sz w:val="20"/>
                <w:szCs w:val="24"/>
              </w:rPr>
              <w:sym w:font="Wingdings" w:char="F0FC"/>
            </w:r>
          </w:p>
        </w:tc>
        <w:tc>
          <w:tcPr>
            <w:tcW w:w="900" w:type="dxa"/>
          </w:tcPr>
          <w:p w14:paraId="152695BF" w14:textId="77777777" w:rsidR="008C6A5B" w:rsidRPr="00B253F6" w:rsidRDefault="008C6A5B" w:rsidP="005C1386">
            <w:pPr>
              <w:pStyle w:val="Tabletext"/>
              <w:jc w:val="center"/>
              <w:cnfStyle w:val="000000000000" w:firstRow="0" w:lastRow="0" w:firstColumn="0" w:lastColumn="0" w:oddVBand="0" w:evenVBand="0" w:oddHBand="0" w:evenHBand="0" w:firstRowFirstColumn="0" w:firstRowLastColumn="0" w:lastRowFirstColumn="0" w:lastRowLastColumn="0"/>
              <w:rPr>
                <w:sz w:val="20"/>
                <w:szCs w:val="24"/>
              </w:rPr>
            </w:pPr>
            <w:r w:rsidRPr="00B253F6">
              <w:rPr>
                <w:sz w:val="20"/>
                <w:szCs w:val="24"/>
              </w:rPr>
              <w:sym w:font="Wingdings" w:char="F0FC"/>
            </w:r>
          </w:p>
        </w:tc>
        <w:tc>
          <w:tcPr>
            <w:tcW w:w="1016" w:type="dxa"/>
          </w:tcPr>
          <w:p w14:paraId="044B7AC3" w14:textId="77777777" w:rsidR="008C6A5B" w:rsidRPr="00B253F6" w:rsidRDefault="008C6A5B" w:rsidP="005C1386">
            <w:pPr>
              <w:pStyle w:val="Tabletext"/>
              <w:jc w:val="center"/>
              <w:cnfStyle w:val="000000000000" w:firstRow="0" w:lastRow="0" w:firstColumn="0" w:lastColumn="0" w:oddVBand="0" w:evenVBand="0" w:oddHBand="0" w:evenHBand="0" w:firstRowFirstColumn="0" w:firstRowLastColumn="0" w:lastRowFirstColumn="0" w:lastRowLastColumn="0"/>
              <w:rPr>
                <w:sz w:val="20"/>
                <w:szCs w:val="24"/>
              </w:rPr>
            </w:pPr>
            <w:r w:rsidRPr="00B253F6">
              <w:rPr>
                <w:sz w:val="20"/>
                <w:szCs w:val="24"/>
              </w:rPr>
              <w:sym w:font="Wingdings" w:char="F0FC"/>
            </w:r>
          </w:p>
        </w:tc>
      </w:tr>
      <w:tr w:rsidR="008C6A5B" w14:paraId="1931EC00" w14:textId="77777777" w:rsidTr="00226E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DCDBC55" w14:textId="77777777" w:rsidR="008C6A5B" w:rsidRDefault="008C6A5B" w:rsidP="00226E33">
            <w:pPr>
              <w:pStyle w:val="Tabletext"/>
            </w:pPr>
            <w:r w:rsidRPr="00FD5F7D">
              <w:t>Staff turnover</w:t>
            </w:r>
            <w:r>
              <w:t xml:space="preserve"> </w:t>
            </w:r>
            <w:r w:rsidRPr="00B253F6">
              <w:rPr>
                <w:vertAlign w:val="superscript"/>
              </w:rPr>
              <w:t>(a)</w:t>
            </w:r>
          </w:p>
        </w:tc>
        <w:tc>
          <w:tcPr>
            <w:tcW w:w="818" w:type="dxa"/>
          </w:tcPr>
          <w:p w14:paraId="68BEF992" w14:textId="77777777" w:rsidR="008C6A5B" w:rsidRDefault="008C6A5B" w:rsidP="005C1386">
            <w:pPr>
              <w:pStyle w:val="Tabletext"/>
              <w:jc w:val="center"/>
              <w:cnfStyle w:val="000000010000" w:firstRow="0" w:lastRow="0" w:firstColumn="0" w:lastColumn="0" w:oddVBand="0" w:evenVBand="0" w:oddHBand="0" w:evenHBand="1" w:firstRowFirstColumn="0" w:firstRowLastColumn="0" w:lastRowFirstColumn="0" w:lastRowLastColumn="0"/>
            </w:pPr>
            <w:r w:rsidRPr="00926C60">
              <w:t>%</w:t>
            </w:r>
          </w:p>
        </w:tc>
        <w:tc>
          <w:tcPr>
            <w:tcW w:w="3322" w:type="dxa"/>
          </w:tcPr>
          <w:p w14:paraId="01793713" w14:textId="125214C3" w:rsidR="008C6A5B" w:rsidRDefault="008C6A5B" w:rsidP="00226E33">
            <w:pPr>
              <w:pStyle w:val="Tabletext"/>
              <w:cnfStyle w:val="000000010000" w:firstRow="0" w:lastRow="0" w:firstColumn="0" w:lastColumn="0" w:oddVBand="0" w:evenVBand="0" w:oddHBand="0" w:evenHBand="1" w:firstRowFirstColumn="0" w:firstRowLastColumn="0" w:lastRowFirstColumn="0" w:lastRowLastColumn="0"/>
            </w:pPr>
            <w:r w:rsidRPr="006F4634">
              <w:t>Staff FTEs departed</w:t>
            </w:r>
            <w:r w:rsidR="00C8656E">
              <w:t>/</w:t>
            </w:r>
            <w:r>
              <w:br/>
            </w:r>
            <w:r w:rsidRPr="006F4634">
              <w:t>Total staff FTE</w:t>
            </w:r>
          </w:p>
        </w:tc>
        <w:tc>
          <w:tcPr>
            <w:tcW w:w="810" w:type="dxa"/>
          </w:tcPr>
          <w:p w14:paraId="22428FFF" w14:textId="77777777" w:rsidR="008C6A5B" w:rsidRPr="00B253F6" w:rsidRDefault="008C6A5B" w:rsidP="005C1386">
            <w:pPr>
              <w:pStyle w:val="Tabletext"/>
              <w:jc w:val="center"/>
              <w:cnfStyle w:val="000000010000" w:firstRow="0" w:lastRow="0" w:firstColumn="0" w:lastColumn="0" w:oddVBand="0" w:evenVBand="0" w:oddHBand="0" w:evenHBand="1" w:firstRowFirstColumn="0" w:firstRowLastColumn="0" w:lastRowFirstColumn="0" w:lastRowLastColumn="0"/>
              <w:rPr>
                <w:sz w:val="20"/>
                <w:szCs w:val="24"/>
              </w:rPr>
            </w:pPr>
            <w:r w:rsidRPr="00B253F6">
              <w:rPr>
                <w:sz w:val="20"/>
                <w:szCs w:val="24"/>
              </w:rPr>
              <w:sym w:font="Wingdings" w:char="F0FC"/>
            </w:r>
          </w:p>
        </w:tc>
        <w:tc>
          <w:tcPr>
            <w:tcW w:w="900" w:type="dxa"/>
          </w:tcPr>
          <w:p w14:paraId="6E9AF709" w14:textId="77777777" w:rsidR="008C6A5B" w:rsidRPr="00B253F6" w:rsidRDefault="008C6A5B" w:rsidP="005C1386">
            <w:pPr>
              <w:pStyle w:val="Tabletext"/>
              <w:jc w:val="center"/>
              <w:cnfStyle w:val="000000010000" w:firstRow="0" w:lastRow="0" w:firstColumn="0" w:lastColumn="0" w:oddVBand="0" w:evenVBand="0" w:oddHBand="0" w:evenHBand="1" w:firstRowFirstColumn="0" w:firstRowLastColumn="0" w:lastRowFirstColumn="0" w:lastRowLastColumn="0"/>
              <w:rPr>
                <w:sz w:val="20"/>
                <w:szCs w:val="24"/>
              </w:rPr>
            </w:pPr>
            <w:r w:rsidRPr="00B253F6">
              <w:rPr>
                <w:sz w:val="20"/>
                <w:szCs w:val="24"/>
              </w:rPr>
              <w:sym w:font="Wingdings" w:char="F0FC"/>
            </w:r>
          </w:p>
        </w:tc>
        <w:tc>
          <w:tcPr>
            <w:tcW w:w="1016" w:type="dxa"/>
          </w:tcPr>
          <w:p w14:paraId="4A0411F6" w14:textId="77777777" w:rsidR="008C6A5B" w:rsidRPr="00B253F6" w:rsidRDefault="008C6A5B" w:rsidP="005C1386">
            <w:pPr>
              <w:pStyle w:val="Tabletext"/>
              <w:jc w:val="center"/>
              <w:cnfStyle w:val="000000010000" w:firstRow="0" w:lastRow="0" w:firstColumn="0" w:lastColumn="0" w:oddVBand="0" w:evenVBand="0" w:oddHBand="0" w:evenHBand="1" w:firstRowFirstColumn="0" w:firstRowLastColumn="0" w:lastRowFirstColumn="0" w:lastRowLastColumn="0"/>
              <w:rPr>
                <w:sz w:val="20"/>
                <w:szCs w:val="24"/>
              </w:rPr>
            </w:pPr>
            <w:r w:rsidRPr="00B253F6">
              <w:rPr>
                <w:sz w:val="20"/>
                <w:szCs w:val="24"/>
              </w:rPr>
              <w:sym w:font="Wingdings" w:char="F0FC"/>
            </w:r>
          </w:p>
        </w:tc>
      </w:tr>
    </w:tbl>
    <w:p w14:paraId="2B37897A" w14:textId="77777777" w:rsidR="008C6A5B" w:rsidRPr="00226E33" w:rsidRDefault="008C6A5B" w:rsidP="00226E33">
      <w:pPr>
        <w:pStyle w:val="NoteNormal"/>
      </w:pPr>
      <w:r w:rsidRPr="00226E33">
        <w:t>Note:</w:t>
      </w:r>
    </w:p>
    <w:p w14:paraId="0CA1E01F" w14:textId="5CF564EA" w:rsidR="008C6A5B" w:rsidRPr="00226E33" w:rsidRDefault="008C6A5B" w:rsidP="00226E33">
      <w:pPr>
        <w:pStyle w:val="NoteNormal"/>
      </w:pPr>
      <w:r w:rsidRPr="00226E33">
        <w:t>(a)</w:t>
      </w:r>
      <w:r w:rsidR="00226E33">
        <w:t xml:space="preserve"> </w:t>
      </w:r>
      <w:r w:rsidRPr="00226E33">
        <w:t>FTE numbers should be calculated on the same basis as those disclosed in the Annual Report.</w:t>
      </w:r>
    </w:p>
    <w:p w14:paraId="2784CB72" w14:textId="77777777" w:rsidR="008C6A5B" w:rsidRDefault="008C6A5B" w:rsidP="008C6A5B">
      <w:pPr>
        <w:pStyle w:val="Heading1"/>
      </w:pPr>
      <w:bookmarkStart w:id="98" w:name="_Toc41041751"/>
      <w:bookmarkStart w:id="99" w:name="_Toc85033670"/>
      <w:r>
        <w:lastRenderedPageBreak/>
        <w:t>Appendix 2: Business case submission requirements</w:t>
      </w:r>
      <w:bookmarkEnd w:id="98"/>
      <w:bookmarkEnd w:id="99"/>
    </w:p>
    <w:p w14:paraId="2C7D8EA3" w14:textId="77777777" w:rsidR="008C6A5B" w:rsidRDefault="008C6A5B" w:rsidP="008C6A5B">
      <w:r>
        <w:t>GBEs are required to submit business cases for the Treasurer’s approval as outlined below.</w:t>
      </w:r>
    </w:p>
    <w:p w14:paraId="67D5BBDC" w14:textId="77777777" w:rsidR="008C6A5B" w:rsidRDefault="008C6A5B" w:rsidP="008C6A5B">
      <w:r>
        <w:t>Submission of a business case may also be requested under the following circumstances:</w:t>
      </w:r>
    </w:p>
    <w:p w14:paraId="0D94CD0D" w14:textId="6F252F28" w:rsidR="008C6A5B" w:rsidRDefault="008C6A5B" w:rsidP="008C6A5B">
      <w:pPr>
        <w:pStyle w:val="Bullet1"/>
        <w:keepLines/>
        <w:numPr>
          <w:ilvl w:val="0"/>
          <w:numId w:val="1"/>
        </w:numPr>
        <w:spacing w:before="0" w:after="40" w:line="276" w:lineRule="auto"/>
        <w:ind w:left="357" w:hanging="357"/>
        <w:contextualSpacing w:val="0"/>
      </w:pPr>
      <w:r>
        <w:t>If in accepting a GBE’s Corporate Plan</w:t>
      </w:r>
      <w:r w:rsidR="005C1386">
        <w:t>,</w:t>
      </w:r>
      <w:r>
        <w:t xml:space="preserve"> the Treasurer requests that a business case be submitted for a </w:t>
      </w:r>
      <w:proofErr w:type="gramStart"/>
      <w:r>
        <w:t>proposal</w:t>
      </w:r>
      <w:proofErr w:type="gramEnd"/>
    </w:p>
    <w:p w14:paraId="208B354E" w14:textId="1CE51893" w:rsidR="008C6A5B" w:rsidRDefault="008C6A5B" w:rsidP="008C6A5B">
      <w:pPr>
        <w:pStyle w:val="Bullet1"/>
        <w:keepLines/>
        <w:numPr>
          <w:ilvl w:val="0"/>
          <w:numId w:val="1"/>
        </w:numPr>
        <w:spacing w:before="0" w:after="40" w:line="276" w:lineRule="auto"/>
        <w:ind w:left="357" w:hanging="357"/>
        <w:contextualSpacing w:val="0"/>
      </w:pPr>
      <w:r>
        <w:t>If a proposal is not identified in the GBE’s Corporate Plan</w:t>
      </w:r>
    </w:p>
    <w:p w14:paraId="1788B30D" w14:textId="77777777" w:rsidR="008C6A5B" w:rsidRDefault="008C6A5B" w:rsidP="008C6A5B">
      <w:pPr>
        <w:pStyle w:val="Bullet1"/>
        <w:keepLines/>
        <w:numPr>
          <w:ilvl w:val="0"/>
          <w:numId w:val="1"/>
        </w:numPr>
        <w:spacing w:before="0" w:after="40" w:line="276" w:lineRule="auto"/>
        <w:ind w:left="357" w:hanging="357"/>
        <w:contextualSpacing w:val="0"/>
      </w:pPr>
      <w:r>
        <w:t>If a proposal is assessed as high-risk based on the Gateway Project Profile Model.</w:t>
      </w:r>
    </w:p>
    <w:p w14:paraId="7249B8A9" w14:textId="77777777" w:rsidR="008C6A5B" w:rsidRDefault="008C6A5B" w:rsidP="008C6A5B">
      <w:r>
        <w:t>DTF proposes that the HV/HR framework be applied or observed for high value, high risk or complex projects, including those that a GBE proposes to fund through own-sourced revenue. See</w:t>
      </w:r>
      <w:r w:rsidRPr="005C1386">
        <w:rPr>
          <w:rFonts w:ascii="Calibri" w:hAnsi="Calibri" w:cs="Calibri"/>
        </w:rPr>
        <w:t> </w:t>
      </w:r>
      <w:r>
        <w:t>Chapter 3.</w:t>
      </w:r>
    </w:p>
    <w:tbl>
      <w:tblPr>
        <w:tblStyle w:val="DTFtexttable"/>
        <w:tblW w:w="0" w:type="auto"/>
        <w:tblLayout w:type="fixed"/>
        <w:tblLook w:val="0400" w:firstRow="0" w:lastRow="0" w:firstColumn="0" w:lastColumn="0" w:noHBand="0" w:noVBand="1"/>
      </w:tblPr>
      <w:tblGrid>
        <w:gridCol w:w="4395"/>
        <w:gridCol w:w="4631"/>
      </w:tblGrid>
      <w:tr w:rsidR="008C6A5B" w14:paraId="3E95447E" w14:textId="77777777" w:rsidTr="005C1386">
        <w:tc>
          <w:tcPr>
            <w:tcW w:w="4395" w:type="dxa"/>
          </w:tcPr>
          <w:p w14:paraId="113E1B6A" w14:textId="336479B5" w:rsidR="008C6A5B" w:rsidRPr="00F5310D" w:rsidRDefault="008C6A5B" w:rsidP="003D4E64">
            <w:r w:rsidRPr="00885E00">
              <w:t xml:space="preserve">Any capital expenditure proposal </w:t>
            </w:r>
            <w:r w:rsidRPr="00F5310D">
              <w:t>greater than $1</w:t>
            </w:r>
            <w:r w:rsidR="003F08A8">
              <w:t>25</w:t>
            </w:r>
            <w:r>
              <w:rPr>
                <w:rFonts w:ascii="Calibri" w:hAnsi="Calibri" w:cs="Calibri"/>
              </w:rPr>
              <w:t> </w:t>
            </w:r>
            <w:r w:rsidRPr="00F5310D">
              <w:t>million</w:t>
            </w:r>
          </w:p>
        </w:tc>
        <w:tc>
          <w:tcPr>
            <w:tcW w:w="4631" w:type="dxa"/>
          </w:tcPr>
          <w:p w14:paraId="16AE7A44" w14:textId="77777777" w:rsidR="008C6A5B" w:rsidRPr="00F5310D" w:rsidRDefault="008C6A5B" w:rsidP="008C6A5B">
            <w:pPr>
              <w:pStyle w:val="Bullet1"/>
              <w:keepLines/>
              <w:numPr>
                <w:ilvl w:val="0"/>
                <w:numId w:val="1"/>
              </w:numPr>
              <w:spacing w:before="0" w:after="40" w:line="240" w:lineRule="auto"/>
              <w:ind w:left="357" w:hanging="357"/>
              <w:contextualSpacing w:val="0"/>
            </w:pPr>
            <w:r w:rsidRPr="00742F8D">
              <w:t>Melbourne Water Corporation</w:t>
            </w:r>
          </w:p>
        </w:tc>
      </w:tr>
      <w:tr w:rsidR="008C6A5B" w14:paraId="7D97D57D" w14:textId="77777777" w:rsidTr="005C1386">
        <w:trPr>
          <w:cnfStyle w:val="000000010000" w:firstRow="0" w:lastRow="0" w:firstColumn="0" w:lastColumn="0" w:oddVBand="0" w:evenVBand="0" w:oddHBand="0" w:evenHBand="1" w:firstRowFirstColumn="0" w:firstRowLastColumn="0" w:lastRowFirstColumn="0" w:lastRowLastColumn="0"/>
        </w:trPr>
        <w:tc>
          <w:tcPr>
            <w:tcW w:w="4395" w:type="dxa"/>
          </w:tcPr>
          <w:p w14:paraId="7F715BAE" w14:textId="6C608954" w:rsidR="008C6A5B" w:rsidRPr="00F5310D" w:rsidRDefault="008C6A5B" w:rsidP="003D4E64">
            <w:r w:rsidRPr="00F5310D">
              <w:t>Any capital expenditure proposal</w:t>
            </w:r>
            <w:r>
              <w:t xml:space="preserve"> </w:t>
            </w:r>
            <w:r w:rsidRPr="00F5310D">
              <w:t>greater than $</w:t>
            </w:r>
            <w:r w:rsidR="003F08A8">
              <w:t>10</w:t>
            </w:r>
            <w:r w:rsidRPr="00F5310D">
              <w:t>0</w:t>
            </w:r>
            <w:r>
              <w:rPr>
                <w:rFonts w:ascii="Calibri" w:hAnsi="Calibri" w:cs="Calibri"/>
              </w:rPr>
              <w:t> </w:t>
            </w:r>
            <w:r w:rsidRPr="00F5310D">
              <w:t>million</w:t>
            </w:r>
          </w:p>
        </w:tc>
        <w:tc>
          <w:tcPr>
            <w:tcW w:w="4631" w:type="dxa"/>
          </w:tcPr>
          <w:p w14:paraId="3AD70E1C" w14:textId="77777777" w:rsidR="008C6A5B" w:rsidRDefault="008C6A5B" w:rsidP="008C6A5B">
            <w:pPr>
              <w:pStyle w:val="Bullet1"/>
              <w:keepLines/>
              <w:numPr>
                <w:ilvl w:val="0"/>
                <w:numId w:val="1"/>
              </w:numPr>
              <w:spacing w:before="0" w:after="40" w:line="240" w:lineRule="auto"/>
              <w:ind w:left="357" w:hanging="357"/>
              <w:contextualSpacing w:val="0"/>
            </w:pPr>
            <w:r>
              <w:t>Barwon Region Water Corporation</w:t>
            </w:r>
          </w:p>
          <w:p w14:paraId="6745113A" w14:textId="77777777" w:rsidR="008C6A5B" w:rsidRDefault="008C6A5B" w:rsidP="008C6A5B">
            <w:pPr>
              <w:pStyle w:val="Bullet1"/>
              <w:keepLines/>
              <w:numPr>
                <w:ilvl w:val="0"/>
                <w:numId w:val="1"/>
              </w:numPr>
              <w:spacing w:before="0" w:after="40" w:line="240" w:lineRule="auto"/>
              <w:ind w:left="357" w:hanging="357"/>
              <w:contextualSpacing w:val="0"/>
            </w:pPr>
            <w:r>
              <w:t>Greater Western Water Corporation</w:t>
            </w:r>
          </w:p>
          <w:p w14:paraId="5FB2BBBB" w14:textId="77777777" w:rsidR="008C6A5B" w:rsidRDefault="008C6A5B" w:rsidP="008C6A5B">
            <w:pPr>
              <w:pStyle w:val="Bullet1"/>
              <w:keepLines/>
              <w:numPr>
                <w:ilvl w:val="0"/>
                <w:numId w:val="1"/>
              </w:numPr>
              <w:spacing w:before="0" w:after="40" w:line="240" w:lineRule="auto"/>
              <w:ind w:left="357" w:hanging="357"/>
              <w:contextualSpacing w:val="0"/>
            </w:pPr>
            <w:r>
              <w:t>Goulburn-Murray Rural Water Corporation</w:t>
            </w:r>
          </w:p>
          <w:p w14:paraId="66D8D0B8" w14:textId="77777777" w:rsidR="008C6A5B" w:rsidRDefault="008C6A5B" w:rsidP="008C6A5B">
            <w:pPr>
              <w:pStyle w:val="Bullet1"/>
              <w:keepLines/>
              <w:numPr>
                <w:ilvl w:val="0"/>
                <w:numId w:val="1"/>
              </w:numPr>
              <w:spacing w:before="0" w:after="40" w:line="240" w:lineRule="auto"/>
              <w:ind w:left="357" w:hanging="357"/>
              <w:contextualSpacing w:val="0"/>
            </w:pPr>
            <w:proofErr w:type="gramStart"/>
            <w:r>
              <w:t>South East</w:t>
            </w:r>
            <w:proofErr w:type="gramEnd"/>
            <w:r>
              <w:t xml:space="preserve"> Water Corporation</w:t>
            </w:r>
          </w:p>
          <w:p w14:paraId="26CC103E" w14:textId="77777777" w:rsidR="008C6A5B" w:rsidRPr="00812A91" w:rsidRDefault="008C6A5B" w:rsidP="008C6A5B">
            <w:pPr>
              <w:pStyle w:val="Bullet1"/>
              <w:keepLines/>
              <w:numPr>
                <w:ilvl w:val="0"/>
                <w:numId w:val="1"/>
              </w:numPr>
              <w:spacing w:before="0" w:after="40" w:line="240" w:lineRule="auto"/>
              <w:ind w:left="357" w:hanging="357"/>
              <w:contextualSpacing w:val="0"/>
            </w:pPr>
            <w:r>
              <w:t>Yarra Valley Water Corporation</w:t>
            </w:r>
          </w:p>
        </w:tc>
      </w:tr>
      <w:tr w:rsidR="008C6A5B" w14:paraId="058220AA" w14:textId="77777777" w:rsidTr="005C1386">
        <w:tc>
          <w:tcPr>
            <w:tcW w:w="4395" w:type="dxa"/>
          </w:tcPr>
          <w:p w14:paraId="44E61ABD" w14:textId="33E428C8" w:rsidR="008C6A5B" w:rsidRDefault="008C6A5B" w:rsidP="003D4E64">
            <w:r>
              <w:t>Any capital expenditure proposal greater than $</w:t>
            </w:r>
            <w:r w:rsidR="003F08A8">
              <w:t>4</w:t>
            </w:r>
            <w:r>
              <w:t>0</w:t>
            </w:r>
            <w:r>
              <w:rPr>
                <w:rFonts w:ascii="Calibri" w:hAnsi="Calibri" w:cs="Calibri"/>
              </w:rPr>
              <w:t> </w:t>
            </w:r>
            <w:r>
              <w:t>million</w:t>
            </w:r>
          </w:p>
        </w:tc>
        <w:tc>
          <w:tcPr>
            <w:tcW w:w="4631" w:type="dxa"/>
          </w:tcPr>
          <w:p w14:paraId="4A9CA817" w14:textId="77777777" w:rsidR="008C6A5B" w:rsidRDefault="008C6A5B" w:rsidP="008C6A5B">
            <w:pPr>
              <w:pStyle w:val="Bullet1"/>
              <w:keepLines/>
              <w:numPr>
                <w:ilvl w:val="0"/>
                <w:numId w:val="1"/>
              </w:numPr>
              <w:spacing w:before="0" w:after="40" w:line="240" w:lineRule="auto"/>
              <w:ind w:left="357" w:hanging="357"/>
              <w:contextualSpacing w:val="0"/>
            </w:pPr>
            <w:r>
              <w:t>Central Highlands Region Water Corporation</w:t>
            </w:r>
          </w:p>
          <w:p w14:paraId="76E9559D" w14:textId="77777777" w:rsidR="008C6A5B" w:rsidRDefault="008C6A5B" w:rsidP="008C6A5B">
            <w:pPr>
              <w:pStyle w:val="Bullet1"/>
              <w:keepLines/>
              <w:numPr>
                <w:ilvl w:val="0"/>
                <w:numId w:val="1"/>
              </w:numPr>
              <w:spacing w:before="0" w:after="40" w:line="240" w:lineRule="auto"/>
              <w:ind w:left="357" w:hanging="357"/>
              <w:contextualSpacing w:val="0"/>
            </w:pPr>
            <w:proofErr w:type="spellStart"/>
            <w:r>
              <w:t>Coliban</w:t>
            </w:r>
            <w:proofErr w:type="spellEnd"/>
            <w:r>
              <w:t xml:space="preserve"> Region Water Corporation</w:t>
            </w:r>
          </w:p>
          <w:p w14:paraId="70867160" w14:textId="77777777" w:rsidR="008C6A5B" w:rsidRDefault="008C6A5B" w:rsidP="008C6A5B">
            <w:pPr>
              <w:pStyle w:val="Bullet1"/>
              <w:keepLines/>
              <w:numPr>
                <w:ilvl w:val="0"/>
                <w:numId w:val="1"/>
              </w:numPr>
              <w:spacing w:before="0" w:after="40" w:line="240" w:lineRule="auto"/>
              <w:ind w:left="357" w:hanging="357"/>
              <w:contextualSpacing w:val="0"/>
            </w:pPr>
            <w:r>
              <w:t>Central Gippsland Region Water Corporation</w:t>
            </w:r>
          </w:p>
          <w:p w14:paraId="70B86E20" w14:textId="67773999" w:rsidR="008C6A5B" w:rsidRDefault="007155A0" w:rsidP="008C6A5B">
            <w:pPr>
              <w:pStyle w:val="Bullet1"/>
              <w:keepLines/>
              <w:numPr>
                <w:ilvl w:val="0"/>
                <w:numId w:val="1"/>
              </w:numPr>
              <w:spacing w:before="0" w:after="40" w:line="240" w:lineRule="auto"/>
              <w:ind w:left="357" w:hanging="357"/>
              <w:contextualSpacing w:val="0"/>
            </w:pPr>
            <w:r>
              <w:t>Melbourne Arts Precinct Corporation</w:t>
            </w:r>
          </w:p>
          <w:p w14:paraId="6E65C45F" w14:textId="77777777" w:rsidR="008C6A5B" w:rsidRDefault="008C6A5B" w:rsidP="008C6A5B">
            <w:pPr>
              <w:pStyle w:val="Bullet1"/>
              <w:keepLines/>
              <w:numPr>
                <w:ilvl w:val="0"/>
                <w:numId w:val="1"/>
              </w:numPr>
              <w:spacing w:before="0" w:after="40" w:line="240" w:lineRule="auto"/>
              <w:ind w:left="357" w:hanging="357"/>
              <w:contextualSpacing w:val="0"/>
            </w:pPr>
            <w:r>
              <w:t>Goulburn Valley Region Water Corporation</w:t>
            </w:r>
          </w:p>
          <w:p w14:paraId="512B6F5D" w14:textId="77777777" w:rsidR="008C6A5B" w:rsidRDefault="008C6A5B" w:rsidP="008C6A5B">
            <w:pPr>
              <w:pStyle w:val="Bullet1"/>
              <w:keepLines/>
              <w:numPr>
                <w:ilvl w:val="0"/>
                <w:numId w:val="1"/>
              </w:numPr>
              <w:spacing w:before="0" w:after="40" w:line="240" w:lineRule="auto"/>
              <w:ind w:left="357" w:hanging="357"/>
              <w:contextualSpacing w:val="0"/>
            </w:pPr>
            <w:r>
              <w:t>Grampians Wimmera Mallee Water Corporation</w:t>
            </w:r>
          </w:p>
          <w:p w14:paraId="0A5C308F" w14:textId="77777777" w:rsidR="008C6A5B" w:rsidRDefault="008C6A5B" w:rsidP="008C6A5B">
            <w:pPr>
              <w:pStyle w:val="Bullet1"/>
              <w:keepLines/>
              <w:numPr>
                <w:ilvl w:val="0"/>
                <w:numId w:val="1"/>
              </w:numPr>
              <w:spacing w:before="0" w:after="40" w:line="240" w:lineRule="auto"/>
              <w:ind w:left="357" w:hanging="357"/>
              <w:contextualSpacing w:val="0"/>
            </w:pPr>
            <w:r>
              <w:t>Lower Murray Urban and Rural Water Corporation</w:t>
            </w:r>
          </w:p>
          <w:p w14:paraId="09D32D6B" w14:textId="1B8C858B" w:rsidR="008C6A5B" w:rsidRPr="005C1386" w:rsidRDefault="008C6A5B" w:rsidP="005C1386">
            <w:pPr>
              <w:pStyle w:val="Bullet1"/>
              <w:keepLines/>
              <w:numPr>
                <w:ilvl w:val="0"/>
                <w:numId w:val="1"/>
              </w:numPr>
              <w:spacing w:before="0" w:after="40" w:line="240" w:lineRule="auto"/>
              <w:ind w:left="357" w:hanging="357"/>
              <w:contextualSpacing w:val="0"/>
            </w:pPr>
            <w:r>
              <w:t>Wannon Region Water Corporation</w:t>
            </w:r>
          </w:p>
        </w:tc>
      </w:tr>
      <w:tr w:rsidR="008C6A5B" w14:paraId="48C37CF5" w14:textId="77777777" w:rsidTr="005C1386">
        <w:trPr>
          <w:cnfStyle w:val="000000010000" w:firstRow="0" w:lastRow="0" w:firstColumn="0" w:lastColumn="0" w:oddVBand="0" w:evenVBand="0" w:oddHBand="0" w:evenHBand="1" w:firstRowFirstColumn="0" w:firstRowLastColumn="0" w:lastRowFirstColumn="0" w:lastRowLastColumn="0"/>
        </w:trPr>
        <w:tc>
          <w:tcPr>
            <w:tcW w:w="4395" w:type="dxa"/>
          </w:tcPr>
          <w:p w14:paraId="6C2BD579" w14:textId="7E2AF6C1" w:rsidR="008C6A5B" w:rsidRPr="00F5310D" w:rsidRDefault="008C6A5B" w:rsidP="003D4E64">
            <w:r>
              <w:t>Any capital expenditure proposal greater than $</w:t>
            </w:r>
            <w:r w:rsidR="003F08A8">
              <w:t>20</w:t>
            </w:r>
            <w:r>
              <w:rPr>
                <w:rFonts w:ascii="Calibri" w:hAnsi="Calibri" w:cs="Calibri"/>
              </w:rPr>
              <w:t> </w:t>
            </w:r>
            <w:r>
              <w:t>million</w:t>
            </w:r>
          </w:p>
        </w:tc>
        <w:tc>
          <w:tcPr>
            <w:tcW w:w="4631" w:type="dxa"/>
          </w:tcPr>
          <w:p w14:paraId="68A97A3E" w14:textId="77777777" w:rsidR="008C6A5B" w:rsidRPr="00F5310D" w:rsidRDefault="008C6A5B" w:rsidP="008C6A5B">
            <w:pPr>
              <w:pStyle w:val="Bullet1"/>
              <w:keepLines/>
              <w:numPr>
                <w:ilvl w:val="0"/>
                <w:numId w:val="1"/>
              </w:numPr>
              <w:spacing w:before="0" w:after="40" w:line="240" w:lineRule="auto"/>
              <w:ind w:left="357" w:hanging="357"/>
              <w:contextualSpacing w:val="0"/>
            </w:pPr>
            <w:r w:rsidRPr="00742F8D">
              <w:t>All other entities, including PFCs and Insurers</w:t>
            </w:r>
          </w:p>
        </w:tc>
      </w:tr>
      <w:tr w:rsidR="008C6A5B" w14:paraId="0359C544" w14:textId="77777777" w:rsidTr="005C1386">
        <w:tc>
          <w:tcPr>
            <w:tcW w:w="4395" w:type="dxa"/>
          </w:tcPr>
          <w:p w14:paraId="0E9D9414" w14:textId="2CEF0E39" w:rsidR="008C6A5B" w:rsidRPr="00F5310D" w:rsidRDefault="008C6A5B" w:rsidP="003D4E64">
            <w:r>
              <w:t>Any capital expenditure proposal greater than $</w:t>
            </w:r>
            <w:r w:rsidR="003F08A8">
              <w:t>6</w:t>
            </w:r>
            <w:r>
              <w:rPr>
                <w:rFonts w:ascii="Calibri" w:hAnsi="Calibri" w:cs="Calibri"/>
              </w:rPr>
              <w:t> </w:t>
            </w:r>
            <w:r>
              <w:t>million</w:t>
            </w:r>
          </w:p>
        </w:tc>
        <w:tc>
          <w:tcPr>
            <w:tcW w:w="4631" w:type="dxa"/>
          </w:tcPr>
          <w:p w14:paraId="4E468B45" w14:textId="77777777" w:rsidR="008C6A5B" w:rsidRPr="00F5310D" w:rsidRDefault="008C6A5B" w:rsidP="008C6A5B">
            <w:pPr>
              <w:pStyle w:val="Bullet1"/>
              <w:keepLines/>
              <w:numPr>
                <w:ilvl w:val="0"/>
                <w:numId w:val="1"/>
              </w:numPr>
              <w:spacing w:before="0" w:after="40" w:line="240" w:lineRule="auto"/>
              <w:ind w:left="357" w:hanging="357"/>
              <w:contextualSpacing w:val="0"/>
            </w:pPr>
            <w:r w:rsidRPr="00742F8D">
              <w:t>Development Victoria (in line with the land value threshold in Development Victoria’s establishing legislation)</w:t>
            </w:r>
          </w:p>
        </w:tc>
      </w:tr>
    </w:tbl>
    <w:p w14:paraId="25F16419" w14:textId="77777777" w:rsidR="008C6A5B" w:rsidRDefault="008C6A5B" w:rsidP="008C6A5B">
      <w:pPr>
        <w:pStyle w:val="Heading1"/>
      </w:pPr>
      <w:bookmarkStart w:id="100" w:name="_Toc41041752"/>
      <w:bookmarkStart w:id="101" w:name="_Toc85033671"/>
      <w:r>
        <w:lastRenderedPageBreak/>
        <w:t>Appendix 3: Abbreviations and definitions</w:t>
      </w:r>
      <w:bookmarkEnd w:id="100"/>
      <w:bookmarkEnd w:id="101"/>
    </w:p>
    <w:tbl>
      <w:tblPr>
        <w:tblStyle w:val="DTFtexttable"/>
        <w:tblW w:w="0" w:type="auto"/>
        <w:tblLayout w:type="fixed"/>
        <w:tblLook w:val="0420" w:firstRow="1" w:lastRow="0" w:firstColumn="0" w:lastColumn="0" w:noHBand="0" w:noVBand="1"/>
      </w:tblPr>
      <w:tblGrid>
        <w:gridCol w:w="1418"/>
        <w:gridCol w:w="7608"/>
      </w:tblGrid>
      <w:tr w:rsidR="008C6A5B" w:rsidRPr="00F95E84" w14:paraId="05552C6A" w14:textId="77777777" w:rsidTr="00226E33">
        <w:trPr>
          <w:cnfStyle w:val="100000000000" w:firstRow="1" w:lastRow="0" w:firstColumn="0" w:lastColumn="0" w:oddVBand="0" w:evenVBand="0" w:oddHBand="0" w:evenHBand="0" w:firstRowFirstColumn="0" w:firstRowLastColumn="0" w:lastRowFirstColumn="0" w:lastRowLastColumn="0"/>
        </w:trPr>
        <w:tc>
          <w:tcPr>
            <w:tcW w:w="1418" w:type="dxa"/>
          </w:tcPr>
          <w:p w14:paraId="47F81AB7" w14:textId="77777777" w:rsidR="008C6A5B" w:rsidRPr="00F95E84" w:rsidRDefault="008C6A5B" w:rsidP="00226E33">
            <w:pPr>
              <w:pStyle w:val="Tableheader"/>
            </w:pPr>
            <w:r>
              <w:t>Abbreviation</w:t>
            </w:r>
          </w:p>
        </w:tc>
        <w:tc>
          <w:tcPr>
            <w:tcW w:w="7608" w:type="dxa"/>
          </w:tcPr>
          <w:p w14:paraId="1425B31D" w14:textId="77777777" w:rsidR="008C6A5B" w:rsidRPr="00F95E84" w:rsidRDefault="008C6A5B" w:rsidP="00226E33">
            <w:pPr>
              <w:pStyle w:val="Tableheader"/>
            </w:pPr>
            <w:r>
              <w:t>Definition</w:t>
            </w:r>
          </w:p>
        </w:tc>
      </w:tr>
      <w:tr w:rsidR="008C6A5B" w:rsidRPr="00F95E84" w14:paraId="15382766" w14:textId="77777777" w:rsidTr="00226E33">
        <w:tc>
          <w:tcPr>
            <w:tcW w:w="1418" w:type="dxa"/>
          </w:tcPr>
          <w:p w14:paraId="2F959FEC" w14:textId="77777777" w:rsidR="008C6A5B" w:rsidRPr="00F95E84" w:rsidRDefault="008C6A5B" w:rsidP="00226E33">
            <w:pPr>
              <w:pStyle w:val="Tabletext"/>
            </w:pPr>
            <w:r w:rsidRPr="00F95E84">
              <w:t>CFO</w:t>
            </w:r>
          </w:p>
        </w:tc>
        <w:tc>
          <w:tcPr>
            <w:tcW w:w="7608" w:type="dxa"/>
          </w:tcPr>
          <w:p w14:paraId="1A24EA2B" w14:textId="77777777" w:rsidR="008C6A5B" w:rsidRPr="00F95E84" w:rsidRDefault="008C6A5B" w:rsidP="00226E33">
            <w:pPr>
              <w:pStyle w:val="Tabletext"/>
            </w:pPr>
            <w:r w:rsidRPr="00F95E84">
              <w:t>Chief Finance Officer</w:t>
            </w:r>
          </w:p>
        </w:tc>
      </w:tr>
      <w:tr w:rsidR="008C6A5B" w:rsidRPr="00F95E84" w14:paraId="119DC7E7" w14:textId="77777777" w:rsidTr="00226E33">
        <w:trPr>
          <w:cnfStyle w:val="000000010000" w:firstRow="0" w:lastRow="0" w:firstColumn="0" w:lastColumn="0" w:oddVBand="0" w:evenVBand="0" w:oddHBand="0" w:evenHBand="1" w:firstRowFirstColumn="0" w:firstRowLastColumn="0" w:lastRowFirstColumn="0" w:lastRowLastColumn="0"/>
        </w:trPr>
        <w:tc>
          <w:tcPr>
            <w:tcW w:w="1418" w:type="dxa"/>
          </w:tcPr>
          <w:p w14:paraId="264C3B3D" w14:textId="77777777" w:rsidR="008C6A5B" w:rsidRPr="00F95E84" w:rsidRDefault="008C6A5B" w:rsidP="00226E33">
            <w:pPr>
              <w:pStyle w:val="Tabletext"/>
            </w:pPr>
            <w:r w:rsidRPr="00F95E84">
              <w:t>DTF</w:t>
            </w:r>
          </w:p>
        </w:tc>
        <w:tc>
          <w:tcPr>
            <w:tcW w:w="7608" w:type="dxa"/>
          </w:tcPr>
          <w:p w14:paraId="55895C10" w14:textId="77777777" w:rsidR="008C6A5B" w:rsidRPr="00F95E84" w:rsidRDefault="008C6A5B" w:rsidP="00226E33">
            <w:pPr>
              <w:pStyle w:val="Tabletext"/>
            </w:pPr>
            <w:r w:rsidRPr="00F95E84">
              <w:t>Department of Treasury and Finance</w:t>
            </w:r>
          </w:p>
        </w:tc>
      </w:tr>
      <w:tr w:rsidR="008C6A5B" w:rsidRPr="00F95E84" w14:paraId="06632A75" w14:textId="77777777" w:rsidTr="00226E33">
        <w:tc>
          <w:tcPr>
            <w:tcW w:w="1418" w:type="dxa"/>
          </w:tcPr>
          <w:p w14:paraId="6D0AA695" w14:textId="77777777" w:rsidR="008C6A5B" w:rsidRPr="00F95E84" w:rsidRDefault="008C6A5B" w:rsidP="00226E33">
            <w:pPr>
              <w:pStyle w:val="Tabletext"/>
            </w:pPr>
            <w:r w:rsidRPr="00F95E84">
              <w:t>EBIT</w:t>
            </w:r>
          </w:p>
        </w:tc>
        <w:tc>
          <w:tcPr>
            <w:tcW w:w="7608" w:type="dxa"/>
          </w:tcPr>
          <w:p w14:paraId="4CA58EC6" w14:textId="6FE270FB" w:rsidR="008C6A5B" w:rsidRPr="00F95E84" w:rsidRDefault="008C6A5B" w:rsidP="00226E33">
            <w:pPr>
              <w:pStyle w:val="Tabletext"/>
            </w:pPr>
            <w:r w:rsidRPr="00F95E84">
              <w:t xml:space="preserve">Earnings </w:t>
            </w:r>
            <w:r w:rsidR="00226E33" w:rsidRPr="00F95E84">
              <w:t>before interest and tax</w:t>
            </w:r>
          </w:p>
        </w:tc>
      </w:tr>
      <w:tr w:rsidR="008C6A5B" w:rsidRPr="00F95E84" w14:paraId="099B1632" w14:textId="77777777" w:rsidTr="00226E33">
        <w:trPr>
          <w:cnfStyle w:val="000000010000" w:firstRow="0" w:lastRow="0" w:firstColumn="0" w:lastColumn="0" w:oddVBand="0" w:evenVBand="0" w:oddHBand="0" w:evenHBand="1" w:firstRowFirstColumn="0" w:firstRowLastColumn="0" w:lastRowFirstColumn="0" w:lastRowLastColumn="0"/>
        </w:trPr>
        <w:tc>
          <w:tcPr>
            <w:tcW w:w="1418" w:type="dxa"/>
          </w:tcPr>
          <w:p w14:paraId="25608CE4" w14:textId="77777777" w:rsidR="008C6A5B" w:rsidRPr="00F95E84" w:rsidRDefault="008C6A5B" w:rsidP="00226E33">
            <w:pPr>
              <w:pStyle w:val="Tabletext"/>
            </w:pPr>
            <w:r w:rsidRPr="00F95E84">
              <w:t xml:space="preserve">EBNIT </w:t>
            </w:r>
          </w:p>
        </w:tc>
        <w:tc>
          <w:tcPr>
            <w:tcW w:w="7608" w:type="dxa"/>
          </w:tcPr>
          <w:p w14:paraId="0409DE20" w14:textId="06B61A34" w:rsidR="008C6A5B" w:rsidRPr="00F95E84" w:rsidRDefault="008C6A5B" w:rsidP="00226E33">
            <w:pPr>
              <w:pStyle w:val="Tabletext"/>
            </w:pPr>
            <w:r w:rsidRPr="00F95E84">
              <w:t xml:space="preserve">Earnings </w:t>
            </w:r>
            <w:r w:rsidR="00226E33" w:rsidRPr="00F95E84">
              <w:t>before net interest and tax</w:t>
            </w:r>
          </w:p>
        </w:tc>
      </w:tr>
      <w:tr w:rsidR="008C6A5B" w:rsidRPr="00F95E84" w14:paraId="774CECC1" w14:textId="77777777" w:rsidTr="00226E33">
        <w:tc>
          <w:tcPr>
            <w:tcW w:w="1418" w:type="dxa"/>
          </w:tcPr>
          <w:p w14:paraId="1DAF21DB" w14:textId="77777777" w:rsidR="008C6A5B" w:rsidRPr="00F95E84" w:rsidRDefault="008C6A5B" w:rsidP="00226E33">
            <w:pPr>
              <w:pStyle w:val="Tabletext"/>
            </w:pPr>
            <w:r w:rsidRPr="00F95E84">
              <w:t>FAL</w:t>
            </w:r>
          </w:p>
        </w:tc>
        <w:tc>
          <w:tcPr>
            <w:tcW w:w="7608" w:type="dxa"/>
          </w:tcPr>
          <w:p w14:paraId="62B2900B" w14:textId="77777777" w:rsidR="008C6A5B" w:rsidRPr="00F95E84" w:rsidRDefault="008C6A5B" w:rsidP="00226E33">
            <w:pPr>
              <w:pStyle w:val="Tabletext"/>
            </w:pPr>
            <w:r w:rsidRPr="00F95E84">
              <w:t>Financial Accommodation Levy</w:t>
            </w:r>
          </w:p>
        </w:tc>
      </w:tr>
      <w:tr w:rsidR="008C6A5B" w:rsidRPr="00F95E84" w14:paraId="7B7F690B" w14:textId="77777777" w:rsidTr="00226E33">
        <w:trPr>
          <w:cnfStyle w:val="000000010000" w:firstRow="0" w:lastRow="0" w:firstColumn="0" w:lastColumn="0" w:oddVBand="0" w:evenVBand="0" w:oddHBand="0" w:evenHBand="1" w:firstRowFirstColumn="0" w:firstRowLastColumn="0" w:lastRowFirstColumn="0" w:lastRowLastColumn="0"/>
        </w:trPr>
        <w:tc>
          <w:tcPr>
            <w:tcW w:w="1418" w:type="dxa"/>
          </w:tcPr>
          <w:p w14:paraId="5D23A47E" w14:textId="77777777" w:rsidR="008C6A5B" w:rsidRPr="00F95E84" w:rsidRDefault="008C6A5B" w:rsidP="00226E33">
            <w:pPr>
              <w:pStyle w:val="Tabletext"/>
            </w:pPr>
            <w:r w:rsidRPr="00F95E84">
              <w:t>FTE</w:t>
            </w:r>
          </w:p>
        </w:tc>
        <w:tc>
          <w:tcPr>
            <w:tcW w:w="7608" w:type="dxa"/>
          </w:tcPr>
          <w:p w14:paraId="3B6A63B2" w14:textId="470264FE" w:rsidR="008C6A5B" w:rsidRPr="00F95E84" w:rsidRDefault="008C6A5B" w:rsidP="00226E33">
            <w:pPr>
              <w:pStyle w:val="Tabletext"/>
            </w:pPr>
            <w:r w:rsidRPr="00F95E84">
              <w:t xml:space="preserve">Full </w:t>
            </w:r>
            <w:r w:rsidR="00226E33" w:rsidRPr="00F95E84">
              <w:t>time employee</w:t>
            </w:r>
          </w:p>
        </w:tc>
      </w:tr>
      <w:tr w:rsidR="008C6A5B" w:rsidRPr="00F95E84" w14:paraId="52ABCFA2" w14:textId="77777777" w:rsidTr="00226E33">
        <w:tc>
          <w:tcPr>
            <w:tcW w:w="1418" w:type="dxa"/>
          </w:tcPr>
          <w:p w14:paraId="61EDD2D7" w14:textId="77777777" w:rsidR="008C6A5B" w:rsidRPr="00F95E84" w:rsidRDefault="008C6A5B" w:rsidP="00226E33">
            <w:pPr>
              <w:pStyle w:val="Tabletext"/>
            </w:pPr>
            <w:r w:rsidRPr="00F95E84">
              <w:t>GBE</w:t>
            </w:r>
          </w:p>
        </w:tc>
        <w:tc>
          <w:tcPr>
            <w:tcW w:w="7608" w:type="dxa"/>
          </w:tcPr>
          <w:p w14:paraId="7BBE6814" w14:textId="77777777" w:rsidR="008C6A5B" w:rsidRPr="00F95E84" w:rsidRDefault="008C6A5B" w:rsidP="00226E33">
            <w:pPr>
              <w:pStyle w:val="Tabletext"/>
            </w:pPr>
            <w:r w:rsidRPr="00F95E84">
              <w:t xml:space="preserve">Government Business Enterprise </w:t>
            </w:r>
            <w:r>
              <w:t>–</w:t>
            </w:r>
            <w:r w:rsidRPr="00F95E84">
              <w:t xml:space="preserve"> includes PFC and PNFC</w:t>
            </w:r>
          </w:p>
        </w:tc>
      </w:tr>
      <w:tr w:rsidR="008C6A5B" w:rsidRPr="00F95E84" w14:paraId="16C4070C" w14:textId="77777777" w:rsidTr="00226E33">
        <w:trPr>
          <w:cnfStyle w:val="000000010000" w:firstRow="0" w:lastRow="0" w:firstColumn="0" w:lastColumn="0" w:oddVBand="0" w:evenVBand="0" w:oddHBand="0" w:evenHBand="1" w:firstRowFirstColumn="0" w:firstRowLastColumn="0" w:lastRowFirstColumn="0" w:lastRowLastColumn="0"/>
        </w:trPr>
        <w:tc>
          <w:tcPr>
            <w:tcW w:w="1418" w:type="dxa"/>
          </w:tcPr>
          <w:p w14:paraId="24496A2C" w14:textId="77777777" w:rsidR="008C6A5B" w:rsidRPr="00F95E84" w:rsidRDefault="008C6A5B" w:rsidP="00226E33">
            <w:pPr>
              <w:pStyle w:val="Tabletext"/>
            </w:pPr>
            <w:r w:rsidRPr="00F95E84">
              <w:t>HV/HR</w:t>
            </w:r>
          </w:p>
        </w:tc>
        <w:tc>
          <w:tcPr>
            <w:tcW w:w="7608" w:type="dxa"/>
          </w:tcPr>
          <w:p w14:paraId="2F7AD82D" w14:textId="166EE349" w:rsidR="008C6A5B" w:rsidRPr="00F95E84" w:rsidRDefault="008C6A5B" w:rsidP="00226E33">
            <w:pPr>
              <w:pStyle w:val="Tabletext"/>
            </w:pPr>
            <w:r w:rsidRPr="00F95E84">
              <w:t>High Value</w:t>
            </w:r>
            <w:r w:rsidR="00C8656E">
              <w:t>/</w:t>
            </w:r>
            <w:r w:rsidRPr="00F95E84">
              <w:t xml:space="preserve">High Risk </w:t>
            </w:r>
            <w:r w:rsidR="00226E33" w:rsidRPr="00F95E84">
              <w:t>framework</w:t>
            </w:r>
          </w:p>
        </w:tc>
      </w:tr>
      <w:tr w:rsidR="008C6A5B" w:rsidRPr="00F95E84" w14:paraId="79D8D3DF" w14:textId="77777777" w:rsidTr="00226E33">
        <w:tc>
          <w:tcPr>
            <w:tcW w:w="1418" w:type="dxa"/>
          </w:tcPr>
          <w:p w14:paraId="794F22E2" w14:textId="77777777" w:rsidR="008C6A5B" w:rsidRPr="00F95E84" w:rsidRDefault="008C6A5B" w:rsidP="00226E33">
            <w:pPr>
              <w:pStyle w:val="Tabletext"/>
            </w:pPr>
            <w:r w:rsidRPr="00F95E84">
              <w:t>ITE</w:t>
            </w:r>
          </w:p>
        </w:tc>
        <w:tc>
          <w:tcPr>
            <w:tcW w:w="7608" w:type="dxa"/>
          </w:tcPr>
          <w:p w14:paraId="6BFA3BE6" w14:textId="57FA0329" w:rsidR="008C6A5B" w:rsidRPr="00F95E84" w:rsidRDefault="008C6A5B" w:rsidP="00226E33">
            <w:pPr>
              <w:pStyle w:val="Tabletext"/>
            </w:pPr>
            <w:r w:rsidRPr="00F95E84">
              <w:t xml:space="preserve">Income </w:t>
            </w:r>
            <w:r w:rsidR="00226E33" w:rsidRPr="00F95E84">
              <w:t>tax equivalent</w:t>
            </w:r>
          </w:p>
        </w:tc>
      </w:tr>
      <w:tr w:rsidR="008C6A5B" w:rsidRPr="00F95E84" w14:paraId="24C1A40E" w14:textId="77777777" w:rsidTr="00226E33">
        <w:trPr>
          <w:cnfStyle w:val="000000010000" w:firstRow="0" w:lastRow="0" w:firstColumn="0" w:lastColumn="0" w:oddVBand="0" w:evenVBand="0" w:oddHBand="0" w:evenHBand="1" w:firstRowFirstColumn="0" w:firstRowLastColumn="0" w:lastRowFirstColumn="0" w:lastRowLastColumn="0"/>
        </w:trPr>
        <w:tc>
          <w:tcPr>
            <w:tcW w:w="1418" w:type="dxa"/>
          </w:tcPr>
          <w:p w14:paraId="0E4512D1" w14:textId="77777777" w:rsidR="008C6A5B" w:rsidRPr="00F95E84" w:rsidRDefault="008C6A5B" w:rsidP="00226E33">
            <w:pPr>
              <w:pStyle w:val="Tabletext"/>
            </w:pPr>
            <w:r w:rsidRPr="00F95E84">
              <w:t>KPI</w:t>
            </w:r>
          </w:p>
        </w:tc>
        <w:tc>
          <w:tcPr>
            <w:tcW w:w="7608" w:type="dxa"/>
          </w:tcPr>
          <w:p w14:paraId="0AEF98B2" w14:textId="77777777" w:rsidR="008C6A5B" w:rsidRPr="00F95E84" w:rsidRDefault="008C6A5B" w:rsidP="00226E33">
            <w:pPr>
              <w:pStyle w:val="Tabletext"/>
            </w:pPr>
            <w:r w:rsidRPr="00F95E84">
              <w:t>Key Performance Indicator</w:t>
            </w:r>
            <w:r>
              <w:t xml:space="preserve"> –</w:t>
            </w:r>
            <w:r w:rsidRPr="00F95E84">
              <w:t xml:space="preserve"> includes financial and non-financial</w:t>
            </w:r>
          </w:p>
        </w:tc>
      </w:tr>
      <w:tr w:rsidR="008C6A5B" w:rsidRPr="00F95E84" w14:paraId="6EE3248A" w14:textId="77777777" w:rsidTr="00226E33">
        <w:tc>
          <w:tcPr>
            <w:tcW w:w="1418" w:type="dxa"/>
          </w:tcPr>
          <w:p w14:paraId="33BF7A30" w14:textId="77777777" w:rsidR="008C6A5B" w:rsidRPr="00F95E84" w:rsidRDefault="008C6A5B" w:rsidP="00226E33">
            <w:pPr>
              <w:pStyle w:val="Tabletext"/>
            </w:pPr>
            <w:r w:rsidRPr="00F95E84">
              <w:t>PFC</w:t>
            </w:r>
          </w:p>
        </w:tc>
        <w:tc>
          <w:tcPr>
            <w:tcW w:w="7608" w:type="dxa"/>
          </w:tcPr>
          <w:p w14:paraId="53BF59C1" w14:textId="24BEF48C" w:rsidR="008C6A5B" w:rsidRPr="00F95E84" w:rsidRDefault="008C6A5B" w:rsidP="00226E33">
            <w:pPr>
              <w:pStyle w:val="Tabletext"/>
            </w:pPr>
            <w:r w:rsidRPr="00F95E84">
              <w:t xml:space="preserve">Public </w:t>
            </w:r>
            <w:r w:rsidR="00226E33" w:rsidRPr="00F95E84">
              <w:t>financial corporation</w:t>
            </w:r>
          </w:p>
        </w:tc>
      </w:tr>
      <w:tr w:rsidR="008C6A5B" w:rsidRPr="00F95E84" w14:paraId="3AF53C10" w14:textId="77777777" w:rsidTr="00226E33">
        <w:trPr>
          <w:cnfStyle w:val="000000010000" w:firstRow="0" w:lastRow="0" w:firstColumn="0" w:lastColumn="0" w:oddVBand="0" w:evenVBand="0" w:oddHBand="0" w:evenHBand="1" w:firstRowFirstColumn="0" w:firstRowLastColumn="0" w:lastRowFirstColumn="0" w:lastRowLastColumn="0"/>
        </w:trPr>
        <w:tc>
          <w:tcPr>
            <w:tcW w:w="1418" w:type="dxa"/>
          </w:tcPr>
          <w:p w14:paraId="1AFDC3C3" w14:textId="77777777" w:rsidR="008C6A5B" w:rsidRPr="00F95E84" w:rsidRDefault="008C6A5B" w:rsidP="00226E33">
            <w:pPr>
              <w:pStyle w:val="Tabletext"/>
            </w:pPr>
            <w:r w:rsidRPr="00F95E84">
              <w:t>PNFC</w:t>
            </w:r>
          </w:p>
        </w:tc>
        <w:tc>
          <w:tcPr>
            <w:tcW w:w="7608" w:type="dxa"/>
          </w:tcPr>
          <w:p w14:paraId="144BCC9C" w14:textId="307B5B3C" w:rsidR="008C6A5B" w:rsidRPr="00F95E84" w:rsidRDefault="008C6A5B" w:rsidP="00226E33">
            <w:pPr>
              <w:pStyle w:val="Tabletext"/>
            </w:pPr>
            <w:r w:rsidRPr="00F95E84">
              <w:t xml:space="preserve">Public </w:t>
            </w:r>
            <w:r w:rsidR="00226E33" w:rsidRPr="00F95E84">
              <w:t>non-financial corporation</w:t>
            </w:r>
          </w:p>
        </w:tc>
      </w:tr>
      <w:tr w:rsidR="008C6A5B" w:rsidRPr="00F95E84" w14:paraId="0E4CAC96" w14:textId="77777777" w:rsidTr="00226E33">
        <w:tc>
          <w:tcPr>
            <w:tcW w:w="1418" w:type="dxa"/>
          </w:tcPr>
          <w:p w14:paraId="6D0DFEE9" w14:textId="77777777" w:rsidR="008C6A5B" w:rsidRPr="00F95E84" w:rsidRDefault="008C6A5B" w:rsidP="00226E33">
            <w:pPr>
              <w:pStyle w:val="Tabletext"/>
            </w:pPr>
            <w:r w:rsidRPr="00F95E84">
              <w:t>TEI</w:t>
            </w:r>
          </w:p>
        </w:tc>
        <w:tc>
          <w:tcPr>
            <w:tcW w:w="7608" w:type="dxa"/>
          </w:tcPr>
          <w:p w14:paraId="4CF92D53" w14:textId="01FA0B4A" w:rsidR="008C6A5B" w:rsidRPr="00F95E84" w:rsidRDefault="008C6A5B" w:rsidP="00226E33">
            <w:pPr>
              <w:pStyle w:val="Tabletext"/>
            </w:pPr>
            <w:r w:rsidRPr="00F95E84">
              <w:t xml:space="preserve">Total </w:t>
            </w:r>
            <w:r w:rsidR="00226E33" w:rsidRPr="00F95E84">
              <w:t>estimated investment</w:t>
            </w:r>
          </w:p>
        </w:tc>
      </w:tr>
    </w:tbl>
    <w:p w14:paraId="3C63904A" w14:textId="3621199A" w:rsidR="00545540" w:rsidRDefault="00545540" w:rsidP="00545540"/>
    <w:p w14:paraId="2EDFFAFE" w14:textId="77777777" w:rsidR="00545540" w:rsidRDefault="00545540" w:rsidP="00545540"/>
    <w:p w14:paraId="45561BC6" w14:textId="77777777" w:rsidR="00014213" w:rsidRDefault="00014213" w:rsidP="004F7954">
      <w:pPr>
        <w:sectPr w:rsidR="00014213" w:rsidSect="00526B41">
          <w:headerReference w:type="even" r:id="rId36"/>
          <w:headerReference w:type="default" r:id="rId37"/>
          <w:footerReference w:type="even" r:id="rId38"/>
          <w:footerReference w:type="default" r:id="rId39"/>
          <w:pgSz w:w="11906" w:h="16838" w:code="9"/>
          <w:pgMar w:top="2160" w:right="1440" w:bottom="1800" w:left="1440" w:header="706" w:footer="461" w:gutter="0"/>
          <w:cols w:space="708"/>
          <w:docGrid w:linePitch="360"/>
        </w:sectPr>
      </w:pPr>
    </w:p>
    <w:p w14:paraId="13744F27" w14:textId="77777777" w:rsidR="00014213" w:rsidRPr="00D2312F" w:rsidRDefault="00014213" w:rsidP="004F7954"/>
    <w:sectPr w:rsidR="00014213" w:rsidRPr="00D2312F" w:rsidSect="00470962">
      <w:headerReference w:type="even" r:id="rId40"/>
      <w:headerReference w:type="default" r:id="rId41"/>
      <w:footerReference w:type="even" r:id="rId42"/>
      <w:footerReference w:type="default" r:id="rId43"/>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BE5C" w14:textId="77777777" w:rsidR="0038185E" w:rsidRDefault="0038185E" w:rsidP="004F7954">
      <w:r>
        <w:separator/>
      </w:r>
    </w:p>
    <w:p w14:paraId="1FFAB5DA" w14:textId="77777777" w:rsidR="0038185E" w:rsidRDefault="0038185E" w:rsidP="004F7954"/>
    <w:p w14:paraId="701F2B48" w14:textId="77777777" w:rsidR="0038185E" w:rsidRDefault="0038185E" w:rsidP="004F7954"/>
  </w:endnote>
  <w:endnote w:type="continuationSeparator" w:id="0">
    <w:p w14:paraId="1A9C840D" w14:textId="77777777" w:rsidR="0038185E" w:rsidRDefault="0038185E" w:rsidP="004F7954">
      <w:r>
        <w:continuationSeparator/>
      </w:r>
    </w:p>
    <w:p w14:paraId="0182A957" w14:textId="77777777" w:rsidR="0038185E" w:rsidRDefault="0038185E" w:rsidP="004F7954"/>
    <w:p w14:paraId="0CA70E14" w14:textId="77777777" w:rsidR="0038185E" w:rsidRDefault="0038185E" w:rsidP="004F7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Medium">
    <w:panose1 w:val="000006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6B09" w14:textId="77777777" w:rsidR="001D148F" w:rsidRDefault="001D148F" w:rsidP="004F7954">
    <w:pPr>
      <w:pStyle w:val="Spacer"/>
    </w:pPr>
  </w:p>
  <w:p w14:paraId="6E2607C4" w14:textId="77777777" w:rsidR="001D148F" w:rsidRDefault="001D148F" w:rsidP="004F795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5A19" w14:textId="0A735EFB" w:rsidR="001D148F" w:rsidRPr="007113E9" w:rsidRDefault="001D148F" w:rsidP="00526B41">
    <w:pPr>
      <w:pStyle w:val="Footer"/>
      <w:tabs>
        <w:tab w:val="clear" w:pos="9026"/>
        <w:tab w:val="right" w:pos="14760"/>
      </w:tabs>
      <w:rPr>
        <w:rStyle w:val="PageNumber"/>
      </w:rPr>
    </w:pPr>
    <w:r w:rsidRPr="007113E9">
      <w:rPr>
        <w:b/>
        <w:bCs/>
      </w:rPr>
      <mc:AlternateContent>
        <mc:Choice Requires="wps">
          <w:drawing>
            <wp:anchor distT="0" distB="0" distL="114300" distR="114300" simplePos="0" relativeHeight="251711488" behindDoc="0" locked="0" layoutInCell="0" allowOverlap="1" wp14:anchorId="2CA565F6" wp14:editId="08B029D3">
              <wp:simplePos x="0" y="0"/>
              <wp:positionH relativeFrom="page">
                <wp:align>left</wp:align>
              </wp:positionH>
              <wp:positionV relativeFrom="page">
                <wp:align>bottom</wp:align>
              </wp:positionV>
              <wp:extent cx="7772400" cy="463550"/>
              <wp:effectExtent l="0" t="0" r="0" b="12700"/>
              <wp:wrapNone/>
              <wp:docPr id="55" name="MSIPCM73db402c899d42a23d31c493" descr="{&quot;HashCode&quot;:-1267603503,&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F5A332" w14:textId="6A912221" w:rsidR="001D148F" w:rsidRPr="007C7FA2" w:rsidRDefault="007C7FA2" w:rsidP="007C7FA2">
                          <w:pPr>
                            <w:spacing w:before="0" w:after="0"/>
                            <w:rPr>
                              <w:rFonts w:ascii="Calibri" w:hAnsi="Calibri" w:cs="Calibri"/>
                              <w:color w:val="000000"/>
                              <w:sz w:val="22"/>
                            </w:rPr>
                          </w:pPr>
                          <w:r w:rsidRPr="007C7FA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CA565F6" id="_x0000_t202" coordsize="21600,21600" o:spt="202" path="m,l,21600r21600,l21600,xe">
              <v:stroke joinstyle="miter"/>
              <v:path gradientshapeok="t" o:connecttype="rect"/>
            </v:shapetype>
            <v:shape id="MSIPCM73db402c899d42a23d31c493" o:spid="_x0000_s1030" type="#_x0000_t202" alt="{&quot;HashCode&quot;:-1267603503,&quot;Height&quot;:9999999.0,&quot;Width&quot;:9999999.0,&quot;Placement&quot;:&quot;Footer&quot;,&quot;Index&quot;:&quot;Primary&quot;,&quot;Section&quot;:5,&quot;Top&quot;:0.0,&quot;Left&quot;:0.0}" style="position:absolute;margin-left:0;margin-top:0;width:612pt;height:36.5pt;z-index:2517114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" o:allowincell="f" filled="f" stroked="f" strokeweight=".5pt">
              <v:textbox inset="20pt,0,,0">
                <w:txbxContent>
                  <w:p w14:paraId="3BF5A332" w14:textId="6A912221" w:rsidR="001D148F" w:rsidRPr="007C7FA2" w:rsidRDefault="007C7FA2" w:rsidP="007C7FA2">
                    <w:pPr>
                      <w:spacing w:before="0" w:after="0"/>
                      <w:rPr>
                        <w:rFonts w:ascii="Calibri" w:hAnsi="Calibri" w:cs="Calibri"/>
                        <w:color w:val="000000"/>
                        <w:sz w:val="22"/>
                      </w:rPr>
                    </w:pPr>
                    <w:r w:rsidRPr="007C7FA2">
                      <w:rPr>
                        <w:rFonts w:ascii="Calibri" w:hAnsi="Calibri" w:cs="Calibri"/>
                        <w:color w:val="000000"/>
                        <w:sz w:val="22"/>
                      </w:rPr>
                      <w:t>OFFICIAL</w:t>
                    </w:r>
                  </w:p>
                </w:txbxContent>
              </v:textbox>
              <w10:wrap anchorx="page" anchory="page"/>
            </v:shape>
          </w:pict>
        </mc:Fallback>
      </mc:AlternateContent>
    </w:r>
    <w:r w:rsidRPr="007113E9">
      <w:rPr>
        <w:b/>
        <w:bCs/>
        <w:noProof w:val="0"/>
      </w:rPr>
      <w:fldChar w:fldCharType="begin"/>
    </w:r>
    <w:r w:rsidRPr="007113E9">
      <w:rPr>
        <w:b/>
        <w:bCs/>
      </w:rPr>
      <w:instrText xml:space="preserve"> StyleRef “Title” </w:instrText>
    </w:r>
    <w:r w:rsidRPr="007113E9">
      <w:rPr>
        <w:b/>
        <w:bCs/>
        <w:noProof w:val="0"/>
      </w:rPr>
      <w:fldChar w:fldCharType="separate"/>
    </w:r>
    <w:r w:rsidR="007155A0">
      <w:rPr>
        <w:b/>
        <w:bCs/>
      </w:rPr>
      <w:t>Corporate planning and performance reporting requirements</w:t>
    </w:r>
    <w:r w:rsidRPr="007113E9">
      <w:rPr>
        <w:b/>
        <w:bCs/>
      </w:rPr>
      <w:fldChar w:fldCharType="end"/>
    </w:r>
    <w:r w:rsidRPr="006B272C">
      <w:t xml:space="preserve"> </w:t>
    </w:r>
    <w:r w:rsidRPr="00C022F9">
      <w:rPr>
        <w:noProof w:val="0"/>
      </w:rPr>
      <w:fldChar w:fldCharType="begin"/>
    </w:r>
    <w:r w:rsidRPr="00C022F9">
      <w:instrText xml:space="preserve"> StyleRef “Subtitle” </w:instrText>
    </w:r>
    <w:r w:rsidRPr="00C022F9">
      <w:rPr>
        <w:noProof w:val="0"/>
      </w:rPr>
      <w:fldChar w:fldCharType="separate"/>
    </w:r>
    <w:r w:rsidR="007155A0">
      <w:t>Government Business Enterprises</w: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p>
  <w:p w14:paraId="4A71A43D" w14:textId="77777777" w:rsidR="001D148F" w:rsidRPr="00C022F9" w:rsidRDefault="001D148F" w:rsidP="007113E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633A" w14:textId="77777777" w:rsidR="001D148F" w:rsidRDefault="001D148F" w:rsidP="004F7954">
    <w:pPr>
      <w:pStyle w:val="Spacer"/>
    </w:pPr>
  </w:p>
  <w:p w14:paraId="2553A367" w14:textId="7BBA1D25" w:rsidR="001D148F" w:rsidRPr="00297281" w:rsidRDefault="001D148F" w:rsidP="004F7954">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ab/>
    </w:r>
    <w:r w:rsidRPr="0054503A">
      <w:rPr>
        <w:noProof w:val="0"/>
      </w:rPr>
      <w:fldChar w:fldCharType="begin"/>
    </w:r>
    <w:r w:rsidRPr="0054503A">
      <w:instrText xml:space="preserve"> StyleRef “Title” </w:instrText>
    </w:r>
    <w:r w:rsidRPr="0054503A">
      <w:rPr>
        <w:noProof w:val="0"/>
      </w:rPr>
      <w:fldChar w:fldCharType="separate"/>
    </w:r>
    <w:r>
      <w:t>Corporate planning and performance reporting requirements</w:t>
    </w:r>
    <w:r w:rsidRPr="0054503A">
      <w:fldChar w:fldCharType="end"/>
    </w:r>
    <w:r w:rsidRPr="00C022F9">
      <w:rPr>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t>Government Business Enterprises</w:t>
    </w:r>
    <w:r w:rsidRPr="00C022F9">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E547" w14:textId="52752B9E" w:rsidR="001D148F" w:rsidRDefault="001D148F" w:rsidP="004F7954">
    <w:pPr>
      <w:pStyle w:val="Footer"/>
    </w:pPr>
    <w:r>
      <w:rPr>
        <w:b/>
        <w:bCs/>
      </w:rPr>
      <mc:AlternateContent>
        <mc:Choice Requires="wps">
          <w:drawing>
            <wp:anchor distT="0" distB="0" distL="114300" distR="114300" simplePos="0" relativeHeight="251710210" behindDoc="0" locked="0" layoutInCell="0" allowOverlap="1" wp14:anchorId="75D302DC" wp14:editId="01A3BC8C">
              <wp:simplePos x="0" y="0"/>
              <wp:positionH relativeFrom="page">
                <wp:align>left</wp:align>
              </wp:positionH>
              <wp:positionV relativeFrom="page">
                <wp:align>bottom</wp:align>
              </wp:positionV>
              <wp:extent cx="7772400" cy="463550"/>
              <wp:effectExtent l="0" t="0" r="0" b="12700"/>
              <wp:wrapNone/>
              <wp:docPr id="56" name="MSIPCMf6544ca1b0fea9df52764fea" descr="{&quot;HashCode&quot;:-1267603503,&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6C78B2" w14:textId="72A73206" w:rsidR="001D148F" w:rsidRPr="007C7FA2" w:rsidRDefault="007C7FA2" w:rsidP="007C7FA2">
                          <w:pPr>
                            <w:spacing w:before="0" w:after="0"/>
                            <w:rPr>
                              <w:rFonts w:ascii="Calibri" w:hAnsi="Calibri" w:cs="Calibri"/>
                              <w:color w:val="000000"/>
                              <w:sz w:val="22"/>
                            </w:rPr>
                          </w:pPr>
                          <w:r w:rsidRPr="007C7FA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5D302DC" id="_x0000_t202" coordsize="21600,21600" o:spt="202" path="m,l,21600r21600,l21600,xe">
              <v:stroke joinstyle="miter"/>
              <v:path gradientshapeok="t" o:connecttype="rect"/>
            </v:shapetype>
            <v:shape id="MSIPCMf6544ca1b0fea9df52764fea" o:spid="_x0000_s1031" type="#_x0000_t202" alt="{&quot;HashCode&quot;:-1267603503,&quot;Height&quot;:9999999.0,&quot;Width&quot;:9999999.0,&quot;Placement&quot;:&quot;Footer&quot;,&quot;Index&quot;:&quot;Primary&quot;,&quot;Section&quot;:6,&quot;Top&quot;:0.0,&quot;Left&quot;:0.0}" style="position:absolute;margin-left:0;margin-top:0;width:612pt;height:36.5pt;z-index:25171021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AkrLWesAIAAFoFAAAOAAAAAAAA&#10;AAAAAAAAAC4CAABkcnMvZTJvRG9jLnhtbFBLAQItABQABgAIAAAAIQD+9Y2b2gAAAAUBAAAPAAAA&#10;AAAAAAAAAAAAAAoFAABkcnMvZG93bnJldi54bWxQSwUGAAAAAAQABADzAAAAEQYAAAAA&#10;" o:allowincell="f" filled="f" stroked="f" strokeweight=".5pt">
              <v:textbox inset="20pt,0,,0">
                <w:txbxContent>
                  <w:p w14:paraId="356C78B2" w14:textId="72A73206" w:rsidR="001D148F" w:rsidRPr="007C7FA2" w:rsidRDefault="007C7FA2" w:rsidP="007C7FA2">
                    <w:pPr>
                      <w:spacing w:before="0" w:after="0"/>
                      <w:rPr>
                        <w:rFonts w:ascii="Calibri" w:hAnsi="Calibri" w:cs="Calibri"/>
                        <w:color w:val="000000"/>
                        <w:sz w:val="22"/>
                      </w:rPr>
                    </w:pPr>
                    <w:r w:rsidRPr="007C7FA2">
                      <w:rPr>
                        <w:rFonts w:ascii="Calibri" w:hAnsi="Calibri" w:cs="Calibri"/>
                        <w:color w:val="000000"/>
                        <w:sz w:val="22"/>
                      </w:rPr>
                      <w:t>OFFICIAL</w:t>
                    </w:r>
                  </w:p>
                </w:txbxContent>
              </v:textbox>
              <w10:wrap anchorx="page" anchory="page"/>
            </v:shape>
          </w:pict>
        </mc:Fallback>
      </mc:AlternateContent>
    </w:r>
    <w:r w:rsidRPr="0054503A">
      <w:rPr>
        <w:b/>
        <w:bCs/>
        <w:noProof w:val="0"/>
      </w:rPr>
      <w:fldChar w:fldCharType="begin"/>
    </w:r>
    <w:r w:rsidRPr="0054503A">
      <w:rPr>
        <w:b/>
        <w:bCs/>
      </w:rPr>
      <w:instrText xml:space="preserve"> StyleRef “Title” </w:instrText>
    </w:r>
    <w:r w:rsidRPr="0054503A">
      <w:rPr>
        <w:b/>
        <w:bCs/>
        <w:noProof w:val="0"/>
      </w:rPr>
      <w:fldChar w:fldCharType="separate"/>
    </w:r>
    <w:r w:rsidR="007155A0">
      <w:rPr>
        <w:b/>
        <w:bCs/>
      </w:rPr>
      <w:t>Corporate planning and performance reporting requirements</w:t>
    </w:r>
    <w:r w:rsidRPr="0054503A">
      <w:rPr>
        <w:b/>
        <w:bCs/>
      </w:rPr>
      <w:fldChar w:fldCharType="end"/>
    </w:r>
    <w:r>
      <w:rPr>
        <w:b/>
        <w:bCs/>
      </w:rPr>
      <w:t xml:space="preserve"> </w:t>
    </w:r>
    <w:r w:rsidRPr="006B272C">
      <w:t xml:space="preserve"> </w:t>
    </w:r>
  </w:p>
  <w:p w14:paraId="521876F1" w14:textId="39BAC5F5" w:rsidR="001D148F" w:rsidRDefault="001D148F" w:rsidP="004F7954">
    <w:pPr>
      <w:pStyle w:val="Footer"/>
      <w:rPr>
        <w:rStyle w:val="PageNumber"/>
      </w:rPr>
    </w:pPr>
    <w:r w:rsidRPr="00C022F9">
      <w:rPr>
        <w:noProof w:val="0"/>
      </w:rPr>
      <w:fldChar w:fldCharType="begin"/>
    </w:r>
    <w:r w:rsidRPr="00C022F9">
      <w:instrText xml:space="preserve"> StyleRef “Subtitle” </w:instrText>
    </w:r>
    <w:r w:rsidRPr="00C022F9">
      <w:rPr>
        <w:noProof w:val="0"/>
      </w:rPr>
      <w:fldChar w:fldCharType="separate"/>
    </w:r>
    <w:r w:rsidR="007155A0">
      <w:t>Government Business Enterprises</w: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0F97D7CA" w14:textId="77777777" w:rsidR="001D148F" w:rsidRPr="00C022F9" w:rsidRDefault="001D148F" w:rsidP="004F79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23F3" w14:textId="77777777" w:rsidR="001D148F" w:rsidRPr="00014213" w:rsidRDefault="001D148F" w:rsidP="004F795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11D9" w14:textId="3FA4C884" w:rsidR="001D148F" w:rsidRDefault="001D148F" w:rsidP="004F7954">
    <w:pPr>
      <w:pStyle w:val="Spacer"/>
    </w:pPr>
    <w:r>
      <w:rPr>
        <w:noProof/>
      </w:rPr>
      <mc:AlternateContent>
        <mc:Choice Requires="wps">
          <w:drawing>
            <wp:anchor distT="0" distB="0" distL="114300" distR="114300" simplePos="0" relativeHeight="251712512" behindDoc="0" locked="0" layoutInCell="0" allowOverlap="1" wp14:anchorId="2FAD5868" wp14:editId="23A19542">
              <wp:simplePos x="0" y="0"/>
              <wp:positionH relativeFrom="page">
                <wp:align>left</wp:align>
              </wp:positionH>
              <wp:positionV relativeFrom="page">
                <wp:align>bottom</wp:align>
              </wp:positionV>
              <wp:extent cx="7772400" cy="463550"/>
              <wp:effectExtent l="0" t="0" r="0" b="12700"/>
              <wp:wrapNone/>
              <wp:docPr id="57" name="MSIPCM32f54b47b41b011cd1359e04" descr="{&quot;HashCode&quot;:-1267603503,&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D950D9" w14:textId="194DB4B4" w:rsidR="001D148F" w:rsidRPr="007C7FA2" w:rsidRDefault="007C7FA2" w:rsidP="007C7FA2">
                          <w:pPr>
                            <w:spacing w:before="0" w:after="0"/>
                            <w:rPr>
                              <w:rFonts w:ascii="Calibri" w:hAnsi="Calibri" w:cs="Calibri"/>
                              <w:color w:val="000000"/>
                              <w:sz w:val="22"/>
                            </w:rPr>
                          </w:pPr>
                          <w:r w:rsidRPr="007C7FA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FAD5868" id="_x0000_t202" coordsize="21600,21600" o:spt="202" path="m,l,21600r21600,l21600,xe">
              <v:stroke joinstyle="miter"/>
              <v:path gradientshapeok="t" o:connecttype="rect"/>
            </v:shapetype>
            <v:shape id="MSIPCM32f54b47b41b011cd1359e04" o:spid="_x0000_s1032" type="#_x0000_t202" alt="{&quot;HashCode&quot;:-1267603503,&quot;Height&quot;:9999999.0,&quot;Width&quot;:9999999.0,&quot;Placement&quot;:&quot;Footer&quot;,&quot;Index&quot;:&quot;Primary&quot;,&quot;Section&quot;:7,&quot;Top&quot;:0.0,&quot;Left&quot;:0.0}" style="position:absolute;margin-left:0;margin-top:0;width:612pt;height:36.5pt;z-index:2517125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" o:allowincell="f" filled="f" stroked="f" strokeweight=".5pt">
              <v:textbox inset="20pt,0,,0">
                <w:txbxContent>
                  <w:p w14:paraId="1BD950D9" w14:textId="194DB4B4" w:rsidR="001D148F" w:rsidRPr="007C7FA2" w:rsidRDefault="007C7FA2" w:rsidP="007C7FA2">
                    <w:pPr>
                      <w:spacing w:before="0" w:after="0"/>
                      <w:rPr>
                        <w:rFonts w:ascii="Calibri" w:hAnsi="Calibri" w:cs="Calibri"/>
                        <w:color w:val="000000"/>
                        <w:sz w:val="22"/>
                      </w:rPr>
                    </w:pPr>
                    <w:r w:rsidRPr="007C7FA2">
                      <w:rPr>
                        <w:rFonts w:ascii="Calibri" w:hAnsi="Calibri" w:cs="Calibri"/>
                        <w:color w:val="000000"/>
                        <w:sz w:val="22"/>
                      </w:rPr>
                      <w:t>OFFICIAL</w:t>
                    </w:r>
                  </w:p>
                </w:txbxContent>
              </v:textbox>
              <w10:wrap anchorx="page" anchory="page"/>
            </v:shape>
          </w:pict>
        </mc:Fallback>
      </mc:AlternateContent>
    </w:r>
    <w:r>
      <w:rPr>
        <w:noProof/>
      </w:rPr>
      <w:drawing>
        <wp:anchor distT="0" distB="0" distL="114300" distR="114300" simplePos="0" relativeHeight="251664896" behindDoc="0" locked="0" layoutInCell="1" allowOverlap="1" wp14:anchorId="63FADE38" wp14:editId="2A2C090D">
          <wp:simplePos x="0" y="0"/>
          <wp:positionH relativeFrom="page">
            <wp:posOffset>5314820</wp:posOffset>
          </wp:positionH>
          <wp:positionV relativeFrom="page">
            <wp:posOffset>9827812</wp:posOffset>
          </wp:positionV>
          <wp:extent cx="1684941" cy="502920"/>
          <wp:effectExtent l="0" t="0" r="0" b="0"/>
          <wp:wrapNone/>
          <wp:docPr id="6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684941" cy="502920"/>
                  </a:xfrm>
                  <a:prstGeom prst="rect">
                    <a:avLst/>
                  </a:prstGeom>
                </pic:spPr>
              </pic:pic>
            </a:graphicData>
          </a:graphic>
          <wp14:sizeRelH relativeFrom="margin">
            <wp14:pctWidth>0</wp14:pctWidth>
          </wp14:sizeRelH>
          <wp14:sizeRelV relativeFrom="margin">
            <wp14:pctHeight>0</wp14:pctHeight>
          </wp14:sizeRelV>
        </wp:anchor>
      </w:drawing>
    </w:r>
  </w:p>
  <w:p w14:paraId="67BA75B7" w14:textId="77777777" w:rsidR="001D148F" w:rsidRPr="00CB3976" w:rsidRDefault="001D148F" w:rsidP="004F7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5BF3" w14:textId="12B387F9" w:rsidR="001D148F" w:rsidRDefault="001D148F" w:rsidP="004F7954">
    <w:pPr>
      <w:pStyle w:val="Spacer"/>
    </w:pPr>
    <w:r>
      <w:rPr>
        <w:noProof/>
      </w:rPr>
      <mc:AlternateContent>
        <mc:Choice Requires="wps">
          <w:drawing>
            <wp:anchor distT="0" distB="0" distL="114300" distR="114300" simplePos="0" relativeHeight="251707172" behindDoc="0" locked="0" layoutInCell="0" allowOverlap="1" wp14:anchorId="0C74269D" wp14:editId="7DBA4E8B">
              <wp:simplePos x="0" y="0"/>
              <wp:positionH relativeFrom="page">
                <wp:align>left</wp:align>
              </wp:positionH>
              <wp:positionV relativeFrom="page">
                <wp:align>bottom</wp:align>
              </wp:positionV>
              <wp:extent cx="7772400" cy="463550"/>
              <wp:effectExtent l="0" t="0" r="0" b="12700"/>
              <wp:wrapNone/>
              <wp:docPr id="51" name="MSIPCM2a494fcc8481d789e19b8e5b"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366EFA" w14:textId="7DBB99B0" w:rsidR="001D148F" w:rsidRPr="007C7FA2" w:rsidRDefault="007C7FA2" w:rsidP="007C7FA2">
                          <w:pPr>
                            <w:spacing w:before="0" w:after="0"/>
                            <w:rPr>
                              <w:rFonts w:ascii="Calibri" w:hAnsi="Calibri" w:cs="Calibri"/>
                              <w:color w:val="000000"/>
                              <w:sz w:val="22"/>
                            </w:rPr>
                          </w:pPr>
                          <w:r w:rsidRPr="007C7FA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C74269D" id="_x0000_t202" coordsize="21600,21600" o:spt="202" path="m,l,21600r21600,l21600,xe">
              <v:stroke joinstyle="miter"/>
              <v:path gradientshapeok="t" o:connecttype="rect"/>
            </v:shapetype>
            <v:shape id="MSIPCM2a494fcc8481d789e19b8e5b" o:spid="_x0000_s1026" type="#_x0000_t202" alt="{&quot;HashCode&quot;:-1267603503,&quot;Height&quot;:9999999.0,&quot;Width&quot;:9999999.0,&quot;Placement&quot;:&quot;Footer&quot;,&quot;Index&quot;:&quot;Primary&quot;,&quot;Section&quot;:1,&quot;Top&quot;:0.0,&quot;Left&quot;:0.0}" style="position:absolute;margin-left:0;margin-top:0;width:612pt;height:36.5pt;z-index:25170717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AX3M82yAgAAUwUAAA4AAAAA&#10;AAAAAAAAAAAALgIAAGRycy9lMm9Eb2MueG1sUEsBAi0AFAAGAAgAAAAhAP71jZvaAAAABQEAAA8A&#10;AAAAAAAAAAAAAAAADAUAAGRycy9kb3ducmV2LnhtbFBLBQYAAAAABAAEAPMAAAATBgAAAAA=&#10;" o:allowincell="f" filled="f" stroked="f" strokeweight=".5pt">
              <v:textbox inset="20pt,0,,0">
                <w:txbxContent>
                  <w:p w14:paraId="3A366EFA" w14:textId="7DBB99B0" w:rsidR="001D148F" w:rsidRPr="007C7FA2" w:rsidRDefault="007C7FA2" w:rsidP="007C7FA2">
                    <w:pPr>
                      <w:spacing w:before="0" w:after="0"/>
                      <w:rPr>
                        <w:rFonts w:ascii="Calibri" w:hAnsi="Calibri" w:cs="Calibri"/>
                        <w:color w:val="000000"/>
                        <w:sz w:val="22"/>
                      </w:rPr>
                    </w:pPr>
                    <w:r w:rsidRPr="007C7FA2">
                      <w:rPr>
                        <w:rFonts w:ascii="Calibri" w:hAnsi="Calibri" w:cs="Calibri"/>
                        <w:color w:val="000000"/>
                        <w:sz w:val="22"/>
                      </w:rPr>
                      <w:t>OFFICIAL</w:t>
                    </w:r>
                  </w:p>
                </w:txbxContent>
              </v:textbox>
              <w10:wrap anchorx="page" anchory="page"/>
            </v:shape>
          </w:pict>
        </mc:Fallback>
      </mc:AlternateContent>
    </w:r>
    <w:r>
      <w:rPr>
        <w:noProof/>
      </w:rPr>
      <w:drawing>
        <wp:anchor distT="0" distB="0" distL="114300" distR="114300" simplePos="0" relativeHeight="251663360" behindDoc="0" locked="0" layoutInCell="1" allowOverlap="1" wp14:anchorId="69D94457" wp14:editId="4F1FB544">
          <wp:simplePos x="0" y="0"/>
          <wp:positionH relativeFrom="page">
            <wp:posOffset>5314820</wp:posOffset>
          </wp:positionH>
          <wp:positionV relativeFrom="page">
            <wp:posOffset>9811910</wp:posOffset>
          </wp:positionV>
          <wp:extent cx="1536192" cy="457200"/>
          <wp:effectExtent l="0" t="0" r="6985" b="0"/>
          <wp:wrapNone/>
          <wp:docPr id="8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p>
  <w:p w14:paraId="31023A2B" w14:textId="77777777" w:rsidR="001D148F" w:rsidRDefault="001D148F" w:rsidP="004F7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8AD6" w14:textId="77777777" w:rsidR="00D77DE5" w:rsidRDefault="00D77D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1651" w14:textId="10714CEB" w:rsidR="001D148F" w:rsidRDefault="001D148F" w:rsidP="004F7954">
    <w:pPr>
      <w:pStyle w:val="Spacer"/>
    </w:pPr>
    <w:r>
      <w:rPr>
        <w:noProof/>
      </w:rPr>
      <mc:AlternateContent>
        <mc:Choice Requires="wps">
          <w:drawing>
            <wp:anchor distT="0" distB="0" distL="114300" distR="114300" simplePos="0" relativeHeight="251707805" behindDoc="0" locked="0" layoutInCell="0" allowOverlap="1" wp14:anchorId="65A0941B" wp14:editId="2183FAAC">
              <wp:simplePos x="0" y="0"/>
              <wp:positionH relativeFrom="page">
                <wp:align>left</wp:align>
              </wp:positionH>
              <wp:positionV relativeFrom="page">
                <wp:align>bottom</wp:align>
              </wp:positionV>
              <wp:extent cx="7772400" cy="463550"/>
              <wp:effectExtent l="0" t="0" r="0" b="12700"/>
              <wp:wrapNone/>
              <wp:docPr id="52" name="MSIPCMb7aa4d08b54880c8c88d6ac8"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2D8E7" w14:textId="1DA846C5" w:rsidR="001D148F" w:rsidRPr="007C7FA2" w:rsidRDefault="007C7FA2" w:rsidP="007C7FA2">
                          <w:pPr>
                            <w:spacing w:before="0" w:after="0"/>
                            <w:rPr>
                              <w:rFonts w:ascii="Calibri" w:hAnsi="Calibri" w:cs="Calibri"/>
                              <w:color w:val="000000"/>
                              <w:sz w:val="22"/>
                            </w:rPr>
                          </w:pPr>
                          <w:r w:rsidRPr="007C7FA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5A0941B" id="_x0000_t202" coordsize="21600,21600" o:spt="202" path="m,l,21600r21600,l21600,xe">
              <v:stroke joinstyle="miter"/>
              <v:path gradientshapeok="t" o:connecttype="rect"/>
            </v:shapetype>
            <v:shape id="MSIPCMb7aa4d08b54880c8c88d6ac8" o:spid="_x0000_s1027" type="#_x0000_t202" alt="{&quot;HashCode&quot;:-1267603503,&quot;Height&quot;:9999999.0,&quot;Width&quot;:9999999.0,&quot;Placement&quot;:&quot;Footer&quot;,&quot;Index&quot;:&quot;Primary&quot;,&quot;Section&quot;:2,&quot;Top&quot;:0.0,&quot;Left&quot;:0.0}" style="position:absolute;margin-left:0;margin-top:0;width:612pt;height:36.5pt;z-index:25170780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R/y3PLECAABaBQAADgAAAAAA&#10;AAAAAAAAAAAuAgAAZHJzL2Uyb0RvYy54bWxQSwECLQAUAAYACAAAACEA/vWNm9oAAAAFAQAADwAA&#10;AAAAAAAAAAAAAAALBQAAZHJzL2Rvd25yZXYueG1sUEsFBgAAAAAEAAQA8wAAABIGAAAAAA==&#10;" o:allowincell="f" filled="f" stroked="f" strokeweight=".5pt">
              <v:textbox inset="20pt,0,,0">
                <w:txbxContent>
                  <w:p w14:paraId="3C02D8E7" w14:textId="1DA846C5" w:rsidR="001D148F" w:rsidRPr="007C7FA2" w:rsidRDefault="007C7FA2" w:rsidP="007C7FA2">
                    <w:pPr>
                      <w:spacing w:before="0" w:after="0"/>
                      <w:rPr>
                        <w:rFonts w:ascii="Calibri" w:hAnsi="Calibri" w:cs="Calibri"/>
                        <w:color w:val="000000"/>
                        <w:sz w:val="22"/>
                      </w:rPr>
                    </w:pPr>
                    <w:r w:rsidRPr="007C7FA2">
                      <w:rPr>
                        <w:rFonts w:ascii="Calibri" w:hAnsi="Calibri" w:cs="Calibri"/>
                        <w:color w:val="000000"/>
                        <w:sz w:val="22"/>
                      </w:rPr>
                      <w:t>OFFICIAL</w:t>
                    </w:r>
                  </w:p>
                </w:txbxContent>
              </v:textbox>
              <w10:wrap anchorx="page" anchory="page"/>
            </v:shape>
          </w:pict>
        </mc:Fallback>
      </mc:AlternateContent>
    </w:r>
  </w:p>
  <w:p w14:paraId="60EBE7EE" w14:textId="77777777" w:rsidR="001D148F" w:rsidRDefault="001D148F" w:rsidP="004F79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2A0A" w14:textId="77777777" w:rsidR="001D148F" w:rsidRDefault="001D148F" w:rsidP="004F7954">
    <w:pPr>
      <w:pStyle w:val="Spacer"/>
    </w:pPr>
  </w:p>
  <w:p w14:paraId="00097FE7" w14:textId="77777777" w:rsidR="001D148F" w:rsidRPr="00297281" w:rsidRDefault="001D148F" w:rsidP="004F7954">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BC1D" w14:textId="7B568BA9" w:rsidR="001D148F" w:rsidRDefault="001D148F" w:rsidP="00D833BE">
    <w:pPr>
      <w:pStyle w:val="Footer"/>
      <w:jc w:val="right"/>
    </w:pPr>
    <w:r>
      <mc:AlternateContent>
        <mc:Choice Requires="wps">
          <w:drawing>
            <wp:anchor distT="0" distB="0" distL="114300" distR="114300" simplePos="0" relativeHeight="251709957" behindDoc="0" locked="0" layoutInCell="0" allowOverlap="1" wp14:anchorId="4238BEBE" wp14:editId="0553DF18">
              <wp:simplePos x="0" y="0"/>
              <wp:positionH relativeFrom="page">
                <wp:align>left</wp:align>
              </wp:positionH>
              <wp:positionV relativeFrom="page">
                <wp:align>bottom</wp:align>
              </wp:positionV>
              <wp:extent cx="7772400" cy="463550"/>
              <wp:effectExtent l="0" t="0" r="0" b="12700"/>
              <wp:wrapNone/>
              <wp:docPr id="53" name="MSIPCM3e06458abbe589bc1b096706"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5FEB8" w14:textId="1F6B8620" w:rsidR="001D148F" w:rsidRPr="007C7FA2" w:rsidRDefault="007C7FA2" w:rsidP="007C7FA2">
                          <w:pPr>
                            <w:spacing w:before="0" w:after="0"/>
                            <w:rPr>
                              <w:rFonts w:ascii="Calibri" w:hAnsi="Calibri" w:cs="Calibri"/>
                              <w:color w:val="000000"/>
                              <w:sz w:val="22"/>
                            </w:rPr>
                          </w:pPr>
                          <w:r w:rsidRPr="007C7FA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238BEBE" id="_x0000_t202" coordsize="21600,21600" o:spt="202" path="m,l,21600r21600,l21600,xe">
              <v:stroke joinstyle="miter"/>
              <v:path gradientshapeok="t" o:connecttype="rect"/>
            </v:shapetype>
            <v:shape id="MSIPCM3e06458abbe589bc1b096706" o:spid="_x0000_s1028" type="#_x0000_t202" alt="{&quot;HashCode&quot;:-1267603503,&quot;Height&quot;:9999999.0,&quot;Width&quot;:9999999.0,&quot;Placement&quot;:&quot;Footer&quot;,&quot;Index&quot;:&quot;Primary&quot;,&quot;Section&quot;:3,&quot;Top&quot;:0.0,&quot;Left&quot;:0.0}" style="position:absolute;left:0;text-align:left;margin-left:0;margin-top:0;width:612pt;height:36.5pt;z-index:25170995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" o:allowincell="f" filled="f" stroked="f" strokeweight=".5pt">
              <v:textbox inset="20pt,0,,0">
                <w:txbxContent>
                  <w:p w14:paraId="3E35FEB8" w14:textId="1F6B8620" w:rsidR="001D148F" w:rsidRPr="007C7FA2" w:rsidRDefault="007C7FA2" w:rsidP="007C7FA2">
                    <w:pPr>
                      <w:spacing w:before="0" w:after="0"/>
                      <w:rPr>
                        <w:rFonts w:ascii="Calibri" w:hAnsi="Calibri" w:cs="Calibri"/>
                        <w:color w:val="000000"/>
                        <w:sz w:val="22"/>
                      </w:rPr>
                    </w:pPr>
                    <w:r w:rsidRPr="007C7FA2">
                      <w:rPr>
                        <w:rFonts w:ascii="Calibri" w:hAnsi="Calibri" w:cs="Calibri"/>
                        <w:color w:val="000000"/>
                        <w:sz w:val="22"/>
                      </w:rPr>
                      <w:t>OFFICIAL</w:t>
                    </w:r>
                  </w:p>
                </w:txbxContent>
              </v:textbox>
              <w10:wrap anchorx="page" anchory="page"/>
            </v:shape>
          </w:pict>
        </mc:Fallback>
      </mc:AlternateContent>
    </w:r>
    <w:r>
      <w:fldChar w:fldCharType="begin"/>
    </w:r>
    <w:r>
      <w:instrText xml:space="preserve"> page </w:instrText>
    </w:r>
    <w:r>
      <w:fldChar w:fldCharType="separate"/>
    </w:r>
    <w:r>
      <w:t>i</w:t>
    </w:r>
    <w:r>
      <w:fldChar w:fldCharType="end"/>
    </w:r>
  </w:p>
  <w:p w14:paraId="6ADB9000" w14:textId="77777777" w:rsidR="001D148F" w:rsidRDefault="001D148F" w:rsidP="00D833B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5D0C" w14:textId="77777777" w:rsidR="001D148F" w:rsidRPr="001E31FA" w:rsidRDefault="001D148F" w:rsidP="001E31FA">
    <w:pPr>
      <w:pStyle w:val="Spacer"/>
    </w:pPr>
  </w:p>
  <w:p w14:paraId="50B445FD" w14:textId="361F4633" w:rsidR="001D148F" w:rsidRPr="00297281" w:rsidRDefault="001D148F" w:rsidP="00C022F9">
    <w:pPr>
      <w:pStyle w:val="Footer"/>
    </w:pPr>
    <w:r w:rsidRPr="00D542F3">
      <w:t xml:space="preserve">Page </w:t>
    </w:r>
    <w:r w:rsidRPr="00D542F3">
      <w:rPr>
        <w:rStyle w:val="PageNumber"/>
      </w:rPr>
      <w:fldChar w:fldCharType="begin"/>
    </w:r>
    <w:r w:rsidRPr="00D542F3">
      <w:rPr>
        <w:rStyle w:val="PageNumber"/>
      </w:rPr>
      <w:instrText xml:space="preserve"> Page </w:instrText>
    </w:r>
    <w:r w:rsidRPr="00D542F3">
      <w:rPr>
        <w:rStyle w:val="PageNumber"/>
      </w:rPr>
      <w:fldChar w:fldCharType="separate"/>
    </w:r>
    <w:r>
      <w:rPr>
        <w:rStyle w:val="PageNumber"/>
      </w:rPr>
      <w:t>2</w:t>
    </w:r>
    <w:r w:rsidRPr="00D542F3">
      <w:rPr>
        <w:rStyle w:val="PageNumber"/>
      </w:rPr>
      <w:fldChar w:fldCharType="end"/>
    </w:r>
    <w:r>
      <w:rPr>
        <w:rStyle w:val="PageNumber"/>
      </w:rPr>
      <w:tab/>
    </w:r>
    <w:r w:rsidRPr="00C92338">
      <w:rPr>
        <w:b/>
        <w:noProof w:val="0"/>
        <w:color w:val="0072CE" w:themeColor="accent1"/>
        <w:sz w:val="20"/>
      </w:rPr>
      <w:fldChar w:fldCharType="begin"/>
    </w:r>
    <w:r w:rsidRPr="00C92338">
      <w:rPr>
        <w:b/>
        <w:color w:val="0072CE" w:themeColor="accent1"/>
        <w:sz w:val="20"/>
      </w:rPr>
      <w:instrText xml:space="preserve"> StyleRef “Title” </w:instrText>
    </w:r>
    <w:r w:rsidRPr="00C92338">
      <w:rPr>
        <w:b/>
        <w:noProof w:val="0"/>
        <w:color w:val="0072CE" w:themeColor="accent1"/>
        <w:sz w:val="20"/>
      </w:rPr>
      <w:fldChar w:fldCharType="separate"/>
    </w:r>
    <w:r>
      <w:rPr>
        <w:b/>
        <w:color w:val="0072CE" w:themeColor="accent1"/>
        <w:sz w:val="20"/>
      </w:rPr>
      <w:t>Corporate planning and performance reporting requirements</w:t>
    </w:r>
    <w:r w:rsidRPr="00C92338">
      <w:rPr>
        <w:b/>
        <w:color w:val="0072CE" w:themeColor="accent1"/>
        <w:sz w:val="20"/>
      </w:rPr>
      <w:fldChar w:fldCharType="end"/>
    </w:r>
    <w:r>
      <w:rPr>
        <w:b/>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t>Government Business Enterprises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Pr>
        <w:b/>
        <w:bCs/>
        <w:lang w:val="en-US"/>
      </w:rPr>
      <w:t>Error! No text of specified style in document.</w:t>
    </w:r>
    <w:r w:rsidRPr="00C022F9">
      <w:fldChar w:fldCharType="end"/>
    </w:r>
    <w: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F013" w14:textId="68F6218C" w:rsidR="001D148F" w:rsidRDefault="001D148F" w:rsidP="007113E9">
    <w:pPr>
      <w:pStyle w:val="Footer"/>
      <w:rPr>
        <w:rStyle w:val="PageNumber"/>
      </w:rPr>
    </w:pPr>
    <w:r w:rsidRPr="007113E9">
      <w:rPr>
        <w:b/>
        <w:bCs/>
      </w:rPr>
      <mc:AlternateContent>
        <mc:Choice Requires="wps">
          <w:drawing>
            <wp:anchor distT="0" distB="0" distL="114300" distR="114300" simplePos="0" relativeHeight="251658495" behindDoc="1" locked="0" layoutInCell="0" allowOverlap="1" wp14:anchorId="7DF21386" wp14:editId="3D15EA0F">
              <wp:simplePos x="0" y="0"/>
              <wp:positionH relativeFrom="page">
                <wp:align>left</wp:align>
              </wp:positionH>
              <wp:positionV relativeFrom="page">
                <wp:align>bottom</wp:align>
              </wp:positionV>
              <wp:extent cx="7772400" cy="466344"/>
              <wp:effectExtent l="0" t="0" r="0" b="10160"/>
              <wp:wrapNone/>
              <wp:docPr id="54" name="MSIPCMc77e47bc93b8eef0a6a5654d"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634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44EF3" w14:textId="378B7F41" w:rsidR="001D148F" w:rsidRPr="007C7FA2" w:rsidRDefault="007C7FA2" w:rsidP="007C7FA2">
                          <w:pPr>
                            <w:spacing w:before="0" w:after="0"/>
                            <w:rPr>
                              <w:rFonts w:ascii="Calibri" w:hAnsi="Calibri" w:cs="Calibri"/>
                              <w:color w:val="000000"/>
                              <w:sz w:val="22"/>
                            </w:rPr>
                          </w:pPr>
                          <w:r w:rsidRPr="007C7FA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F21386" id="_x0000_t202" coordsize="21600,21600" o:spt="202" path="m,l,21600r21600,l21600,xe">
              <v:stroke joinstyle="miter"/>
              <v:path gradientshapeok="t" o:connecttype="rect"/>
            </v:shapetype>
            <v:shape id="MSIPCMc77e47bc93b8eef0a6a5654d" o:spid="_x0000_s1029" type="#_x0000_t202" alt="{&quot;HashCode&quot;:-1267603503,&quot;Height&quot;:9999999.0,&quot;Width&quot;:9999999.0,&quot;Placement&quot;:&quot;Footer&quot;,&quot;Index&quot;:&quot;Primary&quot;,&quot;Section&quot;:4,&quot;Top&quot;:0.0,&quot;Left&quot;:0.0}" style="position:absolute;margin-left:0;margin-top:0;width:612pt;height:36.7pt;z-index:-251657985;visibility:visible;mso-wrap-style:square;mso-height-percent:0;mso-wrap-distance-left:9pt;mso-wrap-distance-top:0;mso-wrap-distance-right:9pt;mso-wrap-distance-bottom:0;mso-position-horizontal:left;mso-position-horizontal-relative:page;mso-position-vertical:bottom;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" o:allowincell="f" filled="f" stroked="f" strokeweight=".5pt">
              <v:textbox inset="20pt,0,,0">
                <w:txbxContent>
                  <w:p w14:paraId="07644EF3" w14:textId="378B7F41" w:rsidR="001D148F" w:rsidRPr="007C7FA2" w:rsidRDefault="007C7FA2" w:rsidP="007C7FA2">
                    <w:pPr>
                      <w:spacing w:before="0" w:after="0"/>
                      <w:rPr>
                        <w:rFonts w:ascii="Calibri" w:hAnsi="Calibri" w:cs="Calibri"/>
                        <w:color w:val="000000"/>
                        <w:sz w:val="22"/>
                      </w:rPr>
                    </w:pPr>
                    <w:r w:rsidRPr="007C7FA2">
                      <w:rPr>
                        <w:rFonts w:ascii="Calibri" w:hAnsi="Calibri" w:cs="Calibri"/>
                        <w:color w:val="000000"/>
                        <w:sz w:val="22"/>
                      </w:rPr>
                      <w:t>OFFICIAL</w:t>
                    </w:r>
                  </w:p>
                </w:txbxContent>
              </v:textbox>
              <w10:wrap anchorx="page" anchory="page"/>
            </v:shape>
          </w:pict>
        </mc:Fallback>
      </mc:AlternateContent>
    </w:r>
    <w:r w:rsidRPr="007113E9">
      <w:rPr>
        <w:b/>
        <w:bCs/>
        <w:noProof w:val="0"/>
      </w:rPr>
      <w:fldChar w:fldCharType="begin"/>
    </w:r>
    <w:r w:rsidRPr="007113E9">
      <w:rPr>
        <w:b/>
        <w:bCs/>
      </w:rPr>
      <w:instrText xml:space="preserve"> StyleRef “Title” </w:instrText>
    </w:r>
    <w:r w:rsidRPr="007113E9">
      <w:rPr>
        <w:b/>
        <w:bCs/>
        <w:noProof w:val="0"/>
      </w:rPr>
      <w:fldChar w:fldCharType="separate"/>
    </w:r>
    <w:r w:rsidR="007155A0">
      <w:rPr>
        <w:b/>
        <w:bCs/>
      </w:rPr>
      <w:t>Corporate planning and performance reporting requirements</w:t>
    </w:r>
    <w:r w:rsidRPr="007113E9">
      <w:rPr>
        <w:b/>
        <w:bCs/>
      </w:rPr>
      <w:fldChar w:fldCharType="end"/>
    </w:r>
    <w:r w:rsidRPr="007113E9">
      <w:t xml:space="preserve"> </w:t>
    </w:r>
    <w:r>
      <w:br/>
    </w:r>
    <w:r w:rsidRPr="00C022F9">
      <w:rPr>
        <w:noProof w:val="0"/>
      </w:rPr>
      <w:fldChar w:fldCharType="begin"/>
    </w:r>
    <w:r w:rsidRPr="00C022F9">
      <w:instrText xml:space="preserve"> StyleRef “Subtitle” </w:instrText>
    </w:r>
    <w:r w:rsidRPr="00C022F9">
      <w:rPr>
        <w:noProof w:val="0"/>
      </w:rPr>
      <w:fldChar w:fldCharType="separate"/>
    </w:r>
    <w:r w:rsidR="007155A0">
      <w:t>Government Business Enterprises</w: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0169E763" w14:textId="77777777" w:rsidR="001D148F" w:rsidRPr="00C022F9" w:rsidRDefault="001D148F" w:rsidP="007113E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20EA" w14:textId="77777777" w:rsidR="001D148F" w:rsidRPr="001E31FA" w:rsidRDefault="001D148F" w:rsidP="001E31FA">
    <w:pPr>
      <w:pStyle w:val="Spacer"/>
    </w:pPr>
  </w:p>
  <w:p w14:paraId="755296D5" w14:textId="56FD31D8" w:rsidR="001D148F" w:rsidRPr="00297281" w:rsidRDefault="001D148F" w:rsidP="003C3B3A">
    <w:pPr>
      <w:pStyle w:val="Footer"/>
      <w:tabs>
        <w:tab w:val="clear" w:pos="9026"/>
        <w:tab w:val="right" w:pos="14220"/>
      </w:tabs>
    </w:pPr>
    <w:r w:rsidRPr="00D542F3">
      <w:t xml:space="preserve">Page </w:t>
    </w:r>
    <w:r w:rsidRPr="00D542F3">
      <w:rPr>
        <w:rStyle w:val="PageNumber"/>
      </w:rPr>
      <w:fldChar w:fldCharType="begin"/>
    </w:r>
    <w:r w:rsidRPr="00D542F3">
      <w:rPr>
        <w:rStyle w:val="PageNumber"/>
      </w:rPr>
      <w:instrText xml:space="preserve"> Page </w:instrText>
    </w:r>
    <w:r w:rsidRPr="00D542F3">
      <w:rPr>
        <w:rStyle w:val="PageNumber"/>
      </w:rPr>
      <w:fldChar w:fldCharType="separate"/>
    </w:r>
    <w:r>
      <w:rPr>
        <w:rStyle w:val="PageNumber"/>
      </w:rPr>
      <w:t>4</w:t>
    </w:r>
    <w:r w:rsidRPr="00D542F3">
      <w:rPr>
        <w:rStyle w:val="PageNumber"/>
      </w:rPr>
      <w:fldChar w:fldCharType="end"/>
    </w:r>
    <w:r>
      <w:rPr>
        <w:rStyle w:val="PageNumber"/>
      </w:rPr>
      <w:tab/>
    </w:r>
    <w:r w:rsidRPr="00C92338">
      <w:rPr>
        <w:b/>
        <w:noProof w:val="0"/>
        <w:color w:val="0072CE" w:themeColor="accent1"/>
        <w:sz w:val="20"/>
      </w:rPr>
      <w:fldChar w:fldCharType="begin"/>
    </w:r>
    <w:r w:rsidRPr="00C92338">
      <w:rPr>
        <w:b/>
        <w:color w:val="0072CE" w:themeColor="accent1"/>
        <w:sz w:val="20"/>
      </w:rPr>
      <w:instrText xml:space="preserve"> StyleRef “Title” </w:instrText>
    </w:r>
    <w:r w:rsidRPr="00C92338">
      <w:rPr>
        <w:b/>
        <w:noProof w:val="0"/>
        <w:color w:val="0072CE" w:themeColor="accent1"/>
        <w:sz w:val="20"/>
      </w:rPr>
      <w:fldChar w:fldCharType="separate"/>
    </w:r>
    <w:r>
      <w:rPr>
        <w:b/>
        <w:color w:val="0072CE" w:themeColor="accent1"/>
        <w:sz w:val="20"/>
      </w:rPr>
      <w:t>Corporate planning and performance reporting requirements</w:t>
    </w:r>
    <w:r w:rsidRPr="00C92338">
      <w:rPr>
        <w:b/>
        <w:color w:val="0072CE" w:themeColor="accent1"/>
        <w:sz w:val="20"/>
      </w:rPr>
      <w:fldChar w:fldCharType="end"/>
    </w:r>
    <w:r>
      <w:rPr>
        <w:b/>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t>Government Business Enterprises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Pr>
        <w:b/>
        <w:bCs/>
        <w:lang w:val="en-US"/>
      </w:rPr>
      <w:t>Error! No text of specified style in document.</w:t>
    </w:r>
    <w:r w:rsidRPr="00C022F9">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45BF" w14:textId="77777777" w:rsidR="0038185E" w:rsidRDefault="0038185E" w:rsidP="004F7954">
      <w:r>
        <w:separator/>
      </w:r>
    </w:p>
    <w:p w14:paraId="38907612" w14:textId="77777777" w:rsidR="0038185E" w:rsidRDefault="0038185E" w:rsidP="004F7954"/>
  </w:footnote>
  <w:footnote w:type="continuationSeparator" w:id="0">
    <w:p w14:paraId="58A6A1D3" w14:textId="77777777" w:rsidR="0038185E" w:rsidRDefault="0038185E" w:rsidP="004F7954">
      <w:r>
        <w:continuationSeparator/>
      </w:r>
    </w:p>
  </w:footnote>
  <w:footnote w:type="continuationNotice" w:id="1">
    <w:p w14:paraId="53302FCA" w14:textId="77777777" w:rsidR="0038185E" w:rsidRDefault="0038185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68D6" w14:textId="77777777" w:rsidR="00D77DE5" w:rsidRDefault="00D77DE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BD0F" w14:textId="77777777" w:rsidR="001D148F" w:rsidRDefault="001D148F" w:rsidP="004F7954">
    <w:pPr>
      <w:pStyle w:val="Header"/>
    </w:pPr>
    <w:r>
      <w:rPr>
        <w:noProof/>
      </w:rPr>
      <mc:AlternateContent>
        <mc:Choice Requires="wpg">
          <w:drawing>
            <wp:anchor distT="0" distB="0" distL="114300" distR="114300" simplePos="0" relativeHeight="251656192" behindDoc="0" locked="0" layoutInCell="1" allowOverlap="1" wp14:anchorId="7DAD52F1" wp14:editId="7D53F10A">
              <wp:simplePos x="0" y="0"/>
              <wp:positionH relativeFrom="page">
                <wp:posOffset>180340</wp:posOffset>
              </wp:positionH>
              <wp:positionV relativeFrom="page">
                <wp:posOffset>180340</wp:posOffset>
              </wp:positionV>
              <wp:extent cx="7214616" cy="612648"/>
              <wp:effectExtent l="0" t="0" r="5715" b="0"/>
              <wp:wrapNone/>
              <wp:docPr id="35" name="Graphic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36" name="Freeform: Shape 36"/>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574D12" id="Graphic 49" o:spid="_x0000_s1026" alt="&quot;&quot;" style="position:absolute;margin-left:14.2pt;margin-top:14.2pt;width:568.1pt;height:48.25pt;z-index:251656192;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">
              <v:shape id="Freeform: Shape 36"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" path="m,l7210485,r,612140l,612140,,xe" fillcolor="#c2ebfa [3214]" stroked="f" strokeweight=".34711mm">
                <v:stroke joinstyle="miter"/>
                <v:path arrowok="t" o:connecttype="custom" o:connectlocs="0,0;7210485,0;7210485,612140;0,612140" o:connectangles="0,0,0,0"/>
              </v:shape>
              <v:shape id="Freeform: Shape 37"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" path="m2001981,r-3750,l289570,,,612140r1752797,l2001981,85325r,-85325xe" fillcolor="#68cef2 [3205]" stroked="f" strokeweight=".34711mm">
                <v:stroke joinstyle="miter"/>
                <v:path arrowok="t" o:connecttype="custom" o:connectlocs="2001981,0;1998231,0;289570,0;0,612140;1752797,612140;2001981,85325" o:connectangles="0,0,0,0,0,0"/>
              </v:shape>
              <v:shape id="Freeform: Shape 38"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" path="m1176658,l289694,,,612140r1176658,l1176658,xe" fillcolor="#0072ce [3204]" stroked="f" strokeweight=".34711mm">
                <v:stroke joinstyle="miter"/>
                <v:path arrowok="t" o:connecttype="custom" o:connectlocs="1176658,0;289694,0;0,612140;1176658,612140" o:connectangles="0,0,0,0"/>
              </v:shape>
              <v:shape id="Freeform: Shape 39"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" path="m885713,l,,289570,612140r596143,l885713,xe" fillcolor="#232b39 [3213]" stroked="f" strokeweight=".34711mm">
                <v:stroke joinstyle="miter"/>
                <v:path arrowok="t" o:connecttype="custom" o:connectlocs="885713,0;0,0;289570,612140;885713,612140" o:connectangles="0,0,0,0"/>
              </v:shape>
              <v:shape id="Freeform: Shape 40"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F094" w14:textId="77777777" w:rsidR="001D148F" w:rsidRDefault="001D148F" w:rsidP="004F7954">
    <w:pPr>
      <w:pStyle w:val="Header"/>
    </w:pPr>
    <w:r>
      <w:rPr>
        <w:noProof/>
      </w:rPr>
      <mc:AlternateContent>
        <mc:Choice Requires="wpg">
          <w:drawing>
            <wp:anchor distT="0" distB="0" distL="114300" distR="114300" simplePos="0" relativeHeight="251680768" behindDoc="0" locked="0" layoutInCell="1" allowOverlap="1" wp14:anchorId="185318D4" wp14:editId="46EC2ACC">
              <wp:simplePos x="0" y="0"/>
              <wp:positionH relativeFrom="page">
                <wp:posOffset>0</wp:posOffset>
              </wp:positionH>
              <wp:positionV relativeFrom="page">
                <wp:posOffset>0</wp:posOffset>
              </wp:positionV>
              <wp:extent cx="7562088" cy="758952"/>
              <wp:effectExtent l="0" t="0" r="1270" b="3175"/>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3"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C9598C" id="Page banner" o:spid="_x0000_s1026" alt="&quot;&quot;" style="position:absolute;margin-left:0;margin-top:0;width:595.45pt;height:59.75pt;z-index:251680768;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28E5" w14:textId="77777777" w:rsidR="001D148F" w:rsidRDefault="001D148F" w:rsidP="004F7954">
    <w:pPr>
      <w:pStyle w:val="Header"/>
    </w:pPr>
    <w:r>
      <w:rPr>
        <w:noProof/>
      </w:rPr>
      <w:drawing>
        <wp:anchor distT="0" distB="0" distL="114300" distR="114300" simplePos="0" relativeHeight="251646464" behindDoc="1" locked="0" layoutInCell="1" allowOverlap="1" wp14:anchorId="23DECEBA" wp14:editId="35AD8765">
          <wp:simplePos x="0" y="0"/>
          <wp:positionH relativeFrom="column">
            <wp:posOffset>-914400</wp:posOffset>
          </wp:positionH>
          <wp:positionV relativeFrom="page">
            <wp:posOffset>0</wp:posOffset>
          </wp:positionV>
          <wp:extent cx="7562088" cy="10698480"/>
          <wp:effectExtent l="0" t="0" r="1270" b="7620"/>
          <wp:wrapNone/>
          <wp:docPr id="65" name="Alternative back cove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AD26" w14:textId="77777777" w:rsidR="001D148F" w:rsidRDefault="001D148F" w:rsidP="004F7954">
    <w:pPr>
      <w:pStyle w:val="Header"/>
    </w:pPr>
    <w:r>
      <w:rPr>
        <w:noProof/>
      </w:rPr>
      <mc:AlternateContent>
        <mc:Choice Requires="wpg">
          <w:drawing>
            <wp:anchor distT="0" distB="0" distL="114300" distR="114300" simplePos="0" relativeHeight="251658752" behindDoc="0" locked="0" layoutInCell="1" allowOverlap="1" wp14:anchorId="5D2FEEA7" wp14:editId="12E36904">
              <wp:simplePos x="0" y="0"/>
              <wp:positionH relativeFrom="page">
                <wp:align>left</wp:align>
              </wp:positionH>
              <wp:positionV relativeFrom="page">
                <wp:posOffset>895033</wp:posOffset>
              </wp:positionV>
              <wp:extent cx="7560945" cy="7580312"/>
              <wp:effectExtent l="0" t="0" r="1905" b="1905"/>
              <wp:wrapNone/>
              <wp:docPr id="8" name="Back page graphi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945" cy="7580312"/>
                        <a:chOff x="914400" y="914400"/>
                        <a:chExt cx="5429250" cy="5438775"/>
                      </a:xfrm>
                    </wpg:grpSpPr>
                    <wps:wsp>
                      <wps:cNvPr id="9" name="Shape 2"/>
                      <wps:cNvSpPr/>
                      <wps:spPr>
                        <a:xfrm>
                          <a:off x="4105941" y="1619250"/>
                          <a:ext cx="2237708" cy="4733925"/>
                        </a:xfrm>
                        <a:custGeom>
                          <a:avLst/>
                          <a:gdLst>
                            <a:gd name="connsiteX0" fmla="*/ 2237708 w 2237708"/>
                            <a:gd name="connsiteY0" fmla="*/ 0 h 4733925"/>
                            <a:gd name="connsiteX1" fmla="*/ 0 w 2237708"/>
                            <a:gd name="connsiteY1" fmla="*/ 4733925 h 4733925"/>
                            <a:gd name="connsiteX2" fmla="*/ 2237708 w 2237708"/>
                            <a:gd name="connsiteY2" fmla="*/ 4733925 h 4733925"/>
                          </a:gdLst>
                          <a:ahLst/>
                          <a:cxnLst>
                            <a:cxn ang="0">
                              <a:pos x="connsiteX0" y="connsiteY0"/>
                            </a:cxn>
                            <a:cxn ang="0">
                              <a:pos x="connsiteX1" y="connsiteY1"/>
                            </a:cxn>
                            <a:cxn ang="0">
                              <a:pos x="connsiteX2" y="connsiteY2"/>
                            </a:cxn>
                          </a:cxnLst>
                          <a:rect l="l" t="t" r="r" b="b"/>
                          <a:pathLst>
                            <a:path w="2237708" h="4733925">
                              <a:moveTo>
                                <a:pt x="2237708" y="0"/>
                              </a:moveTo>
                              <a:lnTo>
                                <a:pt x="0" y="4733925"/>
                              </a:lnTo>
                              <a:lnTo>
                                <a:pt x="2237708" y="4733925"/>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1"/>
                      <wps:cNvSpPr/>
                      <wps:spPr>
                        <a:xfrm>
                          <a:off x="914400" y="914400"/>
                          <a:ext cx="5429250" cy="5438775"/>
                        </a:xfrm>
                        <a:custGeom>
                          <a:avLst/>
                          <a:gdLst>
                            <a:gd name="connsiteX0" fmla="*/ 4115181 w 5429250"/>
                            <a:gd name="connsiteY0" fmla="*/ 0 h 5438775"/>
                            <a:gd name="connsiteX1" fmla="*/ 0 w 5429250"/>
                            <a:gd name="connsiteY1" fmla="*/ 0 h 5438775"/>
                            <a:gd name="connsiteX2" fmla="*/ 0 w 5429250"/>
                            <a:gd name="connsiteY2" fmla="*/ 2717673 h 5438775"/>
                            <a:gd name="connsiteX3" fmla="*/ 1286256 w 5429250"/>
                            <a:gd name="connsiteY3" fmla="*/ 5438775 h 5438775"/>
                            <a:gd name="connsiteX4" fmla="*/ 5429250 w 5429250"/>
                            <a:gd name="connsiteY4" fmla="*/ 5438775 h 5438775"/>
                            <a:gd name="connsiteX5" fmla="*/ 5429250 w 5429250"/>
                            <a:gd name="connsiteY5" fmla="*/ 2779871 h 5438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29250" h="5438775">
                              <a:moveTo>
                                <a:pt x="4115181" y="0"/>
                              </a:moveTo>
                              <a:lnTo>
                                <a:pt x="0" y="0"/>
                              </a:lnTo>
                              <a:lnTo>
                                <a:pt x="0" y="2717673"/>
                              </a:lnTo>
                              <a:lnTo>
                                <a:pt x="1286256" y="5438775"/>
                              </a:lnTo>
                              <a:lnTo>
                                <a:pt x="5429250" y="5438775"/>
                              </a:lnTo>
                              <a:lnTo>
                                <a:pt x="5429250" y="2779871"/>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5F60DF" id="Back page graphic" o:spid="_x0000_s1026" alt="&quot;&quot;" style="position:absolute;margin-left:0;margin-top:70.5pt;width:595.35pt;height:596.85pt;z-index:251658752;mso-position-horizontal:left;mso-position-horizontal-relative:page;mso-position-vertical-relative:page;mso-width-relative:margin;mso-height-relative:margin" coordorigin="9144,9144" coordsize="54292,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">
              <v:shape id="Shape 2" o:spid="_x0000_s1027" style="position:absolute;left:41059;top:16192;width:22377;height:47339;visibility:visible;mso-wrap-style:square;v-text-anchor:middle" coordsize="2237708,473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" path="m2237708,l,4733925r2237708,l2237708,xe" fillcolor="#232b39 [3213]" stroked="f">
                <v:stroke joinstyle="miter"/>
                <v:path arrowok="t" o:connecttype="custom" o:connectlocs="2237708,0;0,4733925;2237708,4733925" o:connectangles="0,0,0"/>
              </v:shape>
              <v:shape id="Shape 1" o:spid="_x0000_s1028" style="position:absolute;left:9144;top:9144;width:54292;height:54387;visibility:visible;mso-wrap-style:square;v-text-anchor:middle" coordsize="5429250,54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" path="m4115181,l,,,2717673,1286256,5438775r4142994,l5429250,2779871,4115181,xe" fillcolor="#0072ce [3204]" stroked="f">
                <v:stroke joinstyle="miter"/>
                <v:path arrowok="t" o:connecttype="custom" o:connectlocs="4115181,0;0,0;0,2717673;1286256,5438775;5429250,5438775;5429250,2779871" o:connectangles="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7EFF" w14:textId="77777777" w:rsidR="001D148F" w:rsidRDefault="001D148F" w:rsidP="004F7954">
    <w:pPr>
      <w:pStyle w:val="Header"/>
    </w:pPr>
    <w:r>
      <w:rPr>
        <w:noProof/>
      </w:rPr>
      <mc:AlternateContent>
        <mc:Choice Requires="wpg">
          <w:drawing>
            <wp:anchor distT="0" distB="0" distL="114300" distR="114300" simplePos="0" relativeHeight="251678720" behindDoc="1" locked="1" layoutInCell="1" allowOverlap="1" wp14:anchorId="025C8A8E" wp14:editId="333C0B01">
              <wp:simplePos x="0" y="0"/>
              <wp:positionH relativeFrom="page">
                <wp:posOffset>-19050</wp:posOffset>
              </wp:positionH>
              <wp:positionV relativeFrom="page">
                <wp:posOffset>1110615</wp:posOffset>
              </wp:positionV>
              <wp:extent cx="7077075" cy="7292340"/>
              <wp:effectExtent l="0" t="0" r="9525" b="3810"/>
              <wp:wrapNone/>
              <wp:docPr id="2" name="Page graphi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77075" cy="7292340"/>
                        <a:chOff x="914400" y="909655"/>
                        <a:chExt cx="5297042" cy="5449043"/>
                      </a:xfrm>
                    </wpg:grpSpPr>
                    <wps:wsp>
                      <wps:cNvPr id="16" name="Freeform: Shape 16"/>
                      <wps:cNvSpPr/>
                      <wps:spPr>
                        <a:xfrm>
                          <a:off x="923925" y="909655"/>
                          <a:ext cx="5010816" cy="5445251"/>
                        </a:xfrm>
                        <a:custGeom>
                          <a:avLst/>
                          <a:gdLst>
                            <a:gd name="connsiteX0" fmla="*/ 5010817 w 5010816"/>
                            <a:gd name="connsiteY0" fmla="*/ 0 h 5445251"/>
                            <a:gd name="connsiteX1" fmla="*/ 943165 w 5010816"/>
                            <a:gd name="connsiteY1" fmla="*/ 0 h 5445251"/>
                            <a:gd name="connsiteX2" fmla="*/ 0 w 5010816"/>
                            <a:gd name="connsiteY2" fmla="*/ 1995297 h 5445251"/>
                            <a:gd name="connsiteX3" fmla="*/ 0 w 5010816"/>
                            <a:gd name="connsiteY3" fmla="*/ 5445252 h 5445251"/>
                            <a:gd name="connsiteX4" fmla="*/ 2436876 w 5010816"/>
                            <a:gd name="connsiteY4" fmla="*/ 5445252 h 54452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10816" h="5445251">
                              <a:moveTo>
                                <a:pt x="5010817" y="0"/>
                              </a:moveTo>
                              <a:lnTo>
                                <a:pt x="943165" y="0"/>
                              </a:lnTo>
                              <a:lnTo>
                                <a:pt x="0" y="1995297"/>
                              </a:lnTo>
                              <a:lnTo>
                                <a:pt x="0" y="5445252"/>
                              </a:lnTo>
                              <a:lnTo>
                                <a:pt x="2436876" y="5445252"/>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923925" y="2142362"/>
                          <a:ext cx="5287517" cy="4216336"/>
                        </a:xfrm>
                        <a:custGeom>
                          <a:avLst/>
                          <a:gdLst>
                            <a:gd name="connsiteX0" fmla="*/ 5287518 w 5287517"/>
                            <a:gd name="connsiteY0" fmla="*/ 4216337 h 4216336"/>
                            <a:gd name="connsiteX1" fmla="*/ 3294507 w 5287517"/>
                            <a:gd name="connsiteY1" fmla="*/ 0 h 4216336"/>
                            <a:gd name="connsiteX2" fmla="*/ 0 w 5287517"/>
                            <a:gd name="connsiteY2" fmla="*/ 0 h 4216336"/>
                            <a:gd name="connsiteX3" fmla="*/ 0 w 5287517"/>
                            <a:gd name="connsiteY3" fmla="*/ 4216337 h 4216336"/>
                          </a:gdLst>
                          <a:ahLst/>
                          <a:cxnLst>
                            <a:cxn ang="0">
                              <a:pos x="connsiteX0" y="connsiteY0"/>
                            </a:cxn>
                            <a:cxn ang="0">
                              <a:pos x="connsiteX1" y="connsiteY1"/>
                            </a:cxn>
                            <a:cxn ang="0">
                              <a:pos x="connsiteX2" y="connsiteY2"/>
                            </a:cxn>
                            <a:cxn ang="0">
                              <a:pos x="connsiteX3" y="connsiteY3"/>
                            </a:cxn>
                          </a:cxnLst>
                          <a:rect l="l" t="t" r="r" b="b"/>
                          <a:pathLst>
                            <a:path w="5287517" h="4216336">
                              <a:moveTo>
                                <a:pt x="5287518" y="4216337"/>
                              </a:moveTo>
                              <a:lnTo>
                                <a:pt x="3294507" y="0"/>
                              </a:lnTo>
                              <a:lnTo>
                                <a:pt x="0" y="0"/>
                              </a:lnTo>
                              <a:lnTo>
                                <a:pt x="0" y="4216337"/>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914400" y="1468278"/>
                          <a:ext cx="3861244" cy="4110894"/>
                        </a:xfrm>
                        <a:custGeom>
                          <a:avLst/>
                          <a:gdLst>
                            <a:gd name="connsiteX0" fmla="*/ 0 w 3861244"/>
                            <a:gd name="connsiteY0" fmla="*/ 0 h 4110894"/>
                            <a:gd name="connsiteX1" fmla="*/ 0 w 3861244"/>
                            <a:gd name="connsiteY1" fmla="*/ 2650712 h 4110894"/>
                            <a:gd name="connsiteX2" fmla="*/ 690182 w 3861244"/>
                            <a:gd name="connsiteY2" fmla="*/ 4110895 h 4110894"/>
                            <a:gd name="connsiteX3" fmla="*/ 3861245 w 3861244"/>
                            <a:gd name="connsiteY3" fmla="*/ 4110895 h 4110894"/>
                            <a:gd name="connsiteX4" fmla="*/ 3861245 w 3861244"/>
                            <a:gd name="connsiteY4" fmla="*/ 0 h 4110894"/>
                            <a:gd name="connsiteX5" fmla="*/ 0 w 3861244"/>
                            <a:gd name="connsiteY5" fmla="*/ 0 h 4110894"/>
                            <a:gd name="connsiteX6" fmla="*/ 3590925 w 3861244"/>
                            <a:gd name="connsiteY6" fmla="*/ 3055144 h 4110894"/>
                            <a:gd name="connsiteX7" fmla="*/ 3038475 w 3861244"/>
                            <a:gd name="connsiteY7" fmla="*/ 3055144 h 4110894"/>
                            <a:gd name="connsiteX8" fmla="*/ 3038475 w 3861244"/>
                            <a:gd name="connsiteY8" fmla="*/ 3026569 h 4110894"/>
                            <a:gd name="connsiteX9" fmla="*/ 3590925 w 3861244"/>
                            <a:gd name="connsiteY9" fmla="*/ 3026569 h 4110894"/>
                            <a:gd name="connsiteX10" fmla="*/ 3590925 w 3861244"/>
                            <a:gd name="connsiteY10" fmla="*/ 3055144 h 4110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61244" h="4110894">
                              <a:moveTo>
                                <a:pt x="0" y="0"/>
                              </a:moveTo>
                              <a:lnTo>
                                <a:pt x="0" y="2650712"/>
                              </a:lnTo>
                              <a:lnTo>
                                <a:pt x="690182" y="4110895"/>
                              </a:lnTo>
                              <a:lnTo>
                                <a:pt x="3861245" y="4110895"/>
                              </a:lnTo>
                              <a:lnTo>
                                <a:pt x="3861245" y="0"/>
                              </a:lnTo>
                              <a:lnTo>
                                <a:pt x="0" y="0"/>
                              </a:lnTo>
                              <a:close/>
                              <a:moveTo>
                                <a:pt x="3590925" y="3055144"/>
                              </a:moveTo>
                              <a:lnTo>
                                <a:pt x="3038475" y="3055144"/>
                              </a:lnTo>
                              <a:lnTo>
                                <a:pt x="3038475" y="3026569"/>
                              </a:lnTo>
                              <a:lnTo>
                                <a:pt x="3590925" y="3026569"/>
                              </a:lnTo>
                              <a:lnTo>
                                <a:pt x="3590925" y="3055144"/>
                              </a:lnTo>
                              <a:close/>
                            </a:path>
                          </a:pathLst>
                        </a:custGeom>
                        <a:solidFill>
                          <a:srgbClr val="FFFFFF"/>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3AC520" id="Page graphic" o:spid="_x0000_s1026" alt="&quot;&quot;" style="position:absolute;margin-left:-1.5pt;margin-top:87.45pt;width:557.25pt;height:574.2pt;z-index:-251637760;mso-position-horizontal-relative:page;mso-position-vertical-relative:page;mso-width-relative:margin;mso-height-relative:margin" coordorigin="9144,9096" coordsize="52970,5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">
              <v:shape id="Freeform: Shape 16" o:spid="_x0000_s1027" style="position:absolute;left:9239;top:9096;width:50108;height:54453;visibility:visible;mso-wrap-style:square;v-text-anchor:middle" coordsize="5010816,544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" path="m5010817,l943165,,,1995297,,5445252r2436876,l5010817,xe" fillcolor="#232b39 [3213]" stroked="f">
                <v:stroke joinstyle="miter"/>
                <v:path arrowok="t" o:connecttype="custom" o:connectlocs="5010817,0;943165,0;0,1995297;0,5445252;2436876,5445252" o:connectangles="0,0,0,0,0"/>
              </v:shape>
              <v:shape id="Freeform: Shape 17" o:spid="_x0000_s1028" style="position:absolute;left:9239;top:21423;width:52875;height:42163;visibility:visible;mso-wrap-style:square;v-text-anchor:middle" coordsize="5287517,421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" path="m5287518,4216337l3294507,,,,,4216337r5287518,xe" fillcolor="#0072ce [3204]" stroked="f">
                <v:stroke joinstyle="miter"/>
                <v:path arrowok="t" o:connecttype="custom" o:connectlocs="5287518,4216337;3294507,0;0,0;0,4216337" o:connectangles="0,0,0,0"/>
              </v:shape>
              <v:shape id="Freeform: Shape 18" o:spid="_x0000_s1029" style="position:absolute;left:9144;top:14682;width:38612;height:41109;visibility:visible;mso-wrap-style:square;v-text-anchor:middle" coordsize="3861244,41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" path="m,l,2650712,690182,4110895r3171063,l3861245,,,xm3590925,3055144r-552450,l3038475,3026569r552450,l3590925,3055144xe" stroked="f">
                <v:stroke joinstyle="miter"/>
                <v:path arrowok="t" o:connecttype="custom" o:connectlocs="0,0;0,2650712;690182,4110895;3861245,4110895;3861245,0;0,0;3590925,3055144;3038475,3055144;3038475,3026569;3590925,3026569;3590925,3055144" o:connectangles="0,0,0,0,0,0,0,0,0,0,0"/>
              </v:shape>
              <w10:wrap anchorx="page" anchory="page"/>
              <w10:anchorlock/>
            </v:group>
          </w:pict>
        </mc:Fallback>
      </mc:AlternateConten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2AC9" w14:textId="77777777" w:rsidR="00D77DE5" w:rsidRDefault="00D77D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37D7" w14:textId="77777777" w:rsidR="001D148F" w:rsidRDefault="001D148F" w:rsidP="004F7954">
    <w:pPr>
      <w:pStyle w:val="Header"/>
    </w:pPr>
    <w:r>
      <w:rPr>
        <w:noProof/>
      </w:rPr>
      <w:t xml:space="preserve"> </w:t>
    </w:r>
    <w:r>
      <w:rPr>
        <w:noProof/>
      </w:rPr>
      <w:drawing>
        <wp:anchor distT="0" distB="0" distL="114300" distR="114300" simplePos="0" relativeHeight="251658240" behindDoc="0" locked="0" layoutInCell="1" allowOverlap="1" wp14:anchorId="0E79CE9E" wp14:editId="71F83FDD">
          <wp:simplePos x="0" y="0"/>
          <wp:positionH relativeFrom="column">
            <wp:posOffset>-909902</wp:posOffset>
          </wp:positionH>
          <wp:positionV relativeFrom="page">
            <wp:posOffset>-264</wp:posOffset>
          </wp:positionV>
          <wp:extent cx="7562088" cy="10698480"/>
          <wp:effectExtent l="0" t="0" r="1270" b="7620"/>
          <wp:wrapNone/>
          <wp:docPr id="22" name="Alternative cove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5179" w14:textId="77777777" w:rsidR="001D148F" w:rsidRDefault="001D148F" w:rsidP="004F7954">
    <w:pPr>
      <w:pStyle w:val="Header"/>
    </w:pPr>
    <w:r>
      <w:rPr>
        <w:noProof/>
      </w:rPr>
      <mc:AlternateContent>
        <mc:Choice Requires="wpg">
          <w:drawing>
            <wp:anchor distT="0" distB="0" distL="114300" distR="114300" simplePos="0" relativeHeight="251640832" behindDoc="0" locked="0" layoutInCell="1" allowOverlap="1" wp14:anchorId="4150A60C" wp14:editId="4DFF03A2">
              <wp:simplePos x="0" y="0"/>
              <wp:positionH relativeFrom="page">
                <wp:posOffset>180340</wp:posOffset>
              </wp:positionH>
              <wp:positionV relativeFrom="page">
                <wp:posOffset>180340</wp:posOffset>
              </wp:positionV>
              <wp:extent cx="7214616" cy="612648"/>
              <wp:effectExtent l="0" t="0" r="5715" b="0"/>
              <wp:wrapNone/>
              <wp:docPr id="6" name="Graphic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7" name="Freeform: Shape 7"/>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1CCE4B" id="Graphic 49" o:spid="_x0000_s1026" alt="&quot;&quot;" style="position:absolute;margin-left:14.2pt;margin-top:14.2pt;width:568.1pt;height:48.25pt;z-index:251640832;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">
              <v:shape id="Freeform: Shape 7"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" path="m,l7210485,r,612140l,612140,,xe" fillcolor="#c2ebfa [3214]" stroked="f" strokeweight=".34711mm">
                <v:stroke joinstyle="miter"/>
                <v:path arrowok="t" o:connecttype="custom" o:connectlocs="0,0;7210485,0;7210485,612140;0,612140" o:connectangles="0,0,0,0"/>
              </v:shape>
              <v:shape id="Freeform: Shape 11"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" path="m2001981,r-3750,l289570,,,612140r1752797,l2001981,85325r,-85325xe" fillcolor="#68cef2 [3205]" stroked="f" strokeweight=".34711mm">
                <v:stroke joinstyle="miter"/>
                <v:path arrowok="t" o:connecttype="custom" o:connectlocs="2001981,0;1998231,0;289570,0;0,612140;1752797,612140;2001981,85325" o:connectangles="0,0,0,0,0,0"/>
              </v:shape>
              <v:shape id="Freeform: Shape 12"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" path="m1176658,l289694,,,612140r1176658,l1176658,xe" fillcolor="#0072ce [3204]" stroked="f" strokeweight=".34711mm">
                <v:stroke joinstyle="miter"/>
                <v:path arrowok="t" o:connecttype="custom" o:connectlocs="1176658,0;289694,0;0,612140;1176658,612140" o:connectangles="0,0,0,0"/>
              </v:shape>
              <v:shape id="Freeform: Shape 14"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" path="m885713,l,,289570,612140r596143,l885713,xe" fillcolor="#232b39 [3213]" stroked="f" strokeweight=".34711mm">
                <v:stroke joinstyle="miter"/>
                <v:path arrowok="t" o:connecttype="custom" o:connectlocs="885713,0;0,0;289570,612140;885713,612140" o:connectangles="0,0,0,0"/>
              </v:shape>
              <v:shape id="Freeform: Shape 15"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C003" w14:textId="77777777" w:rsidR="001D148F" w:rsidRDefault="001D148F" w:rsidP="004F7954">
    <w:pPr>
      <w:pStyle w:val="Header"/>
    </w:pPr>
    <w:r>
      <w:rPr>
        <w:noProof/>
      </w:rPr>
      <mc:AlternateContent>
        <mc:Choice Requires="wpg">
          <w:drawing>
            <wp:anchor distT="0" distB="0" distL="114300" distR="114300" simplePos="0" relativeHeight="251653120" behindDoc="0" locked="0" layoutInCell="1" allowOverlap="1" wp14:anchorId="4B3B3F8F" wp14:editId="3B022565">
              <wp:simplePos x="0" y="0"/>
              <wp:positionH relativeFrom="page">
                <wp:posOffset>0</wp:posOffset>
              </wp:positionH>
              <wp:positionV relativeFrom="page">
                <wp:posOffset>0</wp:posOffset>
              </wp:positionV>
              <wp:extent cx="7562088" cy="758952"/>
              <wp:effectExtent l="0" t="0" r="1270" b="3175"/>
              <wp:wrapNone/>
              <wp:docPr id="19"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20"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6218C3" id="Page banner" o:spid="_x0000_s1026" alt="&quot;&quot;" style="position:absolute;margin-left:0;margin-top:0;width:595.45pt;height:59.75pt;z-index:251653120;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AF5D" w14:textId="77777777" w:rsidR="001D148F" w:rsidRDefault="001D148F">
    <w:pPr>
      <w:pStyle w:val="Header"/>
    </w:pPr>
    <w:r>
      <w:rPr>
        <w:noProof/>
      </w:rPr>
      <w:drawing>
        <wp:anchor distT="0" distB="0" distL="114300" distR="114300" simplePos="0" relativeHeight="251696128" behindDoc="0" locked="0" layoutInCell="1" allowOverlap="1" wp14:anchorId="4604B73A" wp14:editId="3DF5FF17">
          <wp:simplePos x="0" y="0"/>
          <wp:positionH relativeFrom="column">
            <wp:posOffset>-932815</wp:posOffset>
          </wp:positionH>
          <wp:positionV relativeFrom="page">
            <wp:posOffset>-3546</wp:posOffset>
          </wp:positionV>
          <wp:extent cx="7591245" cy="740985"/>
          <wp:effectExtent l="0" t="0" r="0" b="2540"/>
          <wp:wrapNone/>
          <wp:docPr id="49"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5C6C" w14:textId="77777777" w:rsidR="001D148F" w:rsidRPr="0041689E" w:rsidRDefault="001D148F" w:rsidP="003C3B3A">
    <w:pPr>
      <w:pStyle w:val="Header"/>
    </w:pPr>
    <w:r>
      <w:rPr>
        <w:noProof/>
      </w:rPr>
      <w:drawing>
        <wp:anchor distT="0" distB="0" distL="114300" distR="114300" simplePos="0" relativeHeight="251695104" behindDoc="0" locked="0" layoutInCell="1" allowOverlap="1" wp14:anchorId="2147F916" wp14:editId="612B91C3">
          <wp:simplePos x="0" y="0"/>
          <wp:positionH relativeFrom="column">
            <wp:posOffset>-2066290</wp:posOffset>
          </wp:positionH>
          <wp:positionV relativeFrom="page">
            <wp:posOffset>118745</wp:posOffset>
          </wp:positionV>
          <wp:extent cx="13158216" cy="548656"/>
          <wp:effectExtent l="0" t="0" r="5715" b="381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1" cstate="print">
                    <a:extLst>
                      <a:ext uri="{28A0092B-C50C-407E-A947-70E740481C1C}">
                        <a14:useLocalDpi xmlns:a14="http://schemas.microsoft.com/office/drawing/2010/main" val="0"/>
                      </a:ext>
                    </a:extLst>
                  </a:blip>
                  <a:srcRect b="13750"/>
                  <a:stretch/>
                </pic:blipFill>
                <pic:spPr bwMode="auto">
                  <a:xfrm>
                    <a:off x="0" y="0"/>
                    <a:ext cx="13158216" cy="548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264A" w14:textId="77777777" w:rsidR="001D148F" w:rsidRPr="00BB59E0" w:rsidRDefault="001D148F" w:rsidP="00BB59E0">
    <w:pPr>
      <w:pStyle w:val="Header"/>
    </w:pPr>
    <w:r>
      <w:rPr>
        <w:noProof/>
      </w:rPr>
      <mc:AlternateContent>
        <mc:Choice Requires="wpg">
          <w:drawing>
            <wp:anchor distT="0" distB="0" distL="114300" distR="114300" simplePos="0" relativeHeight="251697152" behindDoc="0" locked="0" layoutInCell="1" allowOverlap="1" wp14:anchorId="5F83DEB3" wp14:editId="61035257">
              <wp:simplePos x="0" y="0"/>
              <wp:positionH relativeFrom="page">
                <wp:posOffset>0</wp:posOffset>
              </wp:positionH>
              <wp:positionV relativeFrom="page">
                <wp:posOffset>0</wp:posOffset>
              </wp:positionV>
              <wp:extent cx="10744200" cy="722376"/>
              <wp:effectExtent l="0" t="0" r="0" b="1905"/>
              <wp:wrapNone/>
              <wp:docPr id="42" name="Graphic 1"/>
              <wp:cNvGraphicFramePr/>
              <a:graphic xmlns:a="http://schemas.openxmlformats.org/drawingml/2006/main">
                <a:graphicData uri="http://schemas.microsoft.com/office/word/2010/wordprocessingGroup">
                  <wpg:wgp>
                    <wpg:cNvGrpSpPr/>
                    <wpg:grpSpPr>
                      <a:xfrm>
                        <a:off x="0" y="0"/>
                        <a:ext cx="10744200" cy="722376"/>
                        <a:chOff x="914400" y="1173707"/>
                        <a:chExt cx="8019002" cy="539972"/>
                      </a:xfrm>
                      <a:solidFill>
                        <a:schemeClr val="accent1"/>
                      </a:solidFill>
                    </wpg:grpSpPr>
                    <wps:wsp>
                      <wps:cNvPr id="43" name="Freeform: Shape 43"/>
                      <wps:cNvSpPr/>
                      <wps:spPr>
                        <a:xfrm>
                          <a:off x="914400" y="1173707"/>
                          <a:ext cx="8019002" cy="539877"/>
                        </a:xfrm>
                        <a:custGeom>
                          <a:avLst/>
                          <a:gdLst>
                            <a:gd name="connsiteX0" fmla="*/ 0 w 8019002"/>
                            <a:gd name="connsiteY0" fmla="*/ 0 h 539877"/>
                            <a:gd name="connsiteX1" fmla="*/ 8019003 w 8019002"/>
                            <a:gd name="connsiteY1" fmla="*/ 0 h 539877"/>
                            <a:gd name="connsiteX2" fmla="*/ 8019003 w 8019002"/>
                            <a:gd name="connsiteY2" fmla="*/ 539877 h 539877"/>
                            <a:gd name="connsiteX3" fmla="*/ 0 w 8019002"/>
                            <a:gd name="connsiteY3" fmla="*/ 539877 h 539877"/>
                          </a:gdLst>
                          <a:ahLst/>
                          <a:cxnLst>
                            <a:cxn ang="0">
                              <a:pos x="connsiteX0" y="connsiteY0"/>
                            </a:cxn>
                            <a:cxn ang="0">
                              <a:pos x="connsiteX1" y="connsiteY1"/>
                            </a:cxn>
                            <a:cxn ang="0">
                              <a:pos x="connsiteX2" y="connsiteY2"/>
                            </a:cxn>
                            <a:cxn ang="0">
                              <a:pos x="connsiteX3" y="connsiteY3"/>
                            </a:cxn>
                          </a:cxnLst>
                          <a:rect l="l" t="t" r="r" b="b"/>
                          <a:pathLst>
                            <a:path w="8019002" h="539877">
                              <a:moveTo>
                                <a:pt x="0" y="0"/>
                              </a:moveTo>
                              <a:lnTo>
                                <a:pt x="8019003" y="0"/>
                              </a:lnTo>
                              <a:lnTo>
                                <a:pt x="8019003" y="539877"/>
                              </a:lnTo>
                              <a:lnTo>
                                <a:pt x="0" y="539877"/>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Graphic 1"/>
                      <wpg:cNvGrpSpPr/>
                      <wpg:grpSpPr>
                        <a:xfrm>
                          <a:off x="6957917" y="1173707"/>
                          <a:ext cx="1974723" cy="539972"/>
                          <a:chOff x="6957917" y="1173707"/>
                          <a:chExt cx="1974723" cy="539972"/>
                        </a:xfrm>
                        <a:solidFill>
                          <a:schemeClr val="accent1"/>
                        </a:solidFill>
                      </wpg:grpSpPr>
                      <wps:wsp>
                        <wps:cNvPr id="45" name="Freeform: Shape 45"/>
                        <wps:cNvSpPr/>
                        <wps:spPr>
                          <a:xfrm>
                            <a:off x="7666482" y="1173707"/>
                            <a:ext cx="1266158" cy="539972"/>
                          </a:xfrm>
                          <a:custGeom>
                            <a:avLst/>
                            <a:gdLst>
                              <a:gd name="connsiteX0" fmla="*/ 1266158 w 1266158"/>
                              <a:gd name="connsiteY0" fmla="*/ 0 h 539972"/>
                              <a:gd name="connsiteX1" fmla="*/ 1266158 w 1266158"/>
                              <a:gd name="connsiteY1" fmla="*/ 539972 h 539972"/>
                              <a:gd name="connsiteX2" fmla="*/ 0 w 1266158"/>
                              <a:gd name="connsiteY2" fmla="*/ 539972 h 539972"/>
                              <a:gd name="connsiteX3" fmla="*/ 255175 w 1266158"/>
                              <a:gd name="connsiteY3" fmla="*/ 0 h 539972"/>
                            </a:gdLst>
                            <a:ahLst/>
                            <a:cxnLst>
                              <a:cxn ang="0">
                                <a:pos x="connsiteX0" y="connsiteY0"/>
                              </a:cxn>
                              <a:cxn ang="0">
                                <a:pos x="connsiteX1" y="connsiteY1"/>
                              </a:cxn>
                              <a:cxn ang="0">
                                <a:pos x="connsiteX2" y="connsiteY2"/>
                              </a:cxn>
                              <a:cxn ang="0">
                                <a:pos x="connsiteX3" y="connsiteY3"/>
                              </a:cxn>
                            </a:cxnLst>
                            <a:rect l="l" t="t" r="r" b="b"/>
                            <a:pathLst>
                              <a:path w="1266158" h="539972">
                                <a:moveTo>
                                  <a:pt x="1266158" y="0"/>
                                </a:moveTo>
                                <a:lnTo>
                                  <a:pt x="1266158" y="539972"/>
                                </a:lnTo>
                                <a:lnTo>
                                  <a:pt x="0" y="539972"/>
                                </a:lnTo>
                                <a:lnTo>
                                  <a:pt x="25517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reeform: Shape 46"/>
                        <wps:cNvSpPr/>
                        <wps:spPr>
                          <a:xfrm>
                            <a:off x="6957917" y="1173707"/>
                            <a:ext cx="963739" cy="539972"/>
                          </a:xfrm>
                          <a:custGeom>
                            <a:avLst/>
                            <a:gdLst>
                              <a:gd name="connsiteX0" fmla="*/ 0 w 963739"/>
                              <a:gd name="connsiteY0" fmla="*/ 539972 h 539972"/>
                              <a:gd name="connsiteX1" fmla="*/ 708565 w 963739"/>
                              <a:gd name="connsiteY1" fmla="*/ 539972 h 539972"/>
                              <a:gd name="connsiteX2" fmla="*/ 963739 w 963739"/>
                              <a:gd name="connsiteY2" fmla="*/ 0 h 539972"/>
                              <a:gd name="connsiteX3" fmla="*/ 255270 w 963739"/>
                              <a:gd name="connsiteY3" fmla="*/ 0 h 539972"/>
                            </a:gdLst>
                            <a:ahLst/>
                            <a:cxnLst>
                              <a:cxn ang="0">
                                <a:pos x="connsiteX0" y="connsiteY0"/>
                              </a:cxn>
                              <a:cxn ang="0">
                                <a:pos x="connsiteX1" y="connsiteY1"/>
                              </a:cxn>
                              <a:cxn ang="0">
                                <a:pos x="connsiteX2" y="connsiteY2"/>
                              </a:cxn>
                              <a:cxn ang="0">
                                <a:pos x="connsiteX3" y="connsiteY3"/>
                              </a:cxn>
                            </a:cxnLst>
                            <a:rect l="l" t="t" r="r" b="b"/>
                            <a:pathLst>
                              <a:path w="963739" h="539972">
                                <a:moveTo>
                                  <a:pt x="0" y="539972"/>
                                </a:moveTo>
                                <a:lnTo>
                                  <a:pt x="708565" y="539972"/>
                                </a:lnTo>
                                <a:lnTo>
                                  <a:pt x="963739" y="0"/>
                                </a:lnTo>
                                <a:lnTo>
                                  <a:pt x="255270"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reeform: Shape 47"/>
                        <wps:cNvSpPr/>
                        <wps:spPr>
                          <a:xfrm>
                            <a:off x="7921656" y="1173707"/>
                            <a:ext cx="1010983" cy="539877"/>
                          </a:xfrm>
                          <a:custGeom>
                            <a:avLst/>
                            <a:gdLst>
                              <a:gd name="connsiteX0" fmla="*/ 0 w 1010983"/>
                              <a:gd name="connsiteY0" fmla="*/ 0 h 539877"/>
                              <a:gd name="connsiteX1" fmla="*/ 255270 w 1010983"/>
                              <a:gd name="connsiteY1" fmla="*/ 539877 h 539877"/>
                              <a:gd name="connsiteX2" fmla="*/ 1010984 w 1010983"/>
                              <a:gd name="connsiteY2" fmla="*/ 539877 h 539877"/>
                              <a:gd name="connsiteX3" fmla="*/ 1010984 w 1010983"/>
                              <a:gd name="connsiteY3" fmla="*/ 0 h 539877"/>
                            </a:gdLst>
                            <a:ahLst/>
                            <a:cxnLst>
                              <a:cxn ang="0">
                                <a:pos x="connsiteX0" y="connsiteY0"/>
                              </a:cxn>
                              <a:cxn ang="0">
                                <a:pos x="connsiteX1" y="connsiteY1"/>
                              </a:cxn>
                              <a:cxn ang="0">
                                <a:pos x="connsiteX2" y="connsiteY2"/>
                              </a:cxn>
                              <a:cxn ang="0">
                                <a:pos x="connsiteX3" y="connsiteY3"/>
                              </a:cxn>
                            </a:cxnLst>
                            <a:rect l="l" t="t" r="r" b="b"/>
                            <a:pathLst>
                              <a:path w="1010983" h="539877">
                                <a:moveTo>
                                  <a:pt x="0" y="0"/>
                                </a:moveTo>
                                <a:lnTo>
                                  <a:pt x="255270" y="539877"/>
                                </a:lnTo>
                                <a:lnTo>
                                  <a:pt x="1010984" y="539877"/>
                                </a:lnTo>
                                <a:lnTo>
                                  <a:pt x="101098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 name="Freeform: Shape 48"/>
                      <wps:cNvSpPr/>
                      <wps:spPr>
                        <a:xfrm>
                          <a:off x="6829520" y="1440502"/>
                          <a:ext cx="837533" cy="273176"/>
                        </a:xfrm>
                        <a:custGeom>
                          <a:avLst/>
                          <a:gdLst>
                            <a:gd name="connsiteX0" fmla="*/ 0 w 837533"/>
                            <a:gd name="connsiteY0" fmla="*/ 0 h 273176"/>
                            <a:gd name="connsiteX1" fmla="*/ 708374 w 837533"/>
                            <a:gd name="connsiteY1" fmla="*/ 0 h 273176"/>
                            <a:gd name="connsiteX2" fmla="*/ 837533 w 837533"/>
                            <a:gd name="connsiteY2" fmla="*/ 273177 h 273176"/>
                            <a:gd name="connsiteX3" fmla="*/ 129159 w 837533"/>
                            <a:gd name="connsiteY3" fmla="*/ 273177 h 273176"/>
                          </a:gdLst>
                          <a:ahLst/>
                          <a:cxnLst>
                            <a:cxn ang="0">
                              <a:pos x="connsiteX0" y="connsiteY0"/>
                            </a:cxn>
                            <a:cxn ang="0">
                              <a:pos x="connsiteX1" y="connsiteY1"/>
                            </a:cxn>
                            <a:cxn ang="0">
                              <a:pos x="connsiteX2" y="connsiteY2"/>
                            </a:cxn>
                            <a:cxn ang="0">
                              <a:pos x="connsiteX3" y="connsiteY3"/>
                            </a:cxn>
                          </a:cxnLst>
                          <a:rect l="l" t="t" r="r" b="b"/>
                          <a:pathLst>
                            <a:path w="837533" h="273176">
                              <a:moveTo>
                                <a:pt x="0" y="0"/>
                              </a:moveTo>
                              <a:lnTo>
                                <a:pt x="708374" y="0"/>
                              </a:lnTo>
                              <a:lnTo>
                                <a:pt x="837533" y="273177"/>
                              </a:lnTo>
                              <a:lnTo>
                                <a:pt x="129159" y="273177"/>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ACB34E" id="Graphic 1" o:spid="_x0000_s1026" style="position:absolute;margin-left:0;margin-top:0;width:846pt;height:56.9pt;z-index:251697152;mso-position-horizontal-relative:page;mso-position-vertical-relative:page;mso-width-relative:margin;mso-height-relative:margin" coordorigin="9144,11737" coordsize="80190,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">
              <v:shape id="Freeform: Shape 43" o:spid="_x0000_s1027" style="position:absolute;left:9144;top:11737;width:80190;height:5398;visibility:visible;mso-wrap-style:square;v-text-anchor:middle" coordsize="8019002,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" path="m,l8019003,r,539877l,539877,,xe" fillcolor="#c2ebfa [3214]" stroked="f">
                <v:stroke joinstyle="miter"/>
                <v:path arrowok="t" o:connecttype="custom" o:connectlocs="0,0;8019003,0;8019003,539877;0,539877" o:connectangles="0,0,0,0"/>
              </v:shape>
              <v:group id="_x0000_s1028" style="position:absolute;left:69579;top:11737;width:19747;height:5399" coordorigin="69579,11737" coordsize="1974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Shape 45" o:spid="_x0000_s1029" style="position:absolute;left:76664;top:11737;width:12662;height:5399;visibility:visible;mso-wrap-style:square;v-text-anchor:middle" coordsize="1266158,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" path="m1266158,r,539972l,539972,255175,,1266158,xe" fillcolor="#0072ce [3204]" stroked="f">
                  <v:stroke joinstyle="miter"/>
                  <v:path arrowok="t" o:connecttype="custom" o:connectlocs="1266158,0;1266158,539972;0,539972;255175,0" o:connectangles="0,0,0,0"/>
                </v:shape>
                <v:shape id="Freeform: Shape 46" o:spid="_x0000_s1030" style="position:absolute;left:69579;top:11737;width:9637;height:5399;visibility:visible;mso-wrap-style:square;v-text-anchor:middle" coordsize="963739,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" path="m,539972r708565,l963739,,255270,,,539972xe" fillcolor="#68cef2 [3205]" stroked="f">
                  <v:stroke joinstyle="miter"/>
                  <v:path arrowok="t" o:connecttype="custom" o:connectlocs="0,539972;708565,539972;963739,0;255270,0" o:connectangles="0,0,0,0"/>
                </v:shape>
                <v:shape id="Freeform: Shape 47" o:spid="_x0000_s1031" style="position:absolute;left:79216;top:11737;width:10110;height:5398;visibility:visible;mso-wrap-style:square;v-text-anchor:middle" coordsize="1010983,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" path="m,l255270,539877r755714,l1010984,,,xe" fillcolor="#232b39 [3213]" stroked="f">
                  <v:stroke joinstyle="miter"/>
                  <v:path arrowok="t" o:connecttype="custom" o:connectlocs="0,0;255270,539877;1010984,539877;1010984,0" o:connectangles="0,0,0,0"/>
                </v:shape>
              </v:group>
              <v:shape id="Freeform: Shape 48" o:spid="_x0000_s1032" style="position:absolute;left:68295;top:14405;width:8375;height:2731;visibility:visible;mso-wrap-style:square;v-text-anchor:middle" coordsize="837533,27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" path="m,l708374,,837533,273177r-708374,l,xe" stroked="f">
                <v:fill opacity="32896f"/>
                <v:stroke joinstyle="miter"/>
                <v:path arrowok="t" o:connecttype="custom" o:connectlocs="0,0;708374,0;837533,273177;129159,273177"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F4F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8C01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366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E610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4885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44CC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C2B7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E87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8A39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4C18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299725292">
    <w:abstractNumId w:val="12"/>
  </w:num>
  <w:num w:numId="2" w16cid:durableId="907879247">
    <w:abstractNumId w:val="12"/>
  </w:num>
  <w:num w:numId="3" w16cid:durableId="1716467132">
    <w:abstractNumId w:val="12"/>
  </w:num>
  <w:num w:numId="4" w16cid:durableId="90903778">
    <w:abstractNumId w:val="14"/>
  </w:num>
  <w:num w:numId="5" w16cid:durableId="1060785359">
    <w:abstractNumId w:val="10"/>
  </w:num>
  <w:num w:numId="6" w16cid:durableId="483740595">
    <w:abstractNumId w:val="11"/>
  </w:num>
  <w:num w:numId="7" w16cid:durableId="1871868559">
    <w:abstractNumId w:val="13"/>
  </w:num>
  <w:num w:numId="8" w16cid:durableId="1905289156">
    <w:abstractNumId w:val="9"/>
  </w:num>
  <w:num w:numId="9" w16cid:durableId="1661613026">
    <w:abstractNumId w:val="7"/>
  </w:num>
  <w:num w:numId="10" w16cid:durableId="1270044397">
    <w:abstractNumId w:val="6"/>
  </w:num>
  <w:num w:numId="11" w16cid:durableId="1884898253">
    <w:abstractNumId w:val="5"/>
  </w:num>
  <w:num w:numId="12" w16cid:durableId="177816561">
    <w:abstractNumId w:val="4"/>
  </w:num>
  <w:num w:numId="13" w16cid:durableId="2014606154">
    <w:abstractNumId w:val="8"/>
  </w:num>
  <w:num w:numId="14" w16cid:durableId="629165855">
    <w:abstractNumId w:val="3"/>
  </w:num>
  <w:num w:numId="15" w16cid:durableId="318117011">
    <w:abstractNumId w:val="2"/>
  </w:num>
  <w:num w:numId="16" w16cid:durableId="1523086822">
    <w:abstractNumId w:val="1"/>
  </w:num>
  <w:num w:numId="17" w16cid:durableId="1791776831">
    <w:abstractNumId w:val="0"/>
  </w:num>
  <w:num w:numId="18" w16cid:durableId="10474139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86"/>
    <w:rsid w:val="00012F6F"/>
    <w:rsid w:val="00014213"/>
    <w:rsid w:val="00014B55"/>
    <w:rsid w:val="00020E3E"/>
    <w:rsid w:val="00023BF3"/>
    <w:rsid w:val="00023C25"/>
    <w:rsid w:val="00026811"/>
    <w:rsid w:val="0004185E"/>
    <w:rsid w:val="00056988"/>
    <w:rsid w:val="00056EC9"/>
    <w:rsid w:val="00075E6C"/>
    <w:rsid w:val="00081669"/>
    <w:rsid w:val="00081C12"/>
    <w:rsid w:val="000A74BC"/>
    <w:rsid w:val="000B29AD"/>
    <w:rsid w:val="000C6372"/>
    <w:rsid w:val="000E392D"/>
    <w:rsid w:val="000E3D05"/>
    <w:rsid w:val="000F4288"/>
    <w:rsid w:val="000F7165"/>
    <w:rsid w:val="00100974"/>
    <w:rsid w:val="00102379"/>
    <w:rsid w:val="00103722"/>
    <w:rsid w:val="001065D6"/>
    <w:rsid w:val="001068D5"/>
    <w:rsid w:val="00113DC0"/>
    <w:rsid w:val="00121252"/>
    <w:rsid w:val="00124609"/>
    <w:rsid w:val="001254CE"/>
    <w:rsid w:val="001422CC"/>
    <w:rsid w:val="00143DCA"/>
    <w:rsid w:val="00151C1A"/>
    <w:rsid w:val="001617B6"/>
    <w:rsid w:val="00165E66"/>
    <w:rsid w:val="00181E7D"/>
    <w:rsid w:val="00196143"/>
    <w:rsid w:val="001A24FC"/>
    <w:rsid w:val="001C7BAE"/>
    <w:rsid w:val="001D148F"/>
    <w:rsid w:val="001D4036"/>
    <w:rsid w:val="001E31FA"/>
    <w:rsid w:val="001E48F9"/>
    <w:rsid w:val="001E64F6"/>
    <w:rsid w:val="001E65B7"/>
    <w:rsid w:val="001E7AEB"/>
    <w:rsid w:val="001F0C6B"/>
    <w:rsid w:val="00204A0B"/>
    <w:rsid w:val="00204B82"/>
    <w:rsid w:val="00222BEB"/>
    <w:rsid w:val="00225E60"/>
    <w:rsid w:val="00226E33"/>
    <w:rsid w:val="0023202C"/>
    <w:rsid w:val="00242543"/>
    <w:rsid w:val="00245043"/>
    <w:rsid w:val="00255F48"/>
    <w:rsid w:val="002733C9"/>
    <w:rsid w:val="00284FA2"/>
    <w:rsid w:val="00292A58"/>
    <w:rsid w:val="00292D36"/>
    <w:rsid w:val="00297281"/>
    <w:rsid w:val="002B03F1"/>
    <w:rsid w:val="002B2730"/>
    <w:rsid w:val="002B5E2B"/>
    <w:rsid w:val="002B6DAA"/>
    <w:rsid w:val="002D54EB"/>
    <w:rsid w:val="002D711A"/>
    <w:rsid w:val="002D7336"/>
    <w:rsid w:val="002E3396"/>
    <w:rsid w:val="002E35F5"/>
    <w:rsid w:val="002F2953"/>
    <w:rsid w:val="0031149C"/>
    <w:rsid w:val="00354A56"/>
    <w:rsid w:val="00366A51"/>
    <w:rsid w:val="0036778F"/>
    <w:rsid w:val="003741DF"/>
    <w:rsid w:val="0038185E"/>
    <w:rsid w:val="0038771C"/>
    <w:rsid w:val="00392484"/>
    <w:rsid w:val="003A430B"/>
    <w:rsid w:val="003A541A"/>
    <w:rsid w:val="003A6923"/>
    <w:rsid w:val="003C0A4F"/>
    <w:rsid w:val="003C2C67"/>
    <w:rsid w:val="003C2D4C"/>
    <w:rsid w:val="003C3B3A"/>
    <w:rsid w:val="003C5BA4"/>
    <w:rsid w:val="003D4E64"/>
    <w:rsid w:val="003E3E26"/>
    <w:rsid w:val="003F08A8"/>
    <w:rsid w:val="003F1295"/>
    <w:rsid w:val="003F46E4"/>
    <w:rsid w:val="003F5102"/>
    <w:rsid w:val="003F76FC"/>
    <w:rsid w:val="004002EB"/>
    <w:rsid w:val="004027B5"/>
    <w:rsid w:val="00407A79"/>
    <w:rsid w:val="00422DDC"/>
    <w:rsid w:val="004231B5"/>
    <w:rsid w:val="004236C8"/>
    <w:rsid w:val="00427681"/>
    <w:rsid w:val="00433DB7"/>
    <w:rsid w:val="00453750"/>
    <w:rsid w:val="00456941"/>
    <w:rsid w:val="004702EA"/>
    <w:rsid w:val="00470962"/>
    <w:rsid w:val="0048259C"/>
    <w:rsid w:val="00482D02"/>
    <w:rsid w:val="0048610A"/>
    <w:rsid w:val="00490369"/>
    <w:rsid w:val="004A58FE"/>
    <w:rsid w:val="004A7519"/>
    <w:rsid w:val="004D01AC"/>
    <w:rsid w:val="004D0687"/>
    <w:rsid w:val="004D3518"/>
    <w:rsid w:val="004D62D6"/>
    <w:rsid w:val="004F3F4E"/>
    <w:rsid w:val="004F7954"/>
    <w:rsid w:val="0050757A"/>
    <w:rsid w:val="00507670"/>
    <w:rsid w:val="00510167"/>
    <w:rsid w:val="00524D2F"/>
    <w:rsid w:val="00526B41"/>
    <w:rsid w:val="005306A2"/>
    <w:rsid w:val="0053416C"/>
    <w:rsid w:val="00541C2F"/>
    <w:rsid w:val="0054503A"/>
    <w:rsid w:val="00545540"/>
    <w:rsid w:val="0055500A"/>
    <w:rsid w:val="00563527"/>
    <w:rsid w:val="0058124E"/>
    <w:rsid w:val="005817DA"/>
    <w:rsid w:val="005875A3"/>
    <w:rsid w:val="005A3416"/>
    <w:rsid w:val="005A5AFB"/>
    <w:rsid w:val="005B27FE"/>
    <w:rsid w:val="005B753D"/>
    <w:rsid w:val="005B76DF"/>
    <w:rsid w:val="005B79CB"/>
    <w:rsid w:val="005C1386"/>
    <w:rsid w:val="005E34B5"/>
    <w:rsid w:val="005E4C16"/>
    <w:rsid w:val="005F61DF"/>
    <w:rsid w:val="0060163A"/>
    <w:rsid w:val="00601836"/>
    <w:rsid w:val="006023F9"/>
    <w:rsid w:val="00602AF7"/>
    <w:rsid w:val="006050F2"/>
    <w:rsid w:val="00610559"/>
    <w:rsid w:val="00614076"/>
    <w:rsid w:val="00627A5E"/>
    <w:rsid w:val="00630270"/>
    <w:rsid w:val="00632F2E"/>
    <w:rsid w:val="006332F6"/>
    <w:rsid w:val="00640E33"/>
    <w:rsid w:val="006413F2"/>
    <w:rsid w:val="006534B2"/>
    <w:rsid w:val="0065615D"/>
    <w:rsid w:val="00657011"/>
    <w:rsid w:val="006650B5"/>
    <w:rsid w:val="006651B1"/>
    <w:rsid w:val="00665778"/>
    <w:rsid w:val="00676E5F"/>
    <w:rsid w:val="0068108F"/>
    <w:rsid w:val="00697C53"/>
    <w:rsid w:val="006A3309"/>
    <w:rsid w:val="006A5B34"/>
    <w:rsid w:val="006B272C"/>
    <w:rsid w:val="006C77A9"/>
    <w:rsid w:val="006D4720"/>
    <w:rsid w:val="006E6CDF"/>
    <w:rsid w:val="006E7690"/>
    <w:rsid w:val="006F0436"/>
    <w:rsid w:val="006F37F2"/>
    <w:rsid w:val="006F6693"/>
    <w:rsid w:val="00700D19"/>
    <w:rsid w:val="00707FE8"/>
    <w:rsid w:val="007113E9"/>
    <w:rsid w:val="00714AAE"/>
    <w:rsid w:val="007155A0"/>
    <w:rsid w:val="00724962"/>
    <w:rsid w:val="00724A0F"/>
    <w:rsid w:val="00726D2F"/>
    <w:rsid w:val="00727F9F"/>
    <w:rsid w:val="00736732"/>
    <w:rsid w:val="00736982"/>
    <w:rsid w:val="00746426"/>
    <w:rsid w:val="00750BF9"/>
    <w:rsid w:val="00750CBE"/>
    <w:rsid w:val="007534D2"/>
    <w:rsid w:val="007650D2"/>
    <w:rsid w:val="0076586C"/>
    <w:rsid w:val="00766B5A"/>
    <w:rsid w:val="007770A5"/>
    <w:rsid w:val="007834F2"/>
    <w:rsid w:val="00791020"/>
    <w:rsid w:val="007A04D2"/>
    <w:rsid w:val="007A5F82"/>
    <w:rsid w:val="007C7FA2"/>
    <w:rsid w:val="007D5F9E"/>
    <w:rsid w:val="007E4D49"/>
    <w:rsid w:val="007F1A4C"/>
    <w:rsid w:val="007F27C2"/>
    <w:rsid w:val="007F723F"/>
    <w:rsid w:val="007F7A76"/>
    <w:rsid w:val="008022C3"/>
    <w:rsid w:val="008041E6"/>
    <w:rsid w:val="008065D2"/>
    <w:rsid w:val="00817EEA"/>
    <w:rsid w:val="0082194C"/>
    <w:rsid w:val="008222FF"/>
    <w:rsid w:val="00822407"/>
    <w:rsid w:val="008241FF"/>
    <w:rsid w:val="008252E4"/>
    <w:rsid w:val="008411E9"/>
    <w:rsid w:val="00841617"/>
    <w:rsid w:val="0084200F"/>
    <w:rsid w:val="00843B2C"/>
    <w:rsid w:val="0085600D"/>
    <w:rsid w:val="008668A8"/>
    <w:rsid w:val="00871186"/>
    <w:rsid w:val="008730DA"/>
    <w:rsid w:val="0087310A"/>
    <w:rsid w:val="00873BA9"/>
    <w:rsid w:val="00880AC4"/>
    <w:rsid w:val="00897447"/>
    <w:rsid w:val="008A4900"/>
    <w:rsid w:val="008A4AB6"/>
    <w:rsid w:val="008A55FE"/>
    <w:rsid w:val="008B146D"/>
    <w:rsid w:val="008B42AD"/>
    <w:rsid w:val="008B5666"/>
    <w:rsid w:val="008C6A5B"/>
    <w:rsid w:val="008D0281"/>
    <w:rsid w:val="008E16C9"/>
    <w:rsid w:val="008E2348"/>
    <w:rsid w:val="008E585A"/>
    <w:rsid w:val="008F0369"/>
    <w:rsid w:val="008F186F"/>
    <w:rsid w:val="008F6D45"/>
    <w:rsid w:val="00922944"/>
    <w:rsid w:val="0093746F"/>
    <w:rsid w:val="00937A10"/>
    <w:rsid w:val="00953D59"/>
    <w:rsid w:val="009572B6"/>
    <w:rsid w:val="00966115"/>
    <w:rsid w:val="009834C0"/>
    <w:rsid w:val="00986AAC"/>
    <w:rsid w:val="00991FD1"/>
    <w:rsid w:val="00995526"/>
    <w:rsid w:val="009A1DA2"/>
    <w:rsid w:val="009A3704"/>
    <w:rsid w:val="009A4739"/>
    <w:rsid w:val="009A674F"/>
    <w:rsid w:val="009A6D22"/>
    <w:rsid w:val="009B199C"/>
    <w:rsid w:val="009B61F1"/>
    <w:rsid w:val="009B62E0"/>
    <w:rsid w:val="009C3D88"/>
    <w:rsid w:val="009C4F06"/>
    <w:rsid w:val="009C5B8C"/>
    <w:rsid w:val="009D169B"/>
    <w:rsid w:val="009E3858"/>
    <w:rsid w:val="009E467D"/>
    <w:rsid w:val="009E6C49"/>
    <w:rsid w:val="009E70DD"/>
    <w:rsid w:val="009F2ED9"/>
    <w:rsid w:val="009F3231"/>
    <w:rsid w:val="009F5C58"/>
    <w:rsid w:val="00A023A0"/>
    <w:rsid w:val="00A04688"/>
    <w:rsid w:val="00A04A4B"/>
    <w:rsid w:val="00A1211F"/>
    <w:rsid w:val="00A12B37"/>
    <w:rsid w:val="00A1562B"/>
    <w:rsid w:val="00A170F4"/>
    <w:rsid w:val="00A202FE"/>
    <w:rsid w:val="00A21408"/>
    <w:rsid w:val="00A21CFD"/>
    <w:rsid w:val="00A25A55"/>
    <w:rsid w:val="00A25B78"/>
    <w:rsid w:val="00A317BD"/>
    <w:rsid w:val="00A46BA8"/>
    <w:rsid w:val="00A47634"/>
    <w:rsid w:val="00A612FE"/>
    <w:rsid w:val="00A631E3"/>
    <w:rsid w:val="00A75A58"/>
    <w:rsid w:val="00A93D21"/>
    <w:rsid w:val="00AA26B8"/>
    <w:rsid w:val="00AB0E3E"/>
    <w:rsid w:val="00AC0B87"/>
    <w:rsid w:val="00AC2624"/>
    <w:rsid w:val="00AD7E4E"/>
    <w:rsid w:val="00AF4D58"/>
    <w:rsid w:val="00AF6666"/>
    <w:rsid w:val="00B204A9"/>
    <w:rsid w:val="00B2671F"/>
    <w:rsid w:val="00B35BE8"/>
    <w:rsid w:val="00B51E4A"/>
    <w:rsid w:val="00B676DA"/>
    <w:rsid w:val="00B81B44"/>
    <w:rsid w:val="00B9053B"/>
    <w:rsid w:val="00B9395F"/>
    <w:rsid w:val="00BA0EC0"/>
    <w:rsid w:val="00BB4D98"/>
    <w:rsid w:val="00BB4EBF"/>
    <w:rsid w:val="00BB59E0"/>
    <w:rsid w:val="00BC2339"/>
    <w:rsid w:val="00BC3422"/>
    <w:rsid w:val="00BC6E19"/>
    <w:rsid w:val="00BD49B9"/>
    <w:rsid w:val="00BE03FB"/>
    <w:rsid w:val="00BF4F96"/>
    <w:rsid w:val="00C015B9"/>
    <w:rsid w:val="00C022F9"/>
    <w:rsid w:val="00C023C4"/>
    <w:rsid w:val="00C02F95"/>
    <w:rsid w:val="00C032A5"/>
    <w:rsid w:val="00C032EA"/>
    <w:rsid w:val="00C06EB5"/>
    <w:rsid w:val="00C1145F"/>
    <w:rsid w:val="00C11CD1"/>
    <w:rsid w:val="00C21966"/>
    <w:rsid w:val="00C33AD3"/>
    <w:rsid w:val="00C43F06"/>
    <w:rsid w:val="00C51C01"/>
    <w:rsid w:val="00C637E1"/>
    <w:rsid w:val="00C65AF1"/>
    <w:rsid w:val="00C67EAC"/>
    <w:rsid w:val="00C70D50"/>
    <w:rsid w:val="00C72252"/>
    <w:rsid w:val="00C8656E"/>
    <w:rsid w:val="00C907D7"/>
    <w:rsid w:val="00C92338"/>
    <w:rsid w:val="00CB15A1"/>
    <w:rsid w:val="00CB227C"/>
    <w:rsid w:val="00CB3900"/>
    <w:rsid w:val="00CB3976"/>
    <w:rsid w:val="00CC67AB"/>
    <w:rsid w:val="00CD0307"/>
    <w:rsid w:val="00CD223F"/>
    <w:rsid w:val="00CD24C2"/>
    <w:rsid w:val="00CD3D1B"/>
    <w:rsid w:val="00CD6C16"/>
    <w:rsid w:val="00D02663"/>
    <w:rsid w:val="00D0325F"/>
    <w:rsid w:val="00D0633E"/>
    <w:rsid w:val="00D12E74"/>
    <w:rsid w:val="00D15E8B"/>
    <w:rsid w:val="00D2312F"/>
    <w:rsid w:val="00D269C1"/>
    <w:rsid w:val="00D41B2F"/>
    <w:rsid w:val="00D44953"/>
    <w:rsid w:val="00D542F3"/>
    <w:rsid w:val="00D54513"/>
    <w:rsid w:val="00D54AAE"/>
    <w:rsid w:val="00D5644B"/>
    <w:rsid w:val="00D56E25"/>
    <w:rsid w:val="00D57E89"/>
    <w:rsid w:val="00D6560D"/>
    <w:rsid w:val="00D65D77"/>
    <w:rsid w:val="00D718D7"/>
    <w:rsid w:val="00D77DE5"/>
    <w:rsid w:val="00D814B7"/>
    <w:rsid w:val="00D833BE"/>
    <w:rsid w:val="00D90688"/>
    <w:rsid w:val="00D95610"/>
    <w:rsid w:val="00DA3AAD"/>
    <w:rsid w:val="00DA63FC"/>
    <w:rsid w:val="00DB312B"/>
    <w:rsid w:val="00DB6230"/>
    <w:rsid w:val="00DC5654"/>
    <w:rsid w:val="00DC658F"/>
    <w:rsid w:val="00DC674A"/>
    <w:rsid w:val="00DE60CC"/>
    <w:rsid w:val="00DF3891"/>
    <w:rsid w:val="00E06D68"/>
    <w:rsid w:val="00E26B32"/>
    <w:rsid w:val="00E407B6"/>
    <w:rsid w:val="00E41EF1"/>
    <w:rsid w:val="00E42942"/>
    <w:rsid w:val="00E45A24"/>
    <w:rsid w:val="00E65A0A"/>
    <w:rsid w:val="00E71BDF"/>
    <w:rsid w:val="00E75CCB"/>
    <w:rsid w:val="00E8245B"/>
    <w:rsid w:val="00E82C21"/>
    <w:rsid w:val="00E82F59"/>
    <w:rsid w:val="00E83CA7"/>
    <w:rsid w:val="00E92192"/>
    <w:rsid w:val="00E95A71"/>
    <w:rsid w:val="00EA3178"/>
    <w:rsid w:val="00EB7014"/>
    <w:rsid w:val="00EB7499"/>
    <w:rsid w:val="00EC5CDE"/>
    <w:rsid w:val="00EC7914"/>
    <w:rsid w:val="00ED3703"/>
    <w:rsid w:val="00ED487E"/>
    <w:rsid w:val="00EE101E"/>
    <w:rsid w:val="00EE33A1"/>
    <w:rsid w:val="00EE7A0D"/>
    <w:rsid w:val="00EF2115"/>
    <w:rsid w:val="00F0222C"/>
    <w:rsid w:val="00F046D4"/>
    <w:rsid w:val="00F12312"/>
    <w:rsid w:val="00F1309D"/>
    <w:rsid w:val="00F17CE1"/>
    <w:rsid w:val="00F2115C"/>
    <w:rsid w:val="00F22ABA"/>
    <w:rsid w:val="00F303A0"/>
    <w:rsid w:val="00F356F5"/>
    <w:rsid w:val="00F36B12"/>
    <w:rsid w:val="00F52051"/>
    <w:rsid w:val="00F60F9F"/>
    <w:rsid w:val="00F61E56"/>
    <w:rsid w:val="00F64F08"/>
    <w:rsid w:val="00F66524"/>
    <w:rsid w:val="00F70055"/>
    <w:rsid w:val="00F734F5"/>
    <w:rsid w:val="00F73B5B"/>
    <w:rsid w:val="00F91F5A"/>
    <w:rsid w:val="00F966B1"/>
    <w:rsid w:val="00F97D48"/>
    <w:rsid w:val="00FA0311"/>
    <w:rsid w:val="00FA3375"/>
    <w:rsid w:val="00FD640F"/>
    <w:rsid w:val="00FD6B4C"/>
    <w:rsid w:val="00FE055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8100F"/>
  <w15:docId w15:val="{E0584A92-B7D5-48A8-9F56-1D9E66E8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0"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A5B"/>
    <w:pPr>
      <w:keepLines/>
      <w:spacing w:before="120" w:after="120" w:line="264" w:lineRule="auto"/>
    </w:pPr>
    <w:rPr>
      <w:color w:val="232B39" w:themeColor="text1"/>
    </w:rPr>
  </w:style>
  <w:style w:type="paragraph" w:styleId="Heading1">
    <w:name w:val="heading 1"/>
    <w:next w:val="Normal"/>
    <w:link w:val="Heading1Char"/>
    <w:qFormat/>
    <w:rsid w:val="00392484"/>
    <w:pPr>
      <w:keepNext/>
      <w:keepLines/>
      <w:spacing w:before="360" w:after="120"/>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392484"/>
    <w:pPr>
      <w:keepNext/>
      <w:spacing w:before="28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4F7954"/>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A631E3"/>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rsid w:val="00A631E3"/>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rsid w:val="00B35BE8"/>
    <w:pPr>
      <w:pBdr>
        <w:bottom w:val="single" w:sz="12" w:space="4" w:color="auto"/>
      </w:pBdr>
      <w:tabs>
        <w:tab w:val="right" w:pos="9000"/>
      </w:tabs>
      <w:ind w:right="26"/>
    </w:pPr>
    <w:rPr>
      <w:sz w:val="24"/>
      <w:szCs w:val="24"/>
    </w:rPr>
  </w:style>
  <w:style w:type="paragraph" w:styleId="TOC2">
    <w:name w:val="toc 2"/>
    <w:next w:val="Normal"/>
    <w:uiPriority w:val="39"/>
    <w:semiHidden/>
    <w:rsid w:val="00B35BE8"/>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35BE8"/>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697C53"/>
    <w:rPr>
      <w:color w:val="004C97" w:themeColor="accent3"/>
      <w:u w:val="none"/>
    </w:rPr>
  </w:style>
  <w:style w:type="character" w:customStyle="1" w:styleId="Heading1Char">
    <w:name w:val="Heading 1 Char"/>
    <w:basedOn w:val="DefaultParagraphFont"/>
    <w:link w:val="Heading1"/>
    <w:rsid w:val="00392484"/>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392484"/>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3F46E4"/>
    <w:pPr>
      <w:numPr>
        <w:numId w:val="3"/>
      </w:numPr>
      <w:spacing w:before="100" w:after="100" w:line="264" w:lineRule="auto"/>
      <w:contextualSpacing/>
    </w:pPr>
    <w:rPr>
      <w:rFonts w:eastAsia="Times New Roman" w:cs="Calibri"/>
      <w:color w:val="232B39" w:themeColor="text1"/>
    </w:rPr>
  </w:style>
  <w:style w:type="paragraph" w:customStyle="1" w:styleId="Bullet2">
    <w:name w:val="Bullet 2"/>
    <w:basedOn w:val="Bullet1"/>
    <w:uiPriority w:val="1"/>
    <w:qFormat/>
    <w:rsid w:val="009E6C49"/>
    <w:pPr>
      <w:numPr>
        <w:ilvl w:val="1"/>
      </w:numPr>
    </w:pPr>
  </w:style>
  <w:style w:type="paragraph" w:customStyle="1" w:styleId="Bulletindent">
    <w:name w:val="Bullet indent"/>
    <w:basedOn w:val="Bullet2"/>
    <w:uiPriority w:val="9"/>
    <w:qFormat/>
    <w:rsid w:val="00C8656E"/>
    <w:pPr>
      <w:keepLines/>
      <w:numPr>
        <w:ilvl w:val="2"/>
      </w:numPr>
    </w:pPr>
  </w:style>
  <w:style w:type="paragraph" w:customStyle="1" w:styleId="Heading1numbered">
    <w:name w:val="Heading 1 numbered"/>
    <w:basedOn w:val="Heading1"/>
    <w:next w:val="NormalIndent"/>
    <w:uiPriority w:val="8"/>
    <w:qFormat/>
    <w:rsid w:val="004F7954"/>
    <w:pPr>
      <w:numPr>
        <w:ilvl w:val="2"/>
        <w:numId w:val="4"/>
      </w:numPr>
    </w:pPr>
  </w:style>
  <w:style w:type="paragraph" w:customStyle="1" w:styleId="Heading2numbered">
    <w:name w:val="Heading 2 numbered"/>
    <w:basedOn w:val="Heading2"/>
    <w:next w:val="NormalIndent"/>
    <w:uiPriority w:val="8"/>
    <w:qFormat/>
    <w:rsid w:val="003D4E64"/>
    <w:pPr>
      <w:numPr>
        <w:ilvl w:val="3"/>
        <w:numId w:val="4"/>
      </w:numPr>
      <w:spacing w:before="240"/>
    </w:pPr>
    <w:rPr>
      <w:rFonts w:ascii="VIC Medium" w:hAnsi="VIC Medium"/>
    </w:rPr>
  </w:style>
  <w:style w:type="paragraph" w:customStyle="1" w:styleId="Heading3numbered">
    <w:name w:val="Heading 3 numbered"/>
    <w:basedOn w:val="Heading3"/>
    <w:next w:val="NormalIndent"/>
    <w:uiPriority w:val="8"/>
    <w:qFormat/>
    <w:rsid w:val="0023202C"/>
    <w:pPr>
      <w:numPr>
        <w:ilvl w:val="4"/>
        <w:numId w:val="4"/>
      </w:numPr>
    </w:pPr>
  </w:style>
  <w:style w:type="character" w:customStyle="1" w:styleId="Heading3Char">
    <w:name w:val="Heading 3 Char"/>
    <w:basedOn w:val="DefaultParagraphFont"/>
    <w:link w:val="Heading3"/>
    <w:rsid w:val="004F7954"/>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qFormat/>
    <w:rsid w:val="00366A51"/>
    <w:pPr>
      <w:numPr>
        <w:ilvl w:val="5"/>
        <w:numId w:val="4"/>
      </w:numPr>
    </w:pPr>
  </w:style>
  <w:style w:type="character" w:customStyle="1" w:styleId="Heading4Char">
    <w:name w:val="Heading 4 Char"/>
    <w:basedOn w:val="DefaultParagraphFont"/>
    <w:link w:val="Heading4"/>
    <w:rsid w:val="00A631E3"/>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255F48"/>
    <w:pPr>
      <w:ind w:left="792"/>
    </w:pPr>
  </w:style>
  <w:style w:type="paragraph" w:customStyle="1" w:styleId="NoteNormal">
    <w:name w:val="Note Normal"/>
    <w:basedOn w:val="Normal"/>
    <w:rsid w:val="00226E33"/>
    <w:pPr>
      <w:spacing w:before="60" w:after="6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8730DA"/>
    <w:pPr>
      <w:spacing w:before="1400" w:after="120" w:line="440" w:lineRule="exact"/>
      <w:ind w:right="2995"/>
      <w:jc w:val="right"/>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D833BE"/>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8F0369"/>
    <w:pPr>
      <w:spacing w:before="2200" w:after="300" w:line="264" w:lineRule="auto"/>
      <w:ind w:right="2909"/>
      <w:jc w:val="right"/>
    </w:pPr>
    <w:rPr>
      <w:rFonts w:asciiTheme="majorHAnsi" w:eastAsia="Times New Roman" w:hAnsiTheme="majorHAnsi" w:cstheme="majorHAnsi"/>
      <w:b/>
      <w:color w:val="3A3467" w:themeColor="text2"/>
      <w:sz w:val="56"/>
      <w:szCs w:val="56"/>
    </w:rPr>
  </w:style>
  <w:style w:type="character" w:customStyle="1" w:styleId="TitleChar">
    <w:name w:val="Title Char"/>
    <w:basedOn w:val="DefaultParagraphFont"/>
    <w:link w:val="Title"/>
    <w:uiPriority w:val="44"/>
    <w:semiHidden/>
    <w:rsid w:val="008F0369"/>
    <w:rPr>
      <w:rFonts w:asciiTheme="majorHAnsi" w:eastAsia="Times New Roman" w:hAnsiTheme="majorHAnsi" w:cstheme="majorHAnsi"/>
      <w:b/>
      <w:color w:val="3A3467" w:themeColor="text2"/>
      <w:sz w:val="56"/>
      <w:szCs w:val="5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3"/>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semiHidden/>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41FF"/>
    <w:rPr>
      <w:spacing w:val="2"/>
    </w:rPr>
  </w:style>
  <w:style w:type="paragraph" w:styleId="Footer">
    <w:name w:val="footer"/>
    <w:basedOn w:val="Normal"/>
    <w:link w:val="FooterChar"/>
    <w:uiPriority w:val="99"/>
    <w:rsid w:val="0054503A"/>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54503A"/>
    <w:rPr>
      <w:noProof/>
      <w:color w:val="232B39" w:themeColor="text1"/>
      <w:sz w:val="18"/>
      <w:szCs w:val="18"/>
    </w:rPr>
  </w:style>
  <w:style w:type="character" w:styleId="PageNumber">
    <w:name w:val="page number"/>
    <w:uiPriority w:val="49"/>
    <w:semiHidden/>
    <w:rsid w:val="00BB59E0"/>
    <w:rPr>
      <w:rFonts w:asciiTheme="minorHAnsi" w:hAnsiTheme="minorHAnsi"/>
      <w:b w:val="0"/>
      <w:color w:val="232B39" w:themeColor="text1"/>
    </w:rPr>
  </w:style>
  <w:style w:type="paragraph" w:styleId="TOCHeading">
    <w:name w:val="TOC Heading"/>
    <w:basedOn w:val="Heading1"/>
    <w:next w:val="Normal"/>
    <w:uiPriority w:val="38"/>
    <w:semiHidden/>
    <w:rsid w:val="00BA0EC0"/>
    <w:pPr>
      <w:spacing w:before="440" w:after="44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1F0C6B"/>
    <w:pPr>
      <w:spacing w:before="3800"/>
      <w:ind w:right="1382"/>
    </w:pPr>
  </w:style>
  <w:style w:type="paragraph" w:styleId="TOC4">
    <w:name w:val="toc 4"/>
    <w:basedOn w:val="TOC1"/>
    <w:next w:val="Normal"/>
    <w:uiPriority w:val="39"/>
    <w:rsid w:val="00226E33"/>
    <w:pPr>
      <w:spacing w:before="200"/>
      <w:ind w:left="446" w:right="29" w:hanging="446"/>
    </w:pPr>
    <w:rPr>
      <w:noProof/>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Normal"/>
    <w:uiPriority w:val="99"/>
    <w:rsid w:val="00C8656E"/>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242543"/>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102379"/>
    <w:pPr>
      <w:numPr>
        <w:ilvl w:val="7"/>
        <w:numId w:val="4"/>
      </w:numPr>
      <w:spacing w:before="100"/>
      <w:contextualSpacing/>
    </w:pPr>
  </w:style>
  <w:style w:type="paragraph" w:customStyle="1" w:styleId="Listnumindent">
    <w:name w:val="List num indent"/>
    <w:basedOn w:val="Normal"/>
    <w:uiPriority w:val="9"/>
    <w:qFormat/>
    <w:rsid w:val="00102379"/>
    <w:pPr>
      <w:numPr>
        <w:ilvl w:val="6"/>
        <w:numId w:val="4"/>
      </w:numPr>
      <w:spacing w:before="100"/>
    </w:pPr>
  </w:style>
  <w:style w:type="paragraph" w:customStyle="1" w:styleId="Listnum">
    <w:name w:val="List num"/>
    <w:basedOn w:val="Normal"/>
    <w:uiPriority w:val="2"/>
    <w:qFormat/>
    <w:rsid w:val="004A7519"/>
    <w:pPr>
      <w:numPr>
        <w:numId w:val="4"/>
      </w:numPr>
    </w:pPr>
  </w:style>
  <w:style w:type="paragraph" w:customStyle="1" w:styleId="Listnum2">
    <w:name w:val="List num 2"/>
    <w:basedOn w:val="Normal"/>
    <w:uiPriority w:val="2"/>
    <w:qFormat/>
    <w:rsid w:val="004A7519"/>
    <w:pPr>
      <w:numPr>
        <w:ilvl w:val="1"/>
        <w:numId w:val="4"/>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C21966"/>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937A10"/>
    <w:pPr>
      <w:numPr>
        <w:numId w:val="5"/>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basedOn w:val="Normal"/>
    <w:uiPriority w:val="34"/>
    <w:semiHidden/>
    <w:qFormat/>
    <w:rsid w:val="004231B5"/>
    <w:pPr>
      <w:ind w:left="720"/>
      <w:contextualSpacing/>
    </w:pPr>
  </w:style>
  <w:style w:type="paragraph" w:customStyle="1" w:styleId="Numpara">
    <w:name w:val="Num para"/>
    <w:basedOn w:val="ListParagraph"/>
    <w:uiPriority w:val="2"/>
    <w:qFormat/>
    <w:rsid w:val="00C72252"/>
    <w:pPr>
      <w:numPr>
        <w:numId w:val="7"/>
      </w:numPr>
      <w:tabs>
        <w:tab w:val="left" w:pos="540"/>
      </w:tabs>
      <w:ind w:left="504" w:hanging="504"/>
    </w:pPr>
  </w:style>
  <w:style w:type="paragraph" w:styleId="FootnoteText">
    <w:name w:val="footnote text"/>
    <w:basedOn w:val="Normal"/>
    <w:link w:val="FootnoteTextChar"/>
    <w:uiPriority w:val="99"/>
    <w:semiHidden/>
    <w:rsid w:val="00BC6E19"/>
    <w:pPr>
      <w:spacing w:before="0" w:after="0" w:line="240" w:lineRule="auto"/>
    </w:pPr>
    <w:rPr>
      <w:sz w:val="17"/>
    </w:rPr>
  </w:style>
  <w:style w:type="character" w:customStyle="1" w:styleId="FootnoteTextChar">
    <w:name w:val="Footnote Text Char"/>
    <w:basedOn w:val="DefaultParagraphFont"/>
    <w:link w:val="FootnoteText"/>
    <w:uiPriority w:val="99"/>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C8656E"/>
    <w:pPr>
      <w:spacing w:after="0" w:line="240" w:lineRule="auto"/>
    </w:pPr>
    <w:tblPr>
      <w:tblInd w:w="792"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242543"/>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4"/>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5"/>
      </w:numPr>
      <w:spacing w:before="60" w:after="60"/>
    </w:pPr>
    <w:rPr>
      <w:sz w:val="17"/>
    </w:rPr>
  </w:style>
  <w:style w:type="paragraph" w:customStyle="1" w:styleId="Tablenum2">
    <w:name w:val="Table num 2"/>
    <w:basedOn w:val="Normal"/>
    <w:uiPriority w:val="6"/>
    <w:rsid w:val="007F723F"/>
    <w:pPr>
      <w:numPr>
        <w:ilvl w:val="3"/>
        <w:numId w:val="5"/>
      </w:numPr>
      <w:spacing w:before="60" w:after="60"/>
    </w:pPr>
    <w:rPr>
      <w:sz w:val="17"/>
    </w:rPr>
  </w:style>
  <w:style w:type="paragraph" w:styleId="Caption">
    <w:name w:val="caption"/>
    <w:basedOn w:val="Normal"/>
    <w:next w:val="Normal"/>
    <w:uiPriority w:val="5"/>
    <w:rsid w:val="006E7690"/>
    <w:pPr>
      <w:keepNext/>
      <w:spacing w:before="200" w:after="60" w:line="240" w:lineRule="auto"/>
    </w:pPr>
    <w:rPr>
      <w:b/>
      <w:bCs/>
      <w:sz w:val="18"/>
      <w:szCs w:val="18"/>
    </w:rPr>
  </w:style>
  <w:style w:type="character" w:styleId="PlaceholderText">
    <w:name w:val="Placeholder Text"/>
    <w:basedOn w:val="DefaultParagraphFont"/>
    <w:uiPriority w:val="99"/>
    <w:semiHidden/>
    <w:rsid w:val="00966115"/>
    <w:rPr>
      <w:color w:val="808080"/>
    </w:rPr>
  </w:style>
  <w:style w:type="paragraph" w:customStyle="1" w:styleId="ReportDate">
    <w:name w:val="ReportDate"/>
    <w:uiPriority w:val="79"/>
    <w:semiHidden/>
    <w:rsid w:val="008730DA"/>
    <w:pPr>
      <w:spacing w:before="160" w:after="60" w:line="240" w:lineRule="auto"/>
      <w:ind w:right="2909"/>
      <w:jc w:val="right"/>
    </w:pPr>
    <w:rPr>
      <w:b/>
      <w:bCs/>
      <w:caps/>
    </w:rPr>
  </w:style>
  <w:style w:type="paragraph" w:customStyle="1" w:styleId="CM">
    <w:name w:val="CM"/>
    <w:next w:val="Title"/>
    <w:uiPriority w:val="79"/>
    <w:semiHidden/>
    <w:rsid w:val="008F0369"/>
    <w:pPr>
      <w:spacing w:after="2200" w:line="240" w:lineRule="auto"/>
      <w:ind w:right="2909"/>
      <w:jc w:val="right"/>
    </w:pPr>
    <w:rPr>
      <w:caps/>
    </w:rPr>
  </w:style>
  <w:style w:type="character" w:customStyle="1" w:styleId="Heading5Char">
    <w:name w:val="Heading 5 Char"/>
    <w:basedOn w:val="DefaultParagraphFont"/>
    <w:link w:val="Heading5"/>
    <w:rsid w:val="00A631E3"/>
    <w:rPr>
      <w:rFonts w:asciiTheme="majorHAnsi" w:eastAsiaTheme="majorEastAsia" w:hAnsiTheme="majorHAnsi" w:cstheme="majorBidi"/>
      <w:color w:val="3A3467" w:themeColor="text2"/>
    </w:rPr>
  </w:style>
  <w:style w:type="paragraph" w:customStyle="1" w:styleId="CoverSpacer">
    <w:name w:val="CoverSpacer"/>
    <w:basedOn w:val="Normal"/>
    <w:semiHidden/>
    <w:qFormat/>
    <w:rsid w:val="00B2671F"/>
    <w:pPr>
      <w:spacing w:before="4600" w:after="0"/>
    </w:pPr>
  </w:style>
  <w:style w:type="table" w:styleId="PlainTable4">
    <w:name w:val="Plain Table 4"/>
    <w:basedOn w:val="TableNormal"/>
    <w:uiPriority w:val="44"/>
    <w:rsid w:val="004027B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indent">
    <w:name w:val="Caption indent"/>
    <w:basedOn w:val="Caption"/>
    <w:uiPriority w:val="7"/>
    <w:qFormat/>
    <w:rsid w:val="00A1211F"/>
    <w:pPr>
      <w:spacing w:before="240"/>
      <w:ind w:left="792"/>
    </w:pPr>
  </w:style>
  <w:style w:type="paragraph" w:styleId="Quote">
    <w:name w:val="Quote"/>
    <w:basedOn w:val="Normal"/>
    <w:next w:val="Normal"/>
    <w:link w:val="QuoteChar"/>
    <w:uiPriority w:val="14"/>
    <w:qFormat/>
    <w:rsid w:val="0054503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54503A"/>
    <w:rPr>
      <w:i/>
      <w:iCs/>
      <w:color w:val="232B39" w:themeColor="text1"/>
      <w:sz w:val="18"/>
      <w:szCs w:val="18"/>
    </w:rPr>
  </w:style>
  <w:style w:type="character" w:styleId="FollowedHyperlink">
    <w:name w:val="FollowedHyperlink"/>
    <w:basedOn w:val="DefaultParagraphFont"/>
    <w:uiPriority w:val="99"/>
    <w:semiHidden/>
    <w:rsid w:val="00CD24C2"/>
    <w:rPr>
      <w:color w:val="808080" w:themeColor="background1" w:themeShade="8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IPpolicy@dtf.vic.gov.au" TargetMode="External"/><Relationship Id="rId26" Type="http://schemas.openxmlformats.org/officeDocument/2006/relationships/footer" Target="footer6.xml"/><Relationship Id="rId39"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footer" Target="footer10.xml"/><Relationship Id="rId42"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reativecommons.org/licenses/by/4.0/"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dtf.vic.gov.au" TargetMode="External"/><Relationship Id="rId29" Type="http://schemas.openxmlformats.org/officeDocument/2006/relationships/footer" Target="foot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yperlink" Target="mailto:information@dtf.vic.gov.au" TargetMode="External"/><Relationship Id="rId31" Type="http://schemas.openxmlformats.org/officeDocument/2006/relationships/header" Target="header8.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yperlink" Target="https://vpsc.vic.gov.au/governance" TargetMode="External"/><Relationship Id="rId30" Type="http://schemas.openxmlformats.org/officeDocument/2006/relationships/footer" Target="footer8.xml"/><Relationship Id="rId35" Type="http://schemas.openxmlformats.org/officeDocument/2006/relationships/hyperlink" Target="https://www.dtf.vic.gov.au/infrastructure-investment" TargetMode="External"/><Relationship Id="rId43" Type="http://schemas.openxmlformats.org/officeDocument/2006/relationships/footer" Target="footer14.xml"/></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Reports.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3B75EC5-EDE4-495C-88FD-9F957C307CFE}">
  <ds:schemaRefs>
    <ds:schemaRef ds:uri="http://schemas.openxmlformats.org/officeDocument/2006/bibliography"/>
  </ds:schemaRefs>
</ds:datastoreItem>
</file>

<file path=customXml/itemProps2.xml><?xml version="1.0" encoding="utf-8"?>
<ds:datastoreItem xmlns:ds="http://schemas.openxmlformats.org/officeDocument/2006/customXml" ds:itemID="{E5AC7AAA-BC8F-4C73-9987-62EA4CC7FD9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Reports.dotm</Template>
  <TotalTime>3</TotalTime>
  <Pages>29</Pages>
  <Words>7079</Words>
  <Characters>40354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Deidre Steain (DTF)</dc:creator>
  <cp:lastModifiedBy>Tom Cincotta (DTF)</cp:lastModifiedBy>
  <cp:revision>2</cp:revision>
  <cp:lastPrinted>2018-05-14T05:25:00Z</cp:lastPrinted>
  <dcterms:created xsi:type="dcterms:W3CDTF">2023-12-03T23:17:00Z</dcterms:created>
  <dcterms:modified xsi:type="dcterms:W3CDTF">2023-12-03T23:17:00Z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2021-10-13T22:25:32Z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
  </property>
  <property fmtid="{D5CDD505-2E9C-101B-9397-08002B2CF9AE}" pid="10" name="MSIP_Label_7158ebbd-6c5e-441f-bfc9-4eb8c11e3978_ContentBits">
    <vt:lpwstr>2</vt:lpwstr>
  </property>
</Properties>
</file>