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96" w:rsidRPr="004C7112" w:rsidRDefault="004C7112" w:rsidP="004C7112">
      <w:pPr>
        <w:pStyle w:val="Title"/>
      </w:pPr>
      <w:bookmarkStart w:id="0" w:name="_Toc442780672"/>
      <w:r w:rsidRPr="009E5E0A">
        <w:t>Community Support Fund</w:t>
      </w:r>
    </w:p>
    <w:p w:rsidR="006738C4" w:rsidRPr="004C7112" w:rsidRDefault="004C7112" w:rsidP="004C7112">
      <w:pPr>
        <w:pStyle w:val="TertiaryTitle"/>
        <w:rPr>
          <w:b/>
        </w:rPr>
      </w:pPr>
      <w:r w:rsidRPr="004C7112">
        <w:rPr>
          <w:b/>
        </w:rPr>
        <w:t>Expendi</w:t>
      </w:r>
      <w:r w:rsidR="00B84941">
        <w:rPr>
          <w:b/>
        </w:rPr>
        <w:t>ture by program from 1 July 2017 to 30 June 2018</w:t>
      </w:r>
    </w:p>
    <w:tbl>
      <w:tblPr>
        <w:tblStyle w:val="DTFtexttable"/>
        <w:tblW w:w="9417" w:type="dxa"/>
        <w:tblLayout w:type="fixed"/>
        <w:tblLook w:val="0020" w:firstRow="1" w:lastRow="0" w:firstColumn="0" w:lastColumn="0" w:noHBand="0" w:noVBand="0"/>
      </w:tblPr>
      <w:tblGrid>
        <w:gridCol w:w="2307"/>
        <w:gridCol w:w="4356"/>
        <w:gridCol w:w="1417"/>
        <w:gridCol w:w="1337"/>
      </w:tblGrid>
      <w:tr w:rsidR="004C7112" w:rsidRPr="004C7112" w:rsidTr="0078201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07" w:type="dxa"/>
          </w:tcPr>
          <w:bookmarkEnd w:id="0"/>
          <w:p w:rsidR="004C7112" w:rsidRPr="004C7112" w:rsidRDefault="004C7112" w:rsidP="004C7112">
            <w:pPr>
              <w:pStyle w:val="Tableheader"/>
            </w:pPr>
            <w:r w:rsidRPr="004C7112">
              <w:t>Program name</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3D1AD7" w:rsidP="004C7112">
            <w:pPr>
              <w:pStyle w:val="Tableheader"/>
            </w:pPr>
            <w:r>
              <w:t>Program description</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header"/>
            </w:pPr>
            <w:r w:rsidRPr="004C7112">
              <w:t>Portfolio</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1A6445">
            <w:pPr>
              <w:pStyle w:val="Tableheader"/>
              <w:jc w:val="right"/>
              <w:rPr>
                <w:highlight w:val="yellow"/>
              </w:rPr>
            </w:pPr>
            <w:r w:rsidRPr="004C7112">
              <w:t>$</w:t>
            </w:r>
          </w:p>
        </w:tc>
      </w:tr>
      <w:tr w:rsidR="00E47FE4" w:rsidRPr="00B84941" w:rsidTr="00C63315">
        <w:tc>
          <w:tcPr>
            <w:cnfStyle w:val="000010000000" w:firstRow="0" w:lastRow="0" w:firstColumn="0" w:lastColumn="0" w:oddVBand="1" w:evenVBand="0" w:oddHBand="0" w:evenHBand="0" w:firstRowFirstColumn="0" w:firstRowLastColumn="0" w:lastRowFirstColumn="0" w:lastRowLastColumn="0"/>
            <w:tcW w:w="9417" w:type="dxa"/>
            <w:gridSpan w:val="4"/>
          </w:tcPr>
          <w:p w:rsidR="00E47FE4" w:rsidRPr="00E47FE4" w:rsidRDefault="00E47FE4" w:rsidP="00E47FE4">
            <w:pPr>
              <w:pStyle w:val="Tabletextright"/>
              <w:jc w:val="left"/>
              <w:rPr>
                <w:rFonts w:cstheme="minorHAnsi"/>
                <w:b/>
                <w:i/>
              </w:rPr>
            </w:pPr>
            <w:r w:rsidRPr="00E47FE4">
              <w:rPr>
                <w:rFonts w:cstheme="minorHAnsi"/>
                <w:b/>
                <w:i/>
              </w:rPr>
              <w:t>Department of Health and Human Services</w:t>
            </w:r>
          </w:p>
        </w:tc>
      </w:tr>
      <w:tr w:rsidR="00B84941" w:rsidRPr="00B84941"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B84941" w:rsidRPr="00B84941" w:rsidRDefault="00B84941" w:rsidP="004C7112">
            <w:pPr>
              <w:pStyle w:val="Tabletext"/>
              <w:rPr>
                <w:rFonts w:cstheme="minorHAnsi"/>
              </w:rPr>
            </w:pPr>
            <w:r>
              <w:rPr>
                <w:rFonts w:cstheme="minorHAnsi"/>
              </w:rPr>
              <w:t>Alcohol and Drug Treatment Services Program</w:t>
            </w:r>
          </w:p>
        </w:tc>
        <w:tc>
          <w:tcPr>
            <w:cnfStyle w:val="000001000000" w:firstRow="0" w:lastRow="0" w:firstColumn="0" w:lastColumn="0" w:oddVBand="0" w:evenVBand="1" w:oddHBand="0" w:evenHBand="0" w:firstRowFirstColumn="0" w:firstRowLastColumn="0" w:lastRowFirstColumn="0" w:lastRowLastColumn="0"/>
            <w:tcW w:w="4356" w:type="dxa"/>
          </w:tcPr>
          <w:p w:rsidR="00B84941" w:rsidRPr="00B84941" w:rsidRDefault="00B84941" w:rsidP="004C7112">
            <w:pPr>
              <w:pStyle w:val="Tabletext"/>
              <w:rPr>
                <w:rFonts w:cstheme="minorHAnsi"/>
              </w:rPr>
            </w:pPr>
            <w:r>
              <w:rPr>
                <w:rFonts w:cstheme="minorHAnsi"/>
              </w:rPr>
              <w:t>The Alcohol and Drug Strategy treatment services initiative comprises of a range of core service delivery programs that provide support for individuals, families and communities who experience, or are at risk of experiencing drug and alcohol related misuse.</w:t>
            </w:r>
          </w:p>
        </w:tc>
        <w:tc>
          <w:tcPr>
            <w:cnfStyle w:val="000010000000" w:firstRow="0" w:lastRow="0" w:firstColumn="0" w:lastColumn="0" w:oddVBand="1" w:evenVBand="0" w:oddHBand="0" w:evenHBand="0" w:firstRowFirstColumn="0" w:firstRowLastColumn="0" w:lastRowFirstColumn="0" w:lastRowLastColumn="0"/>
            <w:tcW w:w="1417" w:type="dxa"/>
          </w:tcPr>
          <w:p w:rsidR="00B84941" w:rsidRPr="00B84941" w:rsidRDefault="00B84941" w:rsidP="004C7112">
            <w:pPr>
              <w:pStyle w:val="Tabletext"/>
              <w:rPr>
                <w:rFonts w:cstheme="minorHAnsi"/>
              </w:rPr>
            </w:pPr>
            <w:r w:rsidRPr="00B84941">
              <w:rPr>
                <w:rFonts w:cstheme="minorHAnsi"/>
              </w:rPr>
              <w:t>Drug &amp; Alcohol Treatment and Rehabilitation</w:t>
            </w:r>
          </w:p>
        </w:tc>
        <w:tc>
          <w:tcPr>
            <w:cnfStyle w:val="000001000000" w:firstRow="0" w:lastRow="0" w:firstColumn="0" w:lastColumn="0" w:oddVBand="0" w:evenVBand="1" w:oddHBand="0" w:evenHBand="0" w:firstRowFirstColumn="0" w:firstRowLastColumn="0" w:lastRowFirstColumn="0" w:lastRowLastColumn="0"/>
            <w:tcW w:w="1337" w:type="dxa"/>
          </w:tcPr>
          <w:p w:rsidR="00B84941" w:rsidRPr="00B84941" w:rsidRDefault="00B84941" w:rsidP="004C7112">
            <w:pPr>
              <w:pStyle w:val="Tabletextright"/>
              <w:rPr>
                <w:rFonts w:cstheme="minorHAnsi"/>
              </w:rPr>
            </w:pPr>
            <w:r>
              <w:rPr>
                <w:rFonts w:cstheme="minorHAnsi"/>
              </w:rPr>
              <w:t>85 000 000.00</w:t>
            </w:r>
          </w:p>
        </w:tc>
      </w:tr>
      <w:tr w:rsidR="00E47FE4" w:rsidRPr="00B84941" w:rsidTr="0078201C">
        <w:tc>
          <w:tcPr>
            <w:cnfStyle w:val="000010000000" w:firstRow="0" w:lastRow="0" w:firstColumn="0" w:lastColumn="0" w:oddVBand="1" w:evenVBand="0" w:oddHBand="0" w:evenHBand="0" w:firstRowFirstColumn="0" w:firstRowLastColumn="0" w:lastRowFirstColumn="0" w:lastRowLastColumn="0"/>
            <w:tcW w:w="2307" w:type="dxa"/>
          </w:tcPr>
          <w:p w:rsidR="00E47FE4" w:rsidRDefault="00E47FE4" w:rsidP="00E47FE4">
            <w:pPr>
              <w:pStyle w:val="Tabletext"/>
              <w:rPr>
                <w:rFonts w:cstheme="minorHAnsi"/>
              </w:rPr>
            </w:pPr>
            <w:r>
              <w:rPr>
                <w:rFonts w:cstheme="minorHAnsi"/>
              </w:rPr>
              <w:t xml:space="preserve">Justice </w:t>
            </w:r>
            <w:proofErr w:type="spellStart"/>
            <w:r>
              <w:rPr>
                <w:rFonts w:cstheme="minorHAnsi"/>
              </w:rPr>
              <w:t>Connect’s</w:t>
            </w:r>
            <w:proofErr w:type="spellEnd"/>
            <w:r>
              <w:rPr>
                <w:rFonts w:cstheme="minorHAnsi"/>
              </w:rPr>
              <w:t xml:space="preserve"> Not-for-profit Law Program -    2016-17 to 2017-18</w:t>
            </w:r>
          </w:p>
        </w:tc>
        <w:tc>
          <w:tcPr>
            <w:cnfStyle w:val="000001000000" w:firstRow="0" w:lastRow="0" w:firstColumn="0" w:lastColumn="0" w:oddVBand="0" w:evenVBand="1" w:oddHBand="0" w:evenHBand="0" w:firstRowFirstColumn="0" w:firstRowLastColumn="0" w:lastRowFirstColumn="0" w:lastRowLastColumn="0"/>
            <w:tcW w:w="4356" w:type="dxa"/>
          </w:tcPr>
          <w:p w:rsidR="00E47FE4" w:rsidRDefault="00E47FE4" w:rsidP="00E47FE4">
            <w:pPr>
              <w:pStyle w:val="Tabletext"/>
              <w:rPr>
                <w:rFonts w:cstheme="minorHAnsi"/>
              </w:rPr>
            </w:pPr>
            <w:r>
              <w:rPr>
                <w:rFonts w:cstheme="minorHAnsi"/>
              </w:rPr>
              <w:t xml:space="preserve">This program continues to fund the operation of Justice </w:t>
            </w:r>
            <w:proofErr w:type="spellStart"/>
            <w:r>
              <w:rPr>
                <w:rFonts w:cstheme="minorHAnsi"/>
              </w:rPr>
              <w:t>Connect’s</w:t>
            </w:r>
            <w:proofErr w:type="spellEnd"/>
            <w:r>
              <w:rPr>
                <w:rFonts w:cstheme="minorHAnsi"/>
              </w:rPr>
              <w:t xml:space="preserve"> Not-for-profit Law Program from 2016-17 to 2017-18.</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r>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Default="00E47FE4" w:rsidP="00E47FE4">
            <w:pPr>
              <w:pStyle w:val="Tabletextright"/>
              <w:rPr>
                <w:rFonts w:cstheme="minorHAnsi"/>
              </w:rPr>
            </w:pPr>
            <w:r>
              <w:rPr>
                <w:rFonts w:cstheme="minorHAnsi"/>
              </w:rPr>
              <w:t>480 000.00</w:t>
            </w:r>
          </w:p>
        </w:tc>
      </w:tr>
      <w:tr w:rsidR="00E47FE4" w:rsidRPr="00B84941"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Default="00E47FE4" w:rsidP="00E47FE4">
            <w:pPr>
              <w:pStyle w:val="Tabletext"/>
              <w:rPr>
                <w:rFonts w:cstheme="minorHAnsi"/>
              </w:rPr>
            </w:pPr>
            <w:r>
              <w:rPr>
                <w:rFonts w:cstheme="minorHAnsi"/>
              </w:rPr>
              <w:t>Project Respect</w:t>
            </w:r>
          </w:p>
        </w:tc>
        <w:tc>
          <w:tcPr>
            <w:cnfStyle w:val="000001000000" w:firstRow="0" w:lastRow="0" w:firstColumn="0" w:lastColumn="0" w:oddVBand="0" w:evenVBand="1" w:oddHBand="0" w:evenHBand="0" w:firstRowFirstColumn="0" w:firstRowLastColumn="0" w:lastRowFirstColumn="0" w:lastRowLastColumn="0"/>
            <w:tcW w:w="4356" w:type="dxa"/>
          </w:tcPr>
          <w:p w:rsidR="00E47FE4" w:rsidRDefault="00E47FE4" w:rsidP="00E47FE4">
            <w:pPr>
              <w:pStyle w:val="Tabletext"/>
              <w:rPr>
                <w:rFonts w:cstheme="minorHAnsi"/>
              </w:rPr>
            </w:pPr>
            <w:r>
              <w:rPr>
                <w:rFonts w:cstheme="minorHAnsi"/>
              </w:rPr>
              <w:t xml:space="preserve">The Project Respect </w:t>
            </w:r>
            <w:r w:rsidRPr="003449B0">
              <w:rPr>
                <w:rFonts w:cstheme="minorHAnsi"/>
                <w:i/>
              </w:rPr>
              <w:t>Breaking Barriers: Enhancing Employment Pathways program</w:t>
            </w:r>
            <w:r>
              <w:rPr>
                <w:rFonts w:cstheme="minorHAnsi"/>
              </w:rPr>
              <w:t xml:space="preserve"> aims to assist women who are seeking to transition out of, or reduce their hours in the sex industry, recognising that these workers can experience significant barriers to alternative career pathways.</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r w:rsidRPr="003449B0">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Default="00E47FE4" w:rsidP="00E47FE4">
            <w:pPr>
              <w:pStyle w:val="Tabletextright"/>
              <w:rPr>
                <w:rFonts w:cstheme="minorHAnsi"/>
              </w:rPr>
            </w:pPr>
            <w:r>
              <w:rPr>
                <w:rFonts w:cstheme="minorHAnsi"/>
              </w:rPr>
              <w:t>112 500.00</w:t>
            </w:r>
          </w:p>
          <w:p w:rsidR="00E47FE4" w:rsidRDefault="00E47FE4" w:rsidP="00E47FE4">
            <w:pPr>
              <w:pStyle w:val="Tabletextright"/>
              <w:rPr>
                <w:rFonts w:cstheme="minorHAnsi"/>
              </w:rPr>
            </w:pPr>
          </w:p>
        </w:tc>
      </w:tr>
      <w:tr w:rsidR="00E47FE4" w:rsidRPr="00B84941" w:rsidTr="0078201C">
        <w:tc>
          <w:tcPr>
            <w:cnfStyle w:val="000010000000" w:firstRow="0" w:lastRow="0" w:firstColumn="0" w:lastColumn="0" w:oddVBand="1" w:evenVBand="0" w:oddHBand="0" w:evenHBand="0" w:firstRowFirstColumn="0" w:firstRowLastColumn="0" w:lastRowFirstColumn="0" w:lastRowLastColumn="0"/>
            <w:tcW w:w="2307" w:type="dxa"/>
          </w:tcPr>
          <w:p w:rsidR="00E47FE4" w:rsidRDefault="00E47FE4" w:rsidP="00E47FE4">
            <w:pPr>
              <w:pStyle w:val="Tabletext"/>
              <w:rPr>
                <w:rFonts w:cstheme="minorHAnsi"/>
              </w:rPr>
            </w:pPr>
            <w:r w:rsidRPr="007F6F16">
              <w:rPr>
                <w:rFonts w:cstheme="minorHAnsi"/>
              </w:rPr>
              <w:t>Community Facilities Funding Program 2014-15 - DHHS</w:t>
            </w:r>
          </w:p>
        </w:tc>
        <w:tc>
          <w:tcPr>
            <w:cnfStyle w:val="000001000000" w:firstRow="0" w:lastRow="0" w:firstColumn="0" w:lastColumn="0" w:oddVBand="0" w:evenVBand="1" w:oddHBand="0" w:evenHBand="0" w:firstRowFirstColumn="0" w:firstRowLastColumn="0" w:lastRowFirstColumn="0" w:lastRowLastColumn="0"/>
            <w:tcW w:w="4356" w:type="dxa"/>
          </w:tcPr>
          <w:p w:rsidR="00E47FE4" w:rsidRDefault="00E47FE4" w:rsidP="00E47FE4">
            <w:pPr>
              <w:pStyle w:val="Tabletext"/>
              <w:rPr>
                <w:rFonts w:cstheme="minorHAnsi"/>
              </w:rPr>
            </w:pPr>
            <w:r w:rsidRPr="00073687">
              <w:rPr>
                <w:rFonts w:cstheme="minorHAnsi"/>
              </w:rPr>
              <w:t>This program aims to increase participation in sport and recreation and to address a shortfall in the quantity, quality and range of community sport and recreation facilities across Victorian communities.</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r w:rsidRPr="00073687">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073687" w:rsidRDefault="00E47FE4" w:rsidP="00E47FE4">
            <w:pPr>
              <w:pStyle w:val="Tabletextright"/>
              <w:rPr>
                <w:rFonts w:cstheme="minorHAnsi"/>
              </w:rPr>
            </w:pPr>
            <w:r w:rsidRPr="00073687">
              <w:rPr>
                <w:rFonts w:cstheme="minorHAnsi"/>
              </w:rPr>
              <w:t>1 700 000.00</w:t>
            </w:r>
          </w:p>
        </w:tc>
      </w:tr>
      <w:tr w:rsidR="009C0B4D" w:rsidRPr="003D1AD7" w:rsidTr="006554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9C0B4D" w:rsidRPr="007F6F16" w:rsidRDefault="009C0B4D" w:rsidP="006554B7">
            <w:pPr>
              <w:pStyle w:val="Tabletext"/>
              <w:rPr>
                <w:rFonts w:cstheme="minorHAnsi"/>
              </w:rPr>
            </w:pPr>
            <w:proofErr w:type="spellStart"/>
            <w:r w:rsidRPr="007F6F16">
              <w:rPr>
                <w:rFonts w:cstheme="minorHAnsi"/>
              </w:rPr>
              <w:t>Reclink</w:t>
            </w:r>
            <w:proofErr w:type="spellEnd"/>
            <w:r w:rsidRPr="007F6F16">
              <w:rPr>
                <w:rFonts w:cstheme="minorHAnsi"/>
              </w:rPr>
              <w:t xml:space="preserve"> </w:t>
            </w:r>
            <w:proofErr w:type="spellStart"/>
            <w:r w:rsidRPr="007F6F16">
              <w:rPr>
                <w:rFonts w:cstheme="minorHAnsi"/>
              </w:rPr>
              <w:t>ActiVic</w:t>
            </w:r>
            <w:proofErr w:type="spellEnd"/>
            <w:r w:rsidRPr="007F6F16">
              <w:rPr>
                <w:rFonts w:cstheme="minorHAnsi"/>
              </w:rPr>
              <w:t xml:space="preserve"> program</w:t>
            </w:r>
          </w:p>
        </w:tc>
        <w:tc>
          <w:tcPr>
            <w:cnfStyle w:val="000001000000" w:firstRow="0" w:lastRow="0" w:firstColumn="0" w:lastColumn="0" w:oddVBand="0" w:evenVBand="1" w:oddHBand="0" w:evenHBand="0" w:firstRowFirstColumn="0" w:firstRowLastColumn="0" w:lastRowFirstColumn="0" w:lastRowLastColumn="0"/>
            <w:tcW w:w="4356" w:type="dxa"/>
          </w:tcPr>
          <w:p w:rsidR="009C0B4D" w:rsidRPr="007F6F16" w:rsidRDefault="009C0B4D" w:rsidP="006554B7">
            <w:pPr>
              <w:pStyle w:val="Tabletext"/>
              <w:rPr>
                <w:rFonts w:cstheme="minorHAnsi"/>
              </w:rPr>
            </w:pPr>
            <w:r w:rsidRPr="00F25405">
              <w:rPr>
                <w:rFonts w:cstheme="minorHAnsi"/>
              </w:rPr>
              <w:t xml:space="preserve">The </w:t>
            </w:r>
            <w:proofErr w:type="spellStart"/>
            <w:r w:rsidRPr="00F25405">
              <w:rPr>
                <w:rFonts w:cstheme="minorHAnsi"/>
              </w:rPr>
              <w:t>Reclink</w:t>
            </w:r>
            <w:proofErr w:type="spellEnd"/>
            <w:r w:rsidRPr="00F25405">
              <w:rPr>
                <w:rFonts w:cstheme="minorHAnsi"/>
              </w:rPr>
              <w:t xml:space="preserve"> Australia </w:t>
            </w:r>
            <w:proofErr w:type="spellStart"/>
            <w:r w:rsidRPr="00F25405">
              <w:rPr>
                <w:rFonts w:cstheme="minorHAnsi"/>
              </w:rPr>
              <w:t>ActiVic</w:t>
            </w:r>
            <w:proofErr w:type="spellEnd"/>
            <w:r w:rsidRPr="00F25405">
              <w:rPr>
                <w:rFonts w:cstheme="minorHAnsi"/>
              </w:rPr>
              <w:t xml:space="preserve"> program is a place-based community lead program utilising sport, recreation, and arts programs to engage people experiencing disadvantage including alcohol and drug addiction, domestic violence, homelessness, long-term unemployment and mental health illne</w:t>
            </w:r>
            <w:r w:rsidR="00C61AF8">
              <w:rPr>
                <w:rFonts w:cstheme="minorHAnsi"/>
              </w:rPr>
              <w:t xml:space="preserve">ss. </w:t>
            </w:r>
            <w:proofErr w:type="spellStart"/>
            <w:r w:rsidR="00C61AF8">
              <w:rPr>
                <w:rFonts w:cstheme="minorHAnsi"/>
              </w:rPr>
              <w:t>ActiVic</w:t>
            </w:r>
            <w:proofErr w:type="spellEnd"/>
            <w:r w:rsidR="00C61AF8">
              <w:rPr>
                <w:rFonts w:cstheme="minorHAnsi"/>
              </w:rPr>
              <w:t xml:space="preserve"> </w:t>
            </w:r>
            <w:r w:rsidRPr="00F25405">
              <w:rPr>
                <w:rFonts w:cstheme="minorHAnsi"/>
              </w:rPr>
              <w:t>also provides recreation opportunities directed to at risk young people from the Horn of Africa and South Pacific Islander communities.</w:t>
            </w:r>
          </w:p>
        </w:tc>
        <w:tc>
          <w:tcPr>
            <w:cnfStyle w:val="000010000000" w:firstRow="0" w:lastRow="0" w:firstColumn="0" w:lastColumn="0" w:oddVBand="1" w:evenVBand="0" w:oddHBand="0" w:evenHBand="0" w:firstRowFirstColumn="0" w:firstRowLastColumn="0" w:lastRowFirstColumn="0" w:lastRowLastColumn="0"/>
            <w:tcW w:w="1417" w:type="dxa"/>
          </w:tcPr>
          <w:p w:rsidR="009C0B4D" w:rsidRPr="007F6F16" w:rsidRDefault="009C0B4D" w:rsidP="006554B7">
            <w:pPr>
              <w:pStyle w:val="Tabletext"/>
              <w:rPr>
                <w:rFonts w:cstheme="minorHAnsi"/>
              </w:rPr>
            </w:pPr>
            <w:r w:rsidRPr="007F6F16">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9C0B4D" w:rsidRPr="00073687" w:rsidRDefault="009C0B4D" w:rsidP="006554B7">
            <w:pPr>
              <w:pStyle w:val="Tabletextright"/>
              <w:rPr>
                <w:rFonts w:cstheme="minorHAnsi"/>
              </w:rPr>
            </w:pPr>
            <w:r w:rsidRPr="007F6F16">
              <w:rPr>
                <w:rFonts w:cstheme="minorHAnsi"/>
              </w:rPr>
              <w:t>1 000 000.00</w:t>
            </w:r>
          </w:p>
        </w:tc>
      </w:tr>
      <w:tr w:rsidR="009C0B4D" w:rsidRPr="004D5E53" w:rsidTr="006554B7">
        <w:tc>
          <w:tcPr>
            <w:cnfStyle w:val="000010000000" w:firstRow="0" w:lastRow="0" w:firstColumn="0" w:lastColumn="0" w:oddVBand="1" w:evenVBand="0" w:oddHBand="0" w:evenHBand="0" w:firstRowFirstColumn="0" w:firstRowLastColumn="0" w:lastRowFirstColumn="0" w:lastRowLastColumn="0"/>
            <w:tcW w:w="2307" w:type="dxa"/>
          </w:tcPr>
          <w:p w:rsidR="009C0B4D" w:rsidRPr="007F6F16" w:rsidRDefault="009C0B4D" w:rsidP="006554B7">
            <w:pPr>
              <w:pStyle w:val="Tabletext"/>
              <w:rPr>
                <w:rFonts w:cstheme="minorHAnsi"/>
              </w:rPr>
            </w:pPr>
            <w:r w:rsidRPr="007F6F16">
              <w:rPr>
                <w:rFonts w:cstheme="minorHAnsi"/>
              </w:rPr>
              <w:t>Community Facilities Funding Program 2015-16 - DHHS</w:t>
            </w:r>
          </w:p>
        </w:tc>
        <w:tc>
          <w:tcPr>
            <w:cnfStyle w:val="000001000000" w:firstRow="0" w:lastRow="0" w:firstColumn="0" w:lastColumn="0" w:oddVBand="0" w:evenVBand="1" w:oddHBand="0" w:evenHBand="0" w:firstRowFirstColumn="0" w:firstRowLastColumn="0" w:lastRowFirstColumn="0" w:lastRowLastColumn="0"/>
            <w:tcW w:w="4356" w:type="dxa"/>
          </w:tcPr>
          <w:p w:rsidR="009C0B4D" w:rsidRPr="007F6F16" w:rsidRDefault="009C0B4D" w:rsidP="006554B7">
            <w:pPr>
              <w:pStyle w:val="Tabletext"/>
              <w:rPr>
                <w:rFonts w:cstheme="minorHAnsi"/>
              </w:rPr>
            </w:pPr>
            <w:r w:rsidRPr="007F6F16">
              <w:rPr>
                <w:rFonts w:cstheme="minorHAnsi"/>
              </w:rPr>
              <w:t>This program aims to increase participation in sports and recreation and to address a shortfall in the quantity, quality and range of community sport and recreation facilities in Victorian communities.  This includes leisure centres, indoor stadiums, pavilions and flood lights.</w:t>
            </w:r>
          </w:p>
        </w:tc>
        <w:tc>
          <w:tcPr>
            <w:cnfStyle w:val="000010000000" w:firstRow="0" w:lastRow="0" w:firstColumn="0" w:lastColumn="0" w:oddVBand="1" w:evenVBand="0" w:oddHBand="0" w:evenHBand="0" w:firstRowFirstColumn="0" w:firstRowLastColumn="0" w:lastRowFirstColumn="0" w:lastRowLastColumn="0"/>
            <w:tcW w:w="1417" w:type="dxa"/>
          </w:tcPr>
          <w:p w:rsidR="009C0B4D" w:rsidRPr="007F6F16" w:rsidRDefault="009C0B4D" w:rsidP="006554B7">
            <w:pPr>
              <w:pStyle w:val="Tabletext"/>
              <w:rPr>
                <w:rFonts w:cstheme="minorHAnsi"/>
              </w:rPr>
            </w:pPr>
            <w:r w:rsidRPr="007F6F16">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9C0B4D" w:rsidRPr="00073687" w:rsidRDefault="009C0B4D" w:rsidP="006554B7">
            <w:pPr>
              <w:pStyle w:val="Tabletextright"/>
              <w:rPr>
                <w:rFonts w:cstheme="minorHAnsi"/>
              </w:rPr>
            </w:pPr>
            <w:r w:rsidRPr="007F6F16">
              <w:rPr>
                <w:rFonts w:cstheme="minorHAnsi"/>
              </w:rPr>
              <w:t>700 000.00</w:t>
            </w:r>
          </w:p>
        </w:tc>
      </w:tr>
      <w:tr w:rsidR="009C0B4D" w:rsidRPr="00B84941" w:rsidTr="006554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9C0B4D" w:rsidRPr="007F6F16" w:rsidRDefault="009C0B4D" w:rsidP="006554B7">
            <w:pPr>
              <w:pStyle w:val="Tabletext"/>
              <w:rPr>
                <w:rFonts w:cstheme="minorHAnsi"/>
              </w:rPr>
            </w:pPr>
            <w:r w:rsidRPr="007F6F16">
              <w:rPr>
                <w:rFonts w:cstheme="minorHAnsi"/>
              </w:rPr>
              <w:t>The Huddle</w:t>
            </w:r>
          </w:p>
        </w:tc>
        <w:tc>
          <w:tcPr>
            <w:cnfStyle w:val="000001000000" w:firstRow="0" w:lastRow="0" w:firstColumn="0" w:lastColumn="0" w:oddVBand="0" w:evenVBand="1" w:oddHBand="0" w:evenHBand="0" w:firstRowFirstColumn="0" w:firstRowLastColumn="0" w:lastRowFirstColumn="0" w:lastRowLastColumn="0"/>
            <w:tcW w:w="4356" w:type="dxa"/>
          </w:tcPr>
          <w:p w:rsidR="009C0B4D" w:rsidRPr="007F6F16" w:rsidRDefault="009C0B4D" w:rsidP="006554B7">
            <w:pPr>
              <w:pStyle w:val="Tabletext"/>
              <w:rPr>
                <w:rFonts w:cstheme="minorHAnsi"/>
              </w:rPr>
            </w:pPr>
            <w:r w:rsidRPr="00F25405">
              <w:rPr>
                <w:rFonts w:cstheme="minorHAnsi"/>
              </w:rPr>
              <w:t>The Huddle is a not-for-profit entity established by the North Melbourne Football Cub in partnership with Scanlon Foundation and Australian Multicultural Foundation. Funding has been used to deliver programs that support young people to build on their strengths, increase their ability to participate in society and contribute to more socially inclusive communities.</w:t>
            </w:r>
          </w:p>
        </w:tc>
        <w:tc>
          <w:tcPr>
            <w:cnfStyle w:val="000010000000" w:firstRow="0" w:lastRow="0" w:firstColumn="0" w:lastColumn="0" w:oddVBand="1" w:evenVBand="0" w:oddHBand="0" w:evenHBand="0" w:firstRowFirstColumn="0" w:firstRowLastColumn="0" w:lastRowFirstColumn="0" w:lastRowLastColumn="0"/>
            <w:tcW w:w="1417" w:type="dxa"/>
          </w:tcPr>
          <w:p w:rsidR="009C0B4D" w:rsidRPr="007F6F16" w:rsidRDefault="009C0B4D" w:rsidP="006554B7">
            <w:pPr>
              <w:pStyle w:val="Tabletext"/>
              <w:rPr>
                <w:rFonts w:cstheme="minorHAnsi"/>
              </w:rPr>
            </w:pPr>
            <w:r w:rsidRPr="007F6F16">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9C0B4D" w:rsidRPr="00073687" w:rsidRDefault="009C0B4D" w:rsidP="006554B7">
            <w:pPr>
              <w:pStyle w:val="Tabletextright"/>
              <w:rPr>
                <w:rFonts w:cstheme="minorHAnsi"/>
              </w:rPr>
            </w:pPr>
            <w:r w:rsidRPr="007F6F16">
              <w:rPr>
                <w:rFonts w:cstheme="minorHAnsi"/>
              </w:rPr>
              <w:t>180 000.00</w:t>
            </w:r>
          </w:p>
        </w:tc>
      </w:tr>
      <w:tr w:rsidR="00E47FE4" w:rsidRPr="00E47FE4" w:rsidTr="002E5EE8">
        <w:tc>
          <w:tcPr>
            <w:cnfStyle w:val="000010000000" w:firstRow="0" w:lastRow="0" w:firstColumn="0" w:lastColumn="0" w:oddVBand="1" w:evenVBand="0" w:oddHBand="0" w:evenHBand="0" w:firstRowFirstColumn="0" w:firstRowLastColumn="0" w:lastRowFirstColumn="0" w:lastRowLastColumn="0"/>
            <w:tcW w:w="9417" w:type="dxa"/>
            <w:gridSpan w:val="4"/>
          </w:tcPr>
          <w:p w:rsidR="00E47FE4" w:rsidRPr="00E47FE4" w:rsidRDefault="00E47FE4" w:rsidP="00E47FE4">
            <w:pPr>
              <w:pStyle w:val="Tabletextright"/>
              <w:jc w:val="left"/>
              <w:rPr>
                <w:rFonts w:cstheme="minorHAnsi"/>
                <w:b/>
                <w:i/>
              </w:rPr>
            </w:pPr>
            <w:r w:rsidRPr="00E47FE4">
              <w:rPr>
                <w:rFonts w:cstheme="minorHAnsi"/>
                <w:b/>
                <w:i/>
              </w:rPr>
              <w:t>Department of Justice and Regulation</w:t>
            </w:r>
          </w:p>
        </w:tc>
      </w:tr>
      <w:tr w:rsidR="00E47FE4" w:rsidRPr="00B84941" w:rsidTr="000A5F0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E47FE4" w:rsidRPr="00B84941" w:rsidRDefault="00E47FE4" w:rsidP="00E47FE4">
            <w:pPr>
              <w:pStyle w:val="Tabletext"/>
              <w:rPr>
                <w:rFonts w:cstheme="minorHAnsi"/>
              </w:rPr>
            </w:pPr>
            <w:r w:rsidRPr="003449B0">
              <w:rPr>
                <w:rFonts w:cstheme="minorHAnsi"/>
              </w:rPr>
              <w:t>Victorian Responsible Gambling Foundation</w:t>
            </w:r>
            <w:r>
              <w:rPr>
                <w:rFonts w:cstheme="minorHAnsi"/>
              </w:rPr>
              <w:t xml:space="preserve"> (VRGF)</w:t>
            </w:r>
            <w:r w:rsidRPr="003449B0">
              <w:rPr>
                <w:rFonts w:cstheme="minorHAnsi"/>
              </w:rPr>
              <w:t xml:space="preserve"> 2015-16 to 2018-19</w:t>
            </w:r>
          </w:p>
        </w:tc>
        <w:tc>
          <w:tcPr>
            <w:tcW w:w="4356" w:type="dxa"/>
          </w:tcPr>
          <w:p w:rsidR="00E47FE4" w:rsidRPr="00B84941" w:rsidRDefault="00E47FE4" w:rsidP="00E47FE4">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The VRGF</w:t>
            </w:r>
            <w:r w:rsidRPr="003449B0">
              <w:rPr>
                <w:rFonts w:cstheme="minorHAnsi"/>
              </w:rPr>
              <w:t xml:space="preserve"> is a statutory authority with the mission to improve the health and wellbeing of Victorians by working with our communities and government to deliver effective, evidence-based initiatives and innovative approaches to prevent gambling harm and provide support for those seeking help.</w:t>
            </w:r>
          </w:p>
        </w:tc>
        <w:tc>
          <w:tcPr>
            <w:tcW w:w="1417" w:type="dxa"/>
          </w:tcPr>
          <w:p w:rsidR="00E47FE4" w:rsidRPr="00B84941" w:rsidRDefault="00E47FE4" w:rsidP="00E47FE4">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sidRPr="003449B0">
              <w:rPr>
                <w:rFonts w:cstheme="minorHAnsi"/>
              </w:rPr>
              <w:t>Responsible Gambling</w:t>
            </w:r>
          </w:p>
        </w:tc>
        <w:tc>
          <w:tcPr>
            <w:tcW w:w="1337" w:type="dxa"/>
          </w:tcPr>
          <w:p w:rsidR="00E47FE4" w:rsidRPr="00B84941" w:rsidRDefault="00E47FE4" w:rsidP="00E47FE4">
            <w:pPr>
              <w:pStyle w:val="Tabletextright"/>
              <w:cnfStyle w:val="000000010000" w:firstRow="0" w:lastRow="0" w:firstColumn="0" w:lastColumn="0" w:oddVBand="0" w:evenVBand="0" w:oddHBand="0" w:evenHBand="1" w:firstRowFirstColumn="0" w:firstRowLastColumn="0" w:lastRowFirstColumn="0" w:lastRowLastColumn="0"/>
              <w:rPr>
                <w:rFonts w:cstheme="minorHAnsi"/>
              </w:rPr>
            </w:pPr>
            <w:r w:rsidRPr="003449B0">
              <w:rPr>
                <w:rFonts w:cstheme="minorHAnsi"/>
              </w:rPr>
              <w:t>38 386 000.00</w:t>
            </w:r>
          </w:p>
        </w:tc>
      </w:tr>
      <w:tr w:rsidR="00E47FE4" w:rsidRPr="00B84941" w:rsidTr="002A4FD4">
        <w:tc>
          <w:tcPr>
            <w:cnfStyle w:val="000010000000" w:firstRow="0" w:lastRow="0" w:firstColumn="0" w:lastColumn="0" w:oddVBand="1" w:evenVBand="0" w:oddHBand="0" w:evenHBand="0" w:firstRowFirstColumn="0" w:firstRowLastColumn="0" w:lastRowFirstColumn="0" w:lastRowLastColumn="0"/>
            <w:tcW w:w="9417" w:type="dxa"/>
            <w:gridSpan w:val="4"/>
          </w:tcPr>
          <w:p w:rsidR="00E47FE4" w:rsidRPr="00E47FE4" w:rsidRDefault="00E47FE4" w:rsidP="00E47FE4">
            <w:pPr>
              <w:pStyle w:val="Tabletextright"/>
              <w:jc w:val="left"/>
              <w:rPr>
                <w:rFonts w:cstheme="minorHAnsi"/>
                <w:b/>
                <w:i/>
              </w:rPr>
            </w:pPr>
            <w:r w:rsidRPr="00E47FE4">
              <w:rPr>
                <w:rFonts w:cstheme="minorHAnsi"/>
                <w:b/>
                <w:i/>
              </w:rPr>
              <w:lastRenderedPageBreak/>
              <w:t xml:space="preserve">Department of Premier and </w:t>
            </w:r>
            <w:r>
              <w:rPr>
                <w:rFonts w:cstheme="minorHAnsi"/>
                <w:b/>
                <w:i/>
              </w:rPr>
              <w:t>Cabinet</w:t>
            </w:r>
          </w:p>
        </w:tc>
      </w:tr>
      <w:tr w:rsidR="009C0B4D" w:rsidRPr="00B84941" w:rsidTr="001535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Pr="00B84941" w:rsidRDefault="00E47FE4" w:rsidP="00E47FE4">
            <w:pPr>
              <w:pStyle w:val="Tabletext"/>
              <w:rPr>
                <w:rFonts w:cstheme="minorHAnsi"/>
              </w:rPr>
            </w:pPr>
            <w:r w:rsidRPr="003449B0">
              <w:rPr>
                <w:rFonts w:cstheme="minorHAnsi"/>
              </w:rPr>
              <w:t>Community Advancement Fund</w:t>
            </w:r>
          </w:p>
        </w:tc>
        <w:tc>
          <w:tcPr>
            <w:cnfStyle w:val="000001000000" w:firstRow="0" w:lastRow="0" w:firstColumn="0" w:lastColumn="0" w:oddVBand="0" w:evenVBand="1" w:oddHBand="0" w:evenHBand="0" w:firstRowFirstColumn="0" w:firstRowLastColumn="0" w:lastRowFirstColumn="0" w:lastRowLastColumn="0"/>
            <w:tcW w:w="4356" w:type="dxa"/>
          </w:tcPr>
          <w:p w:rsidR="00E47FE4" w:rsidRPr="00B84941" w:rsidRDefault="00E47FE4" w:rsidP="00E47FE4">
            <w:pPr>
              <w:pStyle w:val="Tabletext"/>
              <w:rPr>
                <w:rFonts w:cstheme="minorHAnsi"/>
              </w:rPr>
            </w:pPr>
            <w:r w:rsidRPr="003449B0">
              <w:rPr>
                <w:rFonts w:cstheme="minorHAnsi"/>
              </w:rPr>
              <w:t>This fund provides funding for a limited number of initiatives that relate to the support and advancement of the community.</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r w:rsidRPr="00410D3F">
              <w:rPr>
                <w:rFonts w:cstheme="minorHAnsi"/>
              </w:rPr>
              <w:t>Community Advancement Fund</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B84941" w:rsidRDefault="00E47FE4" w:rsidP="00E47FE4">
            <w:pPr>
              <w:pStyle w:val="Tabletextright"/>
              <w:rPr>
                <w:rFonts w:cstheme="minorHAnsi"/>
              </w:rPr>
            </w:pPr>
            <w:r>
              <w:rPr>
                <w:rFonts w:cstheme="minorHAnsi"/>
              </w:rPr>
              <w:t>2 000 000.00</w:t>
            </w:r>
          </w:p>
        </w:tc>
      </w:tr>
      <w:tr w:rsidR="00E47FE4" w:rsidRPr="00B84941" w:rsidTr="0078201C">
        <w:tc>
          <w:tcPr>
            <w:cnfStyle w:val="000010000000" w:firstRow="0" w:lastRow="0" w:firstColumn="0" w:lastColumn="0" w:oddVBand="1" w:evenVBand="0" w:oddHBand="0" w:evenHBand="0" w:firstRowFirstColumn="0" w:firstRowLastColumn="0" w:lastRowFirstColumn="0" w:lastRowLastColumn="0"/>
            <w:tcW w:w="2307" w:type="dxa"/>
          </w:tcPr>
          <w:p w:rsidR="00E47FE4" w:rsidRDefault="00E47FE4" w:rsidP="00E47FE4">
            <w:pPr>
              <w:pStyle w:val="Tabletext"/>
              <w:rPr>
                <w:rFonts w:cstheme="minorHAnsi"/>
              </w:rPr>
            </w:pPr>
            <w:r w:rsidRPr="00B84941">
              <w:rPr>
                <w:rFonts w:cstheme="minorHAnsi"/>
              </w:rPr>
              <w:t>ANZAC Day Revenue to Victorian Veterans Fund</w:t>
            </w:r>
          </w:p>
        </w:tc>
        <w:tc>
          <w:tcPr>
            <w:cnfStyle w:val="000001000000" w:firstRow="0" w:lastRow="0" w:firstColumn="0" w:lastColumn="0" w:oddVBand="0" w:evenVBand="1" w:oddHBand="0" w:evenHBand="0" w:firstRowFirstColumn="0" w:firstRowLastColumn="0" w:lastRowFirstColumn="0" w:lastRowLastColumn="0"/>
            <w:tcW w:w="4356" w:type="dxa"/>
          </w:tcPr>
          <w:p w:rsidR="00E47FE4" w:rsidRDefault="00E47FE4" w:rsidP="00E47FE4">
            <w:pPr>
              <w:pStyle w:val="Tabletext"/>
              <w:rPr>
                <w:rFonts w:cstheme="minorHAnsi"/>
              </w:rPr>
            </w:pPr>
            <w:r w:rsidRPr="00B84941">
              <w:rPr>
                <w:rFonts w:cstheme="minorHAnsi"/>
              </w:rPr>
              <w:t>Payment of one day’s revenue from the Community Support Fund</w:t>
            </w:r>
            <w:r>
              <w:rPr>
                <w:rFonts w:cstheme="minorHAnsi"/>
              </w:rPr>
              <w:t xml:space="preserve"> to the Victorian Veterans Fund</w:t>
            </w:r>
          </w:p>
        </w:tc>
        <w:tc>
          <w:tcPr>
            <w:cnfStyle w:val="000010000000" w:firstRow="0" w:lastRow="0" w:firstColumn="0" w:lastColumn="0" w:oddVBand="1" w:evenVBand="0" w:oddHBand="0" w:evenHBand="0" w:firstRowFirstColumn="0" w:firstRowLastColumn="0" w:lastRowFirstColumn="0" w:lastRowLastColumn="0"/>
            <w:tcW w:w="1417" w:type="dxa"/>
          </w:tcPr>
          <w:p w:rsidR="00E47FE4" w:rsidRDefault="00E47FE4" w:rsidP="00E47FE4">
            <w:pPr>
              <w:pStyle w:val="Tabletext"/>
              <w:rPr>
                <w:rFonts w:cstheme="minorHAnsi"/>
              </w:rPr>
            </w:pPr>
            <w:r w:rsidRPr="00410D3F">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Default="00E47FE4" w:rsidP="00E47FE4">
            <w:pPr>
              <w:pStyle w:val="Tabletextright"/>
              <w:rPr>
                <w:rFonts w:cstheme="minorHAnsi"/>
              </w:rPr>
            </w:pPr>
            <w:r>
              <w:rPr>
                <w:rFonts w:cstheme="minorHAnsi"/>
              </w:rPr>
              <w:t>266 504.79</w:t>
            </w:r>
          </w:p>
        </w:tc>
      </w:tr>
      <w:tr w:rsidR="00E47FE4" w:rsidRPr="00B84941"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Pr="00B84941" w:rsidRDefault="00E47FE4" w:rsidP="00E47FE4">
            <w:pPr>
              <w:pStyle w:val="Tabletext"/>
              <w:rPr>
                <w:rFonts w:cstheme="minorHAnsi"/>
              </w:rPr>
            </w:pPr>
          </w:p>
        </w:tc>
        <w:tc>
          <w:tcPr>
            <w:cnfStyle w:val="000001000000" w:firstRow="0" w:lastRow="0" w:firstColumn="0" w:lastColumn="0" w:oddVBand="0" w:evenVBand="1" w:oddHBand="0" w:evenHBand="0" w:firstRowFirstColumn="0" w:firstRowLastColumn="0" w:lastRowFirstColumn="0" w:lastRowLastColumn="0"/>
            <w:tcW w:w="4356" w:type="dxa"/>
          </w:tcPr>
          <w:p w:rsidR="00E47FE4" w:rsidRPr="00B84941" w:rsidRDefault="00E47FE4" w:rsidP="00E47FE4">
            <w:pPr>
              <w:pStyle w:val="Tabletext"/>
              <w:rPr>
                <w:rFonts w:cstheme="minorHAnsi"/>
              </w:rPr>
            </w:pP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p>
        </w:tc>
        <w:tc>
          <w:tcPr>
            <w:cnfStyle w:val="000001000000" w:firstRow="0" w:lastRow="0" w:firstColumn="0" w:lastColumn="0" w:oddVBand="0" w:evenVBand="1" w:oddHBand="0" w:evenHBand="0" w:firstRowFirstColumn="0" w:firstRowLastColumn="0" w:lastRowFirstColumn="0" w:lastRowLastColumn="0"/>
            <w:tcW w:w="1337" w:type="dxa"/>
          </w:tcPr>
          <w:p w:rsidR="00E47FE4" w:rsidRPr="00B84941" w:rsidRDefault="00E47FE4" w:rsidP="00E47FE4">
            <w:pPr>
              <w:pStyle w:val="Tabletextright"/>
              <w:rPr>
                <w:rFonts w:cstheme="minorHAnsi"/>
              </w:rPr>
            </w:pPr>
          </w:p>
        </w:tc>
      </w:tr>
      <w:tr w:rsidR="00E47FE4" w:rsidRPr="00B84941" w:rsidTr="005D2ED9">
        <w:tc>
          <w:tcPr>
            <w:cnfStyle w:val="000010000000" w:firstRow="0" w:lastRow="0" w:firstColumn="0" w:lastColumn="0" w:oddVBand="1" w:evenVBand="0" w:oddHBand="0" w:evenHBand="0" w:firstRowFirstColumn="0" w:firstRowLastColumn="0" w:lastRowFirstColumn="0" w:lastRowLastColumn="0"/>
            <w:tcW w:w="9417" w:type="dxa"/>
            <w:gridSpan w:val="4"/>
          </w:tcPr>
          <w:p w:rsidR="00E47FE4" w:rsidRPr="00E47FE4" w:rsidRDefault="00E47FE4" w:rsidP="00E47FE4">
            <w:pPr>
              <w:pStyle w:val="Tabletextright"/>
              <w:jc w:val="left"/>
              <w:rPr>
                <w:rFonts w:cstheme="minorHAnsi"/>
                <w:b/>
                <w:i/>
              </w:rPr>
            </w:pPr>
            <w:r w:rsidRPr="00E47FE4">
              <w:rPr>
                <w:rFonts w:cstheme="minorHAnsi"/>
                <w:b/>
                <w:i/>
              </w:rPr>
              <w:t>Department of Environment, Land, Water and Planning</w:t>
            </w:r>
          </w:p>
        </w:tc>
      </w:tr>
      <w:tr w:rsidR="00E47FE4" w:rsidRPr="00B84941" w:rsidTr="001535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Pr="00B84941" w:rsidRDefault="00E47FE4" w:rsidP="00E47FE4">
            <w:pPr>
              <w:pStyle w:val="Tabletext"/>
              <w:rPr>
                <w:rFonts w:cstheme="minorHAnsi"/>
              </w:rPr>
            </w:pPr>
            <w:r w:rsidRPr="003449B0">
              <w:rPr>
                <w:rFonts w:cstheme="minorHAnsi"/>
              </w:rPr>
              <w:t>Keep Victoria Beautiful Awards Programs: Tidy Towns and Sustainable Cities</w:t>
            </w:r>
          </w:p>
        </w:tc>
        <w:tc>
          <w:tcPr>
            <w:cnfStyle w:val="000001000000" w:firstRow="0" w:lastRow="0" w:firstColumn="0" w:lastColumn="0" w:oddVBand="0" w:evenVBand="1" w:oddHBand="0" w:evenHBand="0" w:firstRowFirstColumn="0" w:firstRowLastColumn="0" w:lastRowFirstColumn="0" w:lastRowLastColumn="0"/>
            <w:tcW w:w="4356" w:type="dxa"/>
          </w:tcPr>
          <w:p w:rsidR="00E47FE4" w:rsidRPr="00B84941" w:rsidRDefault="00E47FE4" w:rsidP="00E47FE4">
            <w:pPr>
              <w:pStyle w:val="Tabletext"/>
              <w:rPr>
                <w:rFonts w:cstheme="minorHAnsi"/>
              </w:rPr>
            </w:pPr>
            <w:r w:rsidRPr="003449B0">
              <w:rPr>
                <w:rFonts w:cstheme="minorHAnsi"/>
              </w:rPr>
              <w:t>The program encourages and rewards environmental and community achievements in rural, regional Victoria and Melbourne metropolitan area and large regional cities through the Tidy Towns and Sustainable Cities awards.</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B84941" w:rsidRDefault="00E47FE4" w:rsidP="00E47FE4">
            <w:pPr>
              <w:pStyle w:val="Tabletext"/>
              <w:rPr>
                <w:rFonts w:cstheme="minorHAnsi"/>
              </w:rPr>
            </w:pPr>
            <w:r w:rsidRPr="003449B0">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B84941" w:rsidRDefault="00E47FE4" w:rsidP="00E47FE4">
            <w:pPr>
              <w:pStyle w:val="Tabletextright"/>
              <w:rPr>
                <w:rFonts w:cstheme="minorHAnsi"/>
              </w:rPr>
            </w:pPr>
            <w:r>
              <w:rPr>
                <w:rFonts w:cstheme="minorHAnsi"/>
              </w:rPr>
              <w:t>176 500.00</w:t>
            </w:r>
          </w:p>
        </w:tc>
      </w:tr>
      <w:tr w:rsidR="00E47FE4" w:rsidRPr="00E47FE4" w:rsidTr="00BE57FA">
        <w:tc>
          <w:tcPr>
            <w:cnfStyle w:val="000010000000" w:firstRow="0" w:lastRow="0" w:firstColumn="0" w:lastColumn="0" w:oddVBand="1" w:evenVBand="0" w:oddHBand="0" w:evenHBand="0" w:firstRowFirstColumn="0" w:firstRowLastColumn="0" w:lastRowFirstColumn="0" w:lastRowLastColumn="0"/>
            <w:tcW w:w="9417" w:type="dxa"/>
            <w:gridSpan w:val="4"/>
          </w:tcPr>
          <w:p w:rsidR="00E47FE4" w:rsidRPr="00E47FE4" w:rsidRDefault="00E47FE4" w:rsidP="00E47FE4">
            <w:pPr>
              <w:pStyle w:val="Tabletextright"/>
              <w:jc w:val="left"/>
              <w:rPr>
                <w:rFonts w:cstheme="minorHAnsi"/>
                <w:b/>
                <w:i/>
              </w:rPr>
            </w:pPr>
            <w:r w:rsidRPr="00E47FE4">
              <w:rPr>
                <w:rFonts w:cstheme="minorHAnsi"/>
                <w:b/>
                <w:i/>
              </w:rPr>
              <w:t>Department of Economic Development, Jobs, Transport and Resources</w:t>
            </w:r>
          </w:p>
        </w:tc>
      </w:tr>
      <w:tr w:rsidR="00E47FE4" w:rsidRPr="004D5E53" w:rsidTr="00E428D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Pr="007F6F16" w:rsidRDefault="00E47FE4" w:rsidP="00E47FE4">
            <w:pPr>
              <w:pStyle w:val="Tabletext"/>
              <w:rPr>
                <w:rFonts w:cstheme="minorHAnsi"/>
              </w:rPr>
            </w:pPr>
            <w:r w:rsidRPr="007F6F16">
              <w:rPr>
                <w:rFonts w:cstheme="minorHAnsi"/>
              </w:rPr>
              <w:t>Heyfield Museum</w:t>
            </w:r>
          </w:p>
        </w:tc>
        <w:tc>
          <w:tcPr>
            <w:cnfStyle w:val="000001000000" w:firstRow="0" w:lastRow="0" w:firstColumn="0" w:lastColumn="0" w:oddVBand="0" w:evenVBand="1" w:oddHBand="0" w:evenHBand="0" w:firstRowFirstColumn="0" w:firstRowLastColumn="0" w:lastRowFirstColumn="0" w:lastRowLastColumn="0"/>
            <w:tcW w:w="4356" w:type="dxa"/>
          </w:tcPr>
          <w:p w:rsidR="00E47FE4" w:rsidRPr="00073687" w:rsidRDefault="00E47FE4" w:rsidP="00E47FE4">
            <w:pPr>
              <w:pStyle w:val="Tabletext"/>
              <w:rPr>
                <w:rFonts w:cstheme="minorHAnsi"/>
              </w:rPr>
            </w:pPr>
            <w:r w:rsidRPr="00073687">
              <w:rPr>
                <w:rFonts w:cstheme="minorHAnsi"/>
              </w:rPr>
              <w:t>This program assists the Heyfield &amp; District Historical Society to purchase a former post office building to house the Heyfield Museum.</w:t>
            </w:r>
          </w:p>
        </w:tc>
        <w:tc>
          <w:tcPr>
            <w:cnfStyle w:val="000010000000" w:firstRow="0" w:lastRow="0" w:firstColumn="0" w:lastColumn="0" w:oddVBand="1" w:evenVBand="0" w:oddHBand="0" w:evenHBand="0" w:firstRowFirstColumn="0" w:firstRowLastColumn="0" w:lastRowFirstColumn="0" w:lastRowLastColumn="0"/>
            <w:tcW w:w="1417" w:type="dxa"/>
          </w:tcPr>
          <w:p w:rsidR="00E47FE4" w:rsidRPr="00073687" w:rsidRDefault="00E47FE4" w:rsidP="00E47FE4">
            <w:pPr>
              <w:pStyle w:val="Tabletext"/>
              <w:rPr>
                <w:rFonts w:cstheme="minorHAnsi"/>
              </w:rPr>
            </w:pPr>
            <w:r w:rsidRPr="00073687">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073687" w:rsidRDefault="00E47FE4" w:rsidP="00E47FE4">
            <w:pPr>
              <w:pStyle w:val="Tabletextright"/>
              <w:rPr>
                <w:rFonts w:cstheme="minorHAnsi"/>
              </w:rPr>
            </w:pPr>
            <w:r w:rsidRPr="00073687">
              <w:rPr>
                <w:rFonts w:cstheme="minorHAnsi"/>
              </w:rPr>
              <w:t>10 000.00</w:t>
            </w:r>
          </w:p>
        </w:tc>
      </w:tr>
      <w:tr w:rsidR="009C0B4D" w:rsidRPr="004D5E53" w:rsidTr="004C7112">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4D5E53" w:rsidRDefault="00E47FE4" w:rsidP="00E47FE4">
            <w:pPr>
              <w:pStyle w:val="Tabletext"/>
              <w:rPr>
                <w:b/>
                <w:lang w:val="en-CA" w:eastAsia="en-CA"/>
              </w:rPr>
            </w:pPr>
            <w:r>
              <w:rPr>
                <w:b/>
                <w:lang w:val="en-CA" w:eastAsia="en-CA"/>
              </w:rPr>
              <w:t xml:space="preserve">Total CSF program </w:t>
            </w:r>
            <w:r w:rsidRPr="004D5E53">
              <w:rPr>
                <w:b/>
                <w:lang w:val="en-CA" w:eastAsia="en-CA"/>
              </w:rPr>
              <w:t>expense</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4D5E53" w:rsidRDefault="00E47FE4" w:rsidP="00E47FE4">
            <w:pPr>
              <w:pStyle w:val="Tabletextrightbold"/>
              <w:rPr>
                <w:rFonts w:cstheme="minorHAnsi"/>
                <w:b/>
              </w:rPr>
            </w:pPr>
            <w:r w:rsidRPr="004D5E53">
              <w:rPr>
                <w:rFonts w:cstheme="minorHAnsi"/>
                <w:b/>
              </w:rPr>
              <w:t>130 011 504.79</w:t>
            </w:r>
          </w:p>
        </w:tc>
      </w:tr>
      <w:tr w:rsidR="00E47FE4" w:rsidRPr="008154C5"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E47FE4" w:rsidRPr="008154C5" w:rsidRDefault="00E47FE4" w:rsidP="00E47FE4">
            <w:pPr>
              <w:pStyle w:val="Tabletext"/>
            </w:pPr>
            <w:r>
              <w:t>DTF</w:t>
            </w:r>
            <w:r w:rsidRPr="008154C5">
              <w:t xml:space="preserve"> administration expense</w:t>
            </w:r>
          </w:p>
        </w:tc>
        <w:tc>
          <w:tcPr>
            <w:cnfStyle w:val="000001000000" w:firstRow="0" w:lastRow="0" w:firstColumn="0" w:lastColumn="0" w:oddVBand="0" w:evenVBand="1" w:oddHBand="0" w:evenHBand="0" w:firstRowFirstColumn="0" w:firstRowLastColumn="0" w:lastRowFirstColumn="0" w:lastRowLastColumn="0"/>
            <w:tcW w:w="5773" w:type="dxa"/>
            <w:gridSpan w:val="2"/>
          </w:tcPr>
          <w:p w:rsidR="00E47FE4" w:rsidRPr="008154C5" w:rsidRDefault="00E47FE4" w:rsidP="00E47FE4">
            <w:pPr>
              <w:pStyle w:val="Tabletext"/>
            </w:pPr>
          </w:p>
        </w:tc>
        <w:tc>
          <w:tcPr>
            <w:cnfStyle w:val="000010000000" w:firstRow="0" w:lastRow="0" w:firstColumn="0" w:lastColumn="0" w:oddVBand="1" w:evenVBand="0" w:oddHBand="0" w:evenHBand="0" w:firstRowFirstColumn="0" w:firstRowLastColumn="0" w:lastRowFirstColumn="0" w:lastRowLastColumn="0"/>
            <w:tcW w:w="1337" w:type="dxa"/>
          </w:tcPr>
          <w:p w:rsidR="00E47FE4" w:rsidRPr="008154C5" w:rsidRDefault="00E47FE4" w:rsidP="00E47FE4">
            <w:pPr>
              <w:pStyle w:val="Tabletextright"/>
              <w:rPr>
                <w:rFonts w:cstheme="minorHAnsi"/>
                <w:lang w:val="en-CA" w:eastAsia="en-CA"/>
              </w:rPr>
            </w:pPr>
            <w:r w:rsidRPr="008154C5">
              <w:rPr>
                <w:rFonts w:cstheme="minorHAnsi"/>
                <w:lang w:val="en-CA" w:eastAsia="en-CA"/>
              </w:rPr>
              <w:t>253 010.50</w:t>
            </w:r>
          </w:p>
        </w:tc>
      </w:tr>
      <w:tr w:rsidR="009C0B4D" w:rsidRPr="009B180A" w:rsidTr="004C7112">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974670" w:rsidRDefault="00E47FE4" w:rsidP="00E47FE4">
            <w:pPr>
              <w:pStyle w:val="Tabletext"/>
              <w:rPr>
                <w:lang w:val="en-CA" w:eastAsia="en-CA"/>
              </w:rPr>
            </w:pPr>
            <w:r w:rsidRPr="00974670">
              <w:rPr>
                <w:lang w:val="en-CA" w:eastAsia="en-CA"/>
              </w:rPr>
              <w:t>Adjustment for return of unspent funding</w:t>
            </w:r>
            <w:r w:rsidR="009C0B4D">
              <w:rPr>
                <w:lang w:val="en-CA" w:eastAsia="en-CA"/>
              </w:rPr>
              <w:t xml:space="preserve"> from departments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9B180A" w:rsidRDefault="00E47FE4" w:rsidP="00E47FE4">
            <w:pPr>
              <w:pStyle w:val="Tabletextrightbold"/>
              <w:rPr>
                <w:rFonts w:cstheme="minorHAnsi"/>
              </w:rPr>
            </w:pPr>
            <w:r>
              <w:rPr>
                <w:rFonts w:cstheme="minorHAnsi"/>
              </w:rPr>
              <w:t xml:space="preserve">(3 117 </w:t>
            </w:r>
            <w:r w:rsidRPr="00BA2507">
              <w:rPr>
                <w:rFonts w:cstheme="minorHAnsi"/>
              </w:rPr>
              <w:t>205.50</w:t>
            </w:r>
            <w:r>
              <w:rPr>
                <w:rFonts w:cstheme="minorHAnsi"/>
              </w:rPr>
              <w:t>)</w:t>
            </w:r>
          </w:p>
        </w:tc>
      </w:tr>
      <w:tr w:rsidR="00E47FE4" w:rsidRPr="000304AC" w:rsidTr="004C711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0304AC" w:rsidRDefault="00E47FE4" w:rsidP="00E47FE4">
            <w:pPr>
              <w:pStyle w:val="Tabletext"/>
              <w:rPr>
                <w:i/>
                <w:lang w:val="en-CA" w:eastAsia="en-CA"/>
              </w:rPr>
            </w:pPr>
            <w:r w:rsidRPr="000304AC">
              <w:rPr>
                <w:i/>
                <w:lang w:val="en-CA" w:eastAsia="en-CA"/>
              </w:rPr>
              <w:t xml:space="preserve">                            Community Support and Recreational Sports Package - DHHS</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0304AC" w:rsidRDefault="00E47FE4" w:rsidP="00E47FE4">
            <w:pPr>
              <w:pStyle w:val="Tabletextrightbold"/>
              <w:rPr>
                <w:rFonts w:cstheme="minorHAnsi"/>
              </w:rPr>
            </w:pPr>
            <w:r>
              <w:rPr>
                <w:rFonts w:cstheme="minorHAnsi"/>
              </w:rPr>
              <w:t>(2,991,345.00)</w:t>
            </w:r>
          </w:p>
        </w:tc>
      </w:tr>
      <w:tr w:rsidR="009C0B4D" w:rsidRPr="000304AC" w:rsidTr="004C7112">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0304AC" w:rsidRDefault="00E47FE4" w:rsidP="00E47FE4">
            <w:pPr>
              <w:pStyle w:val="Tabletext"/>
              <w:rPr>
                <w:i/>
                <w:lang w:val="en-CA" w:eastAsia="en-CA"/>
              </w:rPr>
            </w:pPr>
            <w:r w:rsidRPr="000304AC">
              <w:rPr>
                <w:i/>
                <w:lang w:val="en-CA" w:eastAsia="en-CA"/>
              </w:rPr>
              <w:t xml:space="preserve">                            Indigenous Cultural Strengthening Project</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0304AC" w:rsidRDefault="00E47FE4" w:rsidP="00E47FE4">
            <w:pPr>
              <w:pStyle w:val="Tabletextrightbold"/>
              <w:rPr>
                <w:rFonts w:cstheme="minorHAnsi"/>
              </w:rPr>
            </w:pPr>
            <w:r>
              <w:rPr>
                <w:rFonts w:cstheme="minorHAnsi"/>
              </w:rPr>
              <w:t>(</w:t>
            </w:r>
            <w:r w:rsidRPr="000304AC">
              <w:rPr>
                <w:rFonts w:cstheme="minorHAnsi"/>
              </w:rPr>
              <w:t>84,958.39</w:t>
            </w:r>
            <w:r>
              <w:rPr>
                <w:rFonts w:cstheme="minorHAnsi"/>
              </w:rPr>
              <w:t>)</w:t>
            </w:r>
          </w:p>
        </w:tc>
      </w:tr>
      <w:tr w:rsidR="00E47FE4" w:rsidRPr="000304AC" w:rsidTr="004C711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0304AC" w:rsidRDefault="00E47FE4" w:rsidP="00E47FE4">
            <w:pPr>
              <w:pStyle w:val="Tabletext"/>
              <w:rPr>
                <w:i/>
                <w:lang w:val="en-CA" w:eastAsia="en-CA"/>
              </w:rPr>
            </w:pPr>
            <w:r w:rsidRPr="000304AC">
              <w:rPr>
                <w:i/>
                <w:lang w:val="en-CA" w:eastAsia="en-CA"/>
              </w:rPr>
              <w:t xml:space="preserve">                            Pre-commitment Information Program</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0304AC" w:rsidRDefault="00E47FE4" w:rsidP="00E47FE4">
            <w:pPr>
              <w:pStyle w:val="Tabletextrightbold"/>
              <w:rPr>
                <w:rFonts w:cstheme="minorHAnsi"/>
              </w:rPr>
            </w:pPr>
            <w:r>
              <w:rPr>
                <w:rFonts w:cstheme="minorHAnsi"/>
              </w:rPr>
              <w:t>(</w:t>
            </w:r>
            <w:r w:rsidRPr="000304AC">
              <w:rPr>
                <w:rFonts w:cstheme="minorHAnsi"/>
              </w:rPr>
              <w:t>40,902.11</w:t>
            </w:r>
            <w:r>
              <w:rPr>
                <w:rFonts w:cstheme="minorHAnsi"/>
              </w:rPr>
              <w:t>)</w:t>
            </w:r>
          </w:p>
        </w:tc>
      </w:tr>
      <w:tr w:rsidR="009C0B4D" w:rsidRPr="008154C5" w:rsidTr="004C7112">
        <w:tc>
          <w:tcPr>
            <w:cnfStyle w:val="000010000000" w:firstRow="0" w:lastRow="0" w:firstColumn="0" w:lastColumn="0" w:oddVBand="1" w:evenVBand="0" w:oddHBand="0" w:evenHBand="0" w:firstRowFirstColumn="0" w:firstRowLastColumn="0" w:lastRowFirstColumn="0" w:lastRowLastColumn="0"/>
            <w:tcW w:w="8080" w:type="dxa"/>
            <w:gridSpan w:val="3"/>
          </w:tcPr>
          <w:p w:rsidR="00E47FE4" w:rsidRPr="008154C5" w:rsidRDefault="00E47FE4" w:rsidP="00E47FE4">
            <w:pPr>
              <w:pStyle w:val="Tabletext"/>
              <w:rPr>
                <w:b/>
                <w:lang w:val="en-CA" w:eastAsia="en-CA"/>
              </w:rPr>
            </w:pPr>
            <w:r w:rsidRPr="008154C5">
              <w:rPr>
                <w:b/>
                <w:lang w:val="en-CA" w:eastAsia="en-CA"/>
              </w:rPr>
              <w:t>Total operating expense in 2017-18</w:t>
            </w:r>
          </w:p>
        </w:tc>
        <w:tc>
          <w:tcPr>
            <w:cnfStyle w:val="000001000000" w:firstRow="0" w:lastRow="0" w:firstColumn="0" w:lastColumn="0" w:oddVBand="0" w:evenVBand="1" w:oddHBand="0" w:evenHBand="0" w:firstRowFirstColumn="0" w:firstRowLastColumn="0" w:lastRowFirstColumn="0" w:lastRowLastColumn="0"/>
            <w:tcW w:w="1337" w:type="dxa"/>
          </w:tcPr>
          <w:p w:rsidR="00E47FE4" w:rsidRPr="008154C5" w:rsidRDefault="00E47FE4" w:rsidP="00E47FE4">
            <w:pPr>
              <w:pStyle w:val="Tabletextrightbold"/>
              <w:rPr>
                <w:rFonts w:cstheme="minorHAnsi"/>
                <w:b/>
              </w:rPr>
            </w:pPr>
            <w:r>
              <w:rPr>
                <w:rFonts w:cstheme="minorHAnsi"/>
                <w:b/>
              </w:rPr>
              <w:t xml:space="preserve">127 147 </w:t>
            </w:r>
            <w:r w:rsidRPr="005F23A4">
              <w:rPr>
                <w:rFonts w:cstheme="minorHAnsi"/>
                <w:b/>
              </w:rPr>
              <w:t>309.79</w:t>
            </w:r>
          </w:p>
        </w:tc>
      </w:tr>
    </w:tbl>
    <w:p w:rsidR="00227C39" w:rsidRPr="000C572F" w:rsidRDefault="00227C39" w:rsidP="00043296">
      <w:pPr>
        <w:rPr>
          <w:i/>
          <w:sz w:val="16"/>
          <w:szCs w:val="16"/>
        </w:rPr>
      </w:pPr>
      <w:bookmarkStart w:id="1" w:name="_GoBack"/>
      <w:bookmarkEnd w:id="1"/>
    </w:p>
    <w:sectPr w:rsidR="00227C39" w:rsidRPr="000C572F" w:rsidSect="00F417C3">
      <w:headerReference w:type="default" r:id="rId8"/>
      <w:footerReference w:type="default" r:id="rId9"/>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657" w:rsidRDefault="00E47657" w:rsidP="002D711A">
      <w:pPr>
        <w:spacing w:after="0" w:line="240" w:lineRule="auto"/>
      </w:pPr>
      <w:r>
        <w:separator/>
      </w:r>
    </w:p>
  </w:endnote>
  <w:endnote w:type="continuationSeparator" w:id="0">
    <w:p w:rsidR="00E47657" w:rsidRDefault="00E4765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C3" w:rsidRDefault="00F417C3" w:rsidP="004669E3">
    <w:pPr>
      <w:pStyle w:val="Spacer"/>
    </w:pPr>
  </w:p>
  <w:p w:rsidR="00F417C3" w:rsidRPr="004C7112" w:rsidRDefault="00F417C3" w:rsidP="0041689E">
    <w:pPr>
      <w:pStyle w:val="Footer"/>
      <w:rPr>
        <w:rFonts w:cstheme="minorHAnsi"/>
      </w:rPr>
    </w:pPr>
    <w:r w:rsidRPr="004C7112">
      <w:rPr>
        <w:rFonts w:cstheme="minorHAnsi"/>
        <w:b/>
        <w:noProof w:val="0"/>
        <w:color w:val="0063A6" w:themeColor="accent1"/>
      </w:rPr>
      <w:fldChar w:fldCharType="begin"/>
    </w:r>
    <w:r w:rsidRPr="004C7112">
      <w:rPr>
        <w:rFonts w:cstheme="minorHAnsi"/>
        <w:b/>
        <w:color w:val="0063A6" w:themeColor="accent1"/>
      </w:rPr>
      <w:instrText xml:space="preserve"> StyleRef “Title” </w:instrText>
    </w:r>
    <w:r w:rsidRPr="004C7112">
      <w:rPr>
        <w:rFonts w:cstheme="minorHAnsi"/>
        <w:b/>
        <w:noProof w:val="0"/>
        <w:color w:val="0063A6" w:themeColor="accent1"/>
      </w:rPr>
      <w:fldChar w:fldCharType="separate"/>
    </w:r>
    <w:r w:rsidR="00C61AF8">
      <w:rPr>
        <w:rFonts w:cstheme="minorHAnsi"/>
        <w:b/>
        <w:color w:val="0063A6" w:themeColor="accent1"/>
      </w:rPr>
      <w:t>Community Support Fund</w:t>
    </w:r>
    <w:r w:rsidRPr="004C7112">
      <w:rPr>
        <w:rFonts w:cstheme="minorHAnsi"/>
        <w:b/>
        <w:color w:val="0063A6" w:themeColor="accent1"/>
      </w:rPr>
      <w:fldChar w:fldCharType="end"/>
    </w:r>
    <w:r w:rsidR="006738C4" w:rsidRPr="004C7112">
      <w:rPr>
        <w:rFonts w:cstheme="minorHAnsi"/>
      </w:rPr>
      <w:t xml:space="preserve"> (</w:t>
    </w:r>
    <w:r w:rsidR="006738C4" w:rsidRPr="004C7112">
      <w:rPr>
        <w:rFonts w:cstheme="minorHAnsi"/>
        <w:noProof w:val="0"/>
      </w:rPr>
      <w:fldChar w:fldCharType="begin"/>
    </w:r>
    <w:r w:rsidR="006738C4" w:rsidRPr="004C7112">
      <w:rPr>
        <w:rFonts w:cstheme="minorHAnsi"/>
      </w:rPr>
      <w:instrText xml:space="preserve"> StyleRef “Tertiary Title” </w:instrText>
    </w:r>
    <w:r w:rsidR="006738C4" w:rsidRPr="004C7112">
      <w:rPr>
        <w:rFonts w:cstheme="minorHAnsi"/>
        <w:noProof w:val="0"/>
      </w:rPr>
      <w:fldChar w:fldCharType="separate"/>
    </w:r>
    <w:r w:rsidR="00C61AF8">
      <w:rPr>
        <w:rFonts w:cstheme="minorHAnsi"/>
      </w:rPr>
      <w:t>Expenditure by program from 1 July 2017 to 30 June 2018</w:t>
    </w:r>
    <w:r w:rsidR="006738C4" w:rsidRPr="004C7112">
      <w:rPr>
        <w:rFonts w:cstheme="minorHAnsi"/>
      </w:rPr>
      <w:fldChar w:fldCharType="end"/>
    </w:r>
    <w:r w:rsidR="006738C4" w:rsidRPr="004C7112">
      <w:rPr>
        <w:rFonts w:cstheme="minorHAnsi"/>
      </w:rPr>
      <w:t xml:space="preserve">) </w:t>
    </w:r>
    <w:r w:rsidR="006738C4" w:rsidRPr="004C7112">
      <w:rPr>
        <w:rFonts w:cstheme="minorHAnsi"/>
      </w:rPr>
      <w:tab/>
    </w:r>
    <w:r w:rsidRPr="004C7112">
      <w:rPr>
        <w:rFonts w:cstheme="minorHAnsi"/>
      </w:rPr>
      <w:t xml:space="preserve">Page </w:t>
    </w:r>
    <w:r w:rsidRPr="004C7112">
      <w:rPr>
        <w:rStyle w:val="PageNumber"/>
        <w:rFonts w:cstheme="minorHAnsi"/>
      </w:rPr>
      <w:fldChar w:fldCharType="begin"/>
    </w:r>
    <w:r w:rsidRPr="004C7112">
      <w:rPr>
        <w:rStyle w:val="PageNumber"/>
        <w:rFonts w:cstheme="minorHAnsi"/>
      </w:rPr>
      <w:instrText xml:space="preserve"> Page </w:instrText>
    </w:r>
    <w:r w:rsidRPr="004C7112">
      <w:rPr>
        <w:rStyle w:val="PageNumber"/>
        <w:rFonts w:cstheme="minorHAnsi"/>
      </w:rPr>
      <w:fldChar w:fldCharType="separate"/>
    </w:r>
    <w:r w:rsidR="00D05AC3">
      <w:rPr>
        <w:rStyle w:val="PageNumber"/>
        <w:rFonts w:cstheme="minorHAnsi"/>
      </w:rPr>
      <w:t>1</w:t>
    </w:r>
    <w:r w:rsidRPr="004C7112">
      <w:rPr>
        <w:rStyle w:val="PageNumbe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657" w:rsidRDefault="00E47657" w:rsidP="002D711A">
      <w:pPr>
        <w:spacing w:after="0" w:line="240" w:lineRule="auto"/>
      </w:pPr>
      <w:r>
        <w:separator/>
      </w:r>
    </w:p>
  </w:footnote>
  <w:footnote w:type="continuationSeparator" w:id="0">
    <w:p w:rsidR="00E47657" w:rsidRDefault="00E47657"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C3" w:rsidRPr="0041689E" w:rsidRDefault="00F417C3">
    <w:pPr>
      <w:pStyle w:val="Header"/>
    </w:pPr>
    <w:r>
      <w:rPr>
        <w:noProof/>
      </w:rPr>
      <w:drawing>
        <wp:anchor distT="0" distB="0" distL="114300" distR="114300" simplePos="0" relativeHeight="251673600" behindDoc="0" locked="0" layoutInCell="1" allowOverlap="1" wp14:anchorId="5D49CFB9" wp14:editId="73B2C90A">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CD786DC" wp14:editId="635D73EC">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128"/>
    <w:rsid w:val="00012F6F"/>
    <w:rsid w:val="00014213"/>
    <w:rsid w:val="00014B55"/>
    <w:rsid w:val="00020E3E"/>
    <w:rsid w:val="00023BF3"/>
    <w:rsid w:val="00026811"/>
    <w:rsid w:val="000304AC"/>
    <w:rsid w:val="00043296"/>
    <w:rsid w:val="0004356D"/>
    <w:rsid w:val="00045296"/>
    <w:rsid w:val="00051393"/>
    <w:rsid w:val="00073687"/>
    <w:rsid w:val="00075E6C"/>
    <w:rsid w:val="000A5F0D"/>
    <w:rsid w:val="000B29AD"/>
    <w:rsid w:val="000C0A64"/>
    <w:rsid w:val="000C572F"/>
    <w:rsid w:val="000C6372"/>
    <w:rsid w:val="000D593F"/>
    <w:rsid w:val="000E392D"/>
    <w:rsid w:val="000F4288"/>
    <w:rsid w:val="000F7165"/>
    <w:rsid w:val="00100540"/>
    <w:rsid w:val="00102379"/>
    <w:rsid w:val="001042ED"/>
    <w:rsid w:val="001065D6"/>
    <w:rsid w:val="00121252"/>
    <w:rsid w:val="00124609"/>
    <w:rsid w:val="001254CE"/>
    <w:rsid w:val="00126AF9"/>
    <w:rsid w:val="00134CEA"/>
    <w:rsid w:val="001422CC"/>
    <w:rsid w:val="001617B6"/>
    <w:rsid w:val="00165E66"/>
    <w:rsid w:val="001A3DD1"/>
    <w:rsid w:val="001A6445"/>
    <w:rsid w:val="001C7BAE"/>
    <w:rsid w:val="001D717E"/>
    <w:rsid w:val="001E31FA"/>
    <w:rsid w:val="001E54B2"/>
    <w:rsid w:val="001E64F6"/>
    <w:rsid w:val="001F2007"/>
    <w:rsid w:val="00200BB3"/>
    <w:rsid w:val="00216230"/>
    <w:rsid w:val="00222BEB"/>
    <w:rsid w:val="00225E60"/>
    <w:rsid w:val="00227C39"/>
    <w:rsid w:val="0023202C"/>
    <w:rsid w:val="00236203"/>
    <w:rsid w:val="00243DED"/>
    <w:rsid w:val="00245043"/>
    <w:rsid w:val="00257760"/>
    <w:rsid w:val="002761A4"/>
    <w:rsid w:val="00292D36"/>
    <w:rsid w:val="00297281"/>
    <w:rsid w:val="00297379"/>
    <w:rsid w:val="002C54E0"/>
    <w:rsid w:val="002D711A"/>
    <w:rsid w:val="002D7336"/>
    <w:rsid w:val="002E3396"/>
    <w:rsid w:val="002E5D16"/>
    <w:rsid w:val="0031149C"/>
    <w:rsid w:val="003449B0"/>
    <w:rsid w:val="00381E78"/>
    <w:rsid w:val="0038771C"/>
    <w:rsid w:val="00392A8F"/>
    <w:rsid w:val="00393A04"/>
    <w:rsid w:val="0039405B"/>
    <w:rsid w:val="003A0DC2"/>
    <w:rsid w:val="003A1C92"/>
    <w:rsid w:val="003A541A"/>
    <w:rsid w:val="003A6923"/>
    <w:rsid w:val="003C2C67"/>
    <w:rsid w:val="003C2EA2"/>
    <w:rsid w:val="003C5BA4"/>
    <w:rsid w:val="003D1AD7"/>
    <w:rsid w:val="003E3E26"/>
    <w:rsid w:val="003F1295"/>
    <w:rsid w:val="003F16C8"/>
    <w:rsid w:val="003F76FC"/>
    <w:rsid w:val="003F7ADD"/>
    <w:rsid w:val="004002EB"/>
    <w:rsid w:val="00405C57"/>
    <w:rsid w:val="00410D3F"/>
    <w:rsid w:val="0041689E"/>
    <w:rsid w:val="004236C8"/>
    <w:rsid w:val="00427681"/>
    <w:rsid w:val="00433DB7"/>
    <w:rsid w:val="00453750"/>
    <w:rsid w:val="00456941"/>
    <w:rsid w:val="00464CFD"/>
    <w:rsid w:val="004669E3"/>
    <w:rsid w:val="004702EA"/>
    <w:rsid w:val="00470AA9"/>
    <w:rsid w:val="00482D02"/>
    <w:rsid w:val="004A66A0"/>
    <w:rsid w:val="004A7519"/>
    <w:rsid w:val="004B41CA"/>
    <w:rsid w:val="004C7112"/>
    <w:rsid w:val="004D2677"/>
    <w:rsid w:val="004D3518"/>
    <w:rsid w:val="004D5E53"/>
    <w:rsid w:val="004D62D6"/>
    <w:rsid w:val="0053416C"/>
    <w:rsid w:val="00541C2F"/>
    <w:rsid w:val="00563527"/>
    <w:rsid w:val="0058124E"/>
    <w:rsid w:val="00583E91"/>
    <w:rsid w:val="00584301"/>
    <w:rsid w:val="005875A3"/>
    <w:rsid w:val="005A3416"/>
    <w:rsid w:val="005B27FE"/>
    <w:rsid w:val="005C3E6D"/>
    <w:rsid w:val="005E11AB"/>
    <w:rsid w:val="005F23A4"/>
    <w:rsid w:val="005F331D"/>
    <w:rsid w:val="005F61DF"/>
    <w:rsid w:val="006023F9"/>
    <w:rsid w:val="00610559"/>
    <w:rsid w:val="00615AC0"/>
    <w:rsid w:val="006332F6"/>
    <w:rsid w:val="006361E7"/>
    <w:rsid w:val="00652625"/>
    <w:rsid w:val="006534B2"/>
    <w:rsid w:val="0065615D"/>
    <w:rsid w:val="00657011"/>
    <w:rsid w:val="006650B5"/>
    <w:rsid w:val="006651B1"/>
    <w:rsid w:val="00665778"/>
    <w:rsid w:val="006738C4"/>
    <w:rsid w:val="00687A41"/>
    <w:rsid w:val="00691C09"/>
    <w:rsid w:val="00693F7B"/>
    <w:rsid w:val="006A5B34"/>
    <w:rsid w:val="006A5F5B"/>
    <w:rsid w:val="006B1DA3"/>
    <w:rsid w:val="006C77A9"/>
    <w:rsid w:val="006F6693"/>
    <w:rsid w:val="00707FE8"/>
    <w:rsid w:val="00724962"/>
    <w:rsid w:val="00724A0F"/>
    <w:rsid w:val="0073072C"/>
    <w:rsid w:val="007320B4"/>
    <w:rsid w:val="00732162"/>
    <w:rsid w:val="00736732"/>
    <w:rsid w:val="00750CBE"/>
    <w:rsid w:val="00766B5A"/>
    <w:rsid w:val="0078201C"/>
    <w:rsid w:val="007834F2"/>
    <w:rsid w:val="0078399B"/>
    <w:rsid w:val="00791020"/>
    <w:rsid w:val="007A5F82"/>
    <w:rsid w:val="007B75A4"/>
    <w:rsid w:val="007D3128"/>
    <w:rsid w:val="007F1A4C"/>
    <w:rsid w:val="007F6F16"/>
    <w:rsid w:val="008022C3"/>
    <w:rsid w:val="008041E6"/>
    <w:rsid w:val="008065D2"/>
    <w:rsid w:val="008154C5"/>
    <w:rsid w:val="0082194C"/>
    <w:rsid w:val="008220C4"/>
    <w:rsid w:val="008222FF"/>
    <w:rsid w:val="008241FF"/>
    <w:rsid w:val="008411E9"/>
    <w:rsid w:val="0084200F"/>
    <w:rsid w:val="00843B2C"/>
    <w:rsid w:val="008471C4"/>
    <w:rsid w:val="00874827"/>
    <w:rsid w:val="008A4900"/>
    <w:rsid w:val="008D0281"/>
    <w:rsid w:val="008E3C4E"/>
    <w:rsid w:val="008F4322"/>
    <w:rsid w:val="008F6D45"/>
    <w:rsid w:val="00974670"/>
    <w:rsid w:val="009834C0"/>
    <w:rsid w:val="00984C95"/>
    <w:rsid w:val="00986AAC"/>
    <w:rsid w:val="00994708"/>
    <w:rsid w:val="009A1DA2"/>
    <w:rsid w:val="009A3704"/>
    <w:rsid w:val="009A4739"/>
    <w:rsid w:val="009A674F"/>
    <w:rsid w:val="009B180A"/>
    <w:rsid w:val="009B199C"/>
    <w:rsid w:val="009B54C8"/>
    <w:rsid w:val="009B61F1"/>
    <w:rsid w:val="009B62E0"/>
    <w:rsid w:val="009C0B4D"/>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015A2"/>
    <w:rsid w:val="00B10154"/>
    <w:rsid w:val="00B81B44"/>
    <w:rsid w:val="00B84941"/>
    <w:rsid w:val="00B9053B"/>
    <w:rsid w:val="00BA2507"/>
    <w:rsid w:val="00BC3422"/>
    <w:rsid w:val="00C015B9"/>
    <w:rsid w:val="00C022F9"/>
    <w:rsid w:val="00C032EA"/>
    <w:rsid w:val="00C06EB5"/>
    <w:rsid w:val="00C1145F"/>
    <w:rsid w:val="00C61AF8"/>
    <w:rsid w:val="00C637E1"/>
    <w:rsid w:val="00C70D50"/>
    <w:rsid w:val="00C8243E"/>
    <w:rsid w:val="00C907D7"/>
    <w:rsid w:val="00C92338"/>
    <w:rsid w:val="00CA7C3A"/>
    <w:rsid w:val="00CC2DB2"/>
    <w:rsid w:val="00CD0307"/>
    <w:rsid w:val="00CD3D1B"/>
    <w:rsid w:val="00CE62B3"/>
    <w:rsid w:val="00CF3238"/>
    <w:rsid w:val="00CF7DCA"/>
    <w:rsid w:val="00D05AC3"/>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47657"/>
    <w:rsid w:val="00E47FE4"/>
    <w:rsid w:val="00E71BDF"/>
    <w:rsid w:val="00E83CA7"/>
    <w:rsid w:val="00EC171D"/>
    <w:rsid w:val="00ED487E"/>
    <w:rsid w:val="00EE1513"/>
    <w:rsid w:val="00EE7A0D"/>
    <w:rsid w:val="00EF0D21"/>
    <w:rsid w:val="00F17CE1"/>
    <w:rsid w:val="00F2115C"/>
    <w:rsid w:val="00F22ABA"/>
    <w:rsid w:val="00F25405"/>
    <w:rsid w:val="00F36B12"/>
    <w:rsid w:val="00F417C3"/>
    <w:rsid w:val="00F60F9F"/>
    <w:rsid w:val="00F64F08"/>
    <w:rsid w:val="00F734F5"/>
    <w:rsid w:val="00F966B1"/>
    <w:rsid w:val="00F97D48"/>
    <w:rsid w:val="00FA0311"/>
    <w:rsid w:val="00FC42E5"/>
    <w:rsid w:val="00FC6D3A"/>
    <w:rsid w:val="00FD640F"/>
    <w:rsid w:val="00FD6B4C"/>
    <w:rsid w:val="00FD6BE9"/>
    <w:rsid w:val="00FE761A"/>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A043"/>
  <w15:docId w15:val="{3E73E898-D78D-49B3-A7AA-6BFC143F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12"/>
    <w:pPr>
      <w:spacing w:before="160" w:after="100"/>
    </w:pPr>
    <w:rPr>
      <w:spacing w:val="2"/>
    </w:rPr>
  </w:style>
  <w:style w:type="paragraph" w:styleId="Heading1">
    <w:name w:val="heading 1"/>
    <w:next w:val="Normal"/>
    <w:link w:val="Heading1Char"/>
    <w:qFormat/>
    <w:rsid w:val="004C7112"/>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4C7112"/>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4C7112"/>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4C7112"/>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4C71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C711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4C711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4C711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4C7112"/>
    <w:pPr>
      <w:tabs>
        <w:tab w:val="right" w:leader="dot" w:pos="9000"/>
      </w:tabs>
      <w:ind w:right="432"/>
    </w:pPr>
    <w:rPr>
      <w:sz w:val="24"/>
      <w:szCs w:val="24"/>
    </w:rPr>
  </w:style>
  <w:style w:type="paragraph" w:styleId="TOC2">
    <w:name w:val="toc 2"/>
    <w:next w:val="Normal"/>
    <w:uiPriority w:val="39"/>
    <w:rsid w:val="004C711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4C711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4C7112"/>
    <w:pPr>
      <w:spacing w:after="60" w:line="240" w:lineRule="auto"/>
    </w:pPr>
    <w:rPr>
      <w:sz w:val="16"/>
    </w:rPr>
  </w:style>
  <w:style w:type="paragraph" w:styleId="Index2">
    <w:name w:val="index 2"/>
    <w:basedOn w:val="Normal"/>
    <w:next w:val="Normal"/>
    <w:uiPriority w:val="99"/>
    <w:semiHidden/>
    <w:rsid w:val="004C7112"/>
    <w:pPr>
      <w:spacing w:after="0" w:line="240" w:lineRule="auto"/>
      <w:ind w:left="216"/>
    </w:pPr>
    <w:rPr>
      <w:sz w:val="16"/>
      <w:szCs w:val="16"/>
    </w:rPr>
  </w:style>
  <w:style w:type="character" w:styleId="Hyperlink">
    <w:name w:val="Hyperlink"/>
    <w:basedOn w:val="DefaultParagraphFont"/>
    <w:uiPriority w:val="99"/>
    <w:rsid w:val="004C7112"/>
    <w:rPr>
      <w:color w:val="53565A" w:themeColor="hyperlink"/>
      <w:u w:val="none"/>
    </w:rPr>
  </w:style>
  <w:style w:type="character" w:customStyle="1" w:styleId="Heading1Char">
    <w:name w:val="Heading 1 Char"/>
    <w:basedOn w:val="DefaultParagraphFont"/>
    <w:link w:val="Heading1"/>
    <w:rsid w:val="004C7112"/>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4C7112"/>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4C7112"/>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4C7112"/>
    <w:pPr>
      <w:numPr>
        <w:ilvl w:val="1"/>
      </w:numPr>
    </w:pPr>
  </w:style>
  <w:style w:type="paragraph" w:customStyle="1" w:styleId="Bulletindent">
    <w:name w:val="Bullet indent"/>
    <w:basedOn w:val="Bullet2"/>
    <w:uiPriority w:val="9"/>
    <w:qFormat/>
    <w:rsid w:val="004C7112"/>
    <w:pPr>
      <w:numPr>
        <w:ilvl w:val="2"/>
      </w:numPr>
    </w:pPr>
  </w:style>
  <w:style w:type="paragraph" w:customStyle="1" w:styleId="Heading1numbered">
    <w:name w:val="Heading 1 numbered"/>
    <w:basedOn w:val="Heading1"/>
    <w:next w:val="NormalIndent"/>
    <w:uiPriority w:val="8"/>
    <w:qFormat/>
    <w:rsid w:val="004C7112"/>
    <w:pPr>
      <w:numPr>
        <w:ilvl w:val="2"/>
        <w:numId w:val="4"/>
      </w:numPr>
    </w:pPr>
  </w:style>
  <w:style w:type="paragraph" w:customStyle="1" w:styleId="Heading2numbered">
    <w:name w:val="Heading 2 numbered"/>
    <w:basedOn w:val="Heading2"/>
    <w:next w:val="NormalIndent"/>
    <w:uiPriority w:val="8"/>
    <w:qFormat/>
    <w:rsid w:val="004C7112"/>
    <w:pPr>
      <w:numPr>
        <w:ilvl w:val="3"/>
        <w:numId w:val="4"/>
      </w:numPr>
    </w:pPr>
  </w:style>
  <w:style w:type="paragraph" w:customStyle="1" w:styleId="Heading3numbered">
    <w:name w:val="Heading 3 numbered"/>
    <w:basedOn w:val="Heading3"/>
    <w:next w:val="NormalIndent"/>
    <w:uiPriority w:val="8"/>
    <w:qFormat/>
    <w:rsid w:val="004C7112"/>
    <w:pPr>
      <w:numPr>
        <w:ilvl w:val="4"/>
        <w:numId w:val="4"/>
      </w:numPr>
    </w:pPr>
  </w:style>
  <w:style w:type="character" w:customStyle="1" w:styleId="Heading3Char">
    <w:name w:val="Heading 3 Char"/>
    <w:basedOn w:val="DefaultParagraphFont"/>
    <w:link w:val="Heading3"/>
    <w:rsid w:val="004C7112"/>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4C7112"/>
    <w:pPr>
      <w:numPr>
        <w:ilvl w:val="5"/>
        <w:numId w:val="4"/>
      </w:numPr>
    </w:pPr>
  </w:style>
  <w:style w:type="character" w:customStyle="1" w:styleId="Heading4Char">
    <w:name w:val="Heading 4 Char"/>
    <w:basedOn w:val="DefaultParagraphFont"/>
    <w:link w:val="Heading4"/>
    <w:rsid w:val="004C711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4C7112"/>
    <w:pPr>
      <w:spacing w:line="252" w:lineRule="auto"/>
      <w:ind w:left="792"/>
    </w:pPr>
  </w:style>
  <w:style w:type="paragraph" w:customStyle="1" w:styleId="NoteNormal">
    <w:name w:val="Note Normal"/>
    <w:basedOn w:val="Normal"/>
    <w:rsid w:val="004C711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4C7112"/>
    <w:pPr>
      <w:spacing w:before="0" w:after="0" w:line="120" w:lineRule="atLeast"/>
    </w:pPr>
    <w:rPr>
      <w:rFonts w:eastAsia="Times New Roman" w:cs="Calibri"/>
      <w:spacing w:val="0"/>
      <w:sz w:val="10"/>
      <w:szCs w:val="22"/>
    </w:rPr>
  </w:style>
  <w:style w:type="paragraph" w:styleId="Subtitle">
    <w:name w:val="Subtitle"/>
    <w:link w:val="SubtitleChar"/>
    <w:uiPriority w:val="98"/>
    <w:rsid w:val="004C7112"/>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4C711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4C7112"/>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4C7112"/>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4C7112"/>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4C7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12"/>
    <w:rPr>
      <w:rFonts w:ascii="Tahoma" w:hAnsi="Tahoma" w:cs="Tahoma"/>
      <w:spacing w:val="2"/>
      <w:sz w:val="16"/>
      <w:szCs w:val="16"/>
    </w:rPr>
  </w:style>
  <w:style w:type="paragraph" w:customStyle="1" w:styleId="Bulletindent2">
    <w:name w:val="Bullet indent 2"/>
    <w:basedOn w:val="Normal"/>
    <w:uiPriority w:val="9"/>
    <w:qFormat/>
    <w:rsid w:val="004C7112"/>
    <w:pPr>
      <w:numPr>
        <w:ilvl w:val="3"/>
        <w:numId w:val="1"/>
      </w:numPr>
      <w:spacing w:before="100"/>
      <w:contextualSpacing/>
    </w:pPr>
  </w:style>
  <w:style w:type="paragraph" w:styleId="IndexHeading">
    <w:name w:val="index heading"/>
    <w:basedOn w:val="Normal"/>
    <w:next w:val="Index1"/>
    <w:uiPriority w:val="99"/>
    <w:semiHidden/>
    <w:rsid w:val="004C7112"/>
    <w:rPr>
      <w:rFonts w:asciiTheme="majorHAnsi" w:eastAsiaTheme="majorEastAsia" w:hAnsiTheme="majorHAnsi" w:cstheme="majorBidi"/>
      <w:b/>
      <w:bCs/>
    </w:rPr>
  </w:style>
  <w:style w:type="paragraph" w:styleId="Header">
    <w:name w:val="header"/>
    <w:basedOn w:val="Normal"/>
    <w:link w:val="HeaderChar"/>
    <w:uiPriority w:val="99"/>
    <w:semiHidden/>
    <w:rsid w:val="004C7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112"/>
    <w:rPr>
      <w:spacing w:val="2"/>
    </w:rPr>
  </w:style>
  <w:style w:type="paragraph" w:styleId="Footer">
    <w:name w:val="footer"/>
    <w:basedOn w:val="Normal"/>
    <w:link w:val="FooterChar"/>
    <w:uiPriority w:val="24"/>
    <w:rsid w:val="004C711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4C7112"/>
    <w:rPr>
      <w:noProof/>
      <w:spacing w:val="2"/>
      <w:sz w:val="18"/>
      <w:szCs w:val="18"/>
    </w:rPr>
  </w:style>
  <w:style w:type="character" w:styleId="PageNumber">
    <w:name w:val="page number"/>
    <w:uiPriority w:val="49"/>
    <w:semiHidden/>
    <w:rsid w:val="004C7112"/>
    <w:rPr>
      <w:b w:val="0"/>
      <w:color w:val="000000" w:themeColor="text1"/>
    </w:rPr>
  </w:style>
  <w:style w:type="paragraph" w:styleId="TOCHeading">
    <w:name w:val="TOC Heading"/>
    <w:basedOn w:val="Heading1"/>
    <w:next w:val="Normal"/>
    <w:uiPriority w:val="39"/>
    <w:rsid w:val="004C7112"/>
    <w:pPr>
      <w:spacing w:before="480" w:after="720"/>
      <w:outlineLvl w:val="9"/>
    </w:pPr>
    <w:rPr>
      <w:spacing w:val="2"/>
    </w:rPr>
  </w:style>
  <w:style w:type="paragraph" w:customStyle="1" w:styleId="NormalTight">
    <w:name w:val="Normal Tight"/>
    <w:uiPriority w:val="99"/>
    <w:semiHidden/>
    <w:rsid w:val="004C711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4C711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4C7112"/>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4C7112"/>
    <w:pPr>
      <w:spacing w:before="5800"/>
      <w:ind w:right="1382"/>
    </w:pPr>
  </w:style>
  <w:style w:type="paragraph" w:styleId="TOC4">
    <w:name w:val="toc 4"/>
    <w:basedOn w:val="TOC1"/>
    <w:next w:val="Normal"/>
    <w:uiPriority w:val="39"/>
    <w:rsid w:val="004C7112"/>
    <w:pPr>
      <w:ind w:left="450" w:hanging="450"/>
    </w:pPr>
    <w:rPr>
      <w:noProof/>
      <w:lang w:eastAsia="en-US"/>
    </w:rPr>
  </w:style>
  <w:style w:type="paragraph" w:styleId="TOC5">
    <w:name w:val="toc 5"/>
    <w:basedOn w:val="TOC2"/>
    <w:next w:val="Normal"/>
    <w:uiPriority w:val="39"/>
    <w:rsid w:val="004C7112"/>
    <w:pPr>
      <w:ind w:left="1080" w:hanging="634"/>
    </w:pPr>
    <w:rPr>
      <w:lang w:eastAsia="en-US"/>
    </w:rPr>
  </w:style>
  <w:style w:type="paragraph" w:styleId="TOC6">
    <w:name w:val="toc 6"/>
    <w:basedOn w:val="TOC3"/>
    <w:next w:val="Normal"/>
    <w:uiPriority w:val="39"/>
    <w:rsid w:val="004C7112"/>
    <w:pPr>
      <w:ind w:left="1800" w:hanging="720"/>
    </w:pPr>
    <w:rPr>
      <w:lang w:eastAsia="en-US"/>
    </w:rPr>
  </w:style>
  <w:style w:type="table" w:customStyle="1" w:styleId="DTFtexttable">
    <w:name w:val="DTF text table"/>
    <w:basedOn w:val="TableGrid"/>
    <w:uiPriority w:val="99"/>
    <w:rsid w:val="004C711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C7112"/>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4C7112"/>
    <w:pPr>
      <w:spacing w:before="60" w:after="60" w:line="264" w:lineRule="auto"/>
    </w:pPr>
    <w:rPr>
      <w:sz w:val="17"/>
    </w:rPr>
  </w:style>
  <w:style w:type="paragraph" w:customStyle="1" w:styleId="Tabletextright">
    <w:name w:val="Table text right"/>
    <w:basedOn w:val="Tabletext"/>
    <w:uiPriority w:val="5"/>
    <w:qFormat/>
    <w:rsid w:val="004C7112"/>
    <w:pPr>
      <w:jc w:val="right"/>
    </w:pPr>
  </w:style>
  <w:style w:type="paragraph" w:customStyle="1" w:styleId="Listnumindent2">
    <w:name w:val="List num indent 2"/>
    <w:basedOn w:val="Normal"/>
    <w:uiPriority w:val="9"/>
    <w:qFormat/>
    <w:rsid w:val="004C7112"/>
    <w:pPr>
      <w:numPr>
        <w:ilvl w:val="7"/>
        <w:numId w:val="4"/>
      </w:numPr>
      <w:spacing w:before="100"/>
      <w:contextualSpacing/>
    </w:pPr>
  </w:style>
  <w:style w:type="paragraph" w:customStyle="1" w:styleId="Listnumindent">
    <w:name w:val="List num indent"/>
    <w:basedOn w:val="Normal"/>
    <w:uiPriority w:val="9"/>
    <w:qFormat/>
    <w:rsid w:val="004C7112"/>
    <w:pPr>
      <w:numPr>
        <w:ilvl w:val="6"/>
        <w:numId w:val="4"/>
      </w:numPr>
      <w:spacing w:before="100"/>
    </w:pPr>
  </w:style>
  <w:style w:type="paragraph" w:customStyle="1" w:styleId="Listnum">
    <w:name w:val="List num"/>
    <w:basedOn w:val="Normal"/>
    <w:uiPriority w:val="1"/>
    <w:qFormat/>
    <w:rsid w:val="004C7112"/>
    <w:pPr>
      <w:numPr>
        <w:numId w:val="4"/>
      </w:numPr>
    </w:pPr>
  </w:style>
  <w:style w:type="paragraph" w:customStyle="1" w:styleId="Listnum2">
    <w:name w:val="List num 2"/>
    <w:basedOn w:val="Normal"/>
    <w:uiPriority w:val="1"/>
    <w:qFormat/>
    <w:rsid w:val="004C7112"/>
    <w:pPr>
      <w:numPr>
        <w:ilvl w:val="1"/>
        <w:numId w:val="4"/>
      </w:numPr>
    </w:pPr>
  </w:style>
  <w:style w:type="paragraph" w:customStyle="1" w:styleId="Tabletextcentred">
    <w:name w:val="Table text centred"/>
    <w:basedOn w:val="Tabletext"/>
    <w:uiPriority w:val="5"/>
    <w:qFormat/>
    <w:rsid w:val="004C7112"/>
    <w:pPr>
      <w:jc w:val="center"/>
    </w:pPr>
  </w:style>
  <w:style w:type="paragraph" w:customStyle="1" w:styleId="Tableheader">
    <w:name w:val="Table header"/>
    <w:basedOn w:val="Tabletext"/>
    <w:uiPriority w:val="5"/>
    <w:qFormat/>
    <w:rsid w:val="004C711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4C7112"/>
    <w:pPr>
      <w:numPr>
        <w:numId w:val="17"/>
      </w:numPr>
    </w:pPr>
  </w:style>
  <w:style w:type="paragraph" w:customStyle="1" w:styleId="Tabledash">
    <w:name w:val="Table dash"/>
    <w:basedOn w:val="Tablebullet"/>
    <w:uiPriority w:val="6"/>
    <w:rsid w:val="004C7112"/>
    <w:pPr>
      <w:numPr>
        <w:ilvl w:val="1"/>
      </w:numPr>
    </w:pPr>
  </w:style>
  <w:style w:type="paragraph" w:customStyle="1" w:styleId="Tabletextindent">
    <w:name w:val="Table text indent"/>
    <w:basedOn w:val="Tabletext"/>
    <w:uiPriority w:val="5"/>
    <w:qFormat/>
    <w:rsid w:val="004C7112"/>
    <w:pPr>
      <w:ind w:left="288"/>
    </w:pPr>
  </w:style>
  <w:style w:type="paragraph" w:customStyle="1" w:styleId="Numpara">
    <w:name w:val="Num para"/>
    <w:basedOn w:val="ListParagraph"/>
    <w:uiPriority w:val="2"/>
    <w:qFormat/>
    <w:rsid w:val="004C7112"/>
    <w:pPr>
      <w:numPr>
        <w:numId w:val="19"/>
      </w:numPr>
      <w:tabs>
        <w:tab w:val="left" w:pos="540"/>
      </w:tabs>
    </w:pPr>
  </w:style>
  <w:style w:type="paragraph" w:styleId="ListParagraph">
    <w:name w:val="List Paragraph"/>
    <w:basedOn w:val="Normal"/>
    <w:uiPriority w:val="34"/>
    <w:semiHidden/>
    <w:qFormat/>
    <w:rsid w:val="004C7112"/>
    <w:pPr>
      <w:ind w:left="720"/>
      <w:contextualSpacing/>
    </w:pPr>
  </w:style>
  <w:style w:type="paragraph" w:customStyle="1" w:styleId="Tablechartdiagramheading">
    <w:name w:val="Table/chart/diagram heading"/>
    <w:uiPriority w:val="4"/>
    <w:qFormat/>
    <w:rsid w:val="004C7112"/>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4C7112"/>
    <w:pPr>
      <w:spacing w:before="0" w:after="0" w:line="240" w:lineRule="auto"/>
    </w:pPr>
    <w:rPr>
      <w:sz w:val="17"/>
    </w:rPr>
  </w:style>
  <w:style w:type="character" w:customStyle="1" w:styleId="FootnoteTextChar">
    <w:name w:val="Footnote Text Char"/>
    <w:basedOn w:val="DefaultParagraphFont"/>
    <w:link w:val="FootnoteText"/>
    <w:uiPriority w:val="99"/>
    <w:semiHidden/>
    <w:rsid w:val="004C7112"/>
    <w:rPr>
      <w:spacing w:val="2"/>
      <w:sz w:val="17"/>
    </w:rPr>
  </w:style>
  <w:style w:type="character" w:styleId="FootnoteReference">
    <w:name w:val="footnote reference"/>
    <w:basedOn w:val="DefaultParagraphFont"/>
    <w:uiPriority w:val="99"/>
    <w:semiHidden/>
    <w:rsid w:val="004C7112"/>
    <w:rPr>
      <w:vertAlign w:val="superscript"/>
    </w:rPr>
  </w:style>
  <w:style w:type="table" w:customStyle="1" w:styleId="DTFfinancialtableindent">
    <w:name w:val="DTF financial table indent"/>
    <w:basedOn w:val="DTFfinancialtable"/>
    <w:uiPriority w:val="99"/>
    <w:rsid w:val="004C7112"/>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4C711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4C7112"/>
    <w:pPr>
      <w:numPr>
        <w:ilvl w:val="8"/>
        <w:numId w:val="4"/>
      </w:numPr>
      <w:tabs>
        <w:tab w:val="clear" w:pos="540"/>
      </w:tabs>
    </w:pPr>
  </w:style>
  <w:style w:type="paragraph" w:customStyle="1" w:styleId="Tablenum1">
    <w:name w:val="Table num 1"/>
    <w:basedOn w:val="Normal"/>
    <w:uiPriority w:val="6"/>
    <w:rsid w:val="004C7112"/>
    <w:pPr>
      <w:numPr>
        <w:ilvl w:val="2"/>
        <w:numId w:val="17"/>
      </w:numPr>
    </w:pPr>
    <w:rPr>
      <w:sz w:val="17"/>
    </w:rPr>
  </w:style>
  <w:style w:type="paragraph" w:customStyle="1" w:styleId="Tablenum2">
    <w:name w:val="Table num 2"/>
    <w:basedOn w:val="Normal"/>
    <w:uiPriority w:val="6"/>
    <w:rsid w:val="004C7112"/>
    <w:pPr>
      <w:numPr>
        <w:ilvl w:val="3"/>
        <w:numId w:val="17"/>
      </w:numPr>
    </w:pPr>
    <w:rPr>
      <w:sz w:val="17"/>
    </w:rPr>
  </w:style>
  <w:style w:type="paragraph" w:customStyle="1" w:styleId="NoteNormalindent">
    <w:name w:val="Note Normal indent"/>
    <w:basedOn w:val="NoteNormal"/>
    <w:uiPriority w:val="8"/>
    <w:rsid w:val="004C7112"/>
    <w:pPr>
      <w:ind w:left="792"/>
    </w:pPr>
  </w:style>
  <w:style w:type="paragraph" w:styleId="Caption">
    <w:name w:val="caption"/>
    <w:basedOn w:val="Normal"/>
    <w:next w:val="Normal"/>
    <w:uiPriority w:val="35"/>
    <w:rsid w:val="004C7112"/>
    <w:pPr>
      <w:spacing w:before="0" w:after="200" w:line="240" w:lineRule="auto"/>
    </w:pPr>
    <w:rPr>
      <w:b/>
      <w:bCs/>
      <w:color w:val="383834" w:themeColor="background2" w:themeShade="40"/>
      <w:sz w:val="18"/>
      <w:szCs w:val="18"/>
    </w:rPr>
  </w:style>
  <w:style w:type="paragraph" w:customStyle="1" w:styleId="Tabletextrightbold">
    <w:name w:val="Table text right bold"/>
    <w:basedOn w:val="Tabletextright"/>
    <w:qFormat/>
    <w:rsid w:val="004C7112"/>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6651-7DE7-4864-9318-405567BC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Jin Zhang (DTF)</cp:lastModifiedBy>
  <cp:revision>50</cp:revision>
  <cp:lastPrinted>2018-09-25T07:13:00Z</cp:lastPrinted>
  <dcterms:created xsi:type="dcterms:W3CDTF">2018-01-28T21:45:00Z</dcterms:created>
  <dcterms:modified xsi:type="dcterms:W3CDTF">2018-11-28T05:35:00Z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
    <vt:lpwstr>Do Not Mark</vt:lpwstr>
  </property>
</Properties>
</file>