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442780672"/>
    <w:p w14:paraId="1AECF9FF" w14:textId="3EEFAA15" w:rsidR="00720745" w:rsidRPr="00EE7706" w:rsidRDefault="00DE30CA" w:rsidP="00720745">
      <w:pPr>
        <w:pStyle w:val="Title"/>
        <w:spacing w:before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5CB64F" wp14:editId="1B08C8D3">
                <wp:simplePos x="0" y="0"/>
                <wp:positionH relativeFrom="page">
                  <wp:align>left</wp:align>
                </wp:positionH>
                <wp:positionV relativeFrom="paragraph">
                  <wp:posOffset>-512618</wp:posOffset>
                </wp:positionV>
                <wp:extent cx="5191125" cy="3667125"/>
                <wp:effectExtent l="0" t="0" r="9525" b="9525"/>
                <wp:wrapNone/>
                <wp:docPr id="1" name="Page bann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667125"/>
                          <a:chOff x="0" y="0"/>
                          <a:chExt cx="5200762" cy="2962179"/>
                        </a:xfrm>
                      </wpg:grpSpPr>
                      <wps:wsp>
                        <wps:cNvPr id="10" name="Shape 2"/>
                        <wps:cNvSpPr/>
                        <wps:spPr>
                          <a:xfrm>
                            <a:off x="0" y="10633"/>
                            <a:ext cx="5200762" cy="2951546"/>
                          </a:xfrm>
                          <a:custGeom>
                            <a:avLst/>
                            <a:gdLst>
                              <a:gd name="connsiteX0" fmla="*/ 3875056 w 3875055"/>
                              <a:gd name="connsiteY0" fmla="*/ 2201513 h 2201513"/>
                              <a:gd name="connsiteX1" fmla="*/ 2834449 w 3875055"/>
                              <a:gd name="connsiteY1" fmla="*/ 0 h 2201513"/>
                              <a:gd name="connsiteX2" fmla="*/ 0 w 3875055"/>
                              <a:gd name="connsiteY2" fmla="*/ 0 h 2201513"/>
                              <a:gd name="connsiteX3" fmla="*/ 0 w 3875055"/>
                              <a:gd name="connsiteY3" fmla="*/ 2201513 h 2201513"/>
                              <a:gd name="connsiteX4" fmla="*/ 3875056 w 3875055"/>
                              <a:gd name="connsiteY4" fmla="*/ 2201513 h 22015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75055" h="2201513">
                                <a:moveTo>
                                  <a:pt x="3875056" y="2201513"/>
                                </a:moveTo>
                                <a:lnTo>
                                  <a:pt x="2834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1513"/>
                                </a:lnTo>
                                <a:lnTo>
                                  <a:pt x="3875056" y="2201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hape 1"/>
                        <wps:cNvSpPr/>
                        <wps:spPr>
                          <a:xfrm>
                            <a:off x="0" y="0"/>
                            <a:ext cx="4229846" cy="2697677"/>
                          </a:xfrm>
                          <a:custGeom>
                            <a:avLst/>
                            <a:gdLst>
                              <a:gd name="connsiteX0" fmla="*/ 3151632 w 3151632"/>
                              <a:gd name="connsiteY0" fmla="*/ 2012156 h 2012156"/>
                              <a:gd name="connsiteX1" fmla="*/ 3151632 w 3151632"/>
                              <a:gd name="connsiteY1" fmla="*/ 0 h 2012156"/>
                              <a:gd name="connsiteX2" fmla="*/ 0 w 3151632"/>
                              <a:gd name="connsiteY2" fmla="*/ 0 h 2012156"/>
                              <a:gd name="connsiteX3" fmla="*/ 0 w 3151632"/>
                              <a:gd name="connsiteY3" fmla="*/ 1112520 h 2012156"/>
                              <a:gd name="connsiteX4" fmla="*/ 425291 w 3151632"/>
                              <a:gd name="connsiteY4" fmla="*/ 2012156 h 2012156"/>
                              <a:gd name="connsiteX5" fmla="*/ 3151632 w 3151632"/>
                              <a:gd name="connsiteY5" fmla="*/ 2012156 h 20121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151632" h="2012156">
                                <a:moveTo>
                                  <a:pt x="3151632" y="2012156"/>
                                </a:moveTo>
                                <a:lnTo>
                                  <a:pt x="3151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2520"/>
                                </a:lnTo>
                                <a:lnTo>
                                  <a:pt x="425291" y="2012156"/>
                                </a:lnTo>
                                <a:lnTo>
                                  <a:pt x="3151632" y="2012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Line"/>
                        <wps:cNvCnPr/>
                        <wps:spPr>
                          <a:xfrm flipV="1">
                            <a:off x="2849526" y="1582036"/>
                            <a:ext cx="99076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E3D29" id="Page banner" o:spid="_x0000_s1026" alt="&quot;&quot;" style="position:absolute;margin-left:0;margin-top:-40.35pt;width:408.75pt;height:288.75pt;z-index:-251658240;mso-position-horizontal:left;mso-position-horizontal-relative:page;mso-width-relative:margin;mso-height-relative:margin" coordsize="52007,2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">
                <v:shape id="Shape 2" o:spid="_x0000_s1027" style="position:absolute;top:106;width:52007;height:29515;visibility:visible;mso-wrap-style:square;v-text-anchor:middle" coordsize="3875055,220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" path="m3875056,2201513l2834449,,,,,2201513r3875056,xe" fillcolor="#00bac7 [3204]" stroked="f">
                  <v:stroke joinstyle="miter"/>
                  <v:path arrowok="t" o:connecttype="custom" o:connectlocs="5200763,2951546;3804151,0;0,0;0,2951546;5200763,2951546" o:connectangles="0,0,0,0,0"/>
                </v:shape>
                <v:shape id="Shape 1" o:spid="_x0000_s1028" style="position:absolute;width:42298;height:26976;visibility:visible;mso-wrap-style:square;v-text-anchor:middle" coordsize="3151632,201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" path="m3151632,2012156l3151632,,,,,1112520r425291,899636l3151632,2012156xe" fillcolor="#232b39 [3213]" stroked="f">
                  <v:stroke joinstyle="miter"/>
                  <v:path arrowok="t" o:connecttype="custom" o:connectlocs="4229846,2697677;4229846,0;0,0;0,1491544;570789,2697677;4229846,2697677" o:connectangles="0,0,0,0,0,0"/>
                </v:shape>
                <v:line id="Line" o:spid="_x0000_s1029" style="position:absolute;flip:y;visibility:visible;mso-wrap-style:square" from="28495,15820" to="38402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" strokecolor="#00bac7 [3204]" strokeweight="4.5pt"/>
                <w10:wrap anchorx="page"/>
              </v:group>
            </w:pict>
          </mc:Fallback>
        </mc:AlternateContent>
      </w:r>
      <w:r w:rsidR="00277D6C">
        <w:rPr>
          <w:noProof/>
        </w:rPr>
        <w:t>Co-design an</w:t>
      </w:r>
      <w:r w:rsidR="009A1C96">
        <w:rPr>
          <w:noProof/>
        </w:rPr>
        <w:t>d</w:t>
      </w:r>
      <w:r w:rsidR="00277D6C">
        <w:rPr>
          <w:noProof/>
        </w:rPr>
        <w:t xml:space="preserve"> </w:t>
      </w:r>
      <w:r w:rsidR="00C55407">
        <w:rPr>
          <w:noProof/>
        </w:rPr>
        <w:t>the Early Intervention Investment Framework</w:t>
      </w:r>
    </w:p>
    <w:p w14:paraId="26A0ABA5" w14:textId="77777777" w:rsidR="003B4996" w:rsidRPr="00125514" w:rsidRDefault="00277D6C" w:rsidP="003B4996">
      <w:pPr>
        <w:pStyle w:val="Subtitle"/>
      </w:pPr>
      <w:r>
        <w:t>guidance paper</w:t>
      </w:r>
    </w:p>
    <w:p w14:paraId="5689346E" w14:textId="77777777" w:rsidR="00AD4251" w:rsidRPr="007B141C" w:rsidRDefault="00AD4251" w:rsidP="00C52260">
      <w:pPr>
        <w:pStyle w:val="CM"/>
        <w:shd w:val="clear" w:color="auto" w:fill="232B39" w:themeFill="text1"/>
        <w:spacing w:after="1400"/>
      </w:pPr>
    </w:p>
    <w:p w14:paraId="571C0B44" w14:textId="77777777" w:rsidR="00822DEC" w:rsidRDefault="00822DEC" w:rsidP="0096774E">
      <w:pPr>
        <w:pStyle w:val="Heading1"/>
        <w:sectPr w:rsidR="00822DEC" w:rsidSect="00FC07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11" w:right="936" w:bottom="1162" w:left="936" w:header="448" w:footer="459" w:gutter="0"/>
          <w:cols w:space="708"/>
          <w:titlePg/>
          <w:docGrid w:linePitch="360"/>
        </w:sectPr>
      </w:pPr>
    </w:p>
    <w:p w14:paraId="69E9020C" w14:textId="43E6FA08" w:rsidR="00045296" w:rsidRDefault="00277D6C" w:rsidP="00FF23B0">
      <w:pPr>
        <w:pStyle w:val="Heading1"/>
        <w:spacing w:line="240" w:lineRule="auto"/>
      </w:pPr>
      <w:r>
        <w:t>Introduction</w:t>
      </w:r>
    </w:p>
    <w:p w14:paraId="65398184" w14:textId="77777777" w:rsidR="00BE2B45" w:rsidRDefault="00BE2B45" w:rsidP="00BE2B45">
      <w:pPr>
        <w:pStyle w:val="Heading1"/>
        <w:sectPr w:rsidR="00BE2B45" w:rsidSect="00C632CE">
          <w:headerReference w:type="default" r:id="rId18"/>
          <w:footerReference w:type="default" r:id="rId19"/>
          <w:footerReference w:type="first" r:id="rId20"/>
          <w:type w:val="continuous"/>
          <w:pgSz w:w="11906" w:h="16838" w:code="9"/>
          <w:pgMar w:top="810" w:right="936" w:bottom="1728" w:left="936" w:header="450" w:footer="461" w:gutter="0"/>
          <w:cols w:space="708"/>
          <w:titlePg/>
          <w:docGrid w:linePitch="360"/>
        </w:sectPr>
      </w:pPr>
    </w:p>
    <w:p w14:paraId="475E7CF8" w14:textId="673C5871" w:rsidR="00277D6C" w:rsidRDefault="00277D6C" w:rsidP="00277D6C">
      <w:r>
        <w:t xml:space="preserve">The Department of Treasury and Finance </w:t>
      </w:r>
      <w:r w:rsidR="009B7C6B">
        <w:t xml:space="preserve">(DTF) </w:t>
      </w:r>
      <w:r w:rsidR="00D36E0F">
        <w:t>looks forward to</w:t>
      </w:r>
      <w:r>
        <w:t xml:space="preserve"> more Early Intervention Investment Framework (EIIF) initiatives th</w:t>
      </w:r>
      <w:r w:rsidR="00D36E0F">
        <w:t xml:space="preserve">at are </w:t>
      </w:r>
      <w:r>
        <w:t>co</w:t>
      </w:r>
      <w:r w:rsidR="008806C5">
        <w:noBreakHyphen/>
      </w:r>
      <w:r>
        <w:t>design</w:t>
      </w:r>
      <w:r w:rsidR="00D36E0F">
        <w:t>ed</w:t>
      </w:r>
      <w:r>
        <w:t xml:space="preserve"> between government departments and the </w:t>
      </w:r>
      <w:r w:rsidR="00BA489F">
        <w:t xml:space="preserve">social service </w:t>
      </w:r>
      <w:r>
        <w:t>sector.</w:t>
      </w:r>
    </w:p>
    <w:p w14:paraId="094551E0" w14:textId="566E449E" w:rsidR="0065216E" w:rsidRDefault="00D36E0F" w:rsidP="00D36E0F">
      <w:r w:rsidRPr="00F16DEF">
        <w:t>There</w:t>
      </w:r>
      <w:r>
        <w:t xml:space="preserve"> is a</w:t>
      </w:r>
      <w:r w:rsidRPr="00F16DEF">
        <w:t xml:space="preserve"> growing awareness of the benefits </w:t>
      </w:r>
      <w:r>
        <w:t>of</w:t>
      </w:r>
      <w:r w:rsidRPr="00F16DEF">
        <w:t xml:space="preserve"> involving </w:t>
      </w:r>
      <w:r w:rsidR="00674FFB">
        <w:t xml:space="preserve">service </w:t>
      </w:r>
      <w:r w:rsidR="00ED1F13">
        <w:t>providers in</w:t>
      </w:r>
      <w:r w:rsidRPr="00F16DEF">
        <w:t xml:space="preserve"> policy design</w:t>
      </w:r>
      <w:r>
        <w:t>.</w:t>
      </w:r>
      <w:r w:rsidR="00881E81">
        <w:t xml:space="preserve"> </w:t>
      </w:r>
      <w:r w:rsidR="00674FFB">
        <w:t xml:space="preserve">The Productivity Commission </w:t>
      </w:r>
      <w:r w:rsidR="00ED1F13">
        <w:t>highlights</w:t>
      </w:r>
      <w:r w:rsidR="00674FFB">
        <w:t xml:space="preserve"> that co</w:t>
      </w:r>
      <w:r w:rsidR="00A92EC3">
        <w:noBreakHyphen/>
      </w:r>
      <w:r w:rsidR="00674FFB">
        <w:t xml:space="preserve">designed programs between government and social service agencies are particularly good </w:t>
      </w:r>
      <w:r w:rsidR="00881E81">
        <w:t>at solving</w:t>
      </w:r>
      <w:r w:rsidR="00674FFB">
        <w:t xml:space="preserve"> ‘wicked </w:t>
      </w:r>
      <w:proofErr w:type="gramStart"/>
      <w:r w:rsidR="00674FFB">
        <w:t>problems’</w:t>
      </w:r>
      <w:proofErr w:type="gramEnd"/>
      <w:r w:rsidR="00674FFB">
        <w:t xml:space="preserve"> or long</w:t>
      </w:r>
      <w:r w:rsidR="00E67749">
        <w:t>-</w:t>
      </w:r>
      <w:r w:rsidR="00674FFB">
        <w:t>standing social issues</w:t>
      </w:r>
      <w:r w:rsidR="00245771">
        <w:t>,</w:t>
      </w:r>
      <w:r w:rsidR="00674FFB">
        <w:t xml:space="preserve"> through </w:t>
      </w:r>
      <w:r w:rsidR="00881E81">
        <w:t>greater</w:t>
      </w:r>
      <w:r w:rsidR="00674FFB">
        <w:t xml:space="preserve"> creati</w:t>
      </w:r>
      <w:r w:rsidR="00881E81">
        <w:t>vity, application of expertise</w:t>
      </w:r>
      <w:r w:rsidR="00674FFB">
        <w:t xml:space="preserve"> and innovati</w:t>
      </w:r>
      <w:r w:rsidR="00881E81">
        <w:t>on</w:t>
      </w:r>
      <w:r w:rsidR="00674FFB">
        <w:t>.</w:t>
      </w:r>
      <w:r w:rsidR="00042E70" w:rsidRPr="00042E70">
        <w:rPr>
          <w:vertAlign w:val="superscript"/>
        </w:rPr>
        <w:t>1</w:t>
      </w:r>
      <w:r w:rsidR="0065216E">
        <w:t xml:space="preserve"> </w:t>
      </w:r>
    </w:p>
    <w:p w14:paraId="668653E5" w14:textId="3FB5B1FC" w:rsidR="00ED1F13" w:rsidRDefault="00881E81" w:rsidP="00D36E0F">
      <w:r>
        <w:t xml:space="preserve">The benefits of including lived experience and client voice in policy design </w:t>
      </w:r>
      <w:r w:rsidR="0065216E">
        <w:t>are</w:t>
      </w:r>
      <w:r>
        <w:t xml:space="preserve"> also well </w:t>
      </w:r>
      <w:r w:rsidR="0065216E">
        <w:t xml:space="preserve">advocated, </w:t>
      </w:r>
      <w:r w:rsidR="00245771">
        <w:t xml:space="preserve">and </w:t>
      </w:r>
      <w:r w:rsidR="00934099">
        <w:t xml:space="preserve">their inclusion </w:t>
      </w:r>
      <w:r w:rsidR="00245771">
        <w:t xml:space="preserve">is a growing priority </w:t>
      </w:r>
      <w:r w:rsidR="0065216E">
        <w:t>a</w:t>
      </w:r>
      <w:r>
        <w:t xml:space="preserve">cross many </w:t>
      </w:r>
      <w:r w:rsidR="0065216E">
        <w:t>Victoria</w:t>
      </w:r>
      <w:r w:rsidR="00B87EE1">
        <w:t>n</w:t>
      </w:r>
      <w:r w:rsidR="0065216E">
        <w:t xml:space="preserve"> </w:t>
      </w:r>
      <w:r w:rsidR="00934099">
        <w:t>G</w:t>
      </w:r>
      <w:r w:rsidR="0065216E">
        <w:t xml:space="preserve">overnment </w:t>
      </w:r>
      <w:r>
        <w:t xml:space="preserve">portfolio areas </w:t>
      </w:r>
      <w:r w:rsidR="00EB673E">
        <w:t xml:space="preserve">such as </w:t>
      </w:r>
      <w:r>
        <w:t xml:space="preserve">family violence and </w:t>
      </w:r>
      <w:r w:rsidR="00ED1F13">
        <w:t>mental health.</w:t>
      </w:r>
      <w:r w:rsidR="00042E70" w:rsidRPr="00042E70">
        <w:rPr>
          <w:vertAlign w:val="superscript"/>
        </w:rPr>
        <w:t>2</w:t>
      </w:r>
    </w:p>
    <w:p w14:paraId="65A9403A" w14:textId="30B80CAB" w:rsidR="003E2C71" w:rsidRDefault="0002467B" w:rsidP="00E26AE7">
      <w:r w:rsidRPr="0030358B">
        <w:t xml:space="preserve">As </w:t>
      </w:r>
      <w:r w:rsidR="00773BFA" w:rsidRPr="0030358B">
        <w:t>the</w:t>
      </w:r>
      <w:r w:rsidRPr="0030358B">
        <w:t xml:space="preserve"> collective evidence base </w:t>
      </w:r>
      <w:r w:rsidR="003E2C71" w:rsidRPr="0030358B">
        <w:t xml:space="preserve">on </w:t>
      </w:r>
      <w:r w:rsidR="00D36E0F">
        <w:t>‘</w:t>
      </w:r>
      <w:r w:rsidR="003E2C71" w:rsidRPr="0030358B">
        <w:t xml:space="preserve">what </w:t>
      </w:r>
      <w:proofErr w:type="gramStart"/>
      <w:r w:rsidR="003E2C71" w:rsidRPr="0030358B">
        <w:t>works</w:t>
      </w:r>
      <w:r w:rsidR="00D36E0F">
        <w:t>’</w:t>
      </w:r>
      <w:proofErr w:type="gramEnd"/>
      <w:r w:rsidR="003E2C71" w:rsidRPr="0030358B">
        <w:t xml:space="preserve"> </w:t>
      </w:r>
      <w:r w:rsidR="008D7280" w:rsidRPr="0030358B">
        <w:t xml:space="preserve">grows across social service portfolios, </w:t>
      </w:r>
      <w:r w:rsidR="003E2C71" w:rsidRPr="0030358B">
        <w:t>the potential gains for collaboration between government and service providers on policy ideas ha</w:t>
      </w:r>
      <w:r w:rsidR="00E67749">
        <w:t>ve</w:t>
      </w:r>
      <w:r w:rsidR="003E2C71" w:rsidRPr="0030358B">
        <w:t xml:space="preserve"> never been stronger.</w:t>
      </w:r>
    </w:p>
    <w:p w14:paraId="536781AD" w14:textId="492C68A3" w:rsidR="00042E70" w:rsidRDefault="00840233" w:rsidP="00FF23B0">
      <w:pPr>
        <w:keepLines w:val="0"/>
        <w:rPr>
          <w:rStyle w:val="ui-provider"/>
        </w:rPr>
      </w:pPr>
      <w:r>
        <w:t>In recent years, there have been some strong examples of</w:t>
      </w:r>
      <w:r w:rsidR="00773BFA" w:rsidRPr="00EB283F">
        <w:t xml:space="preserve"> </w:t>
      </w:r>
      <w:r w:rsidR="00773BFA">
        <w:t>effective</w:t>
      </w:r>
      <w:r w:rsidR="00773BFA" w:rsidRPr="00EB283F">
        <w:t xml:space="preserve"> co-design</w:t>
      </w:r>
      <w:r w:rsidR="00773BFA">
        <w:t xml:space="preserve"> </w:t>
      </w:r>
      <w:r>
        <w:t>in early intervention leading to successful outcomes</w:t>
      </w:r>
      <w:r w:rsidR="00773BFA">
        <w:t xml:space="preserve">. </w:t>
      </w:r>
      <w:r w:rsidR="00D767E5">
        <w:t xml:space="preserve">An </w:t>
      </w:r>
      <w:r w:rsidR="005F3A7D">
        <w:t>e</w:t>
      </w:r>
      <w:r>
        <w:t xml:space="preserve">xample </w:t>
      </w:r>
      <w:r w:rsidR="00D767E5">
        <w:rPr>
          <w:rStyle w:val="ui-provider"/>
        </w:rPr>
        <w:t>of this is Sacred Heart Mission's Journey to Social Inclusion program</w:t>
      </w:r>
      <w:r w:rsidR="00733AA4">
        <w:rPr>
          <w:rStyle w:val="ui-provider"/>
        </w:rPr>
        <w:t xml:space="preserve">. This </w:t>
      </w:r>
      <w:r w:rsidR="00D767E5">
        <w:rPr>
          <w:rStyle w:val="ui-provider"/>
        </w:rPr>
        <w:t xml:space="preserve">was developed through a co-design </w:t>
      </w:r>
    </w:p>
    <w:p w14:paraId="255EEBD0" w14:textId="22B6D3AA" w:rsidR="00343DF3" w:rsidRDefault="00D767E5" w:rsidP="00FF23B0">
      <w:pPr>
        <w:keepLines w:val="0"/>
      </w:pPr>
      <w:r>
        <w:rPr>
          <w:rStyle w:val="ui-provider"/>
        </w:rPr>
        <w:t>process and is now one of Victoria's most effective programs targeting chronic homelessness</w:t>
      </w:r>
      <w:r w:rsidR="0019391F">
        <w:rPr>
          <w:rStyle w:val="ui-provider"/>
        </w:rPr>
        <w:t xml:space="preserve">. Its </w:t>
      </w:r>
      <w:r>
        <w:rPr>
          <w:rStyle w:val="ui-provider"/>
        </w:rPr>
        <w:t xml:space="preserve">expansion in the </w:t>
      </w:r>
      <w:r w:rsidRPr="00042E70">
        <w:rPr>
          <w:rStyle w:val="ui-provider"/>
          <w:i/>
          <w:iCs/>
        </w:rPr>
        <w:t>2024-25 Budget</w:t>
      </w:r>
      <w:r>
        <w:rPr>
          <w:rStyle w:val="ui-provider"/>
        </w:rPr>
        <w:t xml:space="preserve"> reflect</w:t>
      </w:r>
      <w:r w:rsidR="0019391F">
        <w:rPr>
          <w:rStyle w:val="ui-provider"/>
        </w:rPr>
        <w:t>s</w:t>
      </w:r>
      <w:r>
        <w:rPr>
          <w:rStyle w:val="ui-provider"/>
        </w:rPr>
        <w:t xml:space="preserve"> its strong program outcomes</w:t>
      </w:r>
      <w:r w:rsidR="00FD30B9">
        <w:rPr>
          <w:rStyle w:val="ui-provider"/>
        </w:rPr>
        <w:t xml:space="preserve">. </w:t>
      </w:r>
    </w:p>
    <w:p w14:paraId="2D38669A" w14:textId="7D9F929B" w:rsidR="004910F2" w:rsidRDefault="003B461B" w:rsidP="00773BFA">
      <w:r>
        <w:t>The Government’s</w:t>
      </w:r>
      <w:r w:rsidR="00773BFA">
        <w:t xml:space="preserve"> Partnerships Addressing Disadvantage</w:t>
      </w:r>
      <w:r>
        <w:t xml:space="preserve"> program </w:t>
      </w:r>
      <w:r w:rsidR="005B3FF2">
        <w:t>also benefits from</w:t>
      </w:r>
      <w:r>
        <w:t xml:space="preserve"> co-design, involving </w:t>
      </w:r>
      <w:r w:rsidR="00773BFA">
        <w:t xml:space="preserve">close partnerships between </w:t>
      </w:r>
      <w:r w:rsidR="001D246B">
        <w:t>g</w:t>
      </w:r>
      <w:r w:rsidR="00773BFA">
        <w:t xml:space="preserve">overnment, </w:t>
      </w:r>
      <w:r w:rsidR="004B421E">
        <w:t>s</w:t>
      </w:r>
      <w:r w:rsidR="00773BFA">
        <w:t>ervice providers and investors</w:t>
      </w:r>
      <w:r>
        <w:t xml:space="preserve">. The results of </w:t>
      </w:r>
      <w:r w:rsidR="005B3FF2">
        <w:t xml:space="preserve">these </w:t>
      </w:r>
      <w:r>
        <w:t xml:space="preserve">have helped </w:t>
      </w:r>
      <w:r w:rsidR="005B3FF2">
        <w:t xml:space="preserve">build </w:t>
      </w:r>
      <w:r>
        <w:t>the</w:t>
      </w:r>
      <w:r w:rsidR="006A7ADD">
        <w:t xml:space="preserve"> knowledge</w:t>
      </w:r>
      <w:r w:rsidR="004910F2">
        <w:t xml:space="preserve"> base </w:t>
      </w:r>
      <w:r w:rsidR="005B3FF2">
        <w:t xml:space="preserve">of </w:t>
      </w:r>
      <w:r w:rsidR="00121F10">
        <w:t xml:space="preserve">EIIF’s </w:t>
      </w:r>
      <w:r w:rsidR="001D246B">
        <w:t xml:space="preserve">outcomes-based </w:t>
      </w:r>
      <w:r w:rsidR="0040404F">
        <w:t>focus</w:t>
      </w:r>
      <w:r w:rsidR="00121F10">
        <w:t>.</w:t>
      </w:r>
    </w:p>
    <w:p w14:paraId="396800BC" w14:textId="2390A22B" w:rsidR="00737611" w:rsidRPr="00431686" w:rsidRDefault="00FD30B9" w:rsidP="00E444EA">
      <w:pPr>
        <w:pStyle w:val="Quote"/>
        <w:spacing w:before="160"/>
        <w:ind w:left="289" w:right="289"/>
      </w:pPr>
      <w:r>
        <w:t>‘</w:t>
      </w:r>
      <w:r w:rsidR="00B65824" w:rsidRPr="00431686">
        <w:t xml:space="preserve">Organisations, people with lived experiences and practitioners hold different kinds of knowledge, all of which are vital to designing effective services and improving outcomes </w:t>
      </w:r>
      <w:r w:rsidR="00CF0501" w:rsidRPr="00431686">
        <w:t xml:space="preserve">and </w:t>
      </w:r>
      <w:r w:rsidR="00B65824" w:rsidRPr="00431686">
        <w:t>better early intervention services.</w:t>
      </w:r>
      <w:r>
        <w:t>’</w:t>
      </w:r>
    </w:p>
    <w:p w14:paraId="5F7B7332" w14:textId="6A81D61C" w:rsidR="00CF0501" w:rsidRPr="00270DC5" w:rsidRDefault="00CF0501" w:rsidP="00E444EA">
      <w:pPr>
        <w:pStyle w:val="Quotesource"/>
        <w:spacing w:before="160"/>
        <w:ind w:left="289" w:right="289"/>
      </w:pPr>
      <w:r w:rsidRPr="00270DC5">
        <w:t xml:space="preserve">Source: Victorian Council of Social Service, </w:t>
      </w:r>
      <w:r w:rsidR="003973FE" w:rsidRPr="00270DC5">
        <w:t xml:space="preserve">2023, </w:t>
      </w:r>
      <w:r w:rsidRPr="00270DC5">
        <w:t>Collaboration on the Early Intervention Investment Framework</w:t>
      </w:r>
    </w:p>
    <w:p w14:paraId="45B46754" w14:textId="47CDCFF1" w:rsidR="003B461B" w:rsidRDefault="005B3FF2" w:rsidP="00DB1BE1">
      <w:pPr>
        <w:spacing w:before="220"/>
      </w:pPr>
      <w:bookmarkStart w:id="1" w:name="_Hlk161401966"/>
      <w:r>
        <w:t>T</w:t>
      </w:r>
      <w:r w:rsidR="003B461B">
        <w:t xml:space="preserve">he level of intensity, timing and engagement between </w:t>
      </w:r>
      <w:r w:rsidR="001D246B">
        <w:t>organisations</w:t>
      </w:r>
      <w:r w:rsidR="003B461B">
        <w:t xml:space="preserve"> and departments will vary </w:t>
      </w:r>
      <w:r w:rsidR="001D246B">
        <w:t>on a case-by-case basis</w:t>
      </w:r>
      <w:r w:rsidR="003B461B">
        <w:t xml:space="preserve">. </w:t>
      </w:r>
      <w:r w:rsidR="008E3EF4">
        <w:t>For</w:t>
      </w:r>
      <w:r w:rsidR="00CF6C57">
        <w:rPr>
          <w:rFonts w:ascii="Calibri" w:hAnsi="Calibri" w:cs="Calibri"/>
        </w:rPr>
        <w:t> </w:t>
      </w:r>
      <w:r w:rsidR="008E3EF4">
        <w:t>example, t</w:t>
      </w:r>
      <w:r w:rsidR="003B461B">
        <w:t xml:space="preserve">he preferred approach </w:t>
      </w:r>
      <w:r>
        <w:t xml:space="preserve">may </w:t>
      </w:r>
      <w:r w:rsidR="003B461B">
        <w:t xml:space="preserve">reflect the maturity of the department and </w:t>
      </w:r>
      <w:r w:rsidR="0040404F">
        <w:t>organisation</w:t>
      </w:r>
      <w:r w:rsidR="003B461B">
        <w:t xml:space="preserve"> relationship</w:t>
      </w:r>
      <w:r w:rsidR="008E3EF4">
        <w:t>,</w:t>
      </w:r>
      <w:r w:rsidR="003B461B">
        <w:t xml:space="preserve"> and the stage of program design.</w:t>
      </w:r>
    </w:p>
    <w:bookmarkEnd w:id="1"/>
    <w:p w14:paraId="6B2326B0" w14:textId="619145A3" w:rsidR="00CF0501" w:rsidRPr="00B46BE7" w:rsidRDefault="00F16DEF" w:rsidP="004B421E">
      <w:r w:rsidRPr="003B461B">
        <w:t>This guidance paper seeks to provide a way forward for those conversations to take place</w:t>
      </w:r>
      <w:r>
        <w:t>.</w:t>
      </w:r>
    </w:p>
    <w:p w14:paraId="36C79A43" w14:textId="77777777" w:rsidR="00FD30B9" w:rsidRDefault="00FD30B9">
      <w:pPr>
        <w:keepLines w:val="0"/>
        <w:spacing w:before="0" w:after="200" w:line="276" w:lineRule="auto"/>
        <w:rPr>
          <w:rFonts w:asciiTheme="majorHAnsi" w:eastAsiaTheme="majorEastAsia" w:hAnsiTheme="majorHAnsi" w:cstheme="majorBidi"/>
          <w:bCs/>
          <w:color w:val="3A3467" w:themeColor="text2"/>
          <w:sz w:val="36"/>
          <w:szCs w:val="28"/>
        </w:rPr>
      </w:pPr>
      <w:bookmarkStart w:id="2" w:name="_Toc442780674"/>
      <w:r>
        <w:br w:type="page"/>
      </w:r>
    </w:p>
    <w:p w14:paraId="62CE7867" w14:textId="6A2F61CB" w:rsidR="00277D6C" w:rsidRPr="002B4F0C" w:rsidRDefault="00277D6C" w:rsidP="00FB4A25">
      <w:pPr>
        <w:pStyle w:val="Heading1"/>
        <w:spacing w:before="200"/>
      </w:pPr>
      <w:r>
        <w:lastRenderedPageBreak/>
        <w:t>EIIF context</w:t>
      </w:r>
    </w:p>
    <w:p w14:paraId="6C62D503" w14:textId="77777777" w:rsidR="00FD30B9" w:rsidRDefault="00FD30B9" w:rsidP="00277D6C">
      <w:pPr>
        <w:sectPr w:rsidR="00FD30B9" w:rsidSect="00FF23B0">
          <w:headerReference w:type="first" r:id="rId21"/>
          <w:type w:val="continuous"/>
          <w:pgSz w:w="11906" w:h="16838" w:code="9"/>
          <w:pgMar w:top="646" w:right="936" w:bottom="1162" w:left="936" w:header="448" w:footer="459" w:gutter="0"/>
          <w:cols w:num="2" w:space="708"/>
          <w:docGrid w:linePitch="360"/>
        </w:sectPr>
      </w:pPr>
    </w:p>
    <w:p w14:paraId="203F989A" w14:textId="791F7F40" w:rsidR="00277D6C" w:rsidRPr="005F6D29" w:rsidRDefault="008E3EF4" w:rsidP="00277D6C">
      <w:r>
        <w:t>T</w:t>
      </w:r>
      <w:r w:rsidR="00277D6C" w:rsidRPr="005F6D29">
        <w:t>he focus of this paper is on co-design of EIIF proposals. The Treasurer</w:t>
      </w:r>
      <w:r w:rsidR="001D66D4">
        <w:t xml:space="preserve"> is the policy owner </w:t>
      </w:r>
      <w:r w:rsidR="00277D6C" w:rsidRPr="005F6D29">
        <w:t xml:space="preserve">of </w:t>
      </w:r>
      <w:proofErr w:type="gramStart"/>
      <w:r w:rsidR="00277D6C" w:rsidRPr="005F6D29">
        <w:t>EIIF</w:t>
      </w:r>
      <w:proofErr w:type="gramEnd"/>
      <w:r w:rsidR="00CF0501">
        <w:t xml:space="preserve"> and t</w:t>
      </w:r>
      <w:r w:rsidR="003F7AD3">
        <w:t>he Department of Treasury and Finance</w:t>
      </w:r>
      <w:r w:rsidR="00277D6C" w:rsidRPr="005F6D29">
        <w:t xml:space="preserve"> </w:t>
      </w:r>
      <w:r w:rsidR="00CF0501">
        <w:t>work</w:t>
      </w:r>
      <w:r w:rsidR="001D66D4">
        <w:t>s</w:t>
      </w:r>
      <w:r w:rsidR="001D66D4" w:rsidRPr="005F6D29">
        <w:t xml:space="preserve"> </w:t>
      </w:r>
      <w:r w:rsidR="00277D6C" w:rsidRPr="005F6D29">
        <w:t xml:space="preserve">with the sector and </w:t>
      </w:r>
      <w:r w:rsidR="00651E6E">
        <w:t>g</w:t>
      </w:r>
      <w:r w:rsidR="00F63BE7">
        <w:t xml:space="preserve">overnment </w:t>
      </w:r>
      <w:r w:rsidR="00277D6C" w:rsidRPr="005F6D29">
        <w:t>departments</w:t>
      </w:r>
      <w:r w:rsidR="001D66D4">
        <w:t xml:space="preserve"> to drive EIIF’s objectives</w:t>
      </w:r>
      <w:r w:rsidR="00277D6C" w:rsidRPr="005F6D29">
        <w:t xml:space="preserve">. </w:t>
      </w:r>
    </w:p>
    <w:p w14:paraId="42CE1527" w14:textId="0B91A70B" w:rsidR="00277D6C" w:rsidRPr="005F6D29" w:rsidRDefault="00277D6C" w:rsidP="00277D6C">
      <w:r w:rsidRPr="005F6D29">
        <w:t xml:space="preserve">The Victorian Government introduced EIIF in the </w:t>
      </w:r>
      <w:r w:rsidRPr="001B5F0F">
        <w:rPr>
          <w:i/>
          <w:iCs/>
        </w:rPr>
        <w:t>2021-22 Budget</w:t>
      </w:r>
      <w:r w:rsidRPr="005F6D29">
        <w:t xml:space="preserve"> – becoming the first Australian jurisdiction to </w:t>
      </w:r>
      <w:r w:rsidR="00451798">
        <w:t xml:space="preserve">systematically </w:t>
      </w:r>
      <w:r w:rsidRPr="005F6D29">
        <w:t>embed early intervention into its budget process.</w:t>
      </w:r>
    </w:p>
    <w:p w14:paraId="770E3E66" w14:textId="16A36E77" w:rsidR="00277D6C" w:rsidRPr="005F6D29" w:rsidRDefault="00277D6C" w:rsidP="00E77042">
      <w:r w:rsidRPr="005F6D29">
        <w:t xml:space="preserve">Recognising the importance of early intervention, the Victorian Government has invested </w:t>
      </w:r>
      <w:r w:rsidR="00A40AC7" w:rsidRPr="00270DC5">
        <w:t>$</w:t>
      </w:r>
      <w:r w:rsidR="001D66D4" w:rsidRPr="000B3C1B">
        <w:t>2.</w:t>
      </w:r>
      <w:r w:rsidR="00972C50">
        <w:t>7</w:t>
      </w:r>
      <w:r w:rsidR="00A40AC7" w:rsidRPr="000B3C1B">
        <w:t xml:space="preserve"> billion </w:t>
      </w:r>
      <w:r w:rsidRPr="000B3C1B">
        <w:t>in early intervention to address problems before</w:t>
      </w:r>
      <w:r w:rsidRPr="005F6D29">
        <w:t xml:space="preserve"> they escalate. </w:t>
      </w:r>
    </w:p>
    <w:p w14:paraId="787CC8F6" w14:textId="0F38CE5B" w:rsidR="00277D6C" w:rsidRPr="00277D6C" w:rsidRDefault="00277D6C" w:rsidP="00E67749">
      <w:pPr>
        <w:keepNext/>
      </w:pPr>
      <w:r w:rsidRPr="005F6D29">
        <w:t xml:space="preserve">Measuring impact is central to EIIF and helps the Government understand the benefits delivered for service users in sectors such as justice, education, health and community services </w:t>
      </w:r>
      <w:r w:rsidRPr="00277D6C">
        <w:t>through:</w:t>
      </w:r>
    </w:p>
    <w:p w14:paraId="66367396" w14:textId="2603A23D" w:rsidR="00277D6C" w:rsidRPr="00277D6C" w:rsidRDefault="00277D6C" w:rsidP="00E77042">
      <w:pPr>
        <w:pStyle w:val="Bullet1"/>
      </w:pPr>
      <w:r w:rsidRPr="00277D6C">
        <w:t xml:space="preserve">defined outcome measures that seek to demonstrate improvement in the lived experience of service users </w:t>
      </w:r>
      <w:r w:rsidR="008E3EF4">
        <w:t>or</w:t>
      </w:r>
      <w:r w:rsidRPr="00277D6C">
        <w:t xml:space="preserve"> the service system</w:t>
      </w:r>
    </w:p>
    <w:p w14:paraId="51FD22D3" w14:textId="1BF9739C" w:rsidR="00277D6C" w:rsidRDefault="00277D6C" w:rsidP="00E77042">
      <w:pPr>
        <w:pStyle w:val="Bullet1"/>
      </w:pPr>
      <w:r w:rsidRPr="00277D6C">
        <w:t>impact on demand for future acute services by quantifying the expected reduction in future acute service usage compared to current trends.</w:t>
      </w:r>
    </w:p>
    <w:p w14:paraId="18356BA5" w14:textId="2F1A46ED" w:rsidR="00B254D6" w:rsidRDefault="00983BD8" w:rsidP="00983BD8">
      <w:r>
        <w:t xml:space="preserve">More information on EIIF can be </w:t>
      </w:r>
      <w:r w:rsidRPr="00277D6C">
        <w:t>found</w:t>
      </w:r>
      <w:r>
        <w:t xml:space="preserve"> on the DTF website:  </w:t>
      </w:r>
      <w:hyperlink r:id="rId22" w:history="1">
        <w:r w:rsidRPr="00BF42D8">
          <w:rPr>
            <w:rStyle w:val="Hyperlink"/>
          </w:rPr>
          <w:t>www.dtf.vic.gov.au/funds-programs-and-policies/early-intervention-investment-framework</w:t>
        </w:r>
      </w:hyperlink>
    </w:p>
    <w:p w14:paraId="1B564580" w14:textId="77777777" w:rsidR="00BE2B45" w:rsidRDefault="00BE2B45" w:rsidP="00BE2B45">
      <w:pPr>
        <w:pStyle w:val="Heading1"/>
        <w:sectPr w:rsidR="00BE2B45" w:rsidSect="00FF23B0">
          <w:type w:val="continuous"/>
          <w:pgSz w:w="11906" w:h="16838" w:code="9"/>
          <w:pgMar w:top="646" w:right="936" w:bottom="1162" w:left="936" w:header="448" w:footer="459" w:gutter="0"/>
          <w:cols w:num="2" w:space="708"/>
          <w:docGrid w:linePitch="360"/>
        </w:sectPr>
      </w:pPr>
    </w:p>
    <w:p w14:paraId="282220CD" w14:textId="77777777" w:rsidR="00042E70" w:rsidRDefault="00042E70" w:rsidP="00C52260">
      <w:pPr>
        <w:pStyle w:val="Spacer"/>
      </w:pPr>
    </w:p>
    <w:p w14:paraId="7A1F91AE" w14:textId="77777777" w:rsidR="00042E70" w:rsidRDefault="00042E70" w:rsidP="00042E70">
      <w:pPr>
        <w:pStyle w:val="Heading2"/>
      </w:pPr>
      <w:r w:rsidRPr="00277D6C">
        <w:t>Collaboration is central to EIIF</w:t>
      </w:r>
    </w:p>
    <w:p w14:paraId="2824B10E" w14:textId="12617F0D" w:rsidR="00042E70" w:rsidRDefault="00042E70" w:rsidP="00042E70">
      <w:r>
        <w:t>Genuine partnership across departments, DTF and service delivery organisations</w:t>
      </w:r>
      <w:r w:rsidRPr="001D66D4">
        <w:t xml:space="preserve"> </w:t>
      </w:r>
      <w:r>
        <w:t xml:space="preserve">will </w:t>
      </w:r>
      <w:r w:rsidR="00490C14">
        <w:t xml:space="preserve">improve </w:t>
      </w:r>
      <w:r>
        <w:t>t</w:t>
      </w:r>
      <w:r w:rsidRPr="001D66D4">
        <w:t>he quality of EIIF proposals</w:t>
      </w:r>
      <w:r>
        <w:t xml:space="preserve">. Each </w:t>
      </w:r>
      <w:r w:rsidR="00D101AC">
        <w:t xml:space="preserve">area </w:t>
      </w:r>
      <w:r>
        <w:t>has a significant role to play.</w:t>
      </w:r>
    </w:p>
    <w:p w14:paraId="1E031F6C" w14:textId="2DDEF99D" w:rsidR="007F1A7A" w:rsidRDefault="007F1A7A" w:rsidP="00985554">
      <w:pPr>
        <w:pStyle w:val="Caption"/>
      </w:pPr>
      <w:r w:rsidRPr="00651E6E">
        <w:t>Figure 1</w:t>
      </w:r>
      <w:r w:rsidR="00296591" w:rsidRPr="00651E6E">
        <w:t xml:space="preserve">: </w:t>
      </w:r>
      <w:r w:rsidRPr="00651E6E">
        <w:t xml:space="preserve">Key partners </w:t>
      </w:r>
      <w:r w:rsidR="00C55407" w:rsidRPr="00651E6E">
        <w:t>in co-design</w:t>
      </w:r>
    </w:p>
    <w:p w14:paraId="08ED0AAD" w14:textId="61451DFA" w:rsidR="00310950" w:rsidRDefault="005157BB" w:rsidP="00310950">
      <w:r w:rsidRPr="005157BB">
        <w:rPr>
          <w:noProof/>
        </w:rPr>
        <w:drawing>
          <wp:inline distT="0" distB="0" distL="0" distR="0" wp14:anchorId="339BFC0D" wp14:editId="6836125C">
            <wp:extent cx="5899355" cy="3106346"/>
            <wp:effectExtent l="0" t="0" r="0" b="0"/>
            <wp:docPr id="31" name="Graphic 31" descr="Figure 1 shows the key stakeholders  involved in EIIF proposal co-design processes (illustrated through a Ven Diagram of three overlapping circles). the stakeholder include:&#10;Sector partners which deliver social services; collect program data and outcome performance information; understands clients and has practitioner expertise.&#10;Departments which: employ policy experts and contract managers; brings forward EIIF proposals for Budget; hold the strategic vision for service delivery and objectives; manage program data sets at a portfolio level.&#10;The Department of Treasury and Finance, which: advises Government on funding priorities; provides a whole of system view; is the policy holder for EIIF; provides expertise on avoided costs modelling and outcome meas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1" descr="Figure 1 shows the key stakeholders  involved in EIIF proposal co-design processes (illustrated through a Ven Diagram of three overlapping circles). the stakeholder include:&#10;Sector partners which deliver social services; collect program data and outcome performance information; understands clients and has practitioner expertise.&#10;Departments which: employ policy experts and contract managers; brings forward EIIF proposals for Budget; hold the strategic vision for service delivery and objectives; manage program data sets at a portfolio level.&#10;The Department of Treasury and Finance, which: advises Government on funding priorities; provides a whole of system view; is the policy holder for EIIF; provides expertise on avoided costs modelling and outcome measures.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584" cy="310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D840" w14:textId="00D9381A" w:rsidR="00121F10" w:rsidRPr="00E43849" w:rsidRDefault="00121F10" w:rsidP="00C52260">
      <w:pPr>
        <w:pStyle w:val="NoteNormal"/>
        <w:spacing w:after="200"/>
      </w:pPr>
      <w:r w:rsidRPr="00E43849">
        <w:t xml:space="preserve">Source: </w:t>
      </w:r>
      <w:r w:rsidR="003973FE" w:rsidRPr="00E43849">
        <w:t>D</w:t>
      </w:r>
      <w:r w:rsidR="00E43849">
        <w:t xml:space="preserve">epartment of </w:t>
      </w:r>
      <w:r w:rsidR="003973FE" w:rsidRPr="00E43849">
        <w:t>T</w:t>
      </w:r>
      <w:r w:rsidR="00E43849">
        <w:t xml:space="preserve">reasury and </w:t>
      </w:r>
      <w:r w:rsidR="003973FE" w:rsidRPr="00E43849">
        <w:t>F</w:t>
      </w:r>
      <w:r w:rsidR="00E43849">
        <w:t>inance</w:t>
      </w:r>
    </w:p>
    <w:p w14:paraId="7B91E6C5" w14:textId="77777777" w:rsidR="007B2DDB" w:rsidRDefault="007B2DDB" w:rsidP="009B7C6B">
      <w:pPr>
        <w:pStyle w:val="NoteNormal"/>
        <w:sectPr w:rsidR="007B2DDB" w:rsidSect="00E43849">
          <w:type w:val="continuous"/>
          <w:pgSz w:w="11906" w:h="16838" w:code="9"/>
          <w:pgMar w:top="646" w:right="1151" w:bottom="1729" w:left="936" w:header="709" w:footer="459" w:gutter="0"/>
          <w:cols w:space="708"/>
          <w:titlePg/>
          <w:docGrid w:linePitch="360"/>
        </w:sectPr>
      </w:pPr>
    </w:p>
    <w:p w14:paraId="26DD1F5D" w14:textId="585BCDDF" w:rsidR="009E6998" w:rsidRDefault="005834E5">
      <w:r>
        <w:t xml:space="preserve">Co-design has the benefit of </w:t>
      </w:r>
      <w:r w:rsidR="00F42870">
        <w:t xml:space="preserve">embedding </w:t>
      </w:r>
      <w:r>
        <w:t xml:space="preserve">service delivery experience into policy design </w:t>
      </w:r>
      <w:r w:rsidR="008F5DA7">
        <w:t>as well as enabling</w:t>
      </w:r>
      <w:r>
        <w:t xml:space="preserve"> stronger </w:t>
      </w:r>
      <w:r w:rsidR="00DD5FE5">
        <w:t xml:space="preserve">use of </w:t>
      </w:r>
      <w:r>
        <w:t>outcome metrics. S</w:t>
      </w:r>
      <w:r w:rsidRPr="005834E5">
        <w:t xml:space="preserve">ervice delivery agencies usually have more ‘buy-in’ </w:t>
      </w:r>
      <w:r>
        <w:t xml:space="preserve">when invited into policy design discussion, </w:t>
      </w:r>
      <w:r w:rsidR="00DD5FE5">
        <w:t>enabling</w:t>
      </w:r>
      <w:r>
        <w:t xml:space="preserve"> </w:t>
      </w:r>
      <w:r w:rsidR="00E348EA">
        <w:t xml:space="preserve">better </w:t>
      </w:r>
      <w:r>
        <w:t xml:space="preserve">informed outcome measurement identification and </w:t>
      </w:r>
      <w:r w:rsidR="00E021A9">
        <w:t>collection</w:t>
      </w:r>
      <w:r w:rsidR="008F5DA7">
        <w:t>.</w:t>
      </w:r>
      <w:r w:rsidR="009E6998">
        <w:t xml:space="preserve"> </w:t>
      </w:r>
    </w:p>
    <w:p w14:paraId="7FA01340" w14:textId="521EAC6B" w:rsidR="00DB1BE1" w:rsidRDefault="00A060BB" w:rsidP="00270DC5">
      <w:r w:rsidRPr="00A060BB">
        <w:t xml:space="preserve">CFECFW observed in its paper EIIF: Client Outcomes Measurement that service providers have a lot to offer </w:t>
      </w:r>
      <w:r w:rsidR="00EC2DDE">
        <w:t>through</w:t>
      </w:r>
      <w:r w:rsidR="00F8510B" w:rsidRPr="00A060BB">
        <w:t xml:space="preserve"> </w:t>
      </w:r>
      <w:r w:rsidR="0056194A">
        <w:t>their ability</w:t>
      </w:r>
      <w:r w:rsidRPr="00A060BB">
        <w:t xml:space="preserve"> to collect and use outcome data to ascertain the </w:t>
      </w:r>
      <w:r w:rsidR="00DE0595">
        <w:t>value</w:t>
      </w:r>
      <w:r w:rsidR="00DE0595" w:rsidRPr="00A060BB">
        <w:t xml:space="preserve"> </w:t>
      </w:r>
      <w:r w:rsidRPr="00A060BB">
        <w:t xml:space="preserve">of the work they do. </w:t>
      </w:r>
    </w:p>
    <w:p w14:paraId="07BA5E05" w14:textId="709C4E7D" w:rsidR="00A060BB" w:rsidRDefault="00A060BB" w:rsidP="00FB4A25">
      <w:pPr>
        <w:spacing w:before="200"/>
      </w:pPr>
      <w:r w:rsidRPr="00A060BB">
        <w:lastRenderedPageBreak/>
        <w:t xml:space="preserve">Engaging service providers through co-design is an effective way for departments to get in on the ground floor </w:t>
      </w:r>
      <w:r w:rsidR="004C7E07">
        <w:t>and</w:t>
      </w:r>
      <w:r w:rsidRPr="00A060BB">
        <w:t xml:space="preserve"> understand what is possible in outcome measurement</w:t>
      </w:r>
      <w:r>
        <w:t>.</w:t>
      </w:r>
    </w:p>
    <w:p w14:paraId="7F40CD4B" w14:textId="6731EA7E" w:rsidR="001D10DB" w:rsidRPr="00A707B8" w:rsidRDefault="00FD30B9" w:rsidP="00525694">
      <w:pPr>
        <w:pStyle w:val="Quote"/>
      </w:pPr>
      <w:r>
        <w:t>‘</w:t>
      </w:r>
      <w:r w:rsidR="001D10DB" w:rsidRPr="00270DC5">
        <w:t>EIIF offers a valuable opportunity to promote co</w:t>
      </w:r>
      <w:r w:rsidR="00A92EC3">
        <w:noBreakHyphen/>
      </w:r>
      <w:r w:rsidR="001D10DB" w:rsidRPr="00270DC5">
        <w:t>design given its focus on outcomes measurement at the bid development stage.</w:t>
      </w:r>
      <w:r>
        <w:t>’</w:t>
      </w:r>
    </w:p>
    <w:p w14:paraId="5762DD27" w14:textId="188B1638" w:rsidR="001D10DB" w:rsidRPr="00431686" w:rsidRDefault="001D10DB" w:rsidP="00431686">
      <w:pPr>
        <w:pStyle w:val="Quotesource"/>
      </w:pPr>
      <w:r w:rsidRPr="00431686">
        <w:t xml:space="preserve">Source: </w:t>
      </w:r>
      <w:r w:rsidR="003973FE" w:rsidRPr="00431686">
        <w:t>Centre for Excellence in Children and Family Welfare</w:t>
      </w:r>
      <w:r w:rsidR="0076044E">
        <w:t>,</w:t>
      </w:r>
      <w:r w:rsidR="003973FE" w:rsidRPr="00431686">
        <w:t xml:space="preserve"> 2024, </w:t>
      </w:r>
      <w:r w:rsidRPr="00431686">
        <w:t>EIIF: Client Outcomes Measurement</w:t>
      </w:r>
      <w:r w:rsidR="003973FE" w:rsidRPr="00431686">
        <w:t>, page 16.</w:t>
      </w:r>
    </w:p>
    <w:p w14:paraId="14B02E59" w14:textId="3C32C1BA" w:rsidR="001E4F86" w:rsidRDefault="001E4F86" w:rsidP="001E4F86">
      <w:r w:rsidRPr="00B46BE7">
        <w:t>We note</w:t>
      </w:r>
      <w:r>
        <w:t xml:space="preserve"> some of the most robust and insightful outcome measure</w:t>
      </w:r>
      <w:r w:rsidR="00C975E3">
        <w:t>s</w:t>
      </w:r>
      <w:r>
        <w:t xml:space="preserve"> for programs funded through the EIIF have stemmed from co-designed initiatives</w:t>
      </w:r>
      <w:r w:rsidR="007F78E6">
        <w:t xml:space="preserve">. This </w:t>
      </w:r>
      <w:r>
        <w:t>includ</w:t>
      </w:r>
      <w:r w:rsidR="007F78E6">
        <w:t>es</w:t>
      </w:r>
      <w:r>
        <w:t xml:space="preserve"> </w:t>
      </w:r>
      <w:r w:rsidR="00FF4C64" w:rsidRPr="00B46BE7">
        <w:rPr>
          <w:i/>
          <w:iCs/>
        </w:rPr>
        <w:t xml:space="preserve">Tackling Rough Sleeping </w:t>
      </w:r>
      <w:r w:rsidR="0076044E">
        <w:rPr>
          <w:i/>
          <w:iCs/>
        </w:rPr>
        <w:t>–</w:t>
      </w:r>
      <w:r w:rsidR="00FF4C64" w:rsidRPr="00B46BE7">
        <w:rPr>
          <w:i/>
          <w:iCs/>
        </w:rPr>
        <w:t xml:space="preserve"> </w:t>
      </w:r>
      <w:r w:rsidRPr="00B46BE7">
        <w:rPr>
          <w:i/>
          <w:iCs/>
        </w:rPr>
        <w:t>Journey to Social Inclusion</w:t>
      </w:r>
      <w:r>
        <w:t xml:space="preserve"> </w:t>
      </w:r>
      <w:r w:rsidR="00FF4C64">
        <w:t xml:space="preserve">as part of the </w:t>
      </w:r>
      <w:r w:rsidR="00FF4C64" w:rsidRPr="0076044E">
        <w:rPr>
          <w:i/>
          <w:iCs/>
        </w:rPr>
        <w:t>2021-22 Budget</w:t>
      </w:r>
      <w:r w:rsidR="007F78E6">
        <w:t>, which is tracking clients housing stability, rough sleeping episodes, days spent in emergency departments, police incidents</w:t>
      </w:r>
      <w:r w:rsidR="00C975E3">
        <w:t>, social inclusion</w:t>
      </w:r>
      <w:r w:rsidR="007F78E6">
        <w:t xml:space="preserve"> and mental health – giving </w:t>
      </w:r>
      <w:r w:rsidR="004748F3">
        <w:t xml:space="preserve">the </w:t>
      </w:r>
      <w:r w:rsidR="007F78E6">
        <w:t>Government</w:t>
      </w:r>
      <w:r w:rsidR="00C975E3">
        <w:t xml:space="preserve"> significant breadth of information </w:t>
      </w:r>
      <w:r w:rsidR="00FE35E1">
        <w:t xml:space="preserve">to show </w:t>
      </w:r>
      <w:r w:rsidR="00C975E3">
        <w:t>how well the program is helping its clients.</w:t>
      </w:r>
    </w:p>
    <w:p w14:paraId="67F4DFCA" w14:textId="4BE7C2A7" w:rsidR="00A04AD2" w:rsidRDefault="00DC3DFE" w:rsidP="00277D6C">
      <w:r>
        <w:t xml:space="preserve">The </w:t>
      </w:r>
      <w:r w:rsidR="0084601B">
        <w:t>Government is supporting</w:t>
      </w:r>
      <w:r w:rsidR="001E4F86">
        <w:t xml:space="preserve"> strengthen</w:t>
      </w:r>
      <w:r w:rsidR="0084601B">
        <w:t>ed</w:t>
      </w:r>
      <w:r w:rsidR="001E4F86">
        <w:t xml:space="preserve"> outcome measurement </w:t>
      </w:r>
      <w:r w:rsidR="00A8559A">
        <w:t>in</w:t>
      </w:r>
      <w:r w:rsidR="001E4F86">
        <w:t xml:space="preserve"> the </w:t>
      </w:r>
      <w:r w:rsidR="00A8559A">
        <w:t xml:space="preserve">social </w:t>
      </w:r>
      <w:r w:rsidR="001E4F86">
        <w:t>service</w:t>
      </w:r>
      <w:r w:rsidR="0084601B">
        <w:t>s</w:t>
      </w:r>
      <w:r w:rsidR="001E4F86">
        <w:t xml:space="preserve"> sector </w:t>
      </w:r>
      <w:r w:rsidR="00C74C0E" w:rsidRPr="00B46BE7">
        <w:t xml:space="preserve">through the Empowerment Fund. </w:t>
      </w:r>
      <w:r w:rsidR="00C025FC" w:rsidRPr="001E4F86">
        <w:t xml:space="preserve">The Empowerment Fund seeks to address barriers the sector faces </w:t>
      </w:r>
      <w:r w:rsidR="00A215D5">
        <w:t>in relatio</w:t>
      </w:r>
      <w:r w:rsidR="007F5D8D">
        <w:t>n</w:t>
      </w:r>
      <w:r w:rsidR="00A215D5" w:rsidRPr="00C025FC">
        <w:t xml:space="preserve"> </w:t>
      </w:r>
      <w:r w:rsidR="00C025FC" w:rsidRPr="00C025FC">
        <w:t xml:space="preserve">to data and evaluation </w:t>
      </w:r>
      <w:proofErr w:type="gramStart"/>
      <w:r w:rsidR="00C025FC" w:rsidRPr="00C025FC">
        <w:t>capability, and</w:t>
      </w:r>
      <w:proofErr w:type="gramEnd"/>
      <w:r w:rsidR="00C025FC" w:rsidRPr="00C025FC">
        <w:t xml:space="preserve"> </w:t>
      </w:r>
      <w:r w:rsidR="00A04AD2">
        <w:t xml:space="preserve">will </w:t>
      </w:r>
      <w:r w:rsidR="00C025FC" w:rsidRPr="00C025FC">
        <w:t>enable greater sharing of useful evaluation findings and improved data collection and management processes.</w:t>
      </w:r>
      <w:r w:rsidR="00C74C0E" w:rsidRPr="00B46BE7">
        <w:t xml:space="preserve"> </w:t>
      </w:r>
    </w:p>
    <w:p w14:paraId="1063BFE6" w14:textId="0B1254B0" w:rsidR="006A7ADD" w:rsidRDefault="00C74C0E" w:rsidP="00277D6C">
      <w:r w:rsidRPr="00B46BE7">
        <w:t>Over</w:t>
      </w:r>
      <w:r w:rsidR="00A04AD2">
        <w:t xml:space="preserve"> </w:t>
      </w:r>
      <w:r w:rsidRPr="00B46BE7">
        <w:t xml:space="preserve">time we </w:t>
      </w:r>
      <w:r w:rsidR="00A04AD2">
        <w:t>anticipate</w:t>
      </w:r>
      <w:r w:rsidRPr="00B46BE7">
        <w:t xml:space="preserve"> th</w:t>
      </w:r>
      <w:r w:rsidR="00C025FC">
        <w:t>is</w:t>
      </w:r>
      <w:r w:rsidRPr="00B46BE7">
        <w:t xml:space="preserve"> </w:t>
      </w:r>
      <w:r w:rsidRPr="00C74C0E">
        <w:t>capability</w:t>
      </w:r>
      <w:r w:rsidRPr="00B46BE7">
        <w:t xml:space="preserve"> uplift </w:t>
      </w:r>
      <w:r w:rsidR="007F5D8D">
        <w:t xml:space="preserve">will </w:t>
      </w:r>
      <w:r w:rsidRPr="00B46BE7">
        <w:t xml:space="preserve">translate </w:t>
      </w:r>
      <w:r w:rsidR="001E4F86">
        <w:t xml:space="preserve">into </w:t>
      </w:r>
      <w:r w:rsidR="00C025FC">
        <w:t>better inform</w:t>
      </w:r>
      <w:r w:rsidR="001E4F86">
        <w:t>ed</w:t>
      </w:r>
      <w:r w:rsidR="00C025FC">
        <w:t xml:space="preserve"> policy</w:t>
      </w:r>
      <w:r w:rsidR="00A8559A">
        <w:t>,</w:t>
      </w:r>
      <w:r w:rsidR="00C025FC">
        <w:t xml:space="preserve"> planning and delivery</w:t>
      </w:r>
      <w:r w:rsidR="00FF4C64">
        <w:t xml:space="preserve"> through co</w:t>
      </w:r>
      <w:r w:rsidR="00BA489F">
        <w:t>-</w:t>
      </w:r>
      <w:r w:rsidR="00FF4C64">
        <w:t>design</w:t>
      </w:r>
      <w:r w:rsidRPr="00B46BE7">
        <w:t>.</w:t>
      </w:r>
      <w:r w:rsidR="00FF4C64">
        <w:t xml:space="preserve"> </w:t>
      </w:r>
    </w:p>
    <w:bookmarkEnd w:id="2"/>
    <w:p w14:paraId="0EF0AF0B" w14:textId="79B3FD65" w:rsidR="00045296" w:rsidRDefault="001A5970" w:rsidP="00FF7BD1">
      <w:pPr>
        <w:pStyle w:val="Heading2"/>
      </w:pPr>
      <w:r>
        <w:br w:type="column"/>
      </w:r>
      <w:r w:rsidR="00722B70" w:rsidRPr="00FB4A25">
        <w:t>B</w:t>
      </w:r>
      <w:r w:rsidR="00E77042" w:rsidRPr="00FB4A25">
        <w:t>arriers</w:t>
      </w:r>
      <w:r w:rsidR="00E77042" w:rsidRPr="00E77042">
        <w:t xml:space="preserve"> exist</w:t>
      </w:r>
      <w:r w:rsidR="00722B70">
        <w:t xml:space="preserve"> that inhibit co</w:t>
      </w:r>
      <w:r w:rsidR="004D5DAF">
        <w:noBreakHyphen/>
      </w:r>
      <w:r w:rsidR="00722B70">
        <w:t>design</w:t>
      </w:r>
    </w:p>
    <w:p w14:paraId="48D20D2B" w14:textId="41F59ECD" w:rsidR="009406CA" w:rsidRDefault="00694E66" w:rsidP="00E77042">
      <w:r>
        <w:t xml:space="preserve">On 28 November 2023, the Treasurer launched the inaugural </w:t>
      </w:r>
      <w:r w:rsidRPr="00722B70">
        <w:rPr>
          <w:i/>
          <w:iCs/>
        </w:rPr>
        <w:t>Early Intervention and Social Investment Summit</w:t>
      </w:r>
      <w:r w:rsidR="002B01D5">
        <w:t xml:space="preserve">, </w:t>
      </w:r>
      <w:r w:rsidR="003E0F24">
        <w:t xml:space="preserve">where </w:t>
      </w:r>
      <w:proofErr w:type="gramStart"/>
      <w:r w:rsidR="002B01D5">
        <w:t>a number of</w:t>
      </w:r>
      <w:proofErr w:type="gramEnd"/>
      <w:r w:rsidR="002B01D5">
        <w:t xml:space="preserve"> parties spoke about </w:t>
      </w:r>
      <w:r>
        <w:t>the importance of collaboration and co</w:t>
      </w:r>
      <w:r w:rsidR="00BA489F">
        <w:t>-</w:t>
      </w:r>
      <w:r>
        <w:t xml:space="preserve">design </w:t>
      </w:r>
      <w:r w:rsidR="00B506A2">
        <w:t>and the</w:t>
      </w:r>
      <w:r w:rsidR="00722B70">
        <w:t xml:space="preserve"> powerful impact</w:t>
      </w:r>
      <w:r w:rsidR="00116DF6">
        <w:t xml:space="preserve"> </w:t>
      </w:r>
      <w:r w:rsidR="00614962">
        <w:t xml:space="preserve">this </w:t>
      </w:r>
      <w:r w:rsidR="00021520">
        <w:t>can have</w:t>
      </w:r>
      <w:r w:rsidR="00614962">
        <w:t xml:space="preserve"> </w:t>
      </w:r>
      <w:r w:rsidR="00116DF6">
        <w:t xml:space="preserve">when </w:t>
      </w:r>
      <w:r w:rsidR="00205C77">
        <w:t>managed well</w:t>
      </w:r>
      <w:r w:rsidR="00722B70">
        <w:t xml:space="preserve">. </w:t>
      </w:r>
    </w:p>
    <w:p w14:paraId="38C6DC9B" w14:textId="1119C2B4" w:rsidR="00E77042" w:rsidRDefault="00195AC3" w:rsidP="00E77042">
      <w:r>
        <w:t xml:space="preserve">One of the sessions focused on </w:t>
      </w:r>
      <w:r w:rsidR="00722B70">
        <w:t xml:space="preserve">barriers </w:t>
      </w:r>
      <w:r w:rsidR="00302C7C">
        <w:t xml:space="preserve">which </w:t>
      </w:r>
      <w:r w:rsidR="00722B70">
        <w:t>inhibit successful engagement between organisations and departments.</w:t>
      </w:r>
      <w:r w:rsidR="009406CA">
        <w:t xml:space="preserve"> </w:t>
      </w:r>
      <w:r w:rsidR="00722B70">
        <w:t xml:space="preserve">Recognition of these barriers helps </w:t>
      </w:r>
      <w:r>
        <w:t xml:space="preserve">to </w:t>
      </w:r>
      <w:r w:rsidR="00722B70">
        <w:t xml:space="preserve">frame what might be possible and enables each party to consider </w:t>
      </w:r>
      <w:r w:rsidR="000F3A2E">
        <w:t>the best engagement path</w:t>
      </w:r>
      <w:r w:rsidR="009406CA">
        <w:t xml:space="preserve"> and the key timing points</w:t>
      </w:r>
      <w:r w:rsidR="00722B70">
        <w:t>.</w:t>
      </w:r>
    </w:p>
    <w:p w14:paraId="3ED925A6" w14:textId="252034B5" w:rsidR="00296591" w:rsidRDefault="00296591" w:rsidP="001A5970">
      <w:pPr>
        <w:pStyle w:val="Caption"/>
      </w:pPr>
      <w:r w:rsidRPr="0030358B">
        <w:t>Figure 2:</w:t>
      </w:r>
      <w:r w:rsidR="0030358B" w:rsidRPr="0030358B">
        <w:t xml:space="preserve"> Summary</w:t>
      </w:r>
      <w:r w:rsidR="0030358B">
        <w:t xml:space="preserve"> of identified barriers</w:t>
      </w:r>
    </w:p>
    <w:tbl>
      <w:tblPr>
        <w:tblStyle w:val="ListTable3-Accent1"/>
        <w:tblW w:w="4500" w:type="dxa"/>
        <w:tblBorders>
          <w:top w:val="single" w:sz="36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single" w:sz="48" w:space="0" w:color="FFFFFF" w:themeColor="background1"/>
        </w:tblBorders>
        <w:tblLook w:val="0400" w:firstRow="0" w:lastRow="0" w:firstColumn="0" w:lastColumn="0" w:noHBand="0" w:noVBand="1"/>
      </w:tblPr>
      <w:tblGrid>
        <w:gridCol w:w="4500"/>
      </w:tblGrid>
      <w:tr w:rsidR="00AF45FA" w14:paraId="7FDC3464" w14:textId="77777777" w:rsidTr="0098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  <w:tcBorders>
              <w:top w:val="none" w:sz="0" w:space="0" w:color="auto"/>
              <w:bottom w:val="none" w:sz="0" w:space="0" w:color="auto"/>
            </w:tcBorders>
            <w:shd w:val="clear" w:color="auto" w:fill="EDFAFB" w:themeFill="background2" w:themeFillTint="33"/>
          </w:tcPr>
          <w:p w14:paraId="35BBC75E" w14:textId="70A06FE3" w:rsidR="00AF45FA" w:rsidRPr="00261A87" w:rsidRDefault="008F5DA7" w:rsidP="001A5970">
            <w:pPr>
              <w:pStyle w:val="Tabletext"/>
              <w:spacing w:line="240" w:lineRule="auto"/>
            </w:pPr>
            <w:r w:rsidRPr="001D66D4">
              <w:rPr>
                <w:rFonts w:eastAsiaTheme="minorHAnsi"/>
              </w:rPr>
              <w:t xml:space="preserve">Government </w:t>
            </w:r>
            <w:proofErr w:type="gramStart"/>
            <w:r w:rsidRPr="001D66D4">
              <w:rPr>
                <w:rFonts w:eastAsiaTheme="minorHAnsi"/>
              </w:rPr>
              <w:t>has to</w:t>
            </w:r>
            <w:proofErr w:type="gramEnd"/>
            <w:r w:rsidRPr="001D66D4">
              <w:rPr>
                <w:rFonts w:eastAsiaTheme="minorHAnsi"/>
              </w:rPr>
              <w:t xml:space="preserve"> ensure selection </w:t>
            </w:r>
            <w:r>
              <w:rPr>
                <w:rFonts w:eastAsiaTheme="minorHAnsi"/>
              </w:rPr>
              <w:t xml:space="preserve">and partnership </w:t>
            </w:r>
            <w:r w:rsidRPr="001D66D4">
              <w:rPr>
                <w:rFonts w:eastAsiaTheme="minorHAnsi"/>
              </w:rPr>
              <w:t>processes are fair</w:t>
            </w:r>
            <w:r>
              <w:rPr>
                <w:rFonts w:eastAsiaTheme="minorHAnsi"/>
              </w:rPr>
              <w:t xml:space="preserve"> to all organisations</w:t>
            </w:r>
            <w:r w:rsidRPr="00261A87">
              <w:rPr>
                <w:rFonts w:eastAsiaTheme="minorHAnsi"/>
              </w:rPr>
              <w:t xml:space="preserve"> </w:t>
            </w:r>
          </w:p>
        </w:tc>
      </w:tr>
      <w:tr w:rsidR="00AF45FA" w14:paraId="5CDA404A" w14:textId="77777777" w:rsidTr="00985554">
        <w:tc>
          <w:tcPr>
            <w:tcW w:w="4500" w:type="dxa"/>
            <w:shd w:val="clear" w:color="auto" w:fill="C9F0F3" w:themeFill="background2" w:themeFillTint="99"/>
          </w:tcPr>
          <w:p w14:paraId="3DD2D8F7" w14:textId="0BC8A07B" w:rsidR="00AF45FA" w:rsidRDefault="00AC0D21" w:rsidP="001A5970">
            <w:pPr>
              <w:pStyle w:val="Tabletext"/>
              <w:spacing w:line="240" w:lineRule="auto"/>
            </w:pPr>
            <w:r w:rsidRPr="00AC0D21">
              <w:rPr>
                <w:rFonts w:eastAsiaTheme="minorHAnsi"/>
              </w:rPr>
              <w:t>The confidential budget process means it is hard to collaborate and/or embed co-design into program development.</w:t>
            </w:r>
          </w:p>
        </w:tc>
      </w:tr>
      <w:tr w:rsidR="00AF45FA" w14:paraId="4A3F0D8F" w14:textId="77777777" w:rsidTr="0098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  <w:tcBorders>
              <w:top w:val="none" w:sz="0" w:space="0" w:color="auto"/>
              <w:bottom w:val="none" w:sz="0" w:space="0" w:color="auto"/>
            </w:tcBorders>
            <w:shd w:val="clear" w:color="auto" w:fill="53D0D8" w:themeFill="background2" w:themeFillShade="BF"/>
          </w:tcPr>
          <w:p w14:paraId="3BE13871" w14:textId="1A65EDD6" w:rsidR="00AF45FA" w:rsidRDefault="00FE5C08" w:rsidP="001A5970">
            <w:pPr>
              <w:pStyle w:val="Tabletext"/>
              <w:spacing w:line="240" w:lineRule="auto"/>
            </w:pPr>
            <w:r w:rsidRPr="00FE5C08">
              <w:rPr>
                <w:rFonts w:eastAsiaTheme="minorHAnsi"/>
              </w:rPr>
              <w:t>It can be difficult for the sector to know when and who in a department to begin engaging with, let alone across departments on cross portfolio issues.</w:t>
            </w:r>
          </w:p>
        </w:tc>
      </w:tr>
      <w:tr w:rsidR="00AF45FA" w14:paraId="17D2FC1A" w14:textId="77777777" w:rsidTr="00985554">
        <w:tc>
          <w:tcPr>
            <w:tcW w:w="4500" w:type="dxa"/>
            <w:shd w:val="clear" w:color="auto" w:fill="EDFAFB" w:themeFill="background2" w:themeFillTint="33"/>
          </w:tcPr>
          <w:p w14:paraId="6FF7FDDD" w14:textId="20C90910" w:rsidR="00AF45FA" w:rsidRDefault="00FE5C08" w:rsidP="001A5970">
            <w:pPr>
              <w:pStyle w:val="Tabletext"/>
              <w:spacing w:line="240" w:lineRule="auto"/>
            </w:pPr>
            <w:r w:rsidRPr="00FE5C08">
              <w:rPr>
                <w:rFonts w:eastAsiaTheme="minorHAnsi"/>
              </w:rPr>
              <w:t xml:space="preserve">Time and resourcing commitment </w:t>
            </w:r>
            <w:proofErr w:type="gramStart"/>
            <w:r w:rsidRPr="00FE5C08">
              <w:rPr>
                <w:rFonts w:eastAsiaTheme="minorHAnsi"/>
              </w:rPr>
              <w:t>is</w:t>
            </w:r>
            <w:proofErr w:type="gramEnd"/>
            <w:r w:rsidRPr="00FE5C08">
              <w:rPr>
                <w:rFonts w:eastAsiaTheme="minorHAnsi"/>
              </w:rPr>
              <w:t xml:space="preserve"> required from all parties, and this can be difficult to undertake early in the process when </w:t>
            </w:r>
            <w:r w:rsidR="00893819">
              <w:rPr>
                <w:rFonts w:eastAsiaTheme="minorHAnsi"/>
              </w:rPr>
              <w:t>the</w:t>
            </w:r>
            <w:r w:rsidRPr="00FE5C08">
              <w:rPr>
                <w:rFonts w:eastAsiaTheme="minorHAnsi"/>
              </w:rPr>
              <w:t xml:space="preserve"> level of authority </w:t>
            </w:r>
            <w:r w:rsidR="00893819">
              <w:rPr>
                <w:rFonts w:eastAsiaTheme="minorHAnsi"/>
              </w:rPr>
              <w:t xml:space="preserve">which </w:t>
            </w:r>
            <w:r w:rsidRPr="00FE5C08">
              <w:rPr>
                <w:rFonts w:eastAsiaTheme="minorHAnsi"/>
              </w:rPr>
              <w:t>exists for the concept</w:t>
            </w:r>
            <w:r w:rsidR="00893819">
              <w:rPr>
                <w:rFonts w:eastAsiaTheme="minorHAnsi"/>
              </w:rPr>
              <w:t xml:space="preserve"> is unknown</w:t>
            </w:r>
            <w:r w:rsidR="00FF7BD1">
              <w:rPr>
                <w:rFonts w:eastAsiaTheme="minorHAnsi"/>
              </w:rPr>
              <w:t>.</w:t>
            </w:r>
          </w:p>
        </w:tc>
      </w:tr>
      <w:tr w:rsidR="00AF45FA" w14:paraId="6483B782" w14:textId="77777777" w:rsidTr="0098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  <w:tcBorders>
              <w:top w:val="none" w:sz="0" w:space="0" w:color="auto"/>
              <w:bottom w:val="none" w:sz="0" w:space="0" w:color="auto"/>
            </w:tcBorders>
            <w:shd w:val="clear" w:color="auto" w:fill="C9F0F3" w:themeFill="background2" w:themeFillTint="99"/>
          </w:tcPr>
          <w:p w14:paraId="141E2BD1" w14:textId="0F88438E" w:rsidR="00AF45FA" w:rsidRDefault="00FE5C08" w:rsidP="001A5970">
            <w:pPr>
              <w:pStyle w:val="Tabletext"/>
              <w:spacing w:line="240" w:lineRule="auto"/>
            </w:pPr>
            <w:r w:rsidRPr="00FE5C08">
              <w:rPr>
                <w:rFonts w:eastAsiaTheme="minorHAnsi"/>
              </w:rPr>
              <w:t>There may be procurement or probity concerns from departments engaging independently and directly with specific providers.</w:t>
            </w:r>
          </w:p>
        </w:tc>
      </w:tr>
      <w:tr w:rsidR="00AF45FA" w14:paraId="758D26DC" w14:textId="77777777" w:rsidTr="00985554">
        <w:tc>
          <w:tcPr>
            <w:tcW w:w="4500" w:type="dxa"/>
            <w:shd w:val="clear" w:color="auto" w:fill="53D0D8" w:themeFill="background2" w:themeFillShade="BF"/>
          </w:tcPr>
          <w:p w14:paraId="2C23D41D" w14:textId="0B43D68B" w:rsidR="00AF45FA" w:rsidRDefault="00FE5C08" w:rsidP="001A5970">
            <w:pPr>
              <w:pStyle w:val="Tabletext"/>
              <w:spacing w:line="240" w:lineRule="auto"/>
            </w:pPr>
            <w:r w:rsidRPr="00FE5C08">
              <w:rPr>
                <w:rFonts w:eastAsiaTheme="minorHAnsi"/>
              </w:rPr>
              <w:t>Providers don’t know the broader context of what departments might be considering or developing.</w:t>
            </w:r>
          </w:p>
        </w:tc>
      </w:tr>
      <w:tr w:rsidR="00AF45FA" w14:paraId="29897EF5" w14:textId="77777777" w:rsidTr="0098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  <w:tcBorders>
              <w:top w:val="none" w:sz="0" w:space="0" w:color="auto"/>
              <w:bottom w:val="none" w:sz="0" w:space="0" w:color="auto"/>
            </w:tcBorders>
            <w:shd w:val="clear" w:color="auto" w:fill="EDFAFB" w:themeFill="background2" w:themeFillTint="33"/>
          </w:tcPr>
          <w:p w14:paraId="4318CD51" w14:textId="79833665" w:rsidR="00AF45FA" w:rsidRDefault="00FE5C08" w:rsidP="001A5970">
            <w:pPr>
              <w:pStyle w:val="Tabletext"/>
              <w:spacing w:line="240" w:lineRule="auto"/>
            </w:pPr>
            <w:r w:rsidRPr="00FE5C08">
              <w:rPr>
                <w:rFonts w:eastAsiaTheme="minorHAnsi"/>
              </w:rPr>
              <w:t>It can be challenging to embed the voice of service users into program design – for example, when someone is in crisis.</w:t>
            </w:r>
          </w:p>
        </w:tc>
      </w:tr>
      <w:tr w:rsidR="00FE5C08" w14:paraId="04FEBD65" w14:textId="77777777" w:rsidTr="00985554">
        <w:tc>
          <w:tcPr>
            <w:tcW w:w="4500" w:type="dxa"/>
            <w:shd w:val="clear" w:color="auto" w:fill="C9F0F3" w:themeFill="background2" w:themeFillTint="99"/>
          </w:tcPr>
          <w:p w14:paraId="1D208E45" w14:textId="518E687F" w:rsidR="00FE5C08" w:rsidRPr="00FE5C08" w:rsidRDefault="00683D6F" w:rsidP="001A5970">
            <w:pPr>
              <w:pStyle w:val="Tabletext"/>
              <w:spacing w:line="240" w:lineRule="auto"/>
              <w:rPr>
                <w:rFonts w:eastAsiaTheme="minorHAnsi"/>
              </w:rPr>
            </w:pPr>
            <w:r w:rsidRPr="00683D6F">
              <w:rPr>
                <w:rFonts w:eastAsiaTheme="minorHAnsi"/>
              </w:rPr>
              <w:t>Collaboration and co-design take time</w:t>
            </w:r>
          </w:p>
        </w:tc>
      </w:tr>
      <w:tr w:rsidR="00683D6F" w14:paraId="50F78689" w14:textId="77777777" w:rsidTr="0098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  <w:tcBorders>
              <w:top w:val="none" w:sz="0" w:space="0" w:color="auto"/>
              <w:bottom w:val="none" w:sz="0" w:space="0" w:color="auto"/>
            </w:tcBorders>
            <w:shd w:val="clear" w:color="auto" w:fill="53D0D8" w:themeFill="background2" w:themeFillShade="BF"/>
          </w:tcPr>
          <w:p w14:paraId="65FDB437" w14:textId="0FFAF1E9" w:rsidR="00683D6F" w:rsidRPr="00683D6F" w:rsidRDefault="00683D6F" w:rsidP="001A5970">
            <w:pPr>
              <w:pStyle w:val="Tabletext"/>
              <w:spacing w:line="240" w:lineRule="auto"/>
              <w:rPr>
                <w:rFonts w:eastAsiaTheme="minorHAnsi"/>
              </w:rPr>
            </w:pPr>
            <w:r w:rsidRPr="00683D6F">
              <w:rPr>
                <w:rFonts w:eastAsiaTheme="minorHAnsi"/>
              </w:rPr>
              <w:t>Funding flexibility and access to quality data is required for co-design.</w:t>
            </w:r>
          </w:p>
        </w:tc>
      </w:tr>
      <w:tr w:rsidR="001D66D4" w14:paraId="25A18ED8" w14:textId="77777777" w:rsidTr="00270DC5">
        <w:trPr>
          <w:trHeight w:val="529"/>
        </w:trPr>
        <w:tc>
          <w:tcPr>
            <w:tcW w:w="0" w:type="dxa"/>
            <w:shd w:val="clear" w:color="auto" w:fill="EDFAFB" w:themeFill="background2" w:themeFillTint="33"/>
          </w:tcPr>
          <w:p w14:paraId="346519F5" w14:textId="6D31FAFB" w:rsidR="001D66D4" w:rsidRPr="00683D6F" w:rsidRDefault="008F5DA7" w:rsidP="00270DC5">
            <w:pPr>
              <w:pStyle w:val="Tabletext"/>
              <w:rPr>
                <w:rFonts w:eastAsiaTheme="minorHAnsi"/>
              </w:rPr>
            </w:pPr>
            <w:r w:rsidRPr="00261A87">
              <w:rPr>
                <w:rFonts w:eastAsiaTheme="minorHAnsi"/>
              </w:rPr>
              <w:t>Department staff can be reluctant to engage directly with service providers.</w:t>
            </w:r>
          </w:p>
        </w:tc>
      </w:tr>
    </w:tbl>
    <w:p w14:paraId="55706E0D" w14:textId="0D49A08C" w:rsidR="000F3A2E" w:rsidRPr="0076044E" w:rsidRDefault="000F3A2E" w:rsidP="0076044E">
      <w:pPr>
        <w:pStyle w:val="NoteNormal"/>
      </w:pPr>
      <w:r w:rsidRPr="0076044E">
        <w:t xml:space="preserve">Source: </w:t>
      </w:r>
      <w:r w:rsidR="009B7C6B" w:rsidRPr="0076044E">
        <w:t>Department of Treasury and Finance</w:t>
      </w:r>
      <w:r w:rsidRPr="0076044E">
        <w:t>; Early</w:t>
      </w:r>
      <w:r w:rsidR="009B7C6B" w:rsidRPr="0076044E">
        <w:rPr>
          <w:rFonts w:ascii="Calibri" w:hAnsi="Calibri" w:cs="Calibri"/>
        </w:rPr>
        <w:t> </w:t>
      </w:r>
      <w:r w:rsidRPr="0076044E">
        <w:t>Intervention and Social Investment Summit 2023.</w:t>
      </w:r>
    </w:p>
    <w:p w14:paraId="49403A3C" w14:textId="57498FD3" w:rsidR="00E77042" w:rsidRPr="00B829B3" w:rsidRDefault="00E77042" w:rsidP="00DC5A91">
      <w:pPr>
        <w:spacing w:before="400"/>
        <w:rPr>
          <w:i/>
          <w:iCs/>
          <w:szCs w:val="18"/>
        </w:rPr>
      </w:pPr>
      <w:r>
        <w:lastRenderedPageBreak/>
        <w:t>There aren’t simple answers to these issues.</w:t>
      </w:r>
      <w:r w:rsidR="000F36E8">
        <w:t xml:space="preserve"> </w:t>
      </w:r>
      <w:r w:rsidRPr="00D9274E">
        <w:t xml:space="preserve">However, </w:t>
      </w:r>
      <w:r w:rsidR="00DA4CF1" w:rsidRPr="00D9274E">
        <w:t xml:space="preserve">the </w:t>
      </w:r>
      <w:r w:rsidR="00873901" w:rsidRPr="00D9274E">
        <w:t>s</w:t>
      </w:r>
      <w:r w:rsidR="00DA4CF1" w:rsidRPr="00D9274E">
        <w:t xml:space="preserve">hared evidence </w:t>
      </w:r>
      <w:r w:rsidR="00873901" w:rsidRPr="00D9274E">
        <w:t>base that</w:t>
      </w:r>
      <w:r w:rsidR="00DA4CF1" w:rsidRPr="00D9274E">
        <w:t xml:space="preserve"> underpins EIIF proposals provides an opportunity</w:t>
      </w:r>
      <w:r w:rsidR="00873901" w:rsidRPr="00D9274E">
        <w:t xml:space="preserve"> to facilitate </w:t>
      </w:r>
      <w:r w:rsidRPr="00D9274E">
        <w:rPr>
          <w:szCs w:val="18"/>
        </w:rPr>
        <w:t>productive engagement between</w:t>
      </w:r>
      <w:r w:rsidR="00A8559A" w:rsidRPr="00D9274E">
        <w:rPr>
          <w:szCs w:val="18"/>
        </w:rPr>
        <w:t xml:space="preserve"> organisations in</w:t>
      </w:r>
      <w:r w:rsidRPr="00D9274E">
        <w:rPr>
          <w:szCs w:val="18"/>
        </w:rPr>
        <w:t xml:space="preserve"> the sector and departments</w:t>
      </w:r>
      <w:r w:rsidR="00972C50" w:rsidRPr="00D9274E">
        <w:rPr>
          <w:szCs w:val="18"/>
        </w:rPr>
        <w:t>.</w:t>
      </w:r>
      <w:r w:rsidR="00972C50" w:rsidRPr="00D9274E">
        <w:rPr>
          <w:rStyle w:val="CommentReference"/>
          <w:sz w:val="18"/>
          <w:szCs w:val="18"/>
        </w:rPr>
        <w:t xml:space="preserve"> </w:t>
      </w:r>
      <w:r w:rsidR="003B10FA" w:rsidRPr="00D9274E">
        <w:rPr>
          <w:rStyle w:val="CommentReference"/>
          <w:sz w:val="18"/>
          <w:szCs w:val="18"/>
        </w:rPr>
        <w:t>S</w:t>
      </w:r>
      <w:r w:rsidR="00972C50" w:rsidRPr="00D9274E">
        <w:rPr>
          <w:rStyle w:val="CommentReference"/>
          <w:sz w:val="18"/>
          <w:szCs w:val="18"/>
        </w:rPr>
        <w:t>ee ‘</w:t>
      </w:r>
      <w:r w:rsidR="00CF6C57" w:rsidRPr="00D9274E">
        <w:rPr>
          <w:rStyle w:val="CommentReference"/>
          <w:sz w:val="18"/>
          <w:szCs w:val="18"/>
        </w:rPr>
        <w:t>The w</w:t>
      </w:r>
      <w:r w:rsidR="00972C50" w:rsidRPr="00D9274E">
        <w:rPr>
          <w:rStyle w:val="CommentReference"/>
          <w:sz w:val="18"/>
          <w:szCs w:val="18"/>
        </w:rPr>
        <w:t xml:space="preserve">ay </w:t>
      </w:r>
      <w:r w:rsidR="00647BA9" w:rsidRPr="00D9274E">
        <w:rPr>
          <w:rStyle w:val="CommentReference"/>
          <w:sz w:val="18"/>
          <w:szCs w:val="18"/>
        </w:rPr>
        <w:t>f</w:t>
      </w:r>
      <w:r w:rsidR="00972C50" w:rsidRPr="00D9274E">
        <w:rPr>
          <w:rStyle w:val="CommentReference"/>
          <w:sz w:val="18"/>
          <w:szCs w:val="18"/>
        </w:rPr>
        <w:t xml:space="preserve">orward’ </w:t>
      </w:r>
      <w:r w:rsidR="00FF7BD1" w:rsidRPr="00D9274E">
        <w:rPr>
          <w:rStyle w:val="CommentReference"/>
          <w:sz w:val="18"/>
          <w:szCs w:val="18"/>
        </w:rPr>
        <w:t xml:space="preserve">on page 6 </w:t>
      </w:r>
      <w:r w:rsidR="003B10FA" w:rsidRPr="00D9274E">
        <w:rPr>
          <w:rStyle w:val="CommentReference"/>
          <w:sz w:val="18"/>
          <w:szCs w:val="18"/>
        </w:rPr>
        <w:t>for</w:t>
      </w:r>
      <w:r w:rsidR="00972C50" w:rsidRPr="00D9274E">
        <w:rPr>
          <w:rStyle w:val="CommentReference"/>
          <w:sz w:val="18"/>
          <w:szCs w:val="18"/>
        </w:rPr>
        <w:t xml:space="preserve"> </w:t>
      </w:r>
      <w:r w:rsidR="00647BA9" w:rsidRPr="00D9274E">
        <w:rPr>
          <w:rStyle w:val="CommentReference"/>
          <w:sz w:val="18"/>
          <w:szCs w:val="18"/>
        </w:rPr>
        <w:t>details o</w:t>
      </w:r>
      <w:r w:rsidR="003B10FA" w:rsidRPr="00D9274E">
        <w:rPr>
          <w:rStyle w:val="CommentReference"/>
          <w:sz w:val="18"/>
          <w:szCs w:val="18"/>
        </w:rPr>
        <w:t>f</w:t>
      </w:r>
      <w:r w:rsidR="00972C50" w:rsidRPr="00D9274E">
        <w:rPr>
          <w:rStyle w:val="CommentReference"/>
          <w:sz w:val="18"/>
          <w:szCs w:val="18"/>
        </w:rPr>
        <w:t xml:space="preserve"> </w:t>
      </w:r>
      <w:r w:rsidR="00DC5A91" w:rsidRPr="00D9274E">
        <w:rPr>
          <w:rStyle w:val="CommentReference"/>
          <w:sz w:val="18"/>
          <w:szCs w:val="18"/>
        </w:rPr>
        <w:t xml:space="preserve">how </w:t>
      </w:r>
      <w:r w:rsidR="00972C50" w:rsidRPr="00D9274E">
        <w:rPr>
          <w:rStyle w:val="CommentReference"/>
          <w:sz w:val="18"/>
          <w:szCs w:val="18"/>
        </w:rPr>
        <w:t>this</w:t>
      </w:r>
      <w:r w:rsidR="00972C50" w:rsidRPr="00270DC5">
        <w:rPr>
          <w:rStyle w:val="CommentReference"/>
          <w:sz w:val="18"/>
          <w:szCs w:val="18"/>
        </w:rPr>
        <w:t xml:space="preserve"> can be done</w:t>
      </w:r>
      <w:r w:rsidR="00A92EC3">
        <w:rPr>
          <w:rStyle w:val="CommentReference"/>
          <w:sz w:val="18"/>
          <w:szCs w:val="18"/>
        </w:rPr>
        <w:t>.</w:t>
      </w:r>
    </w:p>
    <w:p w14:paraId="15AD49A7" w14:textId="0B698089" w:rsidR="00E77042" w:rsidRDefault="00B53AB1" w:rsidP="00E77042">
      <w:r>
        <w:t>E</w:t>
      </w:r>
      <w:r w:rsidR="00E77042">
        <w:t>ngagement can take place along a continuum</w:t>
      </w:r>
      <w:r>
        <w:t xml:space="preserve">. The continuum </w:t>
      </w:r>
      <w:r w:rsidR="00FF7BD1">
        <w:t xml:space="preserve">shown in </w:t>
      </w:r>
      <w:r>
        <w:t xml:space="preserve">Figure 3 </w:t>
      </w:r>
      <w:r w:rsidR="00972C50">
        <w:t xml:space="preserve">will </w:t>
      </w:r>
      <w:r>
        <w:t xml:space="preserve">vary depending on </w:t>
      </w:r>
      <w:r w:rsidR="00E77042">
        <w:t>the barriers outlined above and the overall maturity of the relationship between the department and the sector.</w:t>
      </w:r>
      <w:r w:rsidR="007B56A4">
        <w:t xml:space="preserve"> </w:t>
      </w:r>
    </w:p>
    <w:p w14:paraId="3F875EA7" w14:textId="244CBA61" w:rsidR="001D66D4" w:rsidRDefault="001D66D4" w:rsidP="00E77042">
      <w:r>
        <w:t xml:space="preserve">In </w:t>
      </w:r>
      <w:r w:rsidR="00E42AD1">
        <w:t xml:space="preserve">some </w:t>
      </w:r>
      <w:r>
        <w:t xml:space="preserve">instances, </w:t>
      </w:r>
      <w:r w:rsidRPr="001D66D4">
        <w:t xml:space="preserve">co-design or co-produce </w:t>
      </w:r>
      <w:r>
        <w:t>processes won’t lead to the</w:t>
      </w:r>
      <w:r w:rsidRPr="001D66D4">
        <w:t xml:space="preserve"> best outcome</w:t>
      </w:r>
      <w:r>
        <w:t>s</w:t>
      </w:r>
      <w:r w:rsidR="00A707B8">
        <w:t xml:space="preserve">, </w:t>
      </w:r>
      <w:r w:rsidR="00E42AD1">
        <w:t xml:space="preserve">because </w:t>
      </w:r>
      <w:r w:rsidR="001F0203">
        <w:t xml:space="preserve">the </w:t>
      </w:r>
      <w:r w:rsidR="00A707B8">
        <w:t xml:space="preserve">resources </w:t>
      </w:r>
      <w:proofErr w:type="gramStart"/>
      <w:r w:rsidR="00A707B8">
        <w:t>required</w:t>
      </w:r>
      <w:proofErr w:type="gramEnd"/>
      <w:r w:rsidR="00A707B8">
        <w:t xml:space="preserve"> and transaction costs will not be worthwhile</w:t>
      </w:r>
      <w:r>
        <w:t>.</w:t>
      </w:r>
      <w:r w:rsidR="00B53AE8">
        <w:t xml:space="preserve"> I</w:t>
      </w:r>
      <w:r w:rsidR="00B53AE8" w:rsidRPr="00B53AE8">
        <w:t>t is important to be thoughtful about the approach to employ for each project based on the costs versus the expected benefits.</w:t>
      </w:r>
    </w:p>
    <w:p w14:paraId="78765117" w14:textId="09FEFE59" w:rsidR="00296591" w:rsidRPr="00FF4C64" w:rsidRDefault="00B53AB1" w:rsidP="00296591">
      <w:r>
        <w:t>It</w:t>
      </w:r>
      <w:r w:rsidR="00E70EFC">
        <w:t xml:space="preserve"> i</w:t>
      </w:r>
      <w:r>
        <w:t xml:space="preserve">s also important to recognise that </w:t>
      </w:r>
      <w:r w:rsidR="00296591" w:rsidRPr="00FF4C64">
        <w:t>the</w:t>
      </w:r>
      <w:r w:rsidR="00A8559A">
        <w:t xml:space="preserve"> relevant</w:t>
      </w:r>
      <w:r w:rsidR="00296591" w:rsidRPr="00FF4C64">
        <w:t xml:space="preserve"> Minister will have final </w:t>
      </w:r>
      <w:r w:rsidR="00024832">
        <w:t>accountability</w:t>
      </w:r>
      <w:r w:rsidR="00024832" w:rsidRPr="00FF4C64">
        <w:t xml:space="preserve"> </w:t>
      </w:r>
      <w:r w:rsidR="00296591" w:rsidRPr="00FF4C64">
        <w:t>for priorities and proposals that sit within their portfolio.</w:t>
      </w:r>
    </w:p>
    <w:p w14:paraId="2D5ED000" w14:textId="46161A77" w:rsidR="007B56A4" w:rsidRDefault="007B56A4" w:rsidP="007B6538">
      <w:pPr>
        <w:pStyle w:val="Caption"/>
      </w:pPr>
      <w:r w:rsidRPr="00B46BE7">
        <w:t>Figure 3</w:t>
      </w:r>
      <w:r w:rsidR="00296591">
        <w:t xml:space="preserve">: </w:t>
      </w:r>
      <w:r w:rsidRPr="00B46BE7">
        <w:t>The ladder of participation</w:t>
      </w:r>
    </w:p>
    <w:p w14:paraId="58FD8E8B" w14:textId="6FA7C212" w:rsidR="007B6538" w:rsidRPr="007B6538" w:rsidRDefault="007B6538" w:rsidP="007B6538">
      <w:r w:rsidRPr="007B6538">
        <w:rPr>
          <w:noProof/>
        </w:rPr>
        <w:drawing>
          <wp:inline distT="0" distB="0" distL="0" distR="0" wp14:anchorId="11CD31FD" wp14:editId="4758BF32">
            <wp:extent cx="2960708" cy="2019300"/>
            <wp:effectExtent l="0" t="0" r="0" b="0"/>
            <wp:docPr id="51" name="Graphic 51" descr="Diagram of the ladder of participation.&#10;To the left there is an arrow point up, labelled &quot;increasing levels of engagement and influence&quot;. There are five rows of two boxes next two each other, each representing a rung in the ladder of participation. From top to bottom, these are:&#10;Co-produce: community ownership and control; Co-design: Shared decision-making; Involve: Two-way dialogue to ensure perspectives are considered; Consult: Obtaining feedback; Inform: providing information. To the right of the diagram there are labels indicating how community is  viewed in each rung of the ladder. Co-produce and co-design are labelled as &quot;Doing with&quot;; Involve and Consult are labelled as &quot;Doing for&quot; and Inform is labelled as &quot;Doing to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phic 51" descr="Diagram of the ladder of participation.&#10;To the left there is an arrow point up, labelled &quot;increasing levels of engagement and influence&quot;. There are five rows of two boxes next two each other, each representing a rung in the ladder of participation. From top to bottom, these are:&#10;Co-produce: community ownership and control; Co-design: Shared decision-making; Involve: Two-way dialogue to ensure perspectives are considered; Consult: Obtaining feedback; Inform: providing information. To the right of the diagram there are labels indicating how community is  viewed in each rung of the ladder. Co-produce and co-design are labelled as &quot;Doing with&quot;; Involve and Consult are labelled as &quot;Doing for&quot; and Inform is labelled as &quot;Doing to&quot;.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563" cy="20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D32CB" w14:textId="3FD306FD" w:rsidR="00D913E7" w:rsidRPr="00B1233E" w:rsidRDefault="00D913E7" w:rsidP="0076044E">
      <w:pPr>
        <w:pStyle w:val="NoteNormal"/>
      </w:pPr>
      <w:r w:rsidRPr="00B1233E">
        <w:t xml:space="preserve">Source: </w:t>
      </w:r>
      <w:r w:rsidR="003973FE" w:rsidRPr="00B1233E">
        <w:t xml:space="preserve">Victorian Council of Social Service, 2024, </w:t>
      </w:r>
      <w:r w:rsidRPr="0076044E">
        <w:rPr>
          <w:i/>
          <w:iCs/>
        </w:rPr>
        <w:t>Collaboration on the Early Intervention Investment Framework</w:t>
      </w:r>
      <w:r w:rsidRPr="00B1233E">
        <w:t>, Adapted from: New Economics Foundation, Coproduction in mental health: A literature review, page</w:t>
      </w:r>
      <w:r w:rsidR="00B1233E" w:rsidRPr="00B1233E">
        <w:rPr>
          <w:rFonts w:ascii="Calibri" w:hAnsi="Calibri" w:cs="Calibri"/>
        </w:rPr>
        <w:t> </w:t>
      </w:r>
      <w:r w:rsidRPr="00B1233E">
        <w:t>4.</w:t>
      </w:r>
    </w:p>
    <w:p w14:paraId="0BE54F9B" w14:textId="20CD91CA" w:rsidR="0076268E" w:rsidRPr="0076268E" w:rsidRDefault="0076268E" w:rsidP="003E0629">
      <w:pPr>
        <w:pStyle w:val="Heading2"/>
        <w:spacing w:before="400" w:after="120"/>
        <w:rPr>
          <w:rFonts w:asciiTheme="minorHAnsi" w:hAnsiTheme="minorHAnsi"/>
          <w:sz w:val="2"/>
          <w:szCs w:val="2"/>
        </w:rPr>
      </w:pPr>
    </w:p>
    <w:p w14:paraId="2A698E5B" w14:textId="13219F34" w:rsidR="000B2951" w:rsidRDefault="000B2951" w:rsidP="003E0629">
      <w:pPr>
        <w:pStyle w:val="Heading2"/>
        <w:spacing w:before="400" w:after="120"/>
      </w:pPr>
      <w:r>
        <w:t>Tips on EIIF proposal co-design</w:t>
      </w:r>
    </w:p>
    <w:p w14:paraId="2E86F23B" w14:textId="63B9495B" w:rsidR="000B2951" w:rsidRPr="00DF7A2E" w:rsidRDefault="000B2951" w:rsidP="003E0629">
      <w:pPr>
        <w:spacing w:before="60"/>
      </w:pPr>
      <w:r>
        <w:t xml:space="preserve">The questions and prompts below have been adapted from </w:t>
      </w:r>
      <w:r w:rsidRPr="00036A4F">
        <w:t>VCOSS</w:t>
      </w:r>
      <w:r>
        <w:t>’s paper</w:t>
      </w:r>
      <w:r w:rsidRPr="00036A4F">
        <w:t xml:space="preserve"> </w:t>
      </w:r>
      <w:r w:rsidRPr="00036A4F">
        <w:rPr>
          <w:i/>
          <w:iCs/>
        </w:rPr>
        <w:t>Collaboration on the Early Intervention Investment Framework</w:t>
      </w:r>
      <w:r w:rsidR="00260415" w:rsidRPr="00A060BB">
        <w:t xml:space="preserve"> and</w:t>
      </w:r>
      <w:r>
        <w:rPr>
          <w:i/>
          <w:iCs/>
        </w:rPr>
        <w:t xml:space="preserve"> </w:t>
      </w:r>
      <w:r w:rsidR="00260415">
        <w:t>may be useful for both departments and organisations when considering co-design</w:t>
      </w:r>
      <w:r w:rsidRPr="00DF7A2E">
        <w:t>.</w:t>
      </w:r>
      <w:r>
        <w:t xml:space="preserve"> </w:t>
      </w:r>
    </w:p>
    <w:p w14:paraId="0A078B9E" w14:textId="77777777" w:rsidR="000B2951" w:rsidRPr="00DF7A2E" w:rsidRDefault="000B2951" w:rsidP="000B2951">
      <w:r w:rsidRPr="00DF7A2E">
        <w:t>The questions and prompts aim to help:</w:t>
      </w:r>
    </w:p>
    <w:p w14:paraId="5E83D921" w14:textId="70FD2191" w:rsidR="000B2951" w:rsidRPr="00DF7A2E" w:rsidRDefault="006074CC" w:rsidP="00B567E0">
      <w:pPr>
        <w:pStyle w:val="Bullet1"/>
      </w:pPr>
      <w:r>
        <w:t>d</w:t>
      </w:r>
      <w:r w:rsidRPr="00DF7A2E">
        <w:t xml:space="preserve">efine </w:t>
      </w:r>
      <w:r w:rsidR="000B2951" w:rsidRPr="00DF7A2E">
        <w:t>the scope of the issue to be addressed</w:t>
      </w:r>
    </w:p>
    <w:p w14:paraId="032DB1B1" w14:textId="56363C77" w:rsidR="000B2951" w:rsidRPr="00DF7A2E" w:rsidRDefault="006074CC" w:rsidP="00B567E0">
      <w:pPr>
        <w:pStyle w:val="Bullet1"/>
      </w:pPr>
      <w:r>
        <w:t>i</w:t>
      </w:r>
      <w:r w:rsidRPr="00DF7A2E">
        <w:t xml:space="preserve">dentify </w:t>
      </w:r>
      <w:r w:rsidR="000B2951" w:rsidRPr="00DF7A2E">
        <w:t>stakeholders who will need to be involved</w:t>
      </w:r>
    </w:p>
    <w:p w14:paraId="0B067998" w14:textId="307AC185" w:rsidR="000B2951" w:rsidRDefault="006074CC" w:rsidP="00B567E0">
      <w:pPr>
        <w:pStyle w:val="Bullet1"/>
      </w:pPr>
      <w:r>
        <w:t>p</w:t>
      </w:r>
      <w:r w:rsidR="000B2951" w:rsidRPr="00DF7A2E">
        <w:t>lan the overall shape of the project and the required engagement activities</w:t>
      </w:r>
    </w:p>
    <w:p w14:paraId="127368BB" w14:textId="30536D8C" w:rsidR="000B2951" w:rsidRPr="00DF7A2E" w:rsidRDefault="006074CC" w:rsidP="00B567E0">
      <w:pPr>
        <w:pStyle w:val="Bullet1"/>
      </w:pPr>
      <w:r>
        <w:t xml:space="preserve">prepare </w:t>
      </w:r>
      <w:r w:rsidR="000B2951">
        <w:t>meaningful outcome metrics.</w:t>
      </w:r>
    </w:p>
    <w:p w14:paraId="7085945B" w14:textId="1F815E73" w:rsidR="000B2951" w:rsidRPr="00DF7A2E" w:rsidRDefault="000B2951" w:rsidP="000B2951">
      <w:r w:rsidRPr="00DF7A2E">
        <w:t xml:space="preserve">The length of time and resources required to undertake a co-design process will depend on the scope and complexity of the issue being explored. </w:t>
      </w:r>
    </w:p>
    <w:p w14:paraId="4F994E1F" w14:textId="77777777" w:rsidR="000B2951" w:rsidRPr="00DF7A2E" w:rsidRDefault="000B2951" w:rsidP="00CE7323">
      <w:pPr>
        <w:pStyle w:val="Heading3"/>
        <w:rPr>
          <w:b/>
        </w:rPr>
      </w:pPr>
      <w:r w:rsidRPr="00DF7A2E">
        <w:t>Define the scope</w:t>
      </w:r>
    </w:p>
    <w:p w14:paraId="4756E270" w14:textId="52D0F1AD" w:rsidR="000B2951" w:rsidRPr="00DF7A2E" w:rsidRDefault="005B381C" w:rsidP="00CF6C57">
      <w:pPr>
        <w:spacing w:after="0"/>
      </w:pPr>
      <w:r>
        <w:t>Consider the following q</w:t>
      </w:r>
      <w:r w:rsidR="000B2951" w:rsidRPr="00DF7A2E">
        <w:t>uestions when defining the scope of the co-design process:</w:t>
      </w:r>
    </w:p>
    <w:p w14:paraId="6B39C118" w14:textId="77777777" w:rsidR="000B2951" w:rsidRPr="00DF7A2E" w:rsidRDefault="000B2951" w:rsidP="00CF6C57">
      <w:pPr>
        <w:pStyle w:val="Bullet1"/>
        <w:spacing w:before="60"/>
        <w:ind w:left="357" w:hanging="357"/>
      </w:pPr>
      <w:r w:rsidRPr="00DF7A2E">
        <w:t>What is the issue that is to be addressed?</w:t>
      </w:r>
    </w:p>
    <w:p w14:paraId="21B1B0D4" w14:textId="77777777" w:rsidR="000B2951" w:rsidRPr="00DF7A2E" w:rsidRDefault="000B2951" w:rsidP="00CF6C57">
      <w:pPr>
        <w:pStyle w:val="Bullet1"/>
      </w:pPr>
      <w:r w:rsidRPr="00DF7A2E">
        <w:t>Why has this been identified as a priority?</w:t>
      </w:r>
    </w:p>
    <w:p w14:paraId="305171D6" w14:textId="77777777" w:rsidR="00260415" w:rsidRDefault="000B2951" w:rsidP="00CF6C57">
      <w:pPr>
        <w:pStyle w:val="Bullet1"/>
        <w:rPr>
          <w:szCs w:val="18"/>
        </w:rPr>
      </w:pPr>
      <w:r w:rsidRPr="00DF7A2E">
        <w:t xml:space="preserve">What do </w:t>
      </w:r>
      <w:r w:rsidRPr="00DF7A2E">
        <w:rPr>
          <w:szCs w:val="18"/>
        </w:rPr>
        <w:t>we already know about this issue?</w:t>
      </w:r>
    </w:p>
    <w:p w14:paraId="38D97947" w14:textId="4C58E4A7" w:rsidR="000B2951" w:rsidRPr="00DF7A2E" w:rsidRDefault="000B2951" w:rsidP="00CF6C57">
      <w:pPr>
        <w:pStyle w:val="Bullet1"/>
        <w:rPr>
          <w:szCs w:val="18"/>
        </w:rPr>
      </w:pPr>
      <w:r w:rsidRPr="00DF7A2E">
        <w:rPr>
          <w:szCs w:val="18"/>
        </w:rPr>
        <w:t>What evidence and data are available?</w:t>
      </w:r>
    </w:p>
    <w:p w14:paraId="0A0E5E7B" w14:textId="77777777" w:rsidR="000B2951" w:rsidRDefault="000B2951" w:rsidP="00CF6C57">
      <w:pPr>
        <w:pStyle w:val="Bullet1"/>
        <w:rPr>
          <w:szCs w:val="18"/>
        </w:rPr>
      </w:pPr>
      <w:r w:rsidRPr="00DF7A2E">
        <w:rPr>
          <w:szCs w:val="18"/>
        </w:rPr>
        <w:t>What is out of scope?</w:t>
      </w:r>
    </w:p>
    <w:p w14:paraId="644B454F" w14:textId="4C85199A" w:rsidR="000B2951" w:rsidRPr="00DF7A2E" w:rsidRDefault="000B2951" w:rsidP="00644FBF">
      <w:pPr>
        <w:pStyle w:val="Heading3"/>
      </w:pPr>
      <w:r w:rsidRPr="00DF7A2E">
        <w:t>Identify stakeholders</w:t>
      </w:r>
    </w:p>
    <w:p w14:paraId="36AEE37B" w14:textId="4DDA88BB" w:rsidR="000B2951" w:rsidRPr="00DF7A2E" w:rsidRDefault="005B381C" w:rsidP="00CF6C57">
      <w:pPr>
        <w:spacing w:after="0"/>
        <w:rPr>
          <w:szCs w:val="18"/>
        </w:rPr>
      </w:pPr>
      <w:r>
        <w:rPr>
          <w:szCs w:val="18"/>
        </w:rPr>
        <w:t>Consider the following q</w:t>
      </w:r>
      <w:r w:rsidR="000B2951" w:rsidRPr="00DF7A2E">
        <w:rPr>
          <w:szCs w:val="18"/>
        </w:rPr>
        <w:t xml:space="preserve">uestions </w:t>
      </w:r>
      <w:r w:rsidR="00260415">
        <w:rPr>
          <w:szCs w:val="18"/>
        </w:rPr>
        <w:t>when identifying key stakeholder</w:t>
      </w:r>
      <w:r>
        <w:rPr>
          <w:szCs w:val="18"/>
        </w:rPr>
        <w:t>s:</w:t>
      </w:r>
    </w:p>
    <w:p w14:paraId="6E59C238" w14:textId="77777777" w:rsidR="000B2951" w:rsidRDefault="000B2951" w:rsidP="00CF6C57">
      <w:pPr>
        <w:pStyle w:val="Bullet1"/>
        <w:spacing w:before="60"/>
        <w:ind w:left="357" w:hanging="357"/>
      </w:pPr>
      <w:r w:rsidRPr="00DF7A2E">
        <w:t xml:space="preserve">Who is impacted by this issue? Are there groups who are disproportionately affected? </w:t>
      </w:r>
    </w:p>
    <w:p w14:paraId="047CC4B3" w14:textId="77777777" w:rsidR="000B2951" w:rsidRDefault="000B2951" w:rsidP="00CF6C57">
      <w:pPr>
        <w:pStyle w:val="Bullet1"/>
      </w:pPr>
      <w:r w:rsidRPr="00DF7A2E">
        <w:t xml:space="preserve">What organisations are currently working with these groups or communities? </w:t>
      </w:r>
    </w:p>
    <w:p w14:paraId="4192BF4C" w14:textId="285BB9B6" w:rsidR="000B2951" w:rsidRDefault="000B2951" w:rsidP="00CF6C57">
      <w:pPr>
        <w:pStyle w:val="Bullet1"/>
      </w:pPr>
      <w:r w:rsidRPr="00DF7A2E">
        <w:t>Are there relevant peak bodies, service user</w:t>
      </w:r>
      <w:r w:rsidR="009E58B3">
        <w:t>s</w:t>
      </w:r>
      <w:r w:rsidRPr="00DF7A2E">
        <w:t xml:space="preserve"> or lived experience advocates or groups who should be involved? </w:t>
      </w:r>
    </w:p>
    <w:p w14:paraId="35C1B042" w14:textId="77777777" w:rsidR="000B2951" w:rsidRDefault="000B2951" w:rsidP="00CF6C57">
      <w:pPr>
        <w:pStyle w:val="Bullet1"/>
      </w:pPr>
      <w:r w:rsidRPr="00DF7A2E">
        <w:t>Are there experts (policy, practice, academics) who have demonstrated interest and knowledge in this area?</w:t>
      </w:r>
    </w:p>
    <w:p w14:paraId="6293B229" w14:textId="73D4C182" w:rsidR="000B2951" w:rsidRDefault="000B2951" w:rsidP="00CF6C57">
      <w:pPr>
        <w:pStyle w:val="Bullet1"/>
      </w:pPr>
      <w:r w:rsidRPr="00DF7A2E">
        <w:t xml:space="preserve">Are there other areas of government (state, </w:t>
      </w:r>
      <w:r w:rsidR="00AD18D6">
        <w:t>C</w:t>
      </w:r>
      <w:r w:rsidR="00AD18D6" w:rsidRPr="00DF7A2E">
        <w:t xml:space="preserve">ommonwealth </w:t>
      </w:r>
      <w:r w:rsidRPr="00DF7A2E">
        <w:t xml:space="preserve">and local) which might intersect with this issue? </w:t>
      </w:r>
    </w:p>
    <w:p w14:paraId="5726B518" w14:textId="77777777" w:rsidR="000B2951" w:rsidRDefault="000B2951" w:rsidP="00CF6C57">
      <w:pPr>
        <w:pStyle w:val="Bullet1"/>
      </w:pPr>
      <w:r w:rsidRPr="00DF7A2E">
        <w:t xml:space="preserve">How will stakeholders be invited and/or selected to participate? </w:t>
      </w:r>
    </w:p>
    <w:p w14:paraId="6F825575" w14:textId="5FC8CAAD" w:rsidR="0076268E" w:rsidRDefault="000B2951" w:rsidP="0076268E">
      <w:pPr>
        <w:pStyle w:val="Bullet1"/>
      </w:pPr>
      <w:r w:rsidRPr="00DF7A2E">
        <w:t>What will the stakeholders need to enable their participation</w:t>
      </w:r>
      <w:r>
        <w:t xml:space="preserve">, including </w:t>
      </w:r>
      <w:r w:rsidRPr="000B2951">
        <w:t>data and information sharing arrangements</w:t>
      </w:r>
      <w:r w:rsidR="00C20533">
        <w:t>,</w:t>
      </w:r>
      <w:r w:rsidR="0076268E">
        <w:t xml:space="preserve"> as we as culturally sensitive approaches when engaging with Aboriginal Victorians and Aboriginal Controlled Community Organisations (ACCOs)? </w:t>
      </w:r>
    </w:p>
    <w:p w14:paraId="71681471" w14:textId="6B4472B7" w:rsidR="000B2951" w:rsidRPr="00DF7A2E" w:rsidRDefault="000B2951" w:rsidP="0086437D">
      <w:pPr>
        <w:pStyle w:val="Heading3"/>
        <w:spacing w:before="180"/>
      </w:pPr>
      <w:r w:rsidRPr="00DF7A2E">
        <w:lastRenderedPageBreak/>
        <w:t>Plan engagement</w:t>
      </w:r>
    </w:p>
    <w:p w14:paraId="40E518BB" w14:textId="0B673D34" w:rsidR="000B2951" w:rsidRPr="00DF7A2E" w:rsidRDefault="000B2951" w:rsidP="00CE7323">
      <w:r>
        <w:t xml:space="preserve">The </w:t>
      </w:r>
      <w:r w:rsidRPr="00DF7A2E">
        <w:t xml:space="preserve">approach </w:t>
      </w:r>
      <w:r w:rsidR="00CF6C57">
        <w:t xml:space="preserve">shown </w:t>
      </w:r>
      <w:r>
        <w:t>in F</w:t>
      </w:r>
      <w:r w:rsidRPr="00A060BB">
        <w:t>igure 4</w:t>
      </w:r>
      <w:r>
        <w:t xml:space="preserve"> is </w:t>
      </w:r>
      <w:r w:rsidRPr="00DF7A2E">
        <w:t xml:space="preserve">commonly used to design solutions to complex problems. There are </w:t>
      </w:r>
      <w:r w:rsidR="006257BC">
        <w:t>five</w:t>
      </w:r>
      <w:r w:rsidRPr="00DF7A2E">
        <w:t xml:space="preserve"> stages:</w:t>
      </w:r>
    </w:p>
    <w:p w14:paraId="2FF29B12" w14:textId="451CFDD2" w:rsidR="000B2951" w:rsidRPr="00DF7A2E" w:rsidRDefault="000B2951" w:rsidP="004F6991">
      <w:pPr>
        <w:pStyle w:val="Numpara"/>
      </w:pPr>
      <w:r w:rsidRPr="0086437D">
        <w:rPr>
          <w:rFonts w:asciiTheme="majorHAnsi" w:hAnsiTheme="majorHAnsi"/>
          <w:color w:val="009CA7" w:themeColor="accent4"/>
        </w:rPr>
        <w:t>Align</w:t>
      </w:r>
      <w:r w:rsidR="00B16D9F">
        <w:t xml:space="preserve"> –</w:t>
      </w:r>
      <w:r w:rsidRPr="00DF7A2E">
        <w:t xml:space="preserve"> </w:t>
      </w:r>
      <w:r w:rsidR="004F6991" w:rsidRPr="00DF7A2E">
        <w:t xml:space="preserve">Understanding </w:t>
      </w:r>
      <w:r w:rsidRPr="00DF7A2E">
        <w:t>the desired future state</w:t>
      </w:r>
      <w:r w:rsidR="001C2AF2">
        <w:t>.</w:t>
      </w:r>
    </w:p>
    <w:p w14:paraId="0933D2EA" w14:textId="2313B2BC" w:rsidR="000B2951" w:rsidRPr="00DF7A2E" w:rsidRDefault="000B2951" w:rsidP="004F6991">
      <w:pPr>
        <w:pStyle w:val="Numpara"/>
      </w:pPr>
      <w:r w:rsidRPr="0086437D">
        <w:rPr>
          <w:rFonts w:asciiTheme="majorHAnsi" w:hAnsiTheme="majorHAnsi"/>
          <w:color w:val="009CA7" w:themeColor="accent4"/>
        </w:rPr>
        <w:t>Discover</w:t>
      </w:r>
      <w:r w:rsidR="00B16D9F">
        <w:t xml:space="preserve"> –</w:t>
      </w:r>
      <w:r w:rsidRPr="00DF7A2E">
        <w:t xml:space="preserve"> </w:t>
      </w:r>
      <w:r w:rsidR="004F6991" w:rsidRPr="00DF7A2E">
        <w:t xml:space="preserve">Understanding </w:t>
      </w:r>
      <w:r w:rsidRPr="00DF7A2E">
        <w:t>the problem</w:t>
      </w:r>
      <w:r w:rsidR="001C2AF2">
        <w:t>.</w:t>
      </w:r>
    </w:p>
    <w:p w14:paraId="242F1887" w14:textId="30B2F0E5" w:rsidR="000B2951" w:rsidRPr="00DF7A2E" w:rsidRDefault="000B2951" w:rsidP="004F6991">
      <w:pPr>
        <w:pStyle w:val="Numpara"/>
      </w:pPr>
      <w:r w:rsidRPr="0086437D">
        <w:rPr>
          <w:rFonts w:asciiTheme="majorHAnsi" w:hAnsiTheme="majorHAnsi"/>
          <w:color w:val="009CA7" w:themeColor="accent4"/>
        </w:rPr>
        <w:t>Defin</w:t>
      </w:r>
      <w:r w:rsidR="001C2AF2" w:rsidRPr="0086437D">
        <w:rPr>
          <w:rFonts w:asciiTheme="majorHAnsi" w:hAnsiTheme="majorHAnsi"/>
          <w:color w:val="009CA7" w:themeColor="accent4"/>
        </w:rPr>
        <w:t>e</w:t>
      </w:r>
      <w:r w:rsidR="00B16D9F">
        <w:t xml:space="preserve"> –</w:t>
      </w:r>
      <w:r w:rsidRPr="00DF7A2E">
        <w:t xml:space="preserve"> </w:t>
      </w:r>
      <w:r w:rsidR="004F6991" w:rsidRPr="00DF7A2E">
        <w:t xml:space="preserve">Defining </w:t>
      </w:r>
      <w:r w:rsidRPr="00DF7A2E">
        <w:t>the problem</w:t>
      </w:r>
      <w:r w:rsidR="001C2AF2">
        <w:t>.</w:t>
      </w:r>
    </w:p>
    <w:p w14:paraId="3DCCAB64" w14:textId="0C0FED0B" w:rsidR="000B2951" w:rsidRPr="00DF7A2E" w:rsidRDefault="000B2951" w:rsidP="004F6991">
      <w:pPr>
        <w:pStyle w:val="Numpara"/>
      </w:pPr>
      <w:r w:rsidRPr="0086437D">
        <w:rPr>
          <w:rFonts w:asciiTheme="majorHAnsi" w:hAnsiTheme="majorHAnsi"/>
          <w:color w:val="009CA7" w:themeColor="accent4"/>
        </w:rPr>
        <w:t>Develop</w:t>
      </w:r>
      <w:r w:rsidR="00B16D9F">
        <w:t xml:space="preserve"> –</w:t>
      </w:r>
      <w:r w:rsidRPr="00DF7A2E">
        <w:t xml:space="preserve"> </w:t>
      </w:r>
      <w:r w:rsidR="004F6991" w:rsidRPr="00DF7A2E">
        <w:t xml:space="preserve">Developing </w:t>
      </w:r>
      <w:r w:rsidRPr="00DF7A2E">
        <w:t>possible solutions</w:t>
      </w:r>
      <w:r w:rsidR="001C2AF2">
        <w:t>.</w:t>
      </w:r>
    </w:p>
    <w:p w14:paraId="6FD7E594" w14:textId="433E3048" w:rsidR="000B2951" w:rsidRDefault="000B2951" w:rsidP="004F6991">
      <w:pPr>
        <w:pStyle w:val="Numpara"/>
      </w:pPr>
      <w:r w:rsidRPr="0086437D">
        <w:rPr>
          <w:rFonts w:asciiTheme="majorHAnsi" w:hAnsiTheme="majorHAnsi"/>
          <w:color w:val="009CA7" w:themeColor="accent4"/>
        </w:rPr>
        <w:t>Deliver</w:t>
      </w:r>
      <w:r w:rsidR="00B16D9F">
        <w:t xml:space="preserve"> –</w:t>
      </w:r>
      <w:r w:rsidRPr="00DF7A2E">
        <w:t xml:space="preserve"> </w:t>
      </w:r>
      <w:r w:rsidR="004F6991" w:rsidRPr="00DF7A2E">
        <w:t xml:space="preserve">Choosing </w:t>
      </w:r>
      <w:r w:rsidRPr="00DF7A2E">
        <w:t>and refining the solution</w:t>
      </w:r>
      <w:r w:rsidR="001C2AF2">
        <w:t>.</w:t>
      </w:r>
    </w:p>
    <w:p w14:paraId="488F5F31" w14:textId="7228221C" w:rsidR="000B2951" w:rsidRDefault="000B2951" w:rsidP="00B16D9F">
      <w:pPr>
        <w:pStyle w:val="Caption"/>
      </w:pPr>
      <w:r w:rsidRPr="009774CE">
        <w:t xml:space="preserve">Figure </w:t>
      </w:r>
      <w:r>
        <w:t>4</w:t>
      </w:r>
      <w:r w:rsidRPr="009774CE">
        <w:t>: Engagement defining question</w:t>
      </w:r>
      <w:r>
        <w:t>s</w:t>
      </w:r>
    </w:p>
    <w:tbl>
      <w:tblPr>
        <w:tblStyle w:val="DTFtexttable"/>
        <w:tblW w:w="0" w:type="auto"/>
        <w:tblLayout w:type="fixed"/>
        <w:tblLook w:val="0620" w:firstRow="1" w:lastRow="0" w:firstColumn="0" w:lastColumn="0" w:noHBand="1" w:noVBand="1"/>
      </w:tblPr>
      <w:tblGrid>
        <w:gridCol w:w="547"/>
        <w:gridCol w:w="1253"/>
        <w:gridCol w:w="2869"/>
      </w:tblGrid>
      <w:tr w:rsidR="001C2AF2" w:rsidRPr="00AD0B6A" w14:paraId="5C622895" w14:textId="77777777" w:rsidTr="005F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7" w:type="dxa"/>
            <w:tcBorders>
              <w:bottom w:val="single" w:sz="6" w:space="0" w:color="A6A6A6" w:themeColor="background1" w:themeShade="A6"/>
            </w:tcBorders>
          </w:tcPr>
          <w:p w14:paraId="1D288B59" w14:textId="010D01C6" w:rsidR="00AD0B6A" w:rsidRPr="00AD0B6A" w:rsidRDefault="004F6991" w:rsidP="00AD0B6A">
            <w:pPr>
              <w:spacing w:before="60" w:after="60" w:line="240" w:lineRule="auto"/>
              <w:rPr>
                <w:sz w:val="14"/>
                <w:szCs w:val="14"/>
              </w:rPr>
            </w:pPr>
            <w:r w:rsidRPr="00AD0B6A">
              <w:rPr>
                <w:sz w:val="14"/>
                <w:szCs w:val="14"/>
              </w:rPr>
              <w:t>Stage</w:t>
            </w:r>
          </w:p>
        </w:tc>
        <w:tc>
          <w:tcPr>
            <w:tcW w:w="1253" w:type="dxa"/>
            <w:tcBorders>
              <w:bottom w:val="single" w:sz="6" w:space="0" w:color="A6A6A6" w:themeColor="background1" w:themeShade="A6"/>
            </w:tcBorders>
          </w:tcPr>
          <w:p w14:paraId="37769E9D" w14:textId="0EEEE7E9" w:rsidR="004F6991" w:rsidRPr="00AD0B6A" w:rsidRDefault="004F6991" w:rsidP="00AD0B6A">
            <w:pPr>
              <w:spacing w:before="60" w:after="60" w:line="240" w:lineRule="auto"/>
              <w:rPr>
                <w:sz w:val="14"/>
                <w:szCs w:val="14"/>
              </w:rPr>
            </w:pPr>
            <w:r w:rsidRPr="00AD0B6A">
              <w:rPr>
                <w:sz w:val="14"/>
                <w:szCs w:val="14"/>
              </w:rPr>
              <w:t>Aim</w:t>
            </w:r>
          </w:p>
        </w:tc>
        <w:tc>
          <w:tcPr>
            <w:tcW w:w="2869" w:type="dxa"/>
            <w:tcBorders>
              <w:bottom w:val="single" w:sz="6" w:space="0" w:color="A6A6A6" w:themeColor="background1" w:themeShade="A6"/>
            </w:tcBorders>
          </w:tcPr>
          <w:p w14:paraId="5CAFB93C" w14:textId="76F0ACD7" w:rsidR="004F6991" w:rsidRPr="00AD0B6A" w:rsidRDefault="004F6991" w:rsidP="00AD0B6A">
            <w:pPr>
              <w:spacing w:before="60" w:after="60" w:line="240" w:lineRule="auto"/>
              <w:rPr>
                <w:sz w:val="14"/>
                <w:szCs w:val="14"/>
              </w:rPr>
            </w:pPr>
            <w:r w:rsidRPr="00AD0B6A">
              <w:rPr>
                <w:sz w:val="14"/>
                <w:szCs w:val="14"/>
              </w:rPr>
              <w:t>Questions to explore with stakeholders</w:t>
            </w:r>
          </w:p>
        </w:tc>
      </w:tr>
      <w:tr w:rsidR="00870840" w:rsidRPr="00AD0B6A" w14:paraId="55B00168" w14:textId="77777777" w:rsidTr="005F6734">
        <w:tc>
          <w:tcPr>
            <w:tcW w:w="547" w:type="dxa"/>
            <w:tcBorders>
              <w:top w:val="single" w:sz="6" w:space="0" w:color="A6A6A6" w:themeColor="background1" w:themeShade="A6"/>
              <w:bottom w:val="single" w:sz="6" w:space="0" w:color="A6E7EB" w:themeColor="background2"/>
            </w:tcBorders>
            <w:textDirection w:val="btLr"/>
          </w:tcPr>
          <w:p w14:paraId="3CBBCAA6" w14:textId="63AB066B" w:rsidR="004F6991" w:rsidRPr="00AD0B6A" w:rsidRDefault="004F6991" w:rsidP="00F81701">
            <w:pPr>
              <w:spacing w:before="60" w:after="60" w:line="240" w:lineRule="auto"/>
              <w:ind w:left="113" w:right="170"/>
              <w:jc w:val="right"/>
              <w:rPr>
                <w:b/>
                <w:bCs/>
                <w:sz w:val="15"/>
                <w:szCs w:val="15"/>
              </w:rPr>
            </w:pPr>
            <w:r w:rsidRPr="00AD0B6A">
              <w:rPr>
                <w:b/>
                <w:bCs/>
                <w:sz w:val="15"/>
                <w:szCs w:val="15"/>
              </w:rPr>
              <w:t>Align</w:t>
            </w:r>
          </w:p>
        </w:tc>
        <w:tc>
          <w:tcPr>
            <w:tcW w:w="1253" w:type="dxa"/>
            <w:tcBorders>
              <w:top w:val="single" w:sz="6" w:space="0" w:color="A6A6A6" w:themeColor="background1" w:themeShade="A6"/>
              <w:bottom w:val="single" w:sz="6" w:space="0" w:color="A6E7EB" w:themeColor="background2"/>
            </w:tcBorders>
          </w:tcPr>
          <w:p w14:paraId="0B5A1913" w14:textId="1CCAF25C" w:rsidR="004F6991" w:rsidRPr="00AD0B6A" w:rsidRDefault="004F6991" w:rsidP="00F81701">
            <w:pPr>
              <w:spacing w:before="60" w:line="240" w:lineRule="auto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 xml:space="preserve">Have a </w:t>
            </w:r>
            <w:r w:rsidR="0057149E" w:rsidRPr="00AD0B6A">
              <w:rPr>
                <w:sz w:val="15"/>
                <w:szCs w:val="15"/>
              </w:rPr>
              <w:t>shared understanding of scope and vision for the future</w:t>
            </w:r>
          </w:p>
        </w:tc>
        <w:tc>
          <w:tcPr>
            <w:tcW w:w="2869" w:type="dxa"/>
            <w:tcBorders>
              <w:top w:val="single" w:sz="6" w:space="0" w:color="A6A6A6" w:themeColor="background1" w:themeShade="A6"/>
              <w:bottom w:val="single" w:sz="6" w:space="0" w:color="A6E7EB" w:themeColor="background2"/>
            </w:tcBorders>
          </w:tcPr>
          <w:p w14:paraId="25F916D6" w14:textId="77777777" w:rsidR="004F6991" w:rsidRPr="00AD0B6A" w:rsidRDefault="0057149E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What do stakeholders understand the issue to be?</w:t>
            </w:r>
            <w:r w:rsidR="00E05B55" w:rsidRPr="00AD0B6A">
              <w:rPr>
                <w:sz w:val="15"/>
                <w:szCs w:val="15"/>
              </w:rPr>
              <w:t xml:space="preserve"> </w:t>
            </w:r>
            <w:r w:rsidRPr="00AD0B6A">
              <w:rPr>
                <w:sz w:val="15"/>
                <w:szCs w:val="15"/>
              </w:rPr>
              <w:t>Why do they think it’s important to address?</w:t>
            </w:r>
          </w:p>
          <w:p w14:paraId="6AFB0643" w14:textId="15671B5C" w:rsidR="00E05B55" w:rsidRPr="00AD0B6A" w:rsidRDefault="00E05B55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What perspectives, knowledge and skills do</w:t>
            </w:r>
            <w:r w:rsidR="00093245">
              <w:rPr>
                <w:sz w:val="15"/>
                <w:szCs w:val="15"/>
              </w:rPr>
              <w:t>es each</w:t>
            </w:r>
            <w:r w:rsidRPr="00AD0B6A">
              <w:rPr>
                <w:sz w:val="15"/>
                <w:szCs w:val="15"/>
              </w:rPr>
              <w:t xml:space="preserve"> stakeholder bring?</w:t>
            </w:r>
          </w:p>
          <w:p w14:paraId="1A80AE6B" w14:textId="68E38790" w:rsidR="00E05B55" w:rsidRPr="00AD0B6A" w:rsidRDefault="00E05B55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How is this issue currently being responded to? What is working well and what are the gaps?</w:t>
            </w:r>
          </w:p>
        </w:tc>
      </w:tr>
      <w:tr w:rsidR="001C2AF2" w:rsidRPr="00AD0B6A" w14:paraId="32B4CE7F" w14:textId="77777777" w:rsidTr="005F6734">
        <w:tc>
          <w:tcPr>
            <w:tcW w:w="547" w:type="dxa"/>
            <w:tcBorders>
              <w:top w:val="single" w:sz="6" w:space="0" w:color="A6E7EB" w:themeColor="background2"/>
              <w:bottom w:val="single" w:sz="6" w:space="0" w:color="A6E7EB" w:themeColor="background2"/>
            </w:tcBorders>
            <w:textDirection w:val="btLr"/>
          </w:tcPr>
          <w:p w14:paraId="7CD8EC35" w14:textId="57C457C9" w:rsidR="001C2AF2" w:rsidRPr="00AD0B6A" w:rsidRDefault="001C2AF2" w:rsidP="00F81701">
            <w:pPr>
              <w:spacing w:before="60" w:after="60" w:line="240" w:lineRule="auto"/>
              <w:ind w:left="113" w:right="170"/>
              <w:jc w:val="right"/>
              <w:rPr>
                <w:b/>
                <w:bCs/>
                <w:sz w:val="15"/>
                <w:szCs w:val="15"/>
              </w:rPr>
            </w:pPr>
            <w:r w:rsidRPr="00AD0B6A">
              <w:rPr>
                <w:b/>
                <w:bCs/>
                <w:sz w:val="15"/>
                <w:szCs w:val="15"/>
              </w:rPr>
              <w:t>Discover</w:t>
            </w:r>
          </w:p>
        </w:tc>
        <w:tc>
          <w:tcPr>
            <w:tcW w:w="1253" w:type="dxa"/>
            <w:tcBorders>
              <w:top w:val="single" w:sz="6" w:space="0" w:color="A6E7EB" w:themeColor="background2"/>
              <w:bottom w:val="single" w:sz="6" w:space="0" w:color="A6E7EB" w:themeColor="background2"/>
            </w:tcBorders>
          </w:tcPr>
          <w:p w14:paraId="28EA9E8C" w14:textId="4C517744" w:rsidR="001C2AF2" w:rsidRPr="00AD0B6A" w:rsidRDefault="00870840" w:rsidP="00F81701">
            <w:pPr>
              <w:spacing w:before="60" w:line="240" w:lineRule="auto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Deeply understand the issue and its root causes.</w:t>
            </w:r>
          </w:p>
        </w:tc>
        <w:tc>
          <w:tcPr>
            <w:tcW w:w="2869" w:type="dxa"/>
            <w:tcBorders>
              <w:top w:val="single" w:sz="6" w:space="0" w:color="A6E7EB" w:themeColor="background2"/>
              <w:bottom w:val="single" w:sz="6" w:space="0" w:color="A6E7EB" w:themeColor="background2"/>
            </w:tcBorders>
          </w:tcPr>
          <w:p w14:paraId="7CA50B0D" w14:textId="77777777" w:rsidR="001C2AF2" w:rsidRPr="00AD0B6A" w:rsidRDefault="00870840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How is this issue experienced by people and communities?</w:t>
            </w:r>
          </w:p>
          <w:p w14:paraId="11F92677" w14:textId="77777777" w:rsidR="00870840" w:rsidRPr="00AD0B6A" w:rsidRDefault="00870840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What are the potential causes and consequences?</w:t>
            </w:r>
          </w:p>
          <w:p w14:paraId="4BD12CE9" w14:textId="63B64F18" w:rsidR="009540AC" w:rsidRPr="00AD0B6A" w:rsidRDefault="009540AC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How does it intersect with other issues?</w:t>
            </w:r>
          </w:p>
        </w:tc>
      </w:tr>
      <w:tr w:rsidR="001C2AF2" w:rsidRPr="00AD0B6A" w14:paraId="53A98C9E" w14:textId="77777777" w:rsidTr="005F6734">
        <w:tc>
          <w:tcPr>
            <w:tcW w:w="547" w:type="dxa"/>
            <w:tcBorders>
              <w:top w:val="single" w:sz="6" w:space="0" w:color="A6E7EB" w:themeColor="background2"/>
              <w:bottom w:val="single" w:sz="6" w:space="0" w:color="A6E7EB" w:themeColor="background2"/>
            </w:tcBorders>
            <w:textDirection w:val="btLr"/>
          </w:tcPr>
          <w:p w14:paraId="2E6F6E41" w14:textId="358D5E5F" w:rsidR="001C2AF2" w:rsidRPr="00AD0B6A" w:rsidRDefault="001C2AF2" w:rsidP="00F81701">
            <w:pPr>
              <w:spacing w:before="60" w:after="60" w:line="240" w:lineRule="auto"/>
              <w:ind w:left="113" w:right="170"/>
              <w:jc w:val="right"/>
              <w:rPr>
                <w:b/>
                <w:bCs/>
                <w:sz w:val="15"/>
                <w:szCs w:val="15"/>
              </w:rPr>
            </w:pPr>
            <w:r w:rsidRPr="00AD0B6A">
              <w:rPr>
                <w:b/>
                <w:bCs/>
                <w:sz w:val="15"/>
                <w:szCs w:val="15"/>
              </w:rPr>
              <w:t>Define</w:t>
            </w:r>
          </w:p>
        </w:tc>
        <w:tc>
          <w:tcPr>
            <w:tcW w:w="1253" w:type="dxa"/>
            <w:tcBorders>
              <w:top w:val="single" w:sz="6" w:space="0" w:color="A6E7EB" w:themeColor="background2"/>
              <w:bottom w:val="single" w:sz="6" w:space="0" w:color="A6E7EB" w:themeColor="background2"/>
            </w:tcBorders>
          </w:tcPr>
          <w:p w14:paraId="03E58417" w14:textId="7C6BDECA" w:rsidR="001C2AF2" w:rsidRPr="00AD0B6A" w:rsidRDefault="009540AC" w:rsidP="00F81701">
            <w:pPr>
              <w:spacing w:before="60" w:line="240" w:lineRule="auto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Narrow in on the specific problem to be solved.</w:t>
            </w:r>
          </w:p>
        </w:tc>
        <w:tc>
          <w:tcPr>
            <w:tcW w:w="2869" w:type="dxa"/>
            <w:tcBorders>
              <w:top w:val="single" w:sz="6" w:space="0" w:color="A6E7EB" w:themeColor="background2"/>
              <w:bottom w:val="single" w:sz="6" w:space="0" w:color="A6E7EB" w:themeColor="background2"/>
            </w:tcBorders>
          </w:tcPr>
          <w:p w14:paraId="3C9A5546" w14:textId="77777777" w:rsidR="001C2AF2" w:rsidRPr="00AD0B6A" w:rsidRDefault="009540AC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What is the most important aspect (root cause) of this issue to be tackled right now?</w:t>
            </w:r>
          </w:p>
          <w:p w14:paraId="17091CFB" w14:textId="2F6B14F5" w:rsidR="009540AC" w:rsidRPr="00AD0B6A" w:rsidRDefault="009540AC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Where do we think early intervention could have the biggest impact?</w:t>
            </w:r>
          </w:p>
        </w:tc>
      </w:tr>
      <w:tr w:rsidR="001C2AF2" w:rsidRPr="00AD0B6A" w14:paraId="4FBCA4AB" w14:textId="77777777" w:rsidTr="005F6734">
        <w:tc>
          <w:tcPr>
            <w:tcW w:w="547" w:type="dxa"/>
            <w:tcBorders>
              <w:top w:val="single" w:sz="6" w:space="0" w:color="A6E7EB" w:themeColor="background2"/>
              <w:bottom w:val="single" w:sz="6" w:space="0" w:color="A6E7EB" w:themeColor="background2"/>
            </w:tcBorders>
            <w:textDirection w:val="btLr"/>
          </w:tcPr>
          <w:p w14:paraId="755818DF" w14:textId="6CC3123B" w:rsidR="001C2AF2" w:rsidRPr="00AD0B6A" w:rsidRDefault="001C2AF2" w:rsidP="00F81701">
            <w:pPr>
              <w:spacing w:before="60" w:after="60" w:line="240" w:lineRule="auto"/>
              <w:ind w:left="113" w:right="170"/>
              <w:jc w:val="right"/>
              <w:rPr>
                <w:b/>
                <w:bCs/>
                <w:sz w:val="15"/>
                <w:szCs w:val="15"/>
              </w:rPr>
            </w:pPr>
            <w:r w:rsidRPr="00AD0B6A">
              <w:rPr>
                <w:b/>
                <w:bCs/>
                <w:sz w:val="15"/>
                <w:szCs w:val="15"/>
              </w:rPr>
              <w:t>Develop</w:t>
            </w:r>
          </w:p>
        </w:tc>
        <w:tc>
          <w:tcPr>
            <w:tcW w:w="1253" w:type="dxa"/>
            <w:tcBorders>
              <w:top w:val="single" w:sz="6" w:space="0" w:color="A6E7EB" w:themeColor="background2"/>
              <w:bottom w:val="single" w:sz="6" w:space="0" w:color="A6E7EB" w:themeColor="background2"/>
            </w:tcBorders>
          </w:tcPr>
          <w:p w14:paraId="4FBF13A1" w14:textId="4E162AC7" w:rsidR="001C2AF2" w:rsidRPr="00AD0B6A" w:rsidRDefault="009540AC" w:rsidP="00F81701">
            <w:pPr>
              <w:spacing w:before="60" w:line="240" w:lineRule="auto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Innovate and identify potential solutions.</w:t>
            </w:r>
          </w:p>
        </w:tc>
        <w:tc>
          <w:tcPr>
            <w:tcW w:w="2869" w:type="dxa"/>
            <w:tcBorders>
              <w:top w:val="single" w:sz="6" w:space="0" w:color="A6E7EB" w:themeColor="background2"/>
              <w:bottom w:val="single" w:sz="6" w:space="0" w:color="A6E7EB" w:themeColor="background2"/>
            </w:tcBorders>
          </w:tcPr>
          <w:p w14:paraId="3F4E9EB7" w14:textId="4F8E64AB" w:rsidR="001C2AF2" w:rsidRPr="00AD0B6A" w:rsidRDefault="009540AC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 xml:space="preserve">What are </w:t>
            </w:r>
            <w:r w:rsidR="00881995">
              <w:rPr>
                <w:sz w:val="15"/>
                <w:szCs w:val="15"/>
              </w:rPr>
              <w:t xml:space="preserve">the </w:t>
            </w:r>
            <w:r w:rsidRPr="00AD0B6A">
              <w:rPr>
                <w:sz w:val="15"/>
                <w:szCs w:val="15"/>
              </w:rPr>
              <w:t>potential leverage points in people’s journey</w:t>
            </w:r>
            <w:r w:rsidR="002D2332" w:rsidRPr="00AD0B6A">
              <w:rPr>
                <w:sz w:val="15"/>
                <w:szCs w:val="15"/>
              </w:rPr>
              <w:t>s which could have resulted in better outcomes?</w:t>
            </w:r>
          </w:p>
          <w:p w14:paraId="64557DDE" w14:textId="77777777" w:rsidR="002D2332" w:rsidRPr="00AD0B6A" w:rsidRDefault="002D2332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What are good practice models which seek to address this issue (either here or in other jurisdictions)?</w:t>
            </w:r>
          </w:p>
          <w:p w14:paraId="7060E1A0" w14:textId="3181F054" w:rsidR="002D2332" w:rsidRPr="00AD0B6A" w:rsidRDefault="002D2332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What are community or individual strengths which could be built on?</w:t>
            </w:r>
          </w:p>
        </w:tc>
      </w:tr>
      <w:tr w:rsidR="001C2AF2" w:rsidRPr="00AD0B6A" w14:paraId="4D635ADB" w14:textId="77777777" w:rsidTr="005F6734">
        <w:tc>
          <w:tcPr>
            <w:tcW w:w="547" w:type="dxa"/>
            <w:tcBorders>
              <w:top w:val="single" w:sz="6" w:space="0" w:color="A6E7EB" w:themeColor="background2"/>
              <w:bottom w:val="single" w:sz="12" w:space="0" w:color="71D9E0" w:themeColor="accent2"/>
            </w:tcBorders>
            <w:textDirection w:val="btLr"/>
          </w:tcPr>
          <w:p w14:paraId="0898E39A" w14:textId="3DF5C122" w:rsidR="001C2AF2" w:rsidRPr="00AD0B6A" w:rsidRDefault="001C2AF2" w:rsidP="00F81701">
            <w:pPr>
              <w:spacing w:before="60" w:after="60" w:line="240" w:lineRule="auto"/>
              <w:ind w:left="113" w:right="170"/>
              <w:jc w:val="right"/>
              <w:rPr>
                <w:b/>
                <w:bCs/>
                <w:sz w:val="15"/>
                <w:szCs w:val="15"/>
              </w:rPr>
            </w:pPr>
            <w:r w:rsidRPr="00AD0B6A">
              <w:rPr>
                <w:b/>
                <w:bCs/>
                <w:sz w:val="15"/>
                <w:szCs w:val="15"/>
              </w:rPr>
              <w:t>Deliver</w:t>
            </w:r>
          </w:p>
        </w:tc>
        <w:tc>
          <w:tcPr>
            <w:tcW w:w="1253" w:type="dxa"/>
            <w:tcBorders>
              <w:top w:val="single" w:sz="6" w:space="0" w:color="A6E7EB" w:themeColor="background2"/>
              <w:bottom w:val="single" w:sz="12" w:space="0" w:color="71D9E0" w:themeColor="accent2"/>
            </w:tcBorders>
          </w:tcPr>
          <w:p w14:paraId="6C604324" w14:textId="4329C27E" w:rsidR="001C2AF2" w:rsidRPr="00AD0B6A" w:rsidRDefault="002D2332" w:rsidP="00F81701">
            <w:pPr>
              <w:spacing w:before="60" w:line="240" w:lineRule="auto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Choose and refine the solutions.</w:t>
            </w:r>
          </w:p>
        </w:tc>
        <w:tc>
          <w:tcPr>
            <w:tcW w:w="2869" w:type="dxa"/>
            <w:tcBorders>
              <w:top w:val="single" w:sz="6" w:space="0" w:color="A6E7EB" w:themeColor="background2"/>
              <w:bottom w:val="single" w:sz="12" w:space="0" w:color="71D9E0" w:themeColor="accent2"/>
            </w:tcBorders>
          </w:tcPr>
          <w:p w14:paraId="67502F9D" w14:textId="77777777" w:rsidR="001C2AF2" w:rsidRPr="00AD0B6A" w:rsidRDefault="002D2332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What ideas/models are feasible and desirable given the context and resources available?</w:t>
            </w:r>
          </w:p>
          <w:p w14:paraId="7A80FD92" w14:textId="38315ED5" w:rsidR="002D2332" w:rsidRPr="00AD0B6A" w:rsidRDefault="002D2332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What ideas do we think will have the biggest impact give</w:t>
            </w:r>
            <w:r w:rsidR="004D3CEA" w:rsidRPr="00AD0B6A">
              <w:rPr>
                <w:sz w:val="15"/>
                <w:szCs w:val="15"/>
              </w:rPr>
              <w:t>n</w:t>
            </w:r>
            <w:r w:rsidRPr="00AD0B6A">
              <w:rPr>
                <w:sz w:val="15"/>
                <w:szCs w:val="15"/>
              </w:rPr>
              <w:t xml:space="preserve"> the evidence available?</w:t>
            </w:r>
          </w:p>
          <w:p w14:paraId="091A1041" w14:textId="77777777" w:rsidR="002D2332" w:rsidRPr="00AD0B6A" w:rsidRDefault="002D2332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How might the model need to be adapted or further developed to be culturally appropriate and fit the local context?</w:t>
            </w:r>
          </w:p>
          <w:p w14:paraId="43FC9EC2" w14:textId="1F158CE0" w:rsidR="002D2332" w:rsidRPr="00AD0B6A" w:rsidRDefault="002D2332" w:rsidP="00CF6C57">
            <w:pPr>
              <w:pStyle w:val="Tablebullet"/>
              <w:spacing w:before="40" w:after="40" w:line="240" w:lineRule="auto"/>
              <w:ind w:left="170" w:hanging="170"/>
              <w:rPr>
                <w:sz w:val="15"/>
                <w:szCs w:val="15"/>
              </w:rPr>
            </w:pPr>
            <w:r w:rsidRPr="00AD0B6A">
              <w:rPr>
                <w:sz w:val="15"/>
                <w:szCs w:val="15"/>
              </w:rPr>
              <w:t>What would success look like and how would we measure it?</w:t>
            </w:r>
          </w:p>
        </w:tc>
      </w:tr>
    </w:tbl>
    <w:p w14:paraId="41D08E13" w14:textId="77777777" w:rsidR="00937983" w:rsidRPr="009774CE" w:rsidRDefault="00937983" w:rsidP="00CE7323">
      <w:pPr>
        <w:pStyle w:val="Heading3"/>
      </w:pPr>
      <w:r w:rsidRPr="009774CE">
        <w:t xml:space="preserve">Developing outcome measures </w:t>
      </w:r>
    </w:p>
    <w:p w14:paraId="64EB8461" w14:textId="77777777" w:rsidR="00281381" w:rsidRDefault="00937983" w:rsidP="00DD244F">
      <w:r>
        <w:t>The following checklist can help both parties plan for effective EIIF outcome measures.</w:t>
      </w:r>
    </w:p>
    <w:p w14:paraId="78E75733" w14:textId="3D18CA18" w:rsidR="00937983" w:rsidRDefault="00281381" w:rsidP="00CE7323">
      <w:pPr>
        <w:pStyle w:val="Caption"/>
      </w:pPr>
      <w:r w:rsidRPr="006F2A92">
        <w:t xml:space="preserve">Figure </w:t>
      </w:r>
      <w:r>
        <w:t>5</w:t>
      </w:r>
      <w:r w:rsidRPr="006F2A92">
        <w:t>: Outcome measure preparation checklist</w:t>
      </w:r>
    </w:p>
    <w:tbl>
      <w:tblPr>
        <w:tblStyle w:val="DTFtexttable"/>
        <w:tblW w:w="0" w:type="auto"/>
        <w:tblBorders>
          <w:top w:val="single" w:sz="12" w:space="0" w:color="A6E7EB" w:themeColor="background2"/>
          <w:bottom w:val="single" w:sz="12" w:space="0" w:color="A6E7EB" w:themeColor="background2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234"/>
      </w:tblGrid>
      <w:tr w:rsidR="003C2E8A" w:rsidRPr="004F6991" w14:paraId="448EEED5" w14:textId="77777777" w:rsidTr="005F6734">
        <w:tc>
          <w:tcPr>
            <w:tcW w:w="4669" w:type="dxa"/>
            <w:gridSpan w:val="2"/>
          </w:tcPr>
          <w:p w14:paraId="4D559831" w14:textId="2448DAD2" w:rsidR="003C2E8A" w:rsidRPr="00F50D79" w:rsidRDefault="003C2E8A" w:rsidP="00B16D9F">
            <w:pPr>
              <w:pStyle w:val="Tabletext"/>
            </w:pPr>
            <w:r w:rsidRPr="00F50D79">
              <w:t>Meaningful outcome measures for early intervention and prevention projects</w:t>
            </w:r>
            <w:r w:rsidR="005F6734" w:rsidRPr="00F50D79">
              <w:t>:</w:t>
            </w:r>
          </w:p>
        </w:tc>
      </w:tr>
      <w:tr w:rsidR="00D0130F" w:rsidRPr="004F6991" w14:paraId="3FF9A78F" w14:textId="77777777" w:rsidTr="005F6734">
        <w:tc>
          <w:tcPr>
            <w:tcW w:w="435" w:type="dxa"/>
          </w:tcPr>
          <w:p w14:paraId="3A6D4376" w14:textId="46DCFEA2" w:rsidR="00D0130F" w:rsidRPr="005F6734" w:rsidRDefault="005F6734" w:rsidP="005F6734">
            <w:pPr>
              <w:spacing w:before="60" w:after="60"/>
              <w:ind w:right="170"/>
              <w:rPr>
                <w:sz w:val="14"/>
                <w:szCs w:val="18"/>
              </w:rPr>
            </w:pPr>
            <w:r w:rsidRPr="005F6734">
              <w:rPr>
                <w:sz w:val="24"/>
                <w:szCs w:val="32"/>
              </w:rPr>
              <w:sym w:font="Wingdings" w:char="F0FE"/>
            </w:r>
          </w:p>
        </w:tc>
        <w:tc>
          <w:tcPr>
            <w:tcW w:w="4234" w:type="dxa"/>
          </w:tcPr>
          <w:p w14:paraId="0CC1D6CB" w14:textId="0BBBE05C" w:rsidR="00D0130F" w:rsidRPr="00F50D79" w:rsidRDefault="003C2E8A" w:rsidP="00B16D9F">
            <w:pPr>
              <w:pStyle w:val="Tabletext"/>
            </w:pPr>
            <w:r w:rsidRPr="00F50D79">
              <w:t>enable the economic and social value of the intervention to be quantified</w:t>
            </w:r>
          </w:p>
        </w:tc>
      </w:tr>
      <w:tr w:rsidR="00D0130F" w:rsidRPr="004F6991" w14:paraId="1D1A7B59" w14:textId="77777777" w:rsidTr="005F6734">
        <w:tc>
          <w:tcPr>
            <w:tcW w:w="435" w:type="dxa"/>
          </w:tcPr>
          <w:p w14:paraId="679DE1B4" w14:textId="0A8BA430" w:rsidR="00D0130F" w:rsidRPr="002A557C" w:rsidRDefault="005F6734" w:rsidP="005F6734">
            <w:pPr>
              <w:spacing w:before="60" w:after="60"/>
              <w:ind w:right="170"/>
              <w:rPr>
                <w:b/>
                <w:bCs/>
                <w:sz w:val="14"/>
                <w:szCs w:val="18"/>
              </w:rPr>
            </w:pPr>
            <w:r w:rsidRPr="005F6734">
              <w:rPr>
                <w:sz w:val="24"/>
                <w:szCs w:val="32"/>
              </w:rPr>
              <w:sym w:font="Wingdings" w:char="F0FE"/>
            </w:r>
          </w:p>
        </w:tc>
        <w:tc>
          <w:tcPr>
            <w:tcW w:w="4234" w:type="dxa"/>
          </w:tcPr>
          <w:p w14:paraId="2EE89E8B" w14:textId="59C09D39" w:rsidR="00D0130F" w:rsidRPr="00F50D79" w:rsidRDefault="003C2E8A" w:rsidP="00B16D9F">
            <w:pPr>
              <w:pStyle w:val="Tabletext"/>
            </w:pPr>
            <w:r w:rsidRPr="00F50D79">
              <w:t>have at least one measure capturing reduced acute service usage or avoided costs</w:t>
            </w:r>
          </w:p>
        </w:tc>
      </w:tr>
      <w:tr w:rsidR="00D0130F" w:rsidRPr="004F6991" w14:paraId="6E193828" w14:textId="77777777" w:rsidTr="005F6734">
        <w:tc>
          <w:tcPr>
            <w:tcW w:w="435" w:type="dxa"/>
          </w:tcPr>
          <w:p w14:paraId="1BFABAC2" w14:textId="02209FD2" w:rsidR="00D0130F" w:rsidRPr="002A557C" w:rsidRDefault="005F6734" w:rsidP="005F6734">
            <w:pPr>
              <w:spacing w:before="60" w:after="60"/>
              <w:ind w:right="170"/>
              <w:rPr>
                <w:b/>
                <w:bCs/>
                <w:sz w:val="14"/>
                <w:szCs w:val="18"/>
              </w:rPr>
            </w:pPr>
            <w:r w:rsidRPr="005F6734">
              <w:rPr>
                <w:sz w:val="24"/>
                <w:szCs w:val="32"/>
              </w:rPr>
              <w:sym w:font="Wingdings" w:char="F0FE"/>
            </w:r>
          </w:p>
        </w:tc>
        <w:tc>
          <w:tcPr>
            <w:tcW w:w="4234" w:type="dxa"/>
          </w:tcPr>
          <w:p w14:paraId="7CDB6B81" w14:textId="7D1BB5D6" w:rsidR="00D0130F" w:rsidRPr="00F50D79" w:rsidRDefault="003C2E8A" w:rsidP="00B16D9F">
            <w:pPr>
              <w:pStyle w:val="Tabletext"/>
            </w:pPr>
            <w:r w:rsidRPr="00F50D79">
              <w:t>have at least one measure capturing the change that occurs for service users</w:t>
            </w:r>
          </w:p>
        </w:tc>
      </w:tr>
      <w:tr w:rsidR="00D0130F" w:rsidRPr="004F6991" w14:paraId="54B52331" w14:textId="77777777" w:rsidTr="005F6734">
        <w:tc>
          <w:tcPr>
            <w:tcW w:w="435" w:type="dxa"/>
          </w:tcPr>
          <w:p w14:paraId="588C4619" w14:textId="5B663A84" w:rsidR="00D0130F" w:rsidRPr="002A557C" w:rsidRDefault="005F6734" w:rsidP="005F6734">
            <w:pPr>
              <w:spacing w:before="60" w:after="60"/>
              <w:ind w:right="170"/>
              <w:rPr>
                <w:b/>
                <w:bCs/>
                <w:sz w:val="14"/>
                <w:szCs w:val="18"/>
              </w:rPr>
            </w:pPr>
            <w:r w:rsidRPr="005F6734">
              <w:rPr>
                <w:sz w:val="24"/>
                <w:szCs w:val="32"/>
              </w:rPr>
              <w:sym w:font="Wingdings" w:char="F0FE"/>
            </w:r>
          </w:p>
        </w:tc>
        <w:tc>
          <w:tcPr>
            <w:tcW w:w="4234" w:type="dxa"/>
          </w:tcPr>
          <w:p w14:paraId="186A18C2" w14:textId="0944D3A8" w:rsidR="00D0130F" w:rsidRPr="00F50D79" w:rsidRDefault="003C2E8A" w:rsidP="00B16D9F">
            <w:pPr>
              <w:pStyle w:val="Tabletext"/>
            </w:pPr>
            <w:r w:rsidRPr="00F50D79">
              <w:t>represent outcomes rather than inputs or outputs</w:t>
            </w:r>
          </w:p>
        </w:tc>
      </w:tr>
      <w:tr w:rsidR="00D0130F" w:rsidRPr="004F6991" w14:paraId="6E0C711F" w14:textId="77777777" w:rsidTr="005F6734">
        <w:tc>
          <w:tcPr>
            <w:tcW w:w="435" w:type="dxa"/>
          </w:tcPr>
          <w:p w14:paraId="4413E14C" w14:textId="7E6B4BE9" w:rsidR="00D0130F" w:rsidRPr="002A557C" w:rsidRDefault="005F6734" w:rsidP="005F6734">
            <w:pPr>
              <w:spacing w:before="60" w:after="60"/>
              <w:ind w:right="170"/>
              <w:rPr>
                <w:b/>
                <w:bCs/>
                <w:sz w:val="14"/>
                <w:szCs w:val="18"/>
              </w:rPr>
            </w:pPr>
            <w:r w:rsidRPr="005F6734">
              <w:rPr>
                <w:sz w:val="24"/>
                <w:szCs w:val="32"/>
              </w:rPr>
              <w:sym w:font="Wingdings" w:char="F0FE"/>
            </w:r>
          </w:p>
        </w:tc>
        <w:tc>
          <w:tcPr>
            <w:tcW w:w="4234" w:type="dxa"/>
          </w:tcPr>
          <w:p w14:paraId="49B6F9EC" w14:textId="51EB92CF" w:rsidR="00D0130F" w:rsidRPr="00F50D79" w:rsidRDefault="003C2E8A" w:rsidP="00B16D9F">
            <w:pPr>
              <w:pStyle w:val="Tabletext"/>
            </w:pPr>
            <w:r w:rsidRPr="00F50D79">
              <w:t>are clearly definable and calculable, based on a validated methodology</w:t>
            </w:r>
          </w:p>
        </w:tc>
      </w:tr>
      <w:tr w:rsidR="005F6734" w:rsidRPr="004F6991" w14:paraId="0E09EAAA" w14:textId="77777777" w:rsidTr="005F6734">
        <w:tc>
          <w:tcPr>
            <w:tcW w:w="435" w:type="dxa"/>
          </w:tcPr>
          <w:p w14:paraId="3A0A55A0" w14:textId="465744F4" w:rsidR="005F6734" w:rsidRPr="002A557C" w:rsidRDefault="005F6734" w:rsidP="005F6734">
            <w:pPr>
              <w:spacing w:before="60" w:after="60"/>
              <w:ind w:right="170"/>
              <w:rPr>
                <w:b/>
                <w:bCs/>
                <w:sz w:val="14"/>
                <w:szCs w:val="18"/>
              </w:rPr>
            </w:pPr>
            <w:r w:rsidRPr="005F6734">
              <w:rPr>
                <w:sz w:val="24"/>
                <w:szCs w:val="32"/>
              </w:rPr>
              <w:sym w:font="Wingdings" w:char="F0FE"/>
            </w:r>
          </w:p>
        </w:tc>
        <w:tc>
          <w:tcPr>
            <w:tcW w:w="4234" w:type="dxa"/>
          </w:tcPr>
          <w:p w14:paraId="3983BD82" w14:textId="351B8D45" w:rsidR="005F6734" w:rsidRPr="00F50D79" w:rsidRDefault="005F6734" w:rsidP="00B16D9F">
            <w:pPr>
              <w:pStyle w:val="Tabletext"/>
            </w:pPr>
            <w:r w:rsidRPr="00F50D79">
              <w:t>are practical and do not create a disproportionate data collection burden for providers, practitioners and analysts</w:t>
            </w:r>
          </w:p>
        </w:tc>
      </w:tr>
      <w:tr w:rsidR="005F6734" w:rsidRPr="004F6991" w14:paraId="5C7B19DF" w14:textId="77777777" w:rsidTr="005F6734">
        <w:tc>
          <w:tcPr>
            <w:tcW w:w="435" w:type="dxa"/>
          </w:tcPr>
          <w:p w14:paraId="41A7359B" w14:textId="378824E0" w:rsidR="005F6734" w:rsidRPr="002A557C" w:rsidRDefault="005F6734" w:rsidP="005F6734">
            <w:pPr>
              <w:spacing w:before="60" w:after="60"/>
              <w:ind w:right="170"/>
              <w:rPr>
                <w:b/>
                <w:bCs/>
                <w:sz w:val="14"/>
                <w:szCs w:val="18"/>
              </w:rPr>
            </w:pPr>
            <w:r w:rsidRPr="005F6734">
              <w:rPr>
                <w:sz w:val="24"/>
                <w:szCs w:val="32"/>
              </w:rPr>
              <w:sym w:font="Wingdings" w:char="F0FE"/>
            </w:r>
          </w:p>
        </w:tc>
        <w:tc>
          <w:tcPr>
            <w:tcW w:w="4234" w:type="dxa"/>
          </w:tcPr>
          <w:p w14:paraId="46C05B4B" w14:textId="5C871A92" w:rsidR="005F6734" w:rsidRPr="00F50D79" w:rsidRDefault="005F6734" w:rsidP="00B16D9F">
            <w:pPr>
              <w:pStyle w:val="Tabletext"/>
            </w:pPr>
            <w:r w:rsidRPr="00F50D79">
              <w:t>are useful and meaningful for providers and practitioners in understanding impact</w:t>
            </w:r>
          </w:p>
        </w:tc>
      </w:tr>
      <w:tr w:rsidR="005F6734" w:rsidRPr="004F6991" w14:paraId="2D0C3EA7" w14:textId="77777777" w:rsidTr="005F6734">
        <w:tc>
          <w:tcPr>
            <w:tcW w:w="435" w:type="dxa"/>
          </w:tcPr>
          <w:p w14:paraId="67A5CDA0" w14:textId="2C5D73F9" w:rsidR="005F6734" w:rsidRPr="002A557C" w:rsidRDefault="005F6734" w:rsidP="005F6734">
            <w:pPr>
              <w:spacing w:before="60" w:after="60"/>
              <w:ind w:right="170"/>
              <w:rPr>
                <w:b/>
                <w:bCs/>
                <w:sz w:val="14"/>
                <w:szCs w:val="18"/>
              </w:rPr>
            </w:pPr>
            <w:r w:rsidRPr="005F6734">
              <w:rPr>
                <w:sz w:val="24"/>
                <w:szCs w:val="32"/>
              </w:rPr>
              <w:sym w:font="Wingdings" w:char="F0FE"/>
            </w:r>
          </w:p>
        </w:tc>
        <w:tc>
          <w:tcPr>
            <w:tcW w:w="4234" w:type="dxa"/>
          </w:tcPr>
          <w:p w14:paraId="5ECE57D4" w14:textId="7AE394A7" w:rsidR="005F6734" w:rsidRPr="00F50D79" w:rsidRDefault="005F6734" w:rsidP="00B16D9F">
            <w:pPr>
              <w:pStyle w:val="Tabletext"/>
            </w:pPr>
            <w:r w:rsidRPr="00F50D79">
              <w:t>are culturally appropriate and respect the human rights, privacy and data sovereignty of service users</w:t>
            </w:r>
          </w:p>
        </w:tc>
      </w:tr>
    </w:tbl>
    <w:p w14:paraId="6128654F" w14:textId="77777777" w:rsidR="00DD244F" w:rsidRDefault="00DD244F" w:rsidP="00937983"/>
    <w:p w14:paraId="5760C05B" w14:textId="77777777" w:rsidR="00F57245" w:rsidRDefault="00F57245" w:rsidP="00937983">
      <w:pPr>
        <w:sectPr w:rsidR="00F57245" w:rsidSect="00E43849">
          <w:type w:val="continuous"/>
          <w:pgSz w:w="11906" w:h="16838" w:code="9"/>
          <w:pgMar w:top="646" w:right="1151" w:bottom="1729" w:left="936" w:header="709" w:footer="459" w:gutter="0"/>
          <w:cols w:num="2" w:space="708"/>
          <w:docGrid w:linePitch="360"/>
        </w:sectPr>
      </w:pPr>
    </w:p>
    <w:p w14:paraId="17C82891" w14:textId="77777777" w:rsidR="00DD244F" w:rsidRDefault="00A8559A" w:rsidP="00C97E0A">
      <w:pPr>
        <w:pStyle w:val="Heading2"/>
        <w:spacing w:line="216" w:lineRule="auto"/>
      </w:pPr>
      <w:r>
        <w:lastRenderedPageBreak/>
        <w:t xml:space="preserve">EIIF </w:t>
      </w:r>
      <w:r w:rsidR="007B6538">
        <w:t>–</w:t>
      </w:r>
      <w:r>
        <w:t xml:space="preserve"> </w:t>
      </w:r>
      <w:r w:rsidR="000F3A2E">
        <w:t>Engagement approach and timing</w:t>
      </w:r>
    </w:p>
    <w:p w14:paraId="52A21999" w14:textId="5A2E5AB0" w:rsidR="00B16D9F" w:rsidRPr="00B16D9F" w:rsidRDefault="00B16D9F" w:rsidP="00B16D9F">
      <w:pPr>
        <w:sectPr w:rsidR="00B16D9F" w:rsidRPr="00B16D9F" w:rsidSect="00F57245">
          <w:pgSz w:w="11906" w:h="16838" w:code="9"/>
          <w:pgMar w:top="646" w:right="1151" w:bottom="1729" w:left="936" w:header="709" w:footer="459" w:gutter="0"/>
          <w:cols w:num="2" w:space="708"/>
          <w:docGrid w:linePitch="360"/>
        </w:sectPr>
      </w:pPr>
    </w:p>
    <w:p w14:paraId="074ED0AC" w14:textId="286E6DAE" w:rsidR="00E77042" w:rsidRDefault="00E77042" w:rsidP="00B46BE7">
      <w:r>
        <w:t xml:space="preserve">It is not possible for an organisation to provide a proposal direct to DTF for funding under EIIF. </w:t>
      </w:r>
    </w:p>
    <w:p w14:paraId="75A814F9" w14:textId="3FDA507D" w:rsidR="00E77042" w:rsidRDefault="00E77042" w:rsidP="00B46BE7">
      <w:r>
        <w:t xml:space="preserve">All funding through the EIIF goes through the State Budget process and requires a Minister (through their department) to submit a proposal for consideration. </w:t>
      </w:r>
    </w:p>
    <w:p w14:paraId="756E0CE3" w14:textId="4DAE81FF" w:rsidR="00E77042" w:rsidRDefault="00E77042" w:rsidP="000F36E8">
      <w:r>
        <w:t>The earlier in the process that engagement take</w:t>
      </w:r>
      <w:r w:rsidR="008A7AEE">
        <w:t>s</w:t>
      </w:r>
      <w:r>
        <w:t xml:space="preserve"> place, the more likely it is to influence the ultimate program design, with the ideal timeframe for engagement occurring between June and </w:t>
      </w:r>
      <w:r w:rsidR="00935BEB">
        <w:t xml:space="preserve">November </w:t>
      </w:r>
      <w:r>
        <w:t>each year.</w:t>
      </w:r>
      <w:r w:rsidR="000F36E8">
        <w:t xml:space="preserve"> </w:t>
      </w:r>
    </w:p>
    <w:p w14:paraId="34864016" w14:textId="602687BC" w:rsidR="0004666A" w:rsidRDefault="0004666A" w:rsidP="0004666A">
      <w:pPr>
        <w:rPr>
          <w:rFonts w:eastAsia="Times New Roman"/>
        </w:rPr>
      </w:pPr>
      <w:r>
        <w:rPr>
          <w:rFonts w:eastAsia="Times New Roman"/>
        </w:rPr>
        <w:t xml:space="preserve">It is also recognised that engagement is ideally not ‘one-off’ and that buy-in from all parties ideally occurs not only during the stages of program development (which may take much longer than the timeframe for initial engagement shown in Figure </w:t>
      </w:r>
      <w:r w:rsidR="000B2951">
        <w:rPr>
          <w:rFonts w:eastAsia="Times New Roman"/>
        </w:rPr>
        <w:t>6</w:t>
      </w:r>
      <w:r w:rsidR="00385A3A">
        <w:rPr>
          <w:rFonts w:eastAsia="Times New Roman"/>
        </w:rPr>
        <w:t>)</w:t>
      </w:r>
      <w:r w:rsidR="00121A8C">
        <w:rPr>
          <w:rFonts w:eastAsia="Times New Roman"/>
        </w:rPr>
        <w:t xml:space="preserve">, </w:t>
      </w:r>
      <w:r>
        <w:rPr>
          <w:rFonts w:eastAsia="Times New Roman"/>
        </w:rPr>
        <w:t>but also as part of implementation and understanding impact.</w:t>
      </w:r>
    </w:p>
    <w:p w14:paraId="1D5554C0" w14:textId="2CB31EE7" w:rsidR="0004666A" w:rsidRPr="00E77042" w:rsidRDefault="00B53AB1" w:rsidP="00B16D9F">
      <w:pPr>
        <w:rPr>
          <w:rFonts w:eastAsia="Times New Roman"/>
        </w:rPr>
      </w:pPr>
      <w:r>
        <w:rPr>
          <w:rFonts w:eastAsia="Times New Roman"/>
        </w:rPr>
        <w:t>Departments that prepare most EIIF proposals are:</w:t>
      </w:r>
    </w:p>
    <w:p w14:paraId="6DA10B89" w14:textId="77777777" w:rsidR="0004666A" w:rsidRPr="00B16D9F" w:rsidRDefault="0004666A" w:rsidP="00B16D9F">
      <w:pPr>
        <w:pStyle w:val="Bullet1"/>
      </w:pPr>
      <w:r w:rsidRPr="00DD244F">
        <w:t>Dep</w:t>
      </w:r>
      <w:r w:rsidRPr="00B16D9F">
        <w:t>artment of Health</w:t>
      </w:r>
    </w:p>
    <w:p w14:paraId="5644730A" w14:textId="77777777" w:rsidR="0004666A" w:rsidRPr="00B16D9F" w:rsidRDefault="0004666A" w:rsidP="00B16D9F">
      <w:pPr>
        <w:pStyle w:val="Bullet1"/>
      </w:pPr>
      <w:r w:rsidRPr="00B16D9F">
        <w:t>Department of Families, Fairness and Housing</w:t>
      </w:r>
    </w:p>
    <w:p w14:paraId="1AFE329B" w14:textId="018A73EE" w:rsidR="0004666A" w:rsidRPr="00B16D9F" w:rsidRDefault="0004666A" w:rsidP="00B16D9F">
      <w:pPr>
        <w:pStyle w:val="Bullet1"/>
      </w:pPr>
      <w:r w:rsidRPr="00B16D9F">
        <w:t>Department of Justice and Community Safety</w:t>
      </w:r>
    </w:p>
    <w:p w14:paraId="24E83456" w14:textId="77777777" w:rsidR="0004666A" w:rsidRPr="00DD244F" w:rsidRDefault="0004666A" w:rsidP="00B16D9F">
      <w:pPr>
        <w:pStyle w:val="Bullet1"/>
      </w:pPr>
      <w:r w:rsidRPr="00B16D9F">
        <w:t>Depa</w:t>
      </w:r>
      <w:r w:rsidRPr="00DD244F">
        <w:t>rtment of Education.</w:t>
      </w:r>
    </w:p>
    <w:p w14:paraId="44B3EDCC" w14:textId="06AAB77E" w:rsidR="0004666A" w:rsidRPr="00E77042" w:rsidRDefault="0004666A" w:rsidP="00B16D9F">
      <w:pPr>
        <w:rPr>
          <w:rFonts w:eastAsia="Times New Roman"/>
        </w:rPr>
      </w:pPr>
      <w:r w:rsidRPr="00E77042">
        <w:rPr>
          <w:rFonts w:eastAsia="Times New Roman"/>
        </w:rPr>
        <w:t xml:space="preserve">It is important to be realistic in the confines of a constrained fiscal environment and competing government priorities about what might be possible. </w:t>
      </w:r>
      <w:r w:rsidR="00B53AB1">
        <w:rPr>
          <w:rFonts w:eastAsia="Times New Roman"/>
        </w:rPr>
        <w:t>O</w:t>
      </w:r>
      <w:r w:rsidRPr="00E77042">
        <w:rPr>
          <w:rFonts w:eastAsia="Times New Roman"/>
        </w:rPr>
        <w:t>pen lines of communication</w:t>
      </w:r>
      <w:r w:rsidR="00B53AB1">
        <w:rPr>
          <w:rFonts w:eastAsia="Times New Roman"/>
        </w:rPr>
        <w:t xml:space="preserve"> are key to navigating these challenges</w:t>
      </w:r>
      <w:r w:rsidRPr="00E77042">
        <w:rPr>
          <w:rFonts w:eastAsia="Times New Roman"/>
        </w:rPr>
        <w:t>.</w:t>
      </w:r>
    </w:p>
    <w:p w14:paraId="1381B96D" w14:textId="2D55A812" w:rsidR="0004666A" w:rsidRDefault="0004666A" w:rsidP="00B16D9F">
      <w:pPr>
        <w:rPr>
          <w:rFonts w:eastAsia="Times New Roman"/>
        </w:rPr>
      </w:pPr>
      <w:r w:rsidRPr="00E77042">
        <w:rPr>
          <w:rFonts w:eastAsia="Times New Roman"/>
        </w:rPr>
        <w:t>In large part, past successes with co-design under EIIF have built upon the foundations of established relationships or programs. While this is something to be mindful of, it certainly does not preclude new engagements or ideas.</w:t>
      </w:r>
    </w:p>
    <w:p w14:paraId="37B4226B" w14:textId="77777777" w:rsidR="0004666A" w:rsidRDefault="0004666A" w:rsidP="000F36E8">
      <w:pPr>
        <w:rPr>
          <w:b/>
          <w:bCs/>
        </w:rPr>
        <w:sectPr w:rsidR="0004666A" w:rsidSect="00DD244F">
          <w:type w:val="continuous"/>
          <w:pgSz w:w="11906" w:h="16838" w:code="9"/>
          <w:pgMar w:top="646" w:right="1151" w:bottom="1729" w:left="936" w:header="709" w:footer="459" w:gutter="0"/>
          <w:cols w:num="2" w:space="708"/>
          <w:docGrid w:linePitch="360"/>
        </w:sectPr>
      </w:pPr>
    </w:p>
    <w:p w14:paraId="534EAF0A" w14:textId="77777777" w:rsidR="00DD244F" w:rsidRDefault="00DD244F" w:rsidP="00B16D9F">
      <w:pPr>
        <w:pStyle w:val="Caption"/>
      </w:pPr>
      <w:r w:rsidRPr="001156AC">
        <w:t>Figure</w:t>
      </w:r>
      <w:r w:rsidRPr="00B46BE7">
        <w:t xml:space="preserve"> </w:t>
      </w:r>
      <w:r>
        <w:t>6: Y</w:t>
      </w:r>
      <w:r w:rsidRPr="00B46BE7">
        <w:t xml:space="preserve">early budget process and </w:t>
      </w:r>
      <w:r w:rsidRPr="001156AC">
        <w:t>con</w:t>
      </w:r>
      <w:r>
        <w:t>sultation</w:t>
      </w:r>
      <w:r w:rsidRPr="00B46BE7">
        <w:t xml:space="preserve"> windows</w:t>
      </w:r>
    </w:p>
    <w:p w14:paraId="211301E4" w14:textId="02DB0ACF" w:rsidR="00AC1835" w:rsidRDefault="002A21F5" w:rsidP="00B14DD5">
      <w:pPr>
        <w:spacing w:after="40"/>
        <w:rPr>
          <w:b/>
          <w:bCs/>
        </w:rPr>
      </w:pPr>
      <w:r w:rsidRPr="00EA21C9">
        <w:rPr>
          <w:b/>
          <w:bCs/>
          <w:noProof/>
        </w:rPr>
        <w:drawing>
          <wp:inline distT="0" distB="0" distL="0" distR="0" wp14:anchorId="283A65C4" wp14:editId="067D037D">
            <wp:extent cx="6226985" cy="1362517"/>
            <wp:effectExtent l="0" t="0" r="2540" b="9525"/>
            <wp:docPr id="58" name="Graphic 58" descr="Figure 6 illustrates the a financial year by months and when ideal co-design and budget activities occur. This includes: the key timeframe for engagement between the sector and departments on programs and measures (between the start of June to mid December); department proposal development and prioritisation for Ministerial lodgement (between the start of July and end of January);  the yearly budget consideration and development timeframe for Government (between February and May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8" descr="Figure 6 illustrates the a financial year by months and when ideal co-design and budget activities occur. This includes: the key timeframe for engagement between the sector and departments on programs and measures (between the start of June to mid December); department proposal development and prioritisation for Ministerial lodgement (between the start of July and end of January);  the yearly budget consideration and development timeframe for Government (between February and May).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501" cy="136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6ED3" w14:textId="77777777" w:rsidR="00B40C2F" w:rsidRDefault="009F09DB" w:rsidP="0076044E">
      <w:pPr>
        <w:pStyle w:val="NoteNormal"/>
      </w:pPr>
      <w:r w:rsidRPr="0076044E">
        <w:t>Source: D</w:t>
      </w:r>
      <w:r w:rsidR="00F50D79" w:rsidRPr="0076044E">
        <w:t>epartment of Treasury and Finance</w:t>
      </w:r>
    </w:p>
    <w:p w14:paraId="0C9E5425" w14:textId="77777777" w:rsidR="002E5940" w:rsidRDefault="002E5940" w:rsidP="0076044E">
      <w:pPr>
        <w:pStyle w:val="NoteNormal"/>
      </w:pPr>
    </w:p>
    <w:p w14:paraId="370B7471" w14:textId="4DE2F8B1" w:rsidR="00766541" w:rsidRPr="0076044E" w:rsidRDefault="00766541" w:rsidP="0076044E">
      <w:pPr>
        <w:pStyle w:val="NoteNormal"/>
        <w:sectPr w:rsidR="00766541" w:rsidRPr="0076044E" w:rsidSect="00795AAA">
          <w:type w:val="continuous"/>
          <w:pgSz w:w="11906" w:h="16838" w:code="9"/>
          <w:pgMar w:top="646" w:right="1151" w:bottom="1009" w:left="936" w:header="709" w:footer="459" w:gutter="0"/>
          <w:cols w:space="708"/>
          <w:docGrid w:linePitch="360"/>
        </w:sectPr>
      </w:pPr>
    </w:p>
    <w:p w14:paraId="6228D560" w14:textId="5E6BDCAF" w:rsidR="00F06D7F" w:rsidRDefault="00D9274E" w:rsidP="002E594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AFE1D28" wp14:editId="25DBCFDB">
                <wp:simplePos x="0" y="0"/>
                <wp:positionH relativeFrom="column">
                  <wp:posOffset>-166848</wp:posOffset>
                </wp:positionH>
                <wp:positionV relativeFrom="paragraph">
                  <wp:posOffset>438801</wp:posOffset>
                </wp:positionV>
                <wp:extent cx="6555113" cy="2030681"/>
                <wp:effectExtent l="0" t="0" r="0" b="8255"/>
                <wp:wrapNone/>
                <wp:docPr id="20970632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13" cy="2030681"/>
                        </a:xfrm>
                        <a:prstGeom prst="rect">
                          <a:avLst/>
                        </a:prstGeom>
                        <a:solidFill>
                          <a:srgbClr val="00BAC7">
                            <a:alpha val="1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284C5" id="Rectangle 1" o:spid="_x0000_s1026" style="position:absolute;margin-left:-13.15pt;margin-top:34.55pt;width:516.15pt;height:159.9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" fillcolor="#00bac7" stroked="f" strokeweight="2pt">
                <v:fill opacity="9252f"/>
              </v:rect>
            </w:pict>
          </mc:Fallback>
        </mc:AlternateContent>
      </w:r>
      <w:r w:rsidR="00F06D7F">
        <w:t>The way forward</w:t>
      </w:r>
    </w:p>
    <w:p w14:paraId="26877A15" w14:textId="77777777" w:rsidR="002E5940" w:rsidRDefault="002E5940" w:rsidP="00F06D7F">
      <w:pPr>
        <w:pStyle w:val="Heading2"/>
        <w:spacing w:before="0"/>
        <w:sectPr w:rsidR="002E5940" w:rsidSect="002E5940">
          <w:type w:val="continuous"/>
          <w:pgSz w:w="11906" w:h="16838" w:code="9"/>
          <w:pgMar w:top="648" w:right="1152" w:bottom="1728" w:left="936" w:header="706" w:footer="461" w:gutter="0"/>
          <w:cols w:num="2" w:space="708"/>
          <w:docGrid w:linePitch="360"/>
        </w:sectPr>
      </w:pPr>
    </w:p>
    <w:p w14:paraId="7F0D5672" w14:textId="7FE5FED9" w:rsidR="00506E2C" w:rsidRPr="002A584F" w:rsidRDefault="00D16DAF" w:rsidP="00F06D7F">
      <w:pPr>
        <w:pStyle w:val="Heading2"/>
        <w:spacing w:before="0"/>
      </w:pPr>
      <w:r>
        <w:t>F</w:t>
      </w:r>
      <w:r w:rsidR="00506E2C" w:rsidRPr="002A584F">
        <w:t>or the sector</w:t>
      </w:r>
    </w:p>
    <w:p w14:paraId="3DBA6021" w14:textId="77777777" w:rsidR="00506E2C" w:rsidRPr="00E77042" w:rsidRDefault="00506E2C" w:rsidP="00F06D7F">
      <w:r w:rsidRPr="00E77042">
        <w:t xml:space="preserve">DTF are willing to </w:t>
      </w:r>
      <w:r>
        <w:t xml:space="preserve">help </w:t>
      </w:r>
      <w:r w:rsidRPr="00E77042">
        <w:t>draw connections between organisations</w:t>
      </w:r>
      <w:r>
        <w:t xml:space="preserve"> and </w:t>
      </w:r>
      <w:r w:rsidRPr="00E77042">
        <w:t xml:space="preserve">our line departments where there is </w:t>
      </w:r>
      <w:r>
        <w:t xml:space="preserve">a </w:t>
      </w:r>
      <w:r w:rsidRPr="00E77042">
        <w:t xml:space="preserve">clear link to EIIF. </w:t>
      </w:r>
    </w:p>
    <w:p w14:paraId="29F45F22" w14:textId="77777777" w:rsidR="003B6EA1" w:rsidRDefault="00506E2C" w:rsidP="00CF6C57">
      <w:pPr>
        <w:spacing w:before="0" w:after="240" w:line="240" w:lineRule="auto"/>
        <w:rPr>
          <w:rStyle w:val="Hyperlink"/>
          <w:szCs w:val="18"/>
        </w:rPr>
      </w:pPr>
      <w:r w:rsidRPr="00E77042">
        <w:t xml:space="preserve">In order to facilitate </w:t>
      </w:r>
      <w:proofErr w:type="gramStart"/>
      <w:r w:rsidRPr="00E77042">
        <w:t>this, and</w:t>
      </w:r>
      <w:proofErr w:type="gramEnd"/>
      <w:r w:rsidRPr="00E77042">
        <w:t xml:space="preserve"> help assist with navigating through department areas of responsibility, DTF can be contacted </w:t>
      </w:r>
      <w:r w:rsidR="00CD5DA4">
        <w:t>at</w:t>
      </w:r>
      <w:r w:rsidRPr="00E77042">
        <w:t xml:space="preserve"> </w:t>
      </w:r>
      <w:hyperlink r:id="rId29" w:history="1">
        <w:r w:rsidRPr="00E77042">
          <w:rPr>
            <w:rStyle w:val="Hyperlink"/>
            <w:szCs w:val="18"/>
          </w:rPr>
          <w:t>earlyintervention@dtf.vic.gov.au</w:t>
        </w:r>
      </w:hyperlink>
      <w:r w:rsidR="00D16DAF">
        <w:rPr>
          <w:rStyle w:val="Hyperlink"/>
          <w:szCs w:val="18"/>
        </w:rPr>
        <w:t>.</w:t>
      </w:r>
    </w:p>
    <w:p w14:paraId="45B2AD69" w14:textId="10CCC9B2" w:rsidR="00506E2C" w:rsidRPr="00F06D7F" w:rsidRDefault="002E5940" w:rsidP="00CF6C57">
      <w:pPr>
        <w:spacing w:before="0" w:after="240" w:line="240" w:lineRule="auto"/>
        <w:rPr>
          <w:rStyle w:val="Heading2Char"/>
        </w:rPr>
      </w:pPr>
      <w:r>
        <w:rPr>
          <w:rStyle w:val="Heading2Char"/>
        </w:rPr>
        <w:br w:type="column"/>
      </w:r>
      <w:r w:rsidR="00D16DAF" w:rsidRPr="00F06D7F">
        <w:rPr>
          <w:rStyle w:val="Heading2Char"/>
        </w:rPr>
        <w:t>F</w:t>
      </w:r>
      <w:r w:rsidR="00506E2C" w:rsidRPr="00F06D7F">
        <w:rPr>
          <w:rStyle w:val="Heading2Char"/>
        </w:rPr>
        <w:t>or departments</w:t>
      </w:r>
    </w:p>
    <w:p w14:paraId="72B37354" w14:textId="77777777" w:rsidR="00506E2C" w:rsidRDefault="00506E2C" w:rsidP="00F06D7F">
      <w:r>
        <w:t>DTF encourages d</w:t>
      </w:r>
      <w:r w:rsidRPr="009F09DB">
        <w:t xml:space="preserve">epartments </w:t>
      </w:r>
      <w:r>
        <w:t>to directly engage with organisations as part of program design.</w:t>
      </w:r>
    </w:p>
    <w:p w14:paraId="695C43B7" w14:textId="1112C77C" w:rsidR="00506E2C" w:rsidRDefault="00506E2C" w:rsidP="00D16DAF">
      <w:r>
        <w:t xml:space="preserve">If there are specific points of clarity required in terms of how co-design could be done for specific proposals, or the relationship to EIIF, departments should reach out to their DTF EIIF relationship managers or </w:t>
      </w:r>
      <w:hyperlink r:id="rId30" w:history="1">
        <w:r w:rsidRPr="00E77042">
          <w:rPr>
            <w:rStyle w:val="Hyperlink"/>
            <w:szCs w:val="18"/>
          </w:rPr>
          <w:t>earlyintervention@dtf.vic.gov.au</w:t>
        </w:r>
      </w:hyperlink>
      <w:r>
        <w:t>.</w:t>
      </w:r>
    </w:p>
    <w:p w14:paraId="6D2891CB" w14:textId="451D0A93" w:rsidR="00CB4EEB" w:rsidRDefault="00694E66" w:rsidP="009D475F">
      <w:pPr>
        <w:pStyle w:val="Heading1"/>
        <w:spacing w:line="240" w:lineRule="auto"/>
      </w:pPr>
      <w:r>
        <w:lastRenderedPageBreak/>
        <w:t>Cultural Safety Framework</w:t>
      </w:r>
    </w:p>
    <w:p w14:paraId="23096862" w14:textId="77777777" w:rsidR="00924997" w:rsidRDefault="00924997" w:rsidP="00924997">
      <w:bookmarkStart w:id="3" w:name="_Hlk171675207"/>
      <w:r>
        <w:t>The Victorian Government recognises the importance of encouraging Aboriginal self</w:t>
      </w:r>
      <w:r>
        <w:noBreakHyphen/>
        <w:t xml:space="preserve">determination within proposals. </w:t>
      </w:r>
    </w:p>
    <w:p w14:paraId="3AF6459A" w14:textId="67E4B46C" w:rsidR="00924997" w:rsidRDefault="00924997" w:rsidP="00924997">
      <w:r>
        <w:t>DTF have partnered with the Victorian Aboriginal Child Care Agency</w:t>
      </w:r>
      <w:r w:rsidRPr="003937B1">
        <w:t xml:space="preserve"> to develop </w:t>
      </w:r>
      <w:r>
        <w:t xml:space="preserve">a </w:t>
      </w:r>
      <w:r w:rsidRPr="003937B1">
        <w:t>Cultural Safety Framework</w:t>
      </w:r>
      <w:r>
        <w:t xml:space="preserve"> guidance document to underpin the EIIF</w:t>
      </w:r>
      <w:r w:rsidRPr="003937B1">
        <w:t xml:space="preserve">, in consultation with other </w:t>
      </w:r>
      <w:r>
        <w:t xml:space="preserve">ACCOs </w:t>
      </w:r>
      <w:r w:rsidRPr="003937B1">
        <w:t>across each of the EIIF portfolios.</w:t>
      </w:r>
      <w:r>
        <w:t xml:space="preserve"> </w:t>
      </w:r>
    </w:p>
    <w:p w14:paraId="14D90229" w14:textId="77777777" w:rsidR="00924997" w:rsidRDefault="00924997" w:rsidP="00924997">
      <w:r>
        <w:t xml:space="preserve">This was based on sector feedback which </w:t>
      </w:r>
      <w:r>
        <w:rPr>
          <w:rFonts w:ascii="VIC" w:hAnsi="VIC"/>
        </w:rPr>
        <w:t xml:space="preserve">identified cultural safety </w:t>
      </w:r>
      <w:r w:rsidRPr="00A9517A">
        <w:rPr>
          <w:rFonts w:ascii="VIC" w:hAnsi="VIC"/>
        </w:rPr>
        <w:t>as a fundamental component to providing effective and inclusive services to Aboriginal clients</w:t>
      </w:r>
      <w:r>
        <w:rPr>
          <w:rFonts w:ascii="VIC" w:hAnsi="VIC"/>
        </w:rPr>
        <w:t>.</w:t>
      </w:r>
    </w:p>
    <w:p w14:paraId="643490DF" w14:textId="77777777" w:rsidR="00924997" w:rsidRDefault="00924997" w:rsidP="00924997">
      <w:r>
        <w:t xml:space="preserve">The </w:t>
      </w:r>
      <w:r w:rsidRPr="003937B1">
        <w:t>Cultural Safety Framework</w:t>
      </w:r>
      <w:r>
        <w:t xml:space="preserve"> guidance material intends to support departments to improve the design and implementation of EIIF programs, including through supporting culturally safe partnerships between departments and ACCOs. </w:t>
      </w:r>
    </w:p>
    <w:p w14:paraId="4FA69AC5" w14:textId="77777777" w:rsidR="00924997" w:rsidRDefault="00924997" w:rsidP="00924997">
      <w:r>
        <w:t>The Cultural Safety Framework is expected to be implemented ahead of the 2025-26 Budget.</w:t>
      </w:r>
    </w:p>
    <w:bookmarkEnd w:id="3"/>
    <w:p w14:paraId="7527D0C8" w14:textId="77BB31AB" w:rsidR="00152F80" w:rsidRDefault="002E5940" w:rsidP="00152F80">
      <w:pPr>
        <w:pStyle w:val="Heading1"/>
      </w:pPr>
      <w:r>
        <w:br w:type="column"/>
      </w:r>
      <w:r w:rsidR="00152F80">
        <w:t>Further resources</w:t>
      </w:r>
    </w:p>
    <w:p w14:paraId="03964F4B" w14:textId="64F84098" w:rsidR="001A033C" w:rsidRDefault="0076781B" w:rsidP="009F09DB">
      <w:r>
        <w:t xml:space="preserve">This paper has been informed by the insights of the </w:t>
      </w:r>
      <w:r w:rsidRPr="0076781B">
        <w:rPr>
          <w:i/>
          <w:iCs/>
        </w:rPr>
        <w:t>Centre for Excellent in Children and Family Welfare</w:t>
      </w:r>
      <w:r>
        <w:t xml:space="preserve"> </w:t>
      </w:r>
      <w:r w:rsidR="00694E66">
        <w:t xml:space="preserve">(CFECFW) </w:t>
      </w:r>
      <w:r>
        <w:t xml:space="preserve">and the </w:t>
      </w:r>
      <w:r w:rsidRPr="0076781B">
        <w:rPr>
          <w:i/>
          <w:iCs/>
        </w:rPr>
        <w:t>Victorian Council of Social Service</w:t>
      </w:r>
      <w:r w:rsidR="001A033C">
        <w:t xml:space="preserve"> </w:t>
      </w:r>
      <w:r w:rsidR="00694E66">
        <w:t xml:space="preserve">(VCOSS) </w:t>
      </w:r>
      <w:r w:rsidR="001A033C">
        <w:t xml:space="preserve">through their </w:t>
      </w:r>
      <w:r w:rsidR="00694E66">
        <w:t xml:space="preserve">respective </w:t>
      </w:r>
      <w:r w:rsidR="001A033C">
        <w:t>pieces of</w:t>
      </w:r>
      <w:r w:rsidR="00694E66">
        <w:t xml:space="preserve"> commissioned</w:t>
      </w:r>
      <w:r w:rsidR="001A033C">
        <w:t xml:space="preserve"> work on </w:t>
      </w:r>
      <w:r w:rsidR="00694E66">
        <w:t>EIIF collaboration.</w:t>
      </w:r>
    </w:p>
    <w:p w14:paraId="45DDF611" w14:textId="53ADEBEC" w:rsidR="00694E66" w:rsidRDefault="00694E66" w:rsidP="00694E66">
      <w:r>
        <w:t xml:space="preserve">The CFECFW report aims to strengthen collaboration between departments and child and family service providers on EIIF business cases, with a focus on the sector outcome measurement and data. </w:t>
      </w:r>
    </w:p>
    <w:p w14:paraId="2894A235" w14:textId="77777777" w:rsidR="00CB4EEB" w:rsidRDefault="00A8559A" w:rsidP="00CB4EEB">
      <w:r w:rsidRPr="00A8559A">
        <w:t>The report</w:t>
      </w:r>
      <w:r>
        <w:rPr>
          <w:i/>
          <w:iCs/>
        </w:rPr>
        <w:t xml:space="preserve"> </w:t>
      </w:r>
      <w:r w:rsidR="00694E66" w:rsidRPr="00694E66">
        <w:rPr>
          <w:i/>
          <w:iCs/>
        </w:rPr>
        <w:t>EIIF: Client Outcomes Measurement</w:t>
      </w:r>
      <w:r w:rsidR="00694E66">
        <w:t>, Centre for Excellen</w:t>
      </w:r>
      <w:r w:rsidR="00B96E16">
        <w:t>ce</w:t>
      </w:r>
      <w:r w:rsidR="00694E66">
        <w:t xml:space="preserve"> in Children and Family Welfare, September 2023</w:t>
      </w:r>
      <w:r w:rsidR="00280F15">
        <w:t>,</w:t>
      </w:r>
      <w:r>
        <w:t xml:space="preserve"> is available here</w:t>
      </w:r>
      <w:r w:rsidR="00CB4EEB">
        <w:t>:</w:t>
      </w:r>
    </w:p>
    <w:p w14:paraId="05A5808C" w14:textId="13F268F4" w:rsidR="00F65B17" w:rsidRPr="00F65B17" w:rsidRDefault="00F65B17" w:rsidP="00F65B17">
      <w:hyperlink r:id="rId31" w:tooltip="EIIF Client Outcomes Measurement" w:history="1">
        <w:r w:rsidRPr="00F65B17">
          <w:rPr>
            <w:rStyle w:val="Hyperlink"/>
          </w:rPr>
          <w:t>EIIF Client Outcomes Mea</w:t>
        </w:r>
        <w:r w:rsidRPr="00F65B17">
          <w:rPr>
            <w:rStyle w:val="Hyperlink"/>
          </w:rPr>
          <w:t>s</w:t>
        </w:r>
        <w:r w:rsidRPr="00F65B17">
          <w:rPr>
            <w:rStyle w:val="Hyperlink"/>
          </w:rPr>
          <w:t>urement</w:t>
        </w:r>
      </w:hyperlink>
      <w:r w:rsidRPr="00F65B17">
        <w:rPr>
          <w:rFonts w:ascii="Calibri" w:hAnsi="Calibri" w:cs="Calibri"/>
        </w:rPr>
        <w:t> </w:t>
      </w:r>
      <w:r w:rsidRPr="00F65B17">
        <w:t>(PDF 581.16 KB)</w:t>
      </w:r>
    </w:p>
    <w:p w14:paraId="1308FD06" w14:textId="4759EA09" w:rsidR="00F65B17" w:rsidRPr="00F65B17" w:rsidRDefault="00F65B17" w:rsidP="00F65B17">
      <w:hyperlink r:id="rId32" w:tooltip="EIIF Client Outcomes Measurement" w:history="1">
        <w:r w:rsidRPr="00F65B17">
          <w:rPr>
            <w:rStyle w:val="Hyperlink"/>
          </w:rPr>
          <w:t>EIIF Client Outcome</w:t>
        </w:r>
        <w:r w:rsidRPr="00F65B17">
          <w:rPr>
            <w:rStyle w:val="Hyperlink"/>
          </w:rPr>
          <w:t>s</w:t>
        </w:r>
        <w:r w:rsidRPr="00F65B17">
          <w:rPr>
            <w:rStyle w:val="Hyperlink"/>
          </w:rPr>
          <w:t xml:space="preserve"> Measurement</w:t>
        </w:r>
      </w:hyperlink>
      <w:r w:rsidRPr="00F65B17">
        <w:rPr>
          <w:rFonts w:ascii="Calibri" w:hAnsi="Calibri" w:cs="Calibri"/>
        </w:rPr>
        <w:t> </w:t>
      </w:r>
      <w:r w:rsidRPr="00F65B17">
        <w:t>(WORD 239.67 KB)</w:t>
      </w:r>
    </w:p>
    <w:p w14:paraId="2CFAB675" w14:textId="0DB51D4F" w:rsidR="00924997" w:rsidRDefault="00924997" w:rsidP="00E73561">
      <w:r>
        <w:t>A summary of the practice considerations can be found here:</w:t>
      </w:r>
    </w:p>
    <w:p w14:paraId="27DFF6C3" w14:textId="23605830" w:rsidR="00F65B17" w:rsidRPr="00F65B17" w:rsidRDefault="00F65B17" w:rsidP="00F65B17">
      <w:hyperlink r:id="rId33" w:tooltip="EIIF Client Outcomes Measurement - Practice Considerations and Implications" w:history="1">
        <w:r w:rsidRPr="00F65B17">
          <w:rPr>
            <w:rStyle w:val="Hyperlink"/>
          </w:rPr>
          <w:t xml:space="preserve">EIIF Client Outcomes </w:t>
        </w:r>
        <w:r w:rsidRPr="00F65B17">
          <w:rPr>
            <w:rStyle w:val="Hyperlink"/>
          </w:rPr>
          <w:t>M</w:t>
        </w:r>
        <w:r w:rsidRPr="00F65B17">
          <w:rPr>
            <w:rStyle w:val="Hyperlink"/>
          </w:rPr>
          <w:t>easurement - Practice Considerations and Implications</w:t>
        </w:r>
      </w:hyperlink>
      <w:r w:rsidRPr="00F65B17">
        <w:rPr>
          <w:rFonts w:ascii="Calibri" w:hAnsi="Calibri" w:cs="Calibri"/>
        </w:rPr>
        <w:t> </w:t>
      </w:r>
      <w:r w:rsidRPr="00F65B17">
        <w:t>(PDF 4.68 MB)</w:t>
      </w:r>
    </w:p>
    <w:p w14:paraId="560A703A" w14:textId="77777777" w:rsidR="00F65B17" w:rsidRPr="00F65B17" w:rsidRDefault="00F65B17" w:rsidP="00F65B17">
      <w:hyperlink r:id="rId34" w:tooltip="EIIF Client Outcomes Measurement - Practice Considerations and Implications" w:history="1">
        <w:r w:rsidRPr="00F65B17">
          <w:rPr>
            <w:rStyle w:val="Hyperlink"/>
          </w:rPr>
          <w:t>EIIF Client Outcomes Measurement - Practice Considerations and Imp</w:t>
        </w:r>
        <w:r w:rsidRPr="00F65B17">
          <w:rPr>
            <w:rStyle w:val="Hyperlink"/>
          </w:rPr>
          <w:t>l</w:t>
        </w:r>
        <w:r w:rsidRPr="00F65B17">
          <w:rPr>
            <w:rStyle w:val="Hyperlink"/>
          </w:rPr>
          <w:t>ications</w:t>
        </w:r>
      </w:hyperlink>
      <w:r w:rsidRPr="00F65B17">
        <w:rPr>
          <w:rFonts w:ascii="Calibri" w:hAnsi="Calibri" w:cs="Calibri"/>
        </w:rPr>
        <w:t> </w:t>
      </w:r>
      <w:r w:rsidRPr="00F65B17">
        <w:t>(WORD 113.13 KB)</w:t>
      </w:r>
    </w:p>
    <w:p w14:paraId="22E28FCD" w14:textId="30ECB167" w:rsidR="00694E66" w:rsidRDefault="00CA76ED" w:rsidP="00E73561">
      <w:r w:rsidRPr="00F65B17">
        <w:t xml:space="preserve">The </w:t>
      </w:r>
      <w:r w:rsidR="00694E66" w:rsidRPr="00F65B17">
        <w:t>VCOSS report provides a framework and</w:t>
      </w:r>
      <w:r w:rsidR="00694E66" w:rsidRPr="00694E66">
        <w:t xml:space="preserve"> principles to guide collaboration for early intervention between service providers and </w:t>
      </w:r>
      <w:r w:rsidR="00694E66">
        <w:t>d</w:t>
      </w:r>
      <w:r w:rsidR="00694E66" w:rsidRPr="00694E66">
        <w:t xml:space="preserve">epartments, and tools to support the process. </w:t>
      </w:r>
    </w:p>
    <w:p w14:paraId="2523FB64" w14:textId="77777777" w:rsidR="00CB4EEB" w:rsidRDefault="00A8559A" w:rsidP="00CB4EEB">
      <w:r w:rsidRPr="00280F15">
        <w:t>The report</w:t>
      </w:r>
      <w:r w:rsidR="00280F15">
        <w:rPr>
          <w:i/>
          <w:iCs/>
        </w:rPr>
        <w:t xml:space="preserve"> </w:t>
      </w:r>
      <w:r w:rsidR="00694E66" w:rsidRPr="00694E66">
        <w:rPr>
          <w:i/>
          <w:iCs/>
        </w:rPr>
        <w:t>Collaboration on the Early Intervention Investment Framework</w:t>
      </w:r>
      <w:r w:rsidR="00694E66" w:rsidRPr="00694E66">
        <w:t>, Victorian Council of Social Service, November 2023</w:t>
      </w:r>
      <w:r w:rsidR="00280F15">
        <w:t>, is available here</w:t>
      </w:r>
      <w:r w:rsidR="00CB4EEB">
        <w:t>:</w:t>
      </w:r>
    </w:p>
    <w:bookmarkEnd w:id="0"/>
    <w:p w14:paraId="2A026791" w14:textId="77777777" w:rsidR="00F65B17" w:rsidRPr="00F65B17" w:rsidRDefault="00F65B17" w:rsidP="00F65B17">
      <w:r w:rsidRPr="00F65B17">
        <w:fldChar w:fldCharType="begin"/>
      </w:r>
      <w:r w:rsidRPr="00F65B17">
        <w:instrText>HYPERLINK "https://www.dtf.vic.gov.au/sites/default/files/document/Collaboration%20on%20the%20Early%20Intervention%20Investment%20Framework%20-%20Recommendations%20and%20toolkit.pdf.PDF" \o "Collaboration on the Early Intervention Investment Framework - Recommendations and toolkit"</w:instrText>
      </w:r>
      <w:r w:rsidRPr="00F65B17">
        <w:fldChar w:fldCharType="separate"/>
      </w:r>
      <w:r w:rsidRPr="00F65B17">
        <w:rPr>
          <w:rStyle w:val="Hyperlink"/>
        </w:rPr>
        <w:t>Collaboration on the Early</w:t>
      </w:r>
      <w:r w:rsidRPr="00F65B17">
        <w:rPr>
          <w:rStyle w:val="Hyperlink"/>
        </w:rPr>
        <w:t xml:space="preserve"> </w:t>
      </w:r>
      <w:r w:rsidRPr="00F65B17">
        <w:rPr>
          <w:rStyle w:val="Hyperlink"/>
        </w:rPr>
        <w:t>Intervention Investment Framework - Recommendations and toolkit</w:t>
      </w:r>
      <w:r w:rsidRPr="00F65B17">
        <w:fldChar w:fldCharType="end"/>
      </w:r>
      <w:r w:rsidRPr="00F65B17">
        <w:rPr>
          <w:rFonts w:ascii="Calibri" w:hAnsi="Calibri" w:cs="Calibri"/>
        </w:rPr>
        <w:t> </w:t>
      </w:r>
      <w:r w:rsidRPr="00F65B17">
        <w:t>(PDF 863.28 KB)</w:t>
      </w:r>
    </w:p>
    <w:p w14:paraId="2EE4B2AF" w14:textId="789438CA" w:rsidR="00F65B17" w:rsidRPr="00F65B17" w:rsidRDefault="00F65B17" w:rsidP="00F65B17">
      <w:hyperlink r:id="rId35" w:tooltip="Collaboration on the Early Intervention Investment Framework - Recommendations and toolkit" w:history="1">
        <w:r w:rsidRPr="00F65B17">
          <w:rPr>
            <w:rStyle w:val="Hyperlink"/>
          </w:rPr>
          <w:t>Collaboration on the Early Intervention Investment Framework - Reco</w:t>
        </w:r>
        <w:r w:rsidRPr="00F65B17">
          <w:rPr>
            <w:rStyle w:val="Hyperlink"/>
          </w:rPr>
          <w:t>m</w:t>
        </w:r>
        <w:r w:rsidRPr="00F65B17">
          <w:rPr>
            <w:rStyle w:val="Hyperlink"/>
          </w:rPr>
          <w:t>mendations and toolkit</w:t>
        </w:r>
      </w:hyperlink>
      <w:r w:rsidRPr="00F65B17">
        <w:rPr>
          <w:rFonts w:ascii="Calibri" w:hAnsi="Calibri" w:cs="Calibri"/>
        </w:rPr>
        <w:t> </w:t>
      </w:r>
      <w:r w:rsidRPr="00F65B17">
        <w:t>(WORD 2.44 MB)</w:t>
      </w:r>
    </w:p>
    <w:p w14:paraId="3065CA27" w14:textId="3934648E" w:rsidR="00694E66" w:rsidRDefault="00694E66" w:rsidP="00F65B17"/>
    <w:sectPr w:rsidR="00694E66" w:rsidSect="00152F80">
      <w:type w:val="continuous"/>
      <w:pgSz w:w="11906" w:h="16838" w:code="9"/>
      <w:pgMar w:top="648" w:right="1152" w:bottom="1728" w:left="936" w:header="706" w:footer="4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A0EF" w14:textId="77777777" w:rsidR="0033208D" w:rsidRDefault="0033208D" w:rsidP="006805B9">
      <w:r>
        <w:separator/>
      </w:r>
    </w:p>
  </w:endnote>
  <w:endnote w:type="continuationSeparator" w:id="0">
    <w:p w14:paraId="2E900599" w14:textId="77777777" w:rsidR="0033208D" w:rsidRDefault="0033208D" w:rsidP="006805B9">
      <w:r>
        <w:continuationSeparator/>
      </w:r>
    </w:p>
  </w:endnote>
  <w:endnote w:type="continuationNotice" w:id="1">
    <w:p w14:paraId="63DB7F5F" w14:textId="77777777" w:rsidR="0033208D" w:rsidRDefault="0033208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DE39" w14:textId="77777777" w:rsidR="00AD18D6" w:rsidRDefault="00AD1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53D0D" w14:textId="62875431" w:rsidR="00522F8A" w:rsidRDefault="00522F8A" w:rsidP="00491C72">
    <w:pPr>
      <w:pStyle w:val="Footer"/>
      <w:tabs>
        <w:tab w:val="right" w:pos="9602"/>
      </w:tabs>
      <w:rPr>
        <w:rStyle w:val="PageNumber"/>
      </w:rPr>
    </w:pPr>
    <w:r w:rsidRPr="008E49B3">
      <w:rPr>
        <w:noProof w:val="0"/>
      </w:rPr>
      <w:fldChar w:fldCharType="begin"/>
    </w:r>
    <w:r w:rsidRPr="008E49B3">
      <w:instrText xml:space="preserve"> StyleRef “Title” </w:instrText>
    </w:r>
    <w:r w:rsidRPr="008E49B3">
      <w:rPr>
        <w:noProof w:val="0"/>
      </w:rPr>
      <w:fldChar w:fldCharType="separate"/>
    </w:r>
    <w:r w:rsidR="0017630A">
      <w:t>Co-design and the Early Intervention Investment Framework</w:t>
    </w:r>
    <w:r w:rsidRPr="008E49B3">
      <w:fldChar w:fldCharType="end"/>
    </w:r>
    <w:r w:rsidR="00491C72">
      <w:tab/>
      <w:t xml:space="preserve">Page </w:t>
    </w:r>
    <w:r w:rsidR="00491C72">
      <w:fldChar w:fldCharType="begin"/>
    </w:r>
    <w:r w:rsidR="00491C72">
      <w:instrText xml:space="preserve"> page </w:instrText>
    </w:r>
    <w:r w:rsidR="00491C72">
      <w:fldChar w:fldCharType="separate"/>
    </w:r>
    <w:r w:rsidR="00491C72">
      <w:t>2</w:t>
    </w:r>
    <w:r w:rsidR="00491C72">
      <w:fldChar w:fldCharType="end"/>
    </w:r>
  </w:p>
  <w:p w14:paraId="3D2408AB" w14:textId="77777777" w:rsidR="00522F8A" w:rsidRPr="00C022F9" w:rsidRDefault="00522F8A" w:rsidP="00680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77C29" w14:textId="1F36D828" w:rsidR="00042E70" w:rsidRPr="00270DC5" w:rsidRDefault="009B7C6B" w:rsidP="00042E70">
    <w:pPr>
      <w:pStyle w:val="FootnoteText"/>
      <w:rPr>
        <w:sz w:val="16"/>
        <w:szCs w:val="18"/>
      </w:rPr>
    </w:pPr>
    <w:r w:rsidRPr="009B7C6B">
      <w:rPr>
        <w:sz w:val="16"/>
        <w:szCs w:val="18"/>
        <w:vertAlign w:val="superscript"/>
      </w:rPr>
      <w:t>1</w:t>
    </w:r>
    <w:r w:rsidR="00042E70" w:rsidRPr="00270DC5">
      <w:rPr>
        <w:sz w:val="16"/>
        <w:szCs w:val="18"/>
      </w:rPr>
      <w:t xml:space="preserve"> Productivity Commission, 2010, </w:t>
    </w:r>
    <w:r w:rsidR="00042E70" w:rsidRPr="00270DC5">
      <w:rPr>
        <w:i/>
        <w:iCs/>
        <w:sz w:val="16"/>
        <w:szCs w:val="18"/>
      </w:rPr>
      <w:t>Contribution of the Not</w:t>
    </w:r>
    <w:r w:rsidR="00042E70">
      <w:rPr>
        <w:i/>
        <w:iCs/>
        <w:sz w:val="16"/>
        <w:szCs w:val="18"/>
      </w:rPr>
      <w:noBreakHyphen/>
    </w:r>
    <w:r w:rsidR="00042E70" w:rsidRPr="00270DC5">
      <w:rPr>
        <w:i/>
        <w:iCs/>
        <w:sz w:val="16"/>
        <w:szCs w:val="18"/>
      </w:rPr>
      <w:t>for-Profit Sector</w:t>
    </w:r>
    <w:r w:rsidR="00042E70" w:rsidRPr="00270DC5">
      <w:rPr>
        <w:sz w:val="16"/>
        <w:szCs w:val="18"/>
      </w:rPr>
      <w:t>, Promoting productivity and social innovation, p</w:t>
    </w:r>
    <w:r w:rsidR="00042E70">
      <w:rPr>
        <w:sz w:val="16"/>
        <w:szCs w:val="18"/>
      </w:rPr>
      <w:t xml:space="preserve"> </w:t>
    </w:r>
    <w:r w:rsidR="00042E70" w:rsidRPr="00270DC5">
      <w:rPr>
        <w:sz w:val="16"/>
        <w:szCs w:val="18"/>
      </w:rPr>
      <w:t>239</w:t>
    </w:r>
    <w:r w:rsidR="00042E70">
      <w:rPr>
        <w:sz w:val="16"/>
        <w:szCs w:val="18"/>
      </w:rPr>
      <w:t>.</w:t>
    </w:r>
  </w:p>
  <w:p w14:paraId="1A2AD598" w14:textId="75D10A82" w:rsidR="00042E70" w:rsidRDefault="009B7C6B" w:rsidP="002864DB">
    <w:pPr>
      <w:pStyle w:val="FootnoteText"/>
    </w:pPr>
    <w:r w:rsidRPr="009B7C6B">
      <w:rPr>
        <w:sz w:val="16"/>
        <w:szCs w:val="18"/>
        <w:vertAlign w:val="superscript"/>
      </w:rPr>
      <w:t>2</w:t>
    </w:r>
    <w:r w:rsidR="00042E70" w:rsidRPr="00270DC5">
      <w:rPr>
        <w:sz w:val="16"/>
        <w:szCs w:val="18"/>
      </w:rPr>
      <w:t xml:space="preserve"> Department of Health, 2022, </w:t>
    </w:r>
    <w:r w:rsidR="00042E70" w:rsidRPr="00270DC5">
      <w:rPr>
        <w:i/>
        <w:iCs/>
        <w:sz w:val="16"/>
        <w:szCs w:val="18"/>
      </w:rPr>
      <w:t xml:space="preserve">Mental health lived experience engagement framework; </w:t>
    </w:r>
    <w:r w:rsidR="00042E70" w:rsidRPr="00270DC5">
      <w:rPr>
        <w:i/>
        <w:iCs/>
        <w:sz w:val="16"/>
      </w:rPr>
      <w:t xml:space="preserve">Family Safety Victoria, </w:t>
    </w:r>
    <w:r w:rsidR="00042E70" w:rsidRPr="00270DC5">
      <w:rPr>
        <w:rFonts w:ascii="VIC" w:hAnsi="VIC"/>
        <w:color w:val="1A1A1A"/>
        <w:spacing w:val="5"/>
        <w:sz w:val="16"/>
      </w:rPr>
      <w:t xml:space="preserve">2022, </w:t>
    </w:r>
    <w:r w:rsidR="00042E70" w:rsidRPr="00270DC5">
      <w:rPr>
        <w:rFonts w:ascii="VIC" w:hAnsi="VIC"/>
        <w:i/>
        <w:iCs/>
        <w:color w:val="1A1A1A"/>
        <w:spacing w:val="5"/>
        <w:sz w:val="16"/>
      </w:rPr>
      <w:t>Family Violence Lived Experience Strategy</w:t>
    </w:r>
  </w:p>
  <w:p w14:paraId="1D4BE0C3" w14:textId="3777DA6F" w:rsidR="00973844" w:rsidRDefault="00C02CEC" w:rsidP="004C7125">
    <w:pPr>
      <w:pStyle w:val="Footer"/>
      <w:jc w:val="right"/>
    </w:pPr>
    <w:r>
      <w:drawing>
        <wp:inline distT="0" distB="0" distL="0" distR="0" wp14:anchorId="23168CB3" wp14:editId="33206773">
          <wp:extent cx="1536192" cy="457200"/>
          <wp:effectExtent l="0" t="0" r="6985" b="0"/>
          <wp:docPr id="1828348530" name="Picture 18283485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2A4C" w14:textId="2C155043" w:rsidR="00BE2B45" w:rsidRDefault="00BE2B45" w:rsidP="00941EE2">
    <w:pPr>
      <w:pStyle w:val="Footer"/>
      <w:rPr>
        <w:rStyle w:val="PageNumber"/>
      </w:rPr>
    </w:pPr>
    <w:r w:rsidRPr="008E49B3">
      <w:rPr>
        <w:noProof w:val="0"/>
      </w:rPr>
      <w:fldChar w:fldCharType="begin"/>
    </w:r>
    <w:r w:rsidRPr="008E49B3">
      <w:instrText xml:space="preserve"> StyleRef “Title” </w:instrText>
    </w:r>
    <w:r w:rsidRPr="008E49B3">
      <w:rPr>
        <w:noProof w:val="0"/>
      </w:rPr>
      <w:fldChar w:fldCharType="separate"/>
    </w:r>
    <w:r w:rsidR="00F65B17">
      <w:t>Co-design and the Early Intervention Investment Framework</w:t>
    </w:r>
    <w:r w:rsidRPr="008E49B3"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4F77124" w14:textId="77777777" w:rsidR="00BE2B45" w:rsidRPr="00C022F9" w:rsidRDefault="00BE2B45" w:rsidP="006805B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3840E" w14:textId="753A5334" w:rsidR="00BE2B45" w:rsidRDefault="00AA3451" w:rsidP="004C7125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58242" behindDoc="0" locked="0" layoutInCell="0" allowOverlap="1" wp14:anchorId="5F908771" wp14:editId="6348A6F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2583623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AF9768" w14:textId="77777777" w:rsidR="00BE2B45" w:rsidRPr="00841100" w:rsidRDefault="00BE2B45" w:rsidP="00AC4C1D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2"/>
                            </w:rPr>
                          </w:pPr>
                          <w:r w:rsidRPr="00841100">
                            <w:rPr>
                              <w:rFonts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087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805.9pt;width:595.3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" o:allowincell="f" filled="f" stroked="f" strokeweight=".5pt">
              <v:textbox inset="20pt,0,,0">
                <w:txbxContent>
                  <w:p w14:paraId="0EAF9768" w14:textId="77777777" w:rsidR="00BE2B45" w:rsidRPr="00841100" w:rsidRDefault="00BE2B45" w:rsidP="00AC4C1D">
                    <w:pPr>
                      <w:spacing w:before="0" w:after="0"/>
                      <w:rPr>
                        <w:rFonts w:cs="Calibri"/>
                        <w:color w:val="000000"/>
                        <w:sz w:val="22"/>
                      </w:rPr>
                    </w:pPr>
                    <w:r w:rsidRPr="00841100">
                      <w:rPr>
                        <w:rFonts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2B45">
      <w:drawing>
        <wp:inline distT="0" distB="0" distL="0" distR="0" wp14:anchorId="761951E7" wp14:editId="44680C52">
          <wp:extent cx="1536192" cy="457200"/>
          <wp:effectExtent l="0" t="0" r="6985" b="0"/>
          <wp:docPr id="1275909739" name="Picture 12759097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41479" w14:textId="77777777" w:rsidR="0033208D" w:rsidRDefault="0033208D" w:rsidP="006805B9">
      <w:r>
        <w:separator/>
      </w:r>
    </w:p>
  </w:footnote>
  <w:footnote w:type="continuationSeparator" w:id="0">
    <w:p w14:paraId="20A36B2A" w14:textId="77777777" w:rsidR="0033208D" w:rsidRDefault="0033208D" w:rsidP="006805B9">
      <w:r>
        <w:continuationSeparator/>
      </w:r>
    </w:p>
  </w:footnote>
  <w:footnote w:type="continuationNotice" w:id="1">
    <w:p w14:paraId="60C327EE" w14:textId="77777777" w:rsidR="0033208D" w:rsidRDefault="0033208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1C04" w14:textId="77777777" w:rsidR="00AD18D6" w:rsidRDefault="00AD1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53B8" w14:textId="7F0571A2" w:rsidR="00F417C3" w:rsidRPr="0041689E" w:rsidRDefault="00AA3451" w:rsidP="006805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EF7692" wp14:editId="686B7F74">
              <wp:simplePos x="0" y="0"/>
              <wp:positionH relativeFrom="page">
                <wp:posOffset>-31750</wp:posOffset>
              </wp:positionH>
              <wp:positionV relativeFrom="paragraph">
                <wp:posOffset>-440055</wp:posOffset>
              </wp:positionV>
              <wp:extent cx="7653655" cy="895985"/>
              <wp:effectExtent l="0" t="0" r="0" b="0"/>
              <wp:wrapTopAndBottom/>
              <wp:docPr id="16999465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53655" cy="895985"/>
                        <a:chOff x="914400" y="524786"/>
                        <a:chExt cx="5420963" cy="635888"/>
                      </a:xfrm>
                    </wpg:grpSpPr>
                    <wps:wsp>
                      <wps:cNvPr id="14" name="Shape 2"/>
                      <wps:cNvSpPr/>
                      <wps:spPr>
                        <a:xfrm>
                          <a:off x="3923918" y="524786"/>
                          <a:ext cx="2411445" cy="635888"/>
                        </a:xfrm>
                        <a:custGeom>
                          <a:avLst/>
                          <a:gdLst>
                            <a:gd name="connsiteX0" fmla="*/ 2411445 w 2411444"/>
                            <a:gd name="connsiteY0" fmla="*/ 0 h 769524"/>
                            <a:gd name="connsiteX1" fmla="*/ 0 w 2411444"/>
                            <a:gd name="connsiteY1" fmla="*/ 0 h 769524"/>
                            <a:gd name="connsiteX2" fmla="*/ 363760 w 2411444"/>
                            <a:gd name="connsiteY2" fmla="*/ 769525 h 769524"/>
                            <a:gd name="connsiteX3" fmla="*/ 2410111 w 2411444"/>
                            <a:gd name="connsiteY3" fmla="*/ 769525 h 769524"/>
                            <a:gd name="connsiteX4" fmla="*/ 2411445 w 2411444"/>
                            <a:gd name="connsiteY4" fmla="*/ 0 h 769524"/>
                            <a:gd name="connsiteX0" fmla="*/ 2411445 w 2411445"/>
                            <a:gd name="connsiteY0" fmla="*/ 0 h 769525"/>
                            <a:gd name="connsiteX1" fmla="*/ 0 w 2411445"/>
                            <a:gd name="connsiteY1" fmla="*/ 0 h 769525"/>
                            <a:gd name="connsiteX2" fmla="*/ 300185 w 2411445"/>
                            <a:gd name="connsiteY2" fmla="*/ 635888 h 769525"/>
                            <a:gd name="connsiteX3" fmla="*/ 2410111 w 2411445"/>
                            <a:gd name="connsiteY3" fmla="*/ 769525 h 769525"/>
                            <a:gd name="connsiteX4" fmla="*/ 2411445 w 2411445"/>
                            <a:gd name="connsiteY4" fmla="*/ 0 h 769525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406138 w 2411445"/>
                            <a:gd name="connsiteY3" fmla="*/ 635722 h 635888"/>
                            <a:gd name="connsiteX4" fmla="*/ 2411445 w 2411445"/>
                            <a:gd name="connsiteY4" fmla="*/ 0 h 635888"/>
                            <a:gd name="connsiteX0" fmla="*/ 2411445 w 2411445"/>
                            <a:gd name="connsiteY0" fmla="*/ 0 h 640087"/>
                            <a:gd name="connsiteX1" fmla="*/ 0 w 2411445"/>
                            <a:gd name="connsiteY1" fmla="*/ 0 h 640087"/>
                            <a:gd name="connsiteX2" fmla="*/ 300185 w 2411445"/>
                            <a:gd name="connsiteY2" fmla="*/ 635888 h 640087"/>
                            <a:gd name="connsiteX3" fmla="*/ 2402164 w 2411445"/>
                            <a:gd name="connsiteY3" fmla="*/ 640087 h 640087"/>
                            <a:gd name="connsiteX4" fmla="*/ 2411445 w 2411445"/>
                            <a:gd name="connsiteY4" fmla="*/ 0 h 640087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398605 w 2411445"/>
                            <a:gd name="connsiteY3" fmla="*/ 632969 h 635888"/>
                            <a:gd name="connsiteX4" fmla="*/ 2411445 w 2411445"/>
                            <a:gd name="connsiteY4" fmla="*/ 0 h 635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11445" h="635888">
                              <a:moveTo>
                                <a:pt x="2411445" y="0"/>
                              </a:moveTo>
                              <a:lnTo>
                                <a:pt x="0" y="0"/>
                              </a:lnTo>
                              <a:lnTo>
                                <a:pt x="300185" y="635888"/>
                              </a:lnTo>
                              <a:lnTo>
                                <a:pt x="2398605" y="632969"/>
                              </a:lnTo>
                              <a:cubicBezTo>
                                <a:pt x="2399050" y="376461"/>
                                <a:pt x="2411000" y="256508"/>
                                <a:pt x="24114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hape 1"/>
                      <wps:cNvSpPr/>
                      <wps:spPr>
                        <a:xfrm>
                          <a:off x="914400" y="524786"/>
                          <a:ext cx="3329082" cy="337470"/>
                        </a:xfrm>
                        <a:custGeom>
                          <a:avLst/>
                          <a:gdLst>
                            <a:gd name="connsiteX0" fmla="*/ 0 w 3329082"/>
                            <a:gd name="connsiteY0" fmla="*/ 337471 h 337470"/>
                            <a:gd name="connsiteX1" fmla="*/ 3169539 w 3329082"/>
                            <a:gd name="connsiteY1" fmla="*/ 337471 h 337470"/>
                            <a:gd name="connsiteX2" fmla="*/ 3329083 w 3329082"/>
                            <a:gd name="connsiteY2" fmla="*/ 0 h 337470"/>
                            <a:gd name="connsiteX3" fmla="*/ 0 w 3329082"/>
                            <a:gd name="connsiteY3" fmla="*/ 0 h 337470"/>
                            <a:gd name="connsiteX4" fmla="*/ 0 w 3329082"/>
                            <a:gd name="connsiteY4" fmla="*/ 337471 h 337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29082" h="337470">
                              <a:moveTo>
                                <a:pt x="0" y="337471"/>
                              </a:moveTo>
                              <a:lnTo>
                                <a:pt x="3169539" y="337471"/>
                              </a:lnTo>
                              <a:lnTo>
                                <a:pt x="3329083" y="0"/>
                              </a:lnTo>
                              <a:lnTo>
                                <a:pt x="0" y="0"/>
                              </a:lnTo>
                              <a:lnTo>
                                <a:pt x="0" y="3374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A39B32" id="Group 3" o:spid="_x0000_s1026" style="position:absolute;margin-left:-2.5pt;margin-top:-34.65pt;width:602.65pt;height:70.55pt;z-index:251658240;mso-position-horizontal-relative:page;mso-width-relative:margin;mso-height-relative:margin" coordorigin="9144,5247" coordsize="54209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">
              <v:shape id="Shape 2" o:spid="_x0000_s1027" style="position:absolute;left:39239;top:5247;width:24114;height:6359;visibility:visible;mso-wrap-style:square;v-text-anchor:middle" coordsize="2411445,63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" path="m2411445,l,,300185,635888r2098420,-2919c2399050,376461,2411000,256508,2411445,xe" fillcolor="#00bac7 [3204]" stroked="f">
                <v:stroke joinstyle="miter"/>
                <v:path arrowok="t" o:connecttype="custom" o:connectlocs="2411445,0;0,0;300185,635888;2398605,632969;2411445,0" o:connectangles="0,0,0,0,0"/>
              </v:shape>
              <v:shape id="Shape 1" o:spid="_x0000_s1028" style="position:absolute;left:9144;top:5247;width:33290;height:3375;visibility:visible;mso-wrap-style:square;v-text-anchor:middle" coordsize="3329082,33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" path="m,337471r3169539,l3329083,,,,,337471xe" fillcolor="#232b39 [3213]" stroked="f">
                <v:stroke joinstyle="miter"/>
                <v:path arrowok="t" o:connecttype="custom" o:connectlocs="0,337471;3169539,337471;3329083,0;0,0;0,337471" o:connectangles="0,0,0,0,0"/>
              </v:shape>
              <w10:wrap type="topAndBottom"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186E" w14:textId="77777777" w:rsidR="00AD18D6" w:rsidRDefault="00AD18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2B30" w14:textId="6A0E14E0" w:rsidR="00BE2B45" w:rsidRPr="0041689E" w:rsidRDefault="00AA3451" w:rsidP="006805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1E6FE18" wp14:editId="483D12FB">
              <wp:simplePos x="0" y="0"/>
              <wp:positionH relativeFrom="page">
                <wp:posOffset>-31750</wp:posOffset>
              </wp:positionH>
              <wp:positionV relativeFrom="paragraph">
                <wp:posOffset>-440055</wp:posOffset>
              </wp:positionV>
              <wp:extent cx="7653655" cy="895985"/>
              <wp:effectExtent l="0" t="0" r="0" b="0"/>
              <wp:wrapTopAndBottom/>
              <wp:docPr id="16025574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53655" cy="895985"/>
                        <a:chOff x="914400" y="524786"/>
                        <a:chExt cx="5420963" cy="635888"/>
                      </a:xfrm>
                    </wpg:grpSpPr>
                    <wps:wsp>
                      <wps:cNvPr id="21" name="Shape 2"/>
                      <wps:cNvSpPr/>
                      <wps:spPr>
                        <a:xfrm>
                          <a:off x="3923918" y="524786"/>
                          <a:ext cx="2411445" cy="635888"/>
                        </a:xfrm>
                        <a:custGeom>
                          <a:avLst/>
                          <a:gdLst>
                            <a:gd name="connsiteX0" fmla="*/ 2411445 w 2411444"/>
                            <a:gd name="connsiteY0" fmla="*/ 0 h 769524"/>
                            <a:gd name="connsiteX1" fmla="*/ 0 w 2411444"/>
                            <a:gd name="connsiteY1" fmla="*/ 0 h 769524"/>
                            <a:gd name="connsiteX2" fmla="*/ 363760 w 2411444"/>
                            <a:gd name="connsiteY2" fmla="*/ 769525 h 769524"/>
                            <a:gd name="connsiteX3" fmla="*/ 2410111 w 2411444"/>
                            <a:gd name="connsiteY3" fmla="*/ 769525 h 769524"/>
                            <a:gd name="connsiteX4" fmla="*/ 2411445 w 2411444"/>
                            <a:gd name="connsiteY4" fmla="*/ 0 h 769524"/>
                            <a:gd name="connsiteX0" fmla="*/ 2411445 w 2411445"/>
                            <a:gd name="connsiteY0" fmla="*/ 0 h 769525"/>
                            <a:gd name="connsiteX1" fmla="*/ 0 w 2411445"/>
                            <a:gd name="connsiteY1" fmla="*/ 0 h 769525"/>
                            <a:gd name="connsiteX2" fmla="*/ 300185 w 2411445"/>
                            <a:gd name="connsiteY2" fmla="*/ 635888 h 769525"/>
                            <a:gd name="connsiteX3" fmla="*/ 2410111 w 2411445"/>
                            <a:gd name="connsiteY3" fmla="*/ 769525 h 769525"/>
                            <a:gd name="connsiteX4" fmla="*/ 2411445 w 2411445"/>
                            <a:gd name="connsiteY4" fmla="*/ 0 h 769525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406138 w 2411445"/>
                            <a:gd name="connsiteY3" fmla="*/ 635722 h 635888"/>
                            <a:gd name="connsiteX4" fmla="*/ 2411445 w 2411445"/>
                            <a:gd name="connsiteY4" fmla="*/ 0 h 635888"/>
                            <a:gd name="connsiteX0" fmla="*/ 2411445 w 2411445"/>
                            <a:gd name="connsiteY0" fmla="*/ 0 h 640087"/>
                            <a:gd name="connsiteX1" fmla="*/ 0 w 2411445"/>
                            <a:gd name="connsiteY1" fmla="*/ 0 h 640087"/>
                            <a:gd name="connsiteX2" fmla="*/ 300185 w 2411445"/>
                            <a:gd name="connsiteY2" fmla="*/ 635888 h 640087"/>
                            <a:gd name="connsiteX3" fmla="*/ 2402164 w 2411445"/>
                            <a:gd name="connsiteY3" fmla="*/ 640087 h 640087"/>
                            <a:gd name="connsiteX4" fmla="*/ 2411445 w 2411445"/>
                            <a:gd name="connsiteY4" fmla="*/ 0 h 640087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398605 w 2411445"/>
                            <a:gd name="connsiteY3" fmla="*/ 632969 h 635888"/>
                            <a:gd name="connsiteX4" fmla="*/ 2411445 w 2411445"/>
                            <a:gd name="connsiteY4" fmla="*/ 0 h 635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11445" h="635888">
                              <a:moveTo>
                                <a:pt x="2411445" y="0"/>
                              </a:moveTo>
                              <a:lnTo>
                                <a:pt x="0" y="0"/>
                              </a:lnTo>
                              <a:lnTo>
                                <a:pt x="300185" y="635888"/>
                              </a:lnTo>
                              <a:lnTo>
                                <a:pt x="2398605" y="632969"/>
                              </a:lnTo>
                              <a:cubicBezTo>
                                <a:pt x="2399050" y="376461"/>
                                <a:pt x="2411000" y="256508"/>
                                <a:pt x="24114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hape 1"/>
                      <wps:cNvSpPr/>
                      <wps:spPr>
                        <a:xfrm>
                          <a:off x="914400" y="524786"/>
                          <a:ext cx="3329082" cy="337470"/>
                        </a:xfrm>
                        <a:custGeom>
                          <a:avLst/>
                          <a:gdLst>
                            <a:gd name="connsiteX0" fmla="*/ 0 w 3329082"/>
                            <a:gd name="connsiteY0" fmla="*/ 337471 h 337470"/>
                            <a:gd name="connsiteX1" fmla="*/ 3169539 w 3329082"/>
                            <a:gd name="connsiteY1" fmla="*/ 337471 h 337470"/>
                            <a:gd name="connsiteX2" fmla="*/ 3329083 w 3329082"/>
                            <a:gd name="connsiteY2" fmla="*/ 0 h 337470"/>
                            <a:gd name="connsiteX3" fmla="*/ 0 w 3329082"/>
                            <a:gd name="connsiteY3" fmla="*/ 0 h 337470"/>
                            <a:gd name="connsiteX4" fmla="*/ 0 w 3329082"/>
                            <a:gd name="connsiteY4" fmla="*/ 337471 h 337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29082" h="337470">
                              <a:moveTo>
                                <a:pt x="0" y="337471"/>
                              </a:moveTo>
                              <a:lnTo>
                                <a:pt x="3169539" y="337471"/>
                              </a:lnTo>
                              <a:lnTo>
                                <a:pt x="3329083" y="0"/>
                              </a:lnTo>
                              <a:lnTo>
                                <a:pt x="0" y="0"/>
                              </a:lnTo>
                              <a:lnTo>
                                <a:pt x="0" y="3374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853766" id="Group 2" o:spid="_x0000_s1026" style="position:absolute;margin-left:-2.5pt;margin-top:-34.65pt;width:602.65pt;height:70.55pt;z-index:251658241;mso-position-horizontal-relative:page;mso-width-relative:margin;mso-height-relative:margin" coordorigin="9144,5247" coordsize="54209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">
              <v:shape id="Shape 2" o:spid="_x0000_s1027" style="position:absolute;left:39239;top:5247;width:24114;height:6359;visibility:visible;mso-wrap-style:square;v-text-anchor:middle" coordsize="2411445,63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" path="m2411445,l,,300185,635888r2098420,-2919c2399050,376461,2411000,256508,2411445,xe" fillcolor="#00bac7 [3204]" stroked="f">
                <v:stroke joinstyle="miter"/>
                <v:path arrowok="t" o:connecttype="custom" o:connectlocs="2411445,0;0,0;300185,635888;2398605,632969;2411445,0" o:connectangles="0,0,0,0,0"/>
              </v:shape>
              <v:shape id="Shape 1" o:spid="_x0000_s1028" style="position:absolute;left:9144;top:5247;width:33290;height:3375;visibility:visible;mso-wrap-style:square;v-text-anchor:middle" coordsize="3329082,33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" path="m,337471r3169539,l3329083,,,,,337471xe" fillcolor="#232b39 [3213]" stroked="f">
                <v:stroke joinstyle="miter"/>
                <v:path arrowok="t" o:connecttype="custom" o:connectlocs="0,337471;3169539,337471;3329083,0;0,0;0,337471" o:connectangles="0,0,0,0,0"/>
              </v:shape>
              <w10:wrap type="topAndBottom" anchorx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C940" w14:textId="77777777" w:rsidR="001D10DB" w:rsidRDefault="001D1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D0C"/>
    <w:multiLevelType w:val="hybridMultilevel"/>
    <w:tmpl w:val="5F500B3E"/>
    <w:lvl w:ilvl="0" w:tplc="EA1E3E0A">
      <w:start w:val="2"/>
      <w:numFmt w:val="bullet"/>
      <w:lvlText w:val="-"/>
      <w:lvlJc w:val="left"/>
      <w:pPr>
        <w:ind w:left="720" w:hanging="360"/>
      </w:pPr>
      <w:rPr>
        <w:rFonts w:ascii="VIC" w:eastAsiaTheme="minorEastAsia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6CF"/>
    <w:multiLevelType w:val="hybridMultilevel"/>
    <w:tmpl w:val="D98200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6222D"/>
    <w:multiLevelType w:val="hybridMultilevel"/>
    <w:tmpl w:val="A01612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E0BD3"/>
    <w:multiLevelType w:val="hybridMultilevel"/>
    <w:tmpl w:val="34286D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D6EBC"/>
    <w:multiLevelType w:val="hybridMultilevel"/>
    <w:tmpl w:val="D5F011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3E1CA0"/>
    <w:multiLevelType w:val="hybridMultilevel"/>
    <w:tmpl w:val="38F6B3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1D2E09"/>
    <w:multiLevelType w:val="hybridMultilevel"/>
    <w:tmpl w:val="ACB87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938E8"/>
    <w:multiLevelType w:val="hybridMultilevel"/>
    <w:tmpl w:val="D8E430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58C7"/>
    <w:multiLevelType w:val="hybridMultilevel"/>
    <w:tmpl w:val="810407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60610"/>
    <w:multiLevelType w:val="hybridMultilevel"/>
    <w:tmpl w:val="79982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6D3A6A"/>
    <w:multiLevelType w:val="multilevel"/>
    <w:tmpl w:val="9350040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  <w:szCs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2" w15:restartNumberingAfterBreak="0">
    <w:nsid w:val="48813B91"/>
    <w:multiLevelType w:val="hybridMultilevel"/>
    <w:tmpl w:val="F42A9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94828"/>
    <w:multiLevelType w:val="hybridMultilevel"/>
    <w:tmpl w:val="C7EEB3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A812E0"/>
    <w:multiLevelType w:val="hybridMultilevel"/>
    <w:tmpl w:val="3EB03844"/>
    <w:lvl w:ilvl="0" w:tplc="DAAEC5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DC6A97"/>
    <w:multiLevelType w:val="hybridMultilevel"/>
    <w:tmpl w:val="D35AE1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86C9B"/>
    <w:multiLevelType w:val="hybridMultilevel"/>
    <w:tmpl w:val="EF3A28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389841556">
    <w:abstractNumId w:val="11"/>
  </w:num>
  <w:num w:numId="2" w16cid:durableId="1832984773">
    <w:abstractNumId w:val="16"/>
  </w:num>
  <w:num w:numId="3" w16cid:durableId="794564732">
    <w:abstractNumId w:val="18"/>
  </w:num>
  <w:num w:numId="4" w16cid:durableId="1238905871">
    <w:abstractNumId w:val="5"/>
  </w:num>
  <w:num w:numId="5" w16cid:durableId="1255019292">
    <w:abstractNumId w:val="12"/>
  </w:num>
  <w:num w:numId="6" w16cid:durableId="476267418">
    <w:abstractNumId w:val="10"/>
  </w:num>
  <w:num w:numId="7" w16cid:durableId="720830693">
    <w:abstractNumId w:val="17"/>
  </w:num>
  <w:num w:numId="8" w16cid:durableId="983580008">
    <w:abstractNumId w:val="8"/>
  </w:num>
  <w:num w:numId="9" w16cid:durableId="1979148511">
    <w:abstractNumId w:val="0"/>
  </w:num>
  <w:num w:numId="10" w16cid:durableId="1742293814">
    <w:abstractNumId w:val="3"/>
  </w:num>
  <w:num w:numId="11" w16cid:durableId="576090793">
    <w:abstractNumId w:val="1"/>
  </w:num>
  <w:num w:numId="12" w16cid:durableId="583686277">
    <w:abstractNumId w:val="4"/>
  </w:num>
  <w:num w:numId="13" w16cid:durableId="1849560746">
    <w:abstractNumId w:val="13"/>
  </w:num>
  <w:num w:numId="14" w16cid:durableId="2058704742">
    <w:abstractNumId w:val="6"/>
  </w:num>
  <w:num w:numId="15" w16cid:durableId="1169251210">
    <w:abstractNumId w:val="14"/>
  </w:num>
  <w:num w:numId="16" w16cid:durableId="523636888">
    <w:abstractNumId w:val="9"/>
  </w:num>
  <w:num w:numId="17" w16cid:durableId="347951002">
    <w:abstractNumId w:val="2"/>
  </w:num>
  <w:num w:numId="18" w16cid:durableId="902837876">
    <w:abstractNumId w:val="7"/>
  </w:num>
  <w:num w:numId="19" w16cid:durableId="21077306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6C"/>
    <w:rsid w:val="00001675"/>
    <w:rsid w:val="00001699"/>
    <w:rsid w:val="00006D5E"/>
    <w:rsid w:val="00007A05"/>
    <w:rsid w:val="00012F6F"/>
    <w:rsid w:val="00014213"/>
    <w:rsid w:val="00014B55"/>
    <w:rsid w:val="0001587D"/>
    <w:rsid w:val="00020E3E"/>
    <w:rsid w:val="00021520"/>
    <w:rsid w:val="00023BF3"/>
    <w:rsid w:val="0002467B"/>
    <w:rsid w:val="00024832"/>
    <w:rsid w:val="00026811"/>
    <w:rsid w:val="00030708"/>
    <w:rsid w:val="00042E70"/>
    <w:rsid w:val="00043296"/>
    <w:rsid w:val="0004356D"/>
    <w:rsid w:val="00045296"/>
    <w:rsid w:val="0004666A"/>
    <w:rsid w:val="00052C6A"/>
    <w:rsid w:val="00055D61"/>
    <w:rsid w:val="0006219A"/>
    <w:rsid w:val="00062EB9"/>
    <w:rsid w:val="00072A2A"/>
    <w:rsid w:val="00075E6C"/>
    <w:rsid w:val="000832ED"/>
    <w:rsid w:val="000839B7"/>
    <w:rsid w:val="00090171"/>
    <w:rsid w:val="00093245"/>
    <w:rsid w:val="000B2951"/>
    <w:rsid w:val="000B29AD"/>
    <w:rsid w:val="000B3C1B"/>
    <w:rsid w:val="000B5CFD"/>
    <w:rsid w:val="000C1680"/>
    <w:rsid w:val="000C5D24"/>
    <w:rsid w:val="000C6372"/>
    <w:rsid w:val="000C7647"/>
    <w:rsid w:val="000D3FBF"/>
    <w:rsid w:val="000D593F"/>
    <w:rsid w:val="000D5D47"/>
    <w:rsid w:val="000E392D"/>
    <w:rsid w:val="000E73B2"/>
    <w:rsid w:val="000F3679"/>
    <w:rsid w:val="000F36E8"/>
    <w:rsid w:val="000F3A2E"/>
    <w:rsid w:val="000F4288"/>
    <w:rsid w:val="000F4DC0"/>
    <w:rsid w:val="000F7165"/>
    <w:rsid w:val="000F737A"/>
    <w:rsid w:val="00102379"/>
    <w:rsid w:val="001065D6"/>
    <w:rsid w:val="00113FF4"/>
    <w:rsid w:val="001156AC"/>
    <w:rsid w:val="00115F80"/>
    <w:rsid w:val="00116DF6"/>
    <w:rsid w:val="00121252"/>
    <w:rsid w:val="00121A8C"/>
    <w:rsid w:val="00121F10"/>
    <w:rsid w:val="00124609"/>
    <w:rsid w:val="001254CE"/>
    <w:rsid w:val="00125514"/>
    <w:rsid w:val="00126AF9"/>
    <w:rsid w:val="00126CC7"/>
    <w:rsid w:val="00130FCC"/>
    <w:rsid w:val="00134CEA"/>
    <w:rsid w:val="001422CC"/>
    <w:rsid w:val="001445F4"/>
    <w:rsid w:val="001476E4"/>
    <w:rsid w:val="00152F80"/>
    <w:rsid w:val="001617B6"/>
    <w:rsid w:val="00165E66"/>
    <w:rsid w:val="001701BE"/>
    <w:rsid w:val="0017630A"/>
    <w:rsid w:val="00177B1D"/>
    <w:rsid w:val="00180D1A"/>
    <w:rsid w:val="0018277D"/>
    <w:rsid w:val="00183829"/>
    <w:rsid w:val="0019391F"/>
    <w:rsid w:val="001953C0"/>
    <w:rsid w:val="00195AC3"/>
    <w:rsid w:val="00197706"/>
    <w:rsid w:val="001A033C"/>
    <w:rsid w:val="001A2557"/>
    <w:rsid w:val="001A3DD1"/>
    <w:rsid w:val="001A5970"/>
    <w:rsid w:val="001B2F59"/>
    <w:rsid w:val="001B5F0F"/>
    <w:rsid w:val="001B7983"/>
    <w:rsid w:val="001C2AF2"/>
    <w:rsid w:val="001C726B"/>
    <w:rsid w:val="001C7BAE"/>
    <w:rsid w:val="001D10DB"/>
    <w:rsid w:val="001D246B"/>
    <w:rsid w:val="001D4F92"/>
    <w:rsid w:val="001D66D4"/>
    <w:rsid w:val="001D717E"/>
    <w:rsid w:val="001E0E0E"/>
    <w:rsid w:val="001E31FA"/>
    <w:rsid w:val="001E36DD"/>
    <w:rsid w:val="001E3D67"/>
    <w:rsid w:val="001E4F86"/>
    <w:rsid w:val="001E64F6"/>
    <w:rsid w:val="001F0203"/>
    <w:rsid w:val="001F6DC3"/>
    <w:rsid w:val="001F6F37"/>
    <w:rsid w:val="00200BB3"/>
    <w:rsid w:val="00204952"/>
    <w:rsid w:val="00205C77"/>
    <w:rsid w:val="0020733C"/>
    <w:rsid w:val="00221121"/>
    <w:rsid w:val="00222BEB"/>
    <w:rsid w:val="00225E60"/>
    <w:rsid w:val="00227C39"/>
    <w:rsid w:val="0023202C"/>
    <w:rsid w:val="0023548B"/>
    <w:rsid w:val="00236203"/>
    <w:rsid w:val="00237B91"/>
    <w:rsid w:val="00240614"/>
    <w:rsid w:val="00240E46"/>
    <w:rsid w:val="00245043"/>
    <w:rsid w:val="00245771"/>
    <w:rsid w:val="00255513"/>
    <w:rsid w:val="002576CA"/>
    <w:rsid w:val="00257760"/>
    <w:rsid w:val="00260415"/>
    <w:rsid w:val="00261A87"/>
    <w:rsid w:val="0026463E"/>
    <w:rsid w:val="00270DC5"/>
    <w:rsid w:val="00277D6C"/>
    <w:rsid w:val="00280F15"/>
    <w:rsid w:val="00281381"/>
    <w:rsid w:val="002864DB"/>
    <w:rsid w:val="00291E45"/>
    <w:rsid w:val="00292D36"/>
    <w:rsid w:val="002956A2"/>
    <w:rsid w:val="00296591"/>
    <w:rsid w:val="00297281"/>
    <w:rsid w:val="002978A3"/>
    <w:rsid w:val="002A21F5"/>
    <w:rsid w:val="002A251C"/>
    <w:rsid w:val="002A4563"/>
    <w:rsid w:val="002A557C"/>
    <w:rsid w:val="002A584F"/>
    <w:rsid w:val="002B01D5"/>
    <w:rsid w:val="002B7D8F"/>
    <w:rsid w:val="002C54E0"/>
    <w:rsid w:val="002C71CE"/>
    <w:rsid w:val="002D08E6"/>
    <w:rsid w:val="002D2332"/>
    <w:rsid w:val="002D711A"/>
    <w:rsid w:val="002D7336"/>
    <w:rsid w:val="002D796D"/>
    <w:rsid w:val="002E3396"/>
    <w:rsid w:val="002E5940"/>
    <w:rsid w:val="002F4EBD"/>
    <w:rsid w:val="00301DB5"/>
    <w:rsid w:val="00302C7C"/>
    <w:rsid w:val="0030358B"/>
    <w:rsid w:val="00307385"/>
    <w:rsid w:val="00310950"/>
    <w:rsid w:val="0031149C"/>
    <w:rsid w:val="00313BAD"/>
    <w:rsid w:val="00315606"/>
    <w:rsid w:val="00321336"/>
    <w:rsid w:val="00330A9A"/>
    <w:rsid w:val="0033208D"/>
    <w:rsid w:val="00343DF3"/>
    <w:rsid w:val="00354E38"/>
    <w:rsid w:val="00364180"/>
    <w:rsid w:val="00370FE9"/>
    <w:rsid w:val="003722FA"/>
    <w:rsid w:val="00385A3A"/>
    <w:rsid w:val="0038771C"/>
    <w:rsid w:val="00392A8F"/>
    <w:rsid w:val="0039405B"/>
    <w:rsid w:val="00394E78"/>
    <w:rsid w:val="003973FE"/>
    <w:rsid w:val="003A1C92"/>
    <w:rsid w:val="003A541A"/>
    <w:rsid w:val="003A6923"/>
    <w:rsid w:val="003B10FA"/>
    <w:rsid w:val="003B461B"/>
    <w:rsid w:val="003B4996"/>
    <w:rsid w:val="003B6EA1"/>
    <w:rsid w:val="003C0D9F"/>
    <w:rsid w:val="003C2C67"/>
    <w:rsid w:val="003C2E8A"/>
    <w:rsid w:val="003C2EA2"/>
    <w:rsid w:val="003C5BA4"/>
    <w:rsid w:val="003E0629"/>
    <w:rsid w:val="003E0F24"/>
    <w:rsid w:val="003E2C71"/>
    <w:rsid w:val="003E3E26"/>
    <w:rsid w:val="003E5E61"/>
    <w:rsid w:val="003E72A6"/>
    <w:rsid w:val="003F127E"/>
    <w:rsid w:val="003F1295"/>
    <w:rsid w:val="003F1853"/>
    <w:rsid w:val="003F2802"/>
    <w:rsid w:val="003F2882"/>
    <w:rsid w:val="003F3045"/>
    <w:rsid w:val="003F76FC"/>
    <w:rsid w:val="003F7AD3"/>
    <w:rsid w:val="004002EB"/>
    <w:rsid w:val="0040404F"/>
    <w:rsid w:val="00405C57"/>
    <w:rsid w:val="00412C7F"/>
    <w:rsid w:val="0041689E"/>
    <w:rsid w:val="004236C8"/>
    <w:rsid w:val="00425846"/>
    <w:rsid w:val="00427681"/>
    <w:rsid w:val="00431686"/>
    <w:rsid w:val="00433DB7"/>
    <w:rsid w:val="00445CE7"/>
    <w:rsid w:val="00451798"/>
    <w:rsid w:val="00453750"/>
    <w:rsid w:val="00456941"/>
    <w:rsid w:val="004669E3"/>
    <w:rsid w:val="004702EA"/>
    <w:rsid w:val="0047319F"/>
    <w:rsid w:val="004748F3"/>
    <w:rsid w:val="00482D02"/>
    <w:rsid w:val="00490C14"/>
    <w:rsid w:val="004910F2"/>
    <w:rsid w:val="00491C72"/>
    <w:rsid w:val="004A3BA5"/>
    <w:rsid w:val="004A7519"/>
    <w:rsid w:val="004B41CA"/>
    <w:rsid w:val="004B421E"/>
    <w:rsid w:val="004B4749"/>
    <w:rsid w:val="004C7125"/>
    <w:rsid w:val="004C7E07"/>
    <w:rsid w:val="004D3518"/>
    <w:rsid w:val="004D3CEA"/>
    <w:rsid w:val="004D5DAF"/>
    <w:rsid w:val="004D62D6"/>
    <w:rsid w:val="004E06FB"/>
    <w:rsid w:val="004F6991"/>
    <w:rsid w:val="00501EA8"/>
    <w:rsid w:val="00503EBE"/>
    <w:rsid w:val="00506E2C"/>
    <w:rsid w:val="005129A3"/>
    <w:rsid w:val="00513A28"/>
    <w:rsid w:val="005157BB"/>
    <w:rsid w:val="00522F8A"/>
    <w:rsid w:val="00525694"/>
    <w:rsid w:val="00532955"/>
    <w:rsid w:val="0053416C"/>
    <w:rsid w:val="00534AD0"/>
    <w:rsid w:val="00537AFA"/>
    <w:rsid w:val="00541342"/>
    <w:rsid w:val="00541C2F"/>
    <w:rsid w:val="00543567"/>
    <w:rsid w:val="00554D62"/>
    <w:rsid w:val="005611BA"/>
    <w:rsid w:val="00561374"/>
    <w:rsid w:val="0056194A"/>
    <w:rsid w:val="00563527"/>
    <w:rsid w:val="0057023A"/>
    <w:rsid w:val="0057149E"/>
    <w:rsid w:val="005773B9"/>
    <w:rsid w:val="00580307"/>
    <w:rsid w:val="0058124E"/>
    <w:rsid w:val="005834E5"/>
    <w:rsid w:val="00584301"/>
    <w:rsid w:val="005875A3"/>
    <w:rsid w:val="005911FB"/>
    <w:rsid w:val="00594162"/>
    <w:rsid w:val="00597E80"/>
    <w:rsid w:val="005A3416"/>
    <w:rsid w:val="005B27FE"/>
    <w:rsid w:val="005B381C"/>
    <w:rsid w:val="005B3FF2"/>
    <w:rsid w:val="005B7824"/>
    <w:rsid w:val="005C3E6D"/>
    <w:rsid w:val="005C770A"/>
    <w:rsid w:val="005D6AC5"/>
    <w:rsid w:val="005E350F"/>
    <w:rsid w:val="005E59FF"/>
    <w:rsid w:val="005F03F9"/>
    <w:rsid w:val="005F1772"/>
    <w:rsid w:val="005F21CD"/>
    <w:rsid w:val="005F331D"/>
    <w:rsid w:val="005F3A7D"/>
    <w:rsid w:val="005F6035"/>
    <w:rsid w:val="005F61DF"/>
    <w:rsid w:val="005F6734"/>
    <w:rsid w:val="006023F9"/>
    <w:rsid w:val="00604DF8"/>
    <w:rsid w:val="006074CC"/>
    <w:rsid w:val="00610559"/>
    <w:rsid w:val="00614122"/>
    <w:rsid w:val="00614962"/>
    <w:rsid w:val="00621C82"/>
    <w:rsid w:val="006257BC"/>
    <w:rsid w:val="0062711D"/>
    <w:rsid w:val="006318B2"/>
    <w:rsid w:val="00632680"/>
    <w:rsid w:val="006332F6"/>
    <w:rsid w:val="006361E7"/>
    <w:rsid w:val="00641096"/>
    <w:rsid w:val="0064243E"/>
    <w:rsid w:val="00644FBF"/>
    <w:rsid w:val="00647BA9"/>
    <w:rsid w:val="00651E6E"/>
    <w:rsid w:val="0065216E"/>
    <w:rsid w:val="00652625"/>
    <w:rsid w:val="006534B2"/>
    <w:rsid w:val="006544EB"/>
    <w:rsid w:val="0065615D"/>
    <w:rsid w:val="00657011"/>
    <w:rsid w:val="006650B5"/>
    <w:rsid w:val="006651B1"/>
    <w:rsid w:val="00665778"/>
    <w:rsid w:val="006738C4"/>
    <w:rsid w:val="00674FFB"/>
    <w:rsid w:val="00675346"/>
    <w:rsid w:val="006805B9"/>
    <w:rsid w:val="00680AE1"/>
    <w:rsid w:val="00683D6F"/>
    <w:rsid w:val="00691C09"/>
    <w:rsid w:val="00693046"/>
    <w:rsid w:val="00694E66"/>
    <w:rsid w:val="006A527B"/>
    <w:rsid w:val="006A5B34"/>
    <w:rsid w:val="006A5F5B"/>
    <w:rsid w:val="006A7ADD"/>
    <w:rsid w:val="006B1388"/>
    <w:rsid w:val="006B5820"/>
    <w:rsid w:val="006C5861"/>
    <w:rsid w:val="006C77A9"/>
    <w:rsid w:val="006E5D03"/>
    <w:rsid w:val="006F6693"/>
    <w:rsid w:val="007042B4"/>
    <w:rsid w:val="00707FE8"/>
    <w:rsid w:val="00711DDD"/>
    <w:rsid w:val="00720745"/>
    <w:rsid w:val="0072228D"/>
    <w:rsid w:val="00722B70"/>
    <w:rsid w:val="00724962"/>
    <w:rsid w:val="00724A0F"/>
    <w:rsid w:val="0073072C"/>
    <w:rsid w:val="007320B4"/>
    <w:rsid w:val="00732162"/>
    <w:rsid w:val="00733AA4"/>
    <w:rsid w:val="00736732"/>
    <w:rsid w:val="00737611"/>
    <w:rsid w:val="0074462E"/>
    <w:rsid w:val="007462E1"/>
    <w:rsid w:val="0074758B"/>
    <w:rsid w:val="007508DA"/>
    <w:rsid w:val="00750CBE"/>
    <w:rsid w:val="00753139"/>
    <w:rsid w:val="0076044E"/>
    <w:rsid w:val="0076268E"/>
    <w:rsid w:val="00766541"/>
    <w:rsid w:val="00766B5A"/>
    <w:rsid w:val="0076781B"/>
    <w:rsid w:val="00773BFA"/>
    <w:rsid w:val="007745A0"/>
    <w:rsid w:val="007834F2"/>
    <w:rsid w:val="00791020"/>
    <w:rsid w:val="00795AAA"/>
    <w:rsid w:val="007A5F82"/>
    <w:rsid w:val="007B141C"/>
    <w:rsid w:val="007B2DDB"/>
    <w:rsid w:val="007B3DD2"/>
    <w:rsid w:val="007B56A4"/>
    <w:rsid w:val="007B6538"/>
    <w:rsid w:val="007B6E54"/>
    <w:rsid w:val="007B75A4"/>
    <w:rsid w:val="007C0C20"/>
    <w:rsid w:val="007C1D33"/>
    <w:rsid w:val="007C2A1E"/>
    <w:rsid w:val="007C2C82"/>
    <w:rsid w:val="007C32DB"/>
    <w:rsid w:val="007D4CEE"/>
    <w:rsid w:val="007E768E"/>
    <w:rsid w:val="007F1A4C"/>
    <w:rsid w:val="007F1A7A"/>
    <w:rsid w:val="007F5D8D"/>
    <w:rsid w:val="007F78E6"/>
    <w:rsid w:val="008022C3"/>
    <w:rsid w:val="008041E6"/>
    <w:rsid w:val="008065D2"/>
    <w:rsid w:val="008110BD"/>
    <w:rsid w:val="00815E68"/>
    <w:rsid w:val="0082194C"/>
    <w:rsid w:val="008219B9"/>
    <w:rsid w:val="008220C4"/>
    <w:rsid w:val="008222FF"/>
    <w:rsid w:val="00822DEC"/>
    <w:rsid w:val="008241FF"/>
    <w:rsid w:val="00830A99"/>
    <w:rsid w:val="00840233"/>
    <w:rsid w:val="0084042C"/>
    <w:rsid w:val="008407A4"/>
    <w:rsid w:val="00841100"/>
    <w:rsid w:val="008411E9"/>
    <w:rsid w:val="0084200F"/>
    <w:rsid w:val="00843B2C"/>
    <w:rsid w:val="0084601B"/>
    <w:rsid w:val="00846B59"/>
    <w:rsid w:val="008471C4"/>
    <w:rsid w:val="008572F6"/>
    <w:rsid w:val="008620AF"/>
    <w:rsid w:val="0086437D"/>
    <w:rsid w:val="00864699"/>
    <w:rsid w:val="00870840"/>
    <w:rsid w:val="00873531"/>
    <w:rsid w:val="00873901"/>
    <w:rsid w:val="008806C5"/>
    <w:rsid w:val="00881995"/>
    <w:rsid w:val="00881E81"/>
    <w:rsid w:val="00890FF0"/>
    <w:rsid w:val="00893819"/>
    <w:rsid w:val="008942D8"/>
    <w:rsid w:val="0089671B"/>
    <w:rsid w:val="008A0EA6"/>
    <w:rsid w:val="008A1847"/>
    <w:rsid w:val="008A4900"/>
    <w:rsid w:val="008A7AEE"/>
    <w:rsid w:val="008B1B6E"/>
    <w:rsid w:val="008B24DD"/>
    <w:rsid w:val="008C236B"/>
    <w:rsid w:val="008D0281"/>
    <w:rsid w:val="008D0D72"/>
    <w:rsid w:val="008D48BB"/>
    <w:rsid w:val="008D7280"/>
    <w:rsid w:val="008E3C4E"/>
    <w:rsid w:val="008E3EF4"/>
    <w:rsid w:val="008E49B3"/>
    <w:rsid w:val="008F31DD"/>
    <w:rsid w:val="008F4903"/>
    <w:rsid w:val="008F5DA7"/>
    <w:rsid w:val="008F6D45"/>
    <w:rsid w:val="00914FC5"/>
    <w:rsid w:val="00924997"/>
    <w:rsid w:val="00927DD2"/>
    <w:rsid w:val="00934099"/>
    <w:rsid w:val="00935BEB"/>
    <w:rsid w:val="009360BF"/>
    <w:rsid w:val="00937983"/>
    <w:rsid w:val="009406CA"/>
    <w:rsid w:val="00941EE2"/>
    <w:rsid w:val="009540AC"/>
    <w:rsid w:val="00955276"/>
    <w:rsid w:val="00960B2C"/>
    <w:rsid w:val="0096774E"/>
    <w:rsid w:val="00972C50"/>
    <w:rsid w:val="00973844"/>
    <w:rsid w:val="0097764B"/>
    <w:rsid w:val="009834C0"/>
    <w:rsid w:val="00983BD8"/>
    <w:rsid w:val="00984C95"/>
    <w:rsid w:val="00985554"/>
    <w:rsid w:val="00986AAC"/>
    <w:rsid w:val="0099042E"/>
    <w:rsid w:val="00996E1F"/>
    <w:rsid w:val="009A1C96"/>
    <w:rsid w:val="009A1DA2"/>
    <w:rsid w:val="009A3704"/>
    <w:rsid w:val="009A4739"/>
    <w:rsid w:val="009A674F"/>
    <w:rsid w:val="009A6DCB"/>
    <w:rsid w:val="009B199C"/>
    <w:rsid w:val="009B54C8"/>
    <w:rsid w:val="009B61F1"/>
    <w:rsid w:val="009B62E0"/>
    <w:rsid w:val="009B7C6B"/>
    <w:rsid w:val="009C2831"/>
    <w:rsid w:val="009C3D88"/>
    <w:rsid w:val="009C5EFE"/>
    <w:rsid w:val="009C6400"/>
    <w:rsid w:val="009D2406"/>
    <w:rsid w:val="009D475F"/>
    <w:rsid w:val="009E1823"/>
    <w:rsid w:val="009E3858"/>
    <w:rsid w:val="009E58B3"/>
    <w:rsid w:val="009E6998"/>
    <w:rsid w:val="009E70DD"/>
    <w:rsid w:val="009E7F3E"/>
    <w:rsid w:val="009F09DB"/>
    <w:rsid w:val="009F1FD0"/>
    <w:rsid w:val="009F2ED9"/>
    <w:rsid w:val="009F3231"/>
    <w:rsid w:val="009F5C58"/>
    <w:rsid w:val="00A023A0"/>
    <w:rsid w:val="00A04AD2"/>
    <w:rsid w:val="00A060BB"/>
    <w:rsid w:val="00A1562B"/>
    <w:rsid w:val="00A170F4"/>
    <w:rsid w:val="00A215D5"/>
    <w:rsid w:val="00A2559E"/>
    <w:rsid w:val="00A25FD9"/>
    <w:rsid w:val="00A40AC7"/>
    <w:rsid w:val="00A46BA8"/>
    <w:rsid w:val="00A47634"/>
    <w:rsid w:val="00A612FE"/>
    <w:rsid w:val="00A707B8"/>
    <w:rsid w:val="00A8559A"/>
    <w:rsid w:val="00A919B7"/>
    <w:rsid w:val="00A92EC3"/>
    <w:rsid w:val="00AA26B8"/>
    <w:rsid w:val="00AA3451"/>
    <w:rsid w:val="00AA6FB5"/>
    <w:rsid w:val="00AB3FE2"/>
    <w:rsid w:val="00AB6EB4"/>
    <w:rsid w:val="00AC0D0E"/>
    <w:rsid w:val="00AC0D21"/>
    <w:rsid w:val="00AC1835"/>
    <w:rsid w:val="00AC3C4E"/>
    <w:rsid w:val="00AC4951"/>
    <w:rsid w:val="00AC4C1D"/>
    <w:rsid w:val="00AD0B6A"/>
    <w:rsid w:val="00AD18D6"/>
    <w:rsid w:val="00AD2D7B"/>
    <w:rsid w:val="00AD3322"/>
    <w:rsid w:val="00AD4251"/>
    <w:rsid w:val="00AD679B"/>
    <w:rsid w:val="00AD680A"/>
    <w:rsid w:val="00AD7E4E"/>
    <w:rsid w:val="00AE0BEF"/>
    <w:rsid w:val="00AE747F"/>
    <w:rsid w:val="00AF34DE"/>
    <w:rsid w:val="00AF45FA"/>
    <w:rsid w:val="00AF4D58"/>
    <w:rsid w:val="00AF6666"/>
    <w:rsid w:val="00B10130"/>
    <w:rsid w:val="00B10154"/>
    <w:rsid w:val="00B1233E"/>
    <w:rsid w:val="00B13B66"/>
    <w:rsid w:val="00B14DD5"/>
    <w:rsid w:val="00B160E8"/>
    <w:rsid w:val="00B16D9F"/>
    <w:rsid w:val="00B254D6"/>
    <w:rsid w:val="00B26281"/>
    <w:rsid w:val="00B3024E"/>
    <w:rsid w:val="00B31909"/>
    <w:rsid w:val="00B3347E"/>
    <w:rsid w:val="00B34AA5"/>
    <w:rsid w:val="00B40C2F"/>
    <w:rsid w:val="00B427E1"/>
    <w:rsid w:val="00B455C5"/>
    <w:rsid w:val="00B46BE7"/>
    <w:rsid w:val="00B506A2"/>
    <w:rsid w:val="00B53AB1"/>
    <w:rsid w:val="00B53AE8"/>
    <w:rsid w:val="00B567E0"/>
    <w:rsid w:val="00B65824"/>
    <w:rsid w:val="00B81B44"/>
    <w:rsid w:val="00B829B3"/>
    <w:rsid w:val="00B838BE"/>
    <w:rsid w:val="00B84B6D"/>
    <w:rsid w:val="00B87EE1"/>
    <w:rsid w:val="00B9053B"/>
    <w:rsid w:val="00B96E16"/>
    <w:rsid w:val="00BA489F"/>
    <w:rsid w:val="00BB660E"/>
    <w:rsid w:val="00BB68E2"/>
    <w:rsid w:val="00BC3422"/>
    <w:rsid w:val="00BE040B"/>
    <w:rsid w:val="00BE0DDA"/>
    <w:rsid w:val="00BE2B45"/>
    <w:rsid w:val="00BF27CA"/>
    <w:rsid w:val="00BF3B71"/>
    <w:rsid w:val="00BF4984"/>
    <w:rsid w:val="00C015B9"/>
    <w:rsid w:val="00C022F9"/>
    <w:rsid w:val="00C025FC"/>
    <w:rsid w:val="00C02CEC"/>
    <w:rsid w:val="00C032EA"/>
    <w:rsid w:val="00C03902"/>
    <w:rsid w:val="00C06EB5"/>
    <w:rsid w:val="00C10F7A"/>
    <w:rsid w:val="00C111F2"/>
    <w:rsid w:val="00C1145F"/>
    <w:rsid w:val="00C15152"/>
    <w:rsid w:val="00C20533"/>
    <w:rsid w:val="00C326B8"/>
    <w:rsid w:val="00C35435"/>
    <w:rsid w:val="00C478BB"/>
    <w:rsid w:val="00C50B18"/>
    <w:rsid w:val="00C52260"/>
    <w:rsid w:val="00C55407"/>
    <w:rsid w:val="00C569BB"/>
    <w:rsid w:val="00C632CE"/>
    <w:rsid w:val="00C637E1"/>
    <w:rsid w:val="00C70D50"/>
    <w:rsid w:val="00C70E7D"/>
    <w:rsid w:val="00C74C0E"/>
    <w:rsid w:val="00C77EA9"/>
    <w:rsid w:val="00C81C9A"/>
    <w:rsid w:val="00C8243E"/>
    <w:rsid w:val="00C87335"/>
    <w:rsid w:val="00C907D7"/>
    <w:rsid w:val="00C90FDE"/>
    <w:rsid w:val="00C92338"/>
    <w:rsid w:val="00C975E3"/>
    <w:rsid w:val="00C97E0A"/>
    <w:rsid w:val="00CA24D2"/>
    <w:rsid w:val="00CA76ED"/>
    <w:rsid w:val="00CA7C3A"/>
    <w:rsid w:val="00CA7E82"/>
    <w:rsid w:val="00CB4EEB"/>
    <w:rsid w:val="00CC2DB2"/>
    <w:rsid w:val="00CD0307"/>
    <w:rsid w:val="00CD3D1B"/>
    <w:rsid w:val="00CD5DA4"/>
    <w:rsid w:val="00CE0641"/>
    <w:rsid w:val="00CE62B3"/>
    <w:rsid w:val="00CE7323"/>
    <w:rsid w:val="00CF0501"/>
    <w:rsid w:val="00CF219F"/>
    <w:rsid w:val="00CF6C57"/>
    <w:rsid w:val="00CF7DCA"/>
    <w:rsid w:val="00D0130F"/>
    <w:rsid w:val="00D03B85"/>
    <w:rsid w:val="00D04D53"/>
    <w:rsid w:val="00D10052"/>
    <w:rsid w:val="00D101AC"/>
    <w:rsid w:val="00D16DAF"/>
    <w:rsid w:val="00D1773D"/>
    <w:rsid w:val="00D211E9"/>
    <w:rsid w:val="00D2312F"/>
    <w:rsid w:val="00D26308"/>
    <w:rsid w:val="00D269C1"/>
    <w:rsid w:val="00D31BDA"/>
    <w:rsid w:val="00D32C86"/>
    <w:rsid w:val="00D36E0F"/>
    <w:rsid w:val="00D44953"/>
    <w:rsid w:val="00D47BD2"/>
    <w:rsid w:val="00D542F3"/>
    <w:rsid w:val="00D543E5"/>
    <w:rsid w:val="00D55D90"/>
    <w:rsid w:val="00D5644B"/>
    <w:rsid w:val="00D56E25"/>
    <w:rsid w:val="00D62970"/>
    <w:rsid w:val="00D6477F"/>
    <w:rsid w:val="00D71896"/>
    <w:rsid w:val="00D718D7"/>
    <w:rsid w:val="00D72886"/>
    <w:rsid w:val="00D73212"/>
    <w:rsid w:val="00D767E5"/>
    <w:rsid w:val="00D814B7"/>
    <w:rsid w:val="00D82C5B"/>
    <w:rsid w:val="00D8753A"/>
    <w:rsid w:val="00D90688"/>
    <w:rsid w:val="00D913E7"/>
    <w:rsid w:val="00D91D9C"/>
    <w:rsid w:val="00D9274E"/>
    <w:rsid w:val="00DA3AAD"/>
    <w:rsid w:val="00DA4CF1"/>
    <w:rsid w:val="00DB1BE1"/>
    <w:rsid w:val="00DB1DB6"/>
    <w:rsid w:val="00DB312B"/>
    <w:rsid w:val="00DB63A4"/>
    <w:rsid w:val="00DC198C"/>
    <w:rsid w:val="00DC3DFE"/>
    <w:rsid w:val="00DC5654"/>
    <w:rsid w:val="00DC5A91"/>
    <w:rsid w:val="00DC658F"/>
    <w:rsid w:val="00DD244F"/>
    <w:rsid w:val="00DD5FE5"/>
    <w:rsid w:val="00DD6622"/>
    <w:rsid w:val="00DE0595"/>
    <w:rsid w:val="00DE1164"/>
    <w:rsid w:val="00DE30CA"/>
    <w:rsid w:val="00DE3F7B"/>
    <w:rsid w:val="00DE60CC"/>
    <w:rsid w:val="00DF7C6C"/>
    <w:rsid w:val="00E021A9"/>
    <w:rsid w:val="00E0429B"/>
    <w:rsid w:val="00E04BAA"/>
    <w:rsid w:val="00E05B55"/>
    <w:rsid w:val="00E12AB4"/>
    <w:rsid w:val="00E14B57"/>
    <w:rsid w:val="00E26385"/>
    <w:rsid w:val="00E26AE7"/>
    <w:rsid w:val="00E26B32"/>
    <w:rsid w:val="00E31444"/>
    <w:rsid w:val="00E31E26"/>
    <w:rsid w:val="00E348EA"/>
    <w:rsid w:val="00E407B6"/>
    <w:rsid w:val="00E41EF1"/>
    <w:rsid w:val="00E42942"/>
    <w:rsid w:val="00E42AD1"/>
    <w:rsid w:val="00E43849"/>
    <w:rsid w:val="00E444EA"/>
    <w:rsid w:val="00E4498C"/>
    <w:rsid w:val="00E468A6"/>
    <w:rsid w:val="00E476DF"/>
    <w:rsid w:val="00E5087A"/>
    <w:rsid w:val="00E537EA"/>
    <w:rsid w:val="00E56BBE"/>
    <w:rsid w:val="00E67749"/>
    <w:rsid w:val="00E70EFC"/>
    <w:rsid w:val="00E71BDF"/>
    <w:rsid w:val="00E73561"/>
    <w:rsid w:val="00E73839"/>
    <w:rsid w:val="00E77042"/>
    <w:rsid w:val="00E811E9"/>
    <w:rsid w:val="00E83CA7"/>
    <w:rsid w:val="00E83D81"/>
    <w:rsid w:val="00E8417D"/>
    <w:rsid w:val="00E94E60"/>
    <w:rsid w:val="00EA157E"/>
    <w:rsid w:val="00EA21C9"/>
    <w:rsid w:val="00EB1DB9"/>
    <w:rsid w:val="00EB297D"/>
    <w:rsid w:val="00EB673E"/>
    <w:rsid w:val="00EC171D"/>
    <w:rsid w:val="00EC2DDE"/>
    <w:rsid w:val="00ED1F13"/>
    <w:rsid w:val="00ED487E"/>
    <w:rsid w:val="00EE22C3"/>
    <w:rsid w:val="00EE6C55"/>
    <w:rsid w:val="00EE7706"/>
    <w:rsid w:val="00EE7A0D"/>
    <w:rsid w:val="00EF0714"/>
    <w:rsid w:val="00EF0D21"/>
    <w:rsid w:val="00F00451"/>
    <w:rsid w:val="00F06D7F"/>
    <w:rsid w:val="00F16DEF"/>
    <w:rsid w:val="00F17CE1"/>
    <w:rsid w:val="00F2074C"/>
    <w:rsid w:val="00F2111F"/>
    <w:rsid w:val="00F2115C"/>
    <w:rsid w:val="00F22ABA"/>
    <w:rsid w:val="00F36B12"/>
    <w:rsid w:val="00F417C3"/>
    <w:rsid w:val="00F42870"/>
    <w:rsid w:val="00F50D79"/>
    <w:rsid w:val="00F52BAD"/>
    <w:rsid w:val="00F57245"/>
    <w:rsid w:val="00F60F9F"/>
    <w:rsid w:val="00F63BE7"/>
    <w:rsid w:val="00F64F08"/>
    <w:rsid w:val="00F65B17"/>
    <w:rsid w:val="00F707D2"/>
    <w:rsid w:val="00F734F5"/>
    <w:rsid w:val="00F73EBA"/>
    <w:rsid w:val="00F76172"/>
    <w:rsid w:val="00F81701"/>
    <w:rsid w:val="00F84FFD"/>
    <w:rsid w:val="00F8510B"/>
    <w:rsid w:val="00F926A9"/>
    <w:rsid w:val="00F92E85"/>
    <w:rsid w:val="00F966B1"/>
    <w:rsid w:val="00F97D48"/>
    <w:rsid w:val="00FA0311"/>
    <w:rsid w:val="00FA2A99"/>
    <w:rsid w:val="00FB32DE"/>
    <w:rsid w:val="00FB4A25"/>
    <w:rsid w:val="00FC073B"/>
    <w:rsid w:val="00FC42E5"/>
    <w:rsid w:val="00FC61D4"/>
    <w:rsid w:val="00FC7D25"/>
    <w:rsid w:val="00FD2658"/>
    <w:rsid w:val="00FD30B9"/>
    <w:rsid w:val="00FD640F"/>
    <w:rsid w:val="00FD6B4C"/>
    <w:rsid w:val="00FD6BE9"/>
    <w:rsid w:val="00FE24E9"/>
    <w:rsid w:val="00FE35E1"/>
    <w:rsid w:val="00FE3CBA"/>
    <w:rsid w:val="00FE5C08"/>
    <w:rsid w:val="00FF0C8D"/>
    <w:rsid w:val="00FF23B0"/>
    <w:rsid w:val="00FF4C64"/>
    <w:rsid w:val="00FF4E99"/>
    <w:rsid w:val="00FF76A2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97D48"/>
  <w15:docId w15:val="{217E1C90-52F2-4320-AF0B-0DC1BD3E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B4EEB"/>
    <w:pPr>
      <w:keepLines/>
      <w:spacing w:before="120" w:after="120" w:line="252" w:lineRule="auto"/>
    </w:pPr>
    <w:rPr>
      <w:color w:val="232B39" w:themeColor="text1"/>
      <w:sz w:val="18"/>
    </w:rPr>
  </w:style>
  <w:style w:type="paragraph" w:styleId="Heading1">
    <w:name w:val="heading 1"/>
    <w:next w:val="Normal"/>
    <w:link w:val="Heading1Char"/>
    <w:qFormat/>
    <w:rsid w:val="00083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D5DAF"/>
    <w:pPr>
      <w:keepNext/>
      <w:spacing w:before="200" w:after="240" w:line="240" w:lineRule="auto"/>
      <w:outlineLvl w:val="1"/>
    </w:pPr>
    <w:rPr>
      <w:rFonts w:asciiTheme="majorHAnsi" w:eastAsiaTheme="majorEastAsia" w:hAnsiTheme="majorHAnsi" w:cstheme="majorBidi"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3E0629"/>
    <w:pPr>
      <w:keepNext/>
      <w:spacing w:before="200" w:after="60"/>
      <w:outlineLvl w:val="2"/>
    </w:pPr>
    <w:rPr>
      <w:rFonts w:asciiTheme="majorHAnsi" w:eastAsiaTheme="majorEastAsia" w:hAnsiTheme="majorHAnsi" w:cstheme="majorBidi"/>
      <w:bCs/>
      <w:color w:val="3A3467" w:themeColor="text2"/>
      <w:sz w:val="22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9CA7" w:themeColor="accent4"/>
        <w:left w:val="single" w:sz="8" w:space="0" w:color="009CA7" w:themeColor="accent4"/>
        <w:bottom w:val="single" w:sz="8" w:space="0" w:color="009CA7" w:themeColor="accent4"/>
        <w:right w:val="single" w:sz="8" w:space="0" w:color="009C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A7" w:themeColor="accent4"/>
          <w:left w:val="single" w:sz="8" w:space="0" w:color="009CA7" w:themeColor="accent4"/>
          <w:bottom w:val="single" w:sz="8" w:space="0" w:color="009CA7" w:themeColor="accent4"/>
          <w:right w:val="single" w:sz="8" w:space="0" w:color="009C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A7" w:themeColor="accent4"/>
          <w:left w:val="single" w:sz="8" w:space="0" w:color="009CA7" w:themeColor="accent4"/>
          <w:bottom w:val="single" w:sz="8" w:space="0" w:color="009CA7" w:themeColor="accent4"/>
          <w:right w:val="single" w:sz="8" w:space="0" w:color="009CA7" w:themeColor="accent4"/>
        </w:tcBorders>
      </w:tcPr>
    </w:tblStylePr>
    <w:tblStylePr w:type="band1Horz">
      <w:tblPr/>
      <w:tcPr>
        <w:tcBorders>
          <w:top w:val="single" w:sz="8" w:space="0" w:color="009CA7" w:themeColor="accent4"/>
          <w:left w:val="single" w:sz="8" w:space="0" w:color="009CA7" w:themeColor="accent4"/>
          <w:bottom w:val="single" w:sz="8" w:space="0" w:color="009CA7" w:themeColor="accent4"/>
          <w:right w:val="single" w:sz="8" w:space="0" w:color="009CA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BAC7" w:themeColor="accent1"/>
        <w:left w:val="single" w:sz="8" w:space="0" w:color="00BAC7" w:themeColor="accent1"/>
        <w:bottom w:val="single" w:sz="8" w:space="0" w:color="00BAC7" w:themeColor="accent1"/>
        <w:right w:val="single" w:sz="8" w:space="0" w:color="00BAC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AC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C7" w:themeColor="accent1"/>
          <w:left w:val="single" w:sz="8" w:space="0" w:color="00BAC7" w:themeColor="accent1"/>
          <w:bottom w:val="single" w:sz="8" w:space="0" w:color="00BAC7" w:themeColor="accent1"/>
          <w:right w:val="single" w:sz="8" w:space="0" w:color="00BA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AC7" w:themeColor="accent1"/>
          <w:left w:val="single" w:sz="8" w:space="0" w:color="00BAC7" w:themeColor="accent1"/>
          <w:bottom w:val="single" w:sz="8" w:space="0" w:color="00BAC7" w:themeColor="accent1"/>
          <w:right w:val="single" w:sz="8" w:space="0" w:color="00BAC7" w:themeColor="accent1"/>
        </w:tcBorders>
      </w:tcPr>
    </w:tblStylePr>
    <w:tblStylePr w:type="band1Horz">
      <w:tblPr/>
      <w:tcPr>
        <w:tcBorders>
          <w:top w:val="single" w:sz="8" w:space="0" w:color="00BAC7" w:themeColor="accent1"/>
          <w:left w:val="single" w:sz="8" w:space="0" w:color="00BAC7" w:themeColor="accent1"/>
          <w:bottom w:val="single" w:sz="8" w:space="0" w:color="00BAC7" w:themeColor="accent1"/>
          <w:right w:val="single" w:sz="8" w:space="0" w:color="00BAC7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240614"/>
    <w:rPr>
      <w:color w:val="004C97"/>
      <w:u w:val="none"/>
    </w:rPr>
  </w:style>
  <w:style w:type="character" w:customStyle="1" w:styleId="Heading1Char">
    <w:name w:val="Heading 1 Char"/>
    <w:basedOn w:val="DefaultParagraphFont"/>
    <w:link w:val="Heading1"/>
    <w:rsid w:val="000839B7"/>
    <w:rPr>
      <w:rFonts w:asciiTheme="majorHAnsi" w:eastAsiaTheme="majorEastAsia" w:hAnsiTheme="majorHAnsi" w:cstheme="majorBidi"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D5DAF"/>
    <w:rPr>
      <w:rFonts w:asciiTheme="majorHAnsi" w:eastAsiaTheme="majorEastAsia" w:hAnsiTheme="majorHAnsi" w:cstheme="majorBidi"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6805B9"/>
    <w:pPr>
      <w:keepLines/>
      <w:numPr>
        <w:numId w:val="1"/>
      </w:numPr>
      <w:spacing w:before="100" w:after="100" w:line="252" w:lineRule="auto"/>
      <w:contextualSpacing/>
    </w:pPr>
    <w:rPr>
      <w:rFonts w:eastAsia="Times New Roman" w:cs="Calibri"/>
      <w:color w:val="232B39" w:themeColor="text1"/>
      <w:sz w:val="18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semiHidden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semiHidden/>
    <w:qFormat/>
    <w:rsid w:val="00522F8A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semiHidden/>
    <w:qFormat/>
    <w:rsid w:val="00522F8A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semiHidden/>
    <w:qFormat/>
    <w:rsid w:val="00522F8A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3E0629"/>
    <w:rPr>
      <w:rFonts w:asciiTheme="majorHAnsi" w:eastAsiaTheme="majorEastAsia" w:hAnsiTheme="majorHAnsi" w:cstheme="majorBidi"/>
      <w:bCs/>
      <w:color w:val="3A3467" w:themeColor="text2"/>
      <w:sz w:val="22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491C72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semiHidden/>
    <w:qFormat/>
    <w:rsid w:val="00BB660E"/>
    <w:pPr>
      <w:ind w:left="792"/>
    </w:pPr>
  </w:style>
  <w:style w:type="paragraph" w:customStyle="1" w:styleId="NoteNormal">
    <w:name w:val="Note Normal"/>
    <w:basedOn w:val="Normal"/>
    <w:qFormat/>
    <w:rsid w:val="0076044E"/>
    <w:pPr>
      <w:spacing w:before="80" w:line="240" w:lineRule="auto"/>
    </w:pPr>
    <w:rPr>
      <w:rFonts w:eastAsia="Times New Roman" w:cstheme="minorHAnsi"/>
      <w:color w:val="000000"/>
      <w:spacing w:val="1"/>
      <w:sz w:val="15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rsid w:val="00125514"/>
    <w:pPr>
      <w:shd w:val="clear" w:color="auto" w:fill="232B39" w:themeFill="text1"/>
      <w:spacing w:before="700" w:after="0" w:line="440" w:lineRule="exact"/>
      <w:ind w:right="4910"/>
      <w:jc w:val="right"/>
    </w:pPr>
    <w:rPr>
      <w:rFonts w:asciiTheme="majorHAnsi" w:eastAsia="Times New Roman" w:hAnsiTheme="majorHAnsi" w:cstheme="majorHAnsi"/>
      <w:caps/>
      <w:color w:val="FFFFFF" w:themeColor="background1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45"/>
    <w:rsid w:val="00125514"/>
    <w:rPr>
      <w:rFonts w:asciiTheme="majorHAnsi" w:eastAsia="Times New Roman" w:hAnsiTheme="majorHAnsi" w:cstheme="majorHAnsi"/>
      <w:caps/>
      <w:color w:val="FFFFFF" w:themeColor="background1"/>
      <w:sz w:val="27"/>
      <w:szCs w:val="27"/>
      <w:shd w:val="clear" w:color="auto" w:fill="232B39" w:themeFill="text1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0839B7"/>
    <w:pPr>
      <w:shd w:val="clear" w:color="auto" w:fill="232B39" w:themeFill="text1"/>
      <w:spacing w:before="160" w:after="0" w:line="216" w:lineRule="auto"/>
      <w:ind w:left="446" w:right="4910"/>
      <w:jc w:val="right"/>
    </w:pPr>
    <w:rPr>
      <w:rFonts w:asciiTheme="majorHAnsi" w:eastAsia="Times New Roman" w:hAnsiTheme="majorHAnsi" w:cstheme="majorHAnsi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rsid w:val="000839B7"/>
    <w:rPr>
      <w:rFonts w:asciiTheme="majorHAnsi" w:eastAsia="Times New Roman" w:hAnsiTheme="majorHAnsi" w:cstheme="majorHAnsi"/>
      <w:color w:val="FFFFFF" w:themeColor="background1"/>
      <w:sz w:val="48"/>
      <w:szCs w:val="48"/>
      <w:shd w:val="clear" w:color="auto" w:fill="232B39" w:themeFill="text1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semiHidden/>
    <w:qFormat/>
    <w:rsid w:val="00BB660E"/>
    <w:pPr>
      <w:numPr>
        <w:ilvl w:val="3"/>
        <w:numId w:val="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941EE2"/>
    <w:pPr>
      <w:tabs>
        <w:tab w:val="right" w:pos="9639"/>
      </w:tabs>
      <w:spacing w:before="0" w:after="0" w:line="240" w:lineRule="auto"/>
    </w:pPr>
    <w:rPr>
      <w:noProof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1EE2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71D9E0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A6E7EB" w:themeFill="background2"/>
      </w:tcPr>
    </w:tblStylePr>
    <w:tblStylePr w:type="lastRow">
      <w:rPr>
        <w:b/>
      </w:rPr>
      <w:tblPr/>
      <w:tcPr>
        <w:tcBorders>
          <w:top w:val="single" w:sz="6" w:space="0" w:color="71D9E0" w:themeColor="accent2"/>
          <w:left w:val="nil"/>
          <w:bottom w:val="single" w:sz="12" w:space="0" w:color="71D9E0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71D9E0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6E7EB" w:themeFill="background2"/>
      </w:tcPr>
    </w:tblStylePr>
    <w:tblStylePr w:type="lastRow">
      <w:rPr>
        <w:b/>
      </w:rPr>
      <w:tblPr/>
      <w:tcPr>
        <w:tcBorders>
          <w:top w:val="single" w:sz="6" w:space="0" w:color="00BAC7" w:themeColor="accent1"/>
          <w:left w:val="nil"/>
          <w:bottom w:val="single" w:sz="12" w:space="0" w:color="00BAC7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semiHidden/>
    <w:qFormat/>
    <w:rsid w:val="00522F8A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semiHidden/>
    <w:qFormat/>
    <w:rsid w:val="00522F8A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paragraph" w:customStyle="1" w:styleId="Numparaindent">
    <w:name w:val="Num para indent"/>
    <w:basedOn w:val="Numpara"/>
    <w:uiPriority w:val="9"/>
    <w:semiHidden/>
    <w:qFormat/>
    <w:rsid w:val="00522F8A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semiHidden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983BD8"/>
    <w:pPr>
      <w:spacing w:before="200" w:after="60" w:line="240" w:lineRule="auto"/>
    </w:pPr>
    <w:rPr>
      <w:rFonts w:asciiTheme="majorHAnsi" w:hAnsiTheme="majorHAnsi"/>
      <w:bCs/>
      <w:szCs w:val="18"/>
    </w:rPr>
  </w:style>
  <w:style w:type="paragraph" w:customStyle="1" w:styleId="CM">
    <w:name w:val="CM"/>
    <w:next w:val="Normal"/>
    <w:uiPriority w:val="79"/>
    <w:rsid w:val="005129A3"/>
    <w:pPr>
      <w:spacing w:after="2000" w:line="240" w:lineRule="auto"/>
      <w:ind w:right="4910"/>
      <w:jc w:val="right"/>
    </w:pPr>
    <w:rPr>
      <w:caps/>
      <w:color w:val="FFFFFF" w:themeColor="background1"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491C72"/>
    <w:rPr>
      <w:rFonts w:asciiTheme="majorHAnsi" w:eastAsiaTheme="majorEastAsia" w:hAnsiTheme="majorHAnsi" w:cstheme="majorBidi"/>
      <w:color w:val="3A3467" w:themeColor="text2"/>
      <w:sz w:val="18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737611"/>
    <w:pPr>
      <w:pBdr>
        <w:top w:val="single" w:sz="12" w:space="6" w:color="A6E7EB" w:themeColor="background2"/>
        <w:bottom w:val="single" w:sz="12" w:space="4" w:color="A6E7EB" w:themeColor="background2"/>
      </w:pBdr>
      <w:tabs>
        <w:tab w:val="right" w:pos="8162"/>
      </w:tabs>
      <w:spacing w:line="264" w:lineRule="auto"/>
      <w:ind w:left="288" w:right="288"/>
    </w:pPr>
    <w:rPr>
      <w:i/>
      <w:iCs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737611"/>
    <w:rPr>
      <w:i/>
      <w:iCs/>
      <w:color w:val="232B39" w:themeColor="text1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6AE7"/>
    <w:pPr>
      <w:spacing w:after="0" w:line="240" w:lineRule="auto"/>
    </w:pPr>
    <w:rPr>
      <w:color w:val="232B39" w:themeColor="tex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4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8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89F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89F"/>
    <w:rPr>
      <w:b/>
      <w:bCs/>
      <w:color w:val="232B39" w:themeColor="text1"/>
    </w:rPr>
  </w:style>
  <w:style w:type="paragraph" w:customStyle="1" w:styleId="Quotesource">
    <w:name w:val="Quote source"/>
    <w:basedOn w:val="Quote"/>
    <w:qFormat/>
    <w:rsid w:val="009B7C6B"/>
    <w:pPr>
      <w:spacing w:line="240" w:lineRule="auto"/>
    </w:pPr>
    <w:rPr>
      <w:i w:val="0"/>
      <w:iCs w:val="0"/>
      <w:sz w:val="15"/>
      <w:szCs w:val="16"/>
    </w:rPr>
  </w:style>
  <w:style w:type="table" w:styleId="ListTable3-Accent1">
    <w:name w:val="List Table 3 Accent 1"/>
    <w:basedOn w:val="TableNormal"/>
    <w:uiPriority w:val="48"/>
    <w:rsid w:val="00261A87"/>
    <w:pPr>
      <w:spacing w:after="0" w:line="240" w:lineRule="auto"/>
    </w:pPr>
    <w:tblPr>
      <w:tblStyleRowBandSize w:val="1"/>
      <w:tblStyleColBandSize w:val="1"/>
      <w:tblBorders>
        <w:top w:val="single" w:sz="4" w:space="0" w:color="00BAC7" w:themeColor="accent1"/>
        <w:left w:val="single" w:sz="4" w:space="0" w:color="00BAC7" w:themeColor="accent1"/>
        <w:bottom w:val="single" w:sz="4" w:space="0" w:color="00BAC7" w:themeColor="accent1"/>
        <w:right w:val="single" w:sz="4" w:space="0" w:color="00BA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AC7" w:themeFill="accent1"/>
      </w:tcPr>
    </w:tblStylePr>
    <w:tblStylePr w:type="lastRow">
      <w:rPr>
        <w:b/>
        <w:bCs/>
      </w:rPr>
      <w:tblPr/>
      <w:tcPr>
        <w:tcBorders>
          <w:top w:val="double" w:sz="4" w:space="0" w:color="00BA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AC7" w:themeColor="accent1"/>
          <w:right w:val="single" w:sz="4" w:space="0" w:color="00BAC7" w:themeColor="accent1"/>
        </w:tcBorders>
      </w:tcPr>
    </w:tblStylePr>
    <w:tblStylePr w:type="band1Horz">
      <w:tblPr/>
      <w:tcPr>
        <w:tcBorders>
          <w:top w:val="single" w:sz="4" w:space="0" w:color="00BAC7" w:themeColor="accent1"/>
          <w:bottom w:val="single" w:sz="4" w:space="0" w:color="00BA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AC7" w:themeColor="accent1"/>
          <w:left w:val="nil"/>
        </w:tcBorders>
      </w:tcPr>
    </w:tblStylePr>
    <w:tblStylePr w:type="swCell">
      <w:tblPr/>
      <w:tcPr>
        <w:tcBorders>
          <w:top w:val="double" w:sz="4" w:space="0" w:color="00BAC7" w:themeColor="accent1"/>
          <w:right w:val="nil"/>
        </w:tcBorders>
      </w:tcPr>
    </w:tblStylePr>
  </w:style>
  <w:style w:type="paragraph" w:customStyle="1" w:styleId="pf0">
    <w:name w:val="pf0"/>
    <w:basedOn w:val="Normal"/>
    <w:rsid w:val="001D66D4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1D66D4"/>
    <w:rPr>
      <w:rFonts w:ascii="Segoe UI" w:hAnsi="Segoe UI" w:cs="Segoe UI" w:hint="default"/>
      <w:color w:val="232B39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198C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i-provider">
    <w:name w:val="ui-provider"/>
    <w:basedOn w:val="DefaultParagraphFont"/>
    <w:rsid w:val="00B427E1"/>
  </w:style>
  <w:style w:type="paragraph" w:customStyle="1" w:styleId="Default">
    <w:name w:val="Default"/>
    <w:rsid w:val="000B2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5.sv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hyperlink" Target="https://www.dtf.vic.gov.au/sites/default/files/document/EIIF%20Client%20Outcomes%20Measurement%20-%20Practice%20Considerations%20and%20Implications.DOCX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png"/><Relationship Id="rId33" Type="http://schemas.openxmlformats.org/officeDocument/2006/relationships/hyperlink" Target="https://www.dtf.vic.gov.au/sites/default/files/document/EIIF%20Client%20Outcomes%20Measurement%20-%20Practice%20Considerations%20and%20Implications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hyperlink" Target="mailto:earlyintervention@dtf.vic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svg"/><Relationship Id="rId32" Type="http://schemas.openxmlformats.org/officeDocument/2006/relationships/hyperlink" Target="https://www.dtf.vic.gov.au/sites/default/files/document/EIIF%20Client%20Outcomes%20Measurement.DOCX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2.png"/><Relationship Id="rId28" Type="http://schemas.openxmlformats.org/officeDocument/2006/relationships/image" Target="media/image7.svg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hyperlink" Target="https://www.dtf.vic.gov.au/sites/default/files/document/EIIF%20Client%20Outcomes%20Measurement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dtf.vic.gov.au/funds-programs-and-policies/early-intervention-investment-framework" TargetMode="External"/><Relationship Id="rId27" Type="http://schemas.openxmlformats.org/officeDocument/2006/relationships/image" Target="media/image6.png"/><Relationship Id="rId30" Type="http://schemas.openxmlformats.org/officeDocument/2006/relationships/hyperlink" Target="mailto:earlyintervention@dtf.vic.gov.au" TargetMode="External"/><Relationship Id="rId35" Type="http://schemas.openxmlformats.org/officeDocument/2006/relationships/hyperlink" Target="https://www.dtf.vic.gov.au/sites/default/files/document/Collaboration%20on%20the%20Early%20Intervention%20Investment%20Framework%20-%20Recommendations%20and%20toolkit.DOC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DTF\Fact%20sheet.dotm" TargetMode="External"/></Relationships>
</file>

<file path=word/theme/theme1.xml><?xml version="1.0" encoding="utf-8"?>
<a:theme xmlns:a="http://schemas.openxmlformats.org/drawingml/2006/main" name="Office Theme">
  <a:themeElements>
    <a:clrScheme name="DTF Teal">
      <a:dk1>
        <a:srgbClr val="232B39"/>
      </a:dk1>
      <a:lt1>
        <a:sysClr val="window" lastClr="FFFFFF"/>
      </a:lt1>
      <a:dk2>
        <a:srgbClr val="3A3467"/>
      </a:dk2>
      <a:lt2>
        <a:srgbClr val="A6E7EB"/>
      </a:lt2>
      <a:accent1>
        <a:srgbClr val="00BAC7"/>
      </a:accent1>
      <a:accent2>
        <a:srgbClr val="71D9E0"/>
      </a:accent2>
      <a:accent3>
        <a:srgbClr val="4C9E61"/>
      </a:accent3>
      <a:accent4>
        <a:srgbClr val="009CA7"/>
      </a:accent4>
      <a:accent5>
        <a:srgbClr val="D3D5D7"/>
      </a:accent5>
      <a:accent6>
        <a:srgbClr val="F6884F"/>
      </a:accent6>
      <a:hlink>
        <a:srgbClr val="53565A"/>
      </a:hlink>
      <a:folHlink>
        <a:srgbClr val="999999"/>
      </a:folHlink>
    </a:clrScheme>
    <a:fontScheme name="Brand Vi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5CF1D5BBA04DAA218BE598E345AC" ma:contentTypeVersion="28" ma:contentTypeDescription="Create a new document." ma:contentTypeScope="" ma:versionID="4d6f4d537481d5f5508fcde090cec0c8">
  <xsd:schema xmlns:xsd="http://www.w3.org/2001/XMLSchema" xmlns:xs="http://www.w3.org/2001/XMLSchema" xmlns:p="http://schemas.microsoft.com/office/2006/metadata/properties" xmlns:ns1="http://schemas.microsoft.com/sharepoint/v3" xmlns:ns2="51fffbad-fc14-48aa-b0d1-9be411fd36c8" xmlns:ns3="http://schemas.microsoft.com/sharepoint/v4" xmlns:ns4="15b0d6e9-e99b-40a9-aaa3-9b8d7d95b219" targetNamespace="http://schemas.microsoft.com/office/2006/metadata/properties" ma:root="true" ma:fieldsID="a03be3d47ae6926520ce9c6cc9e67eaa" ns1:_="" ns2:_="" ns3:_="" ns4:_="">
    <xsd:import namespace="http://schemas.microsoft.com/sharepoint/v3"/>
    <xsd:import namespace="51fffbad-fc14-48aa-b0d1-9be411fd36c8"/>
    <xsd:import namespace="http://schemas.microsoft.com/sharepoint/v4"/>
    <xsd:import namespace="15b0d6e9-e99b-40a9-aaa3-9b8d7d95b21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Business_x0020_Area" minOccurs="0"/>
                <xsd:element ref="ns2:List_x0020_Ite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4:SharedWithUsers" minOccurs="0"/>
                <xsd:element ref="ns4:SharedWithDetails" minOccurs="0"/>
                <xsd:element ref="ns1:AssignedTo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2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fbad-fc14-48aa-b0d1-9be411fd36c8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Unallocated" ma:format="Dropdown" ma:internalName="Status">
      <xsd:simpleType>
        <xsd:restriction base="dms:Choice">
          <xsd:enumeration value="Unallocated"/>
          <xsd:enumeration value="New"/>
          <xsd:enumeration value="On Hold"/>
          <xsd:enumeration value="Completed"/>
          <xsd:enumeration value="Archived"/>
        </xsd:restriction>
      </xsd:simpleType>
    </xsd:element>
    <xsd:element name="Business_x0020_Area" ma:index="9" nillable="true" ma:displayName="Business Area" ma:description="The DTF business area of the user that submitted this job request." ma:list="{66df8ae6-924e-4ddf-afb9-758d67cdcb74}" ma:internalName="Business_x0020_Area" ma:readOnly="false" ma:showField="Title">
      <xsd:simpleType>
        <xsd:restriction base="dms:Lookup"/>
      </xsd:simpleType>
    </xsd:element>
    <xsd:element name="List_x0020_Item" ma:index="10" nillable="true" ma:displayName="List Item" ma:description="Link to the Production Request List item for this job." ma:indexed="true" ma:list="{45e91031-0f06-4a2e-bc29-c611df0012cc}" ma:internalName="List_x0020_Item" ma:readOnly="false" ma:showField="Job_x0020_Number">
      <xsd:simpleType>
        <xsd:restriction base="dms:Lookup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d6e9-e99b-40a9-aaa3-9b8d7d95b21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5daf189-de59-48f6-89f9-2bbe255eeff1}" ma:internalName="TaxCatchAll" ma:showField="CatchAllData" ma:web="15b0d6e9-e99b-40a9-aaa3-9b8d7d95b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d6e9-e99b-40a9-aaa3-9b8d7d95b219" xsi:nil="true"/>
    <SharedWithUsers xmlns="15b0d6e9-e99b-40a9-aaa3-9b8d7d95b219">
      <UserInfo>
        <DisplayName>Liam Jackson (DTF)</DisplayName>
        <AccountId>435</AccountId>
        <AccountType/>
      </UserInfo>
      <UserInfo>
        <DisplayName>Hugh D Macintosh (DTF)</DisplayName>
        <AccountId>446</AccountId>
        <AccountType/>
      </UserInfo>
    </SharedWithUsers>
    <lcf76f155ced4ddcb4097134ff3c332f xmlns="51fffbad-fc14-48aa-b0d1-9be411fd36c8">
      <Terms xmlns="http://schemas.microsoft.com/office/infopath/2007/PartnerControls"/>
    </lcf76f155ced4ddcb4097134ff3c332f>
    <Business_x0020_Area xmlns="51fffbad-fc14-48aa-b0d1-9be411fd36c8" xsi:nil="true"/>
    <Status xmlns="51fffbad-fc14-48aa-b0d1-9be411fd36c8">Unallocated</Status>
    <List_x0020_Item xmlns="51fffbad-fc14-48aa-b0d1-9be411fd36c8" xsi:nil="true"/>
    <AssignedTo xmlns="http://schemas.microsoft.com/sharepoint/v3">
      <UserInfo>
        <DisplayName/>
        <AccountId xsi:nil="true"/>
        <AccountType/>
      </UserInfo>
    </AssignedTo>
    <IconOverlay xmlns="http://schemas.microsoft.com/sharepoint/v4" xsi:nil="true"/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D2BDAD3-6C26-4570-9B53-FA9DFE8FC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6411B-5DA2-4216-9329-ADFE1DB88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ffbad-fc14-48aa-b0d1-9be411fd36c8"/>
    <ds:schemaRef ds:uri="http://schemas.microsoft.com/sharepoint/v4"/>
    <ds:schemaRef ds:uri="15b0d6e9-e99b-40a9-aaa3-9b8d7d95b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79051-017B-4124-B48D-B72A3F44B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29B0F-8739-4DC1-9474-90CE3A47FBDA}">
  <ds:schemaRefs>
    <ds:schemaRef ds:uri="http://schemas.microsoft.com/office/2006/metadata/properties"/>
    <ds:schemaRef ds:uri="http://schemas.microsoft.com/office/infopath/2007/PartnerControls"/>
    <ds:schemaRef ds:uri="15b0d6e9-e99b-40a9-aaa3-9b8d7d95b219"/>
    <ds:schemaRef ds:uri="51fffbad-fc14-48aa-b0d1-9be411fd36c8"/>
    <ds:schemaRef ds:uri="http://schemas.microsoft.com/sharepoint/v3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EECB1C4-327D-41D7-ADE6-05D79CE7A2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sheet.dotm</Template>
  <TotalTime>3</TotalTime>
  <Pages>7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Jackson (DTF)</dc:creator>
  <cp:keywords/>
  <dc:description/>
  <cp:lastModifiedBy>Liam Jackson (DTF)</cp:lastModifiedBy>
  <cp:revision>3</cp:revision>
  <cp:lastPrinted>2024-08-07T00:41:00Z</cp:lastPrinted>
  <dcterms:created xsi:type="dcterms:W3CDTF">2024-08-07T00:42:00Z</dcterms:created>
  <dcterms:modified xsi:type="dcterms:W3CDTF">2024-08-08T02:26:00Z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ediaServiceImageTags">
    <vt:lpwstr/>
  </property>
  <property fmtid="{D5CDD505-2E9C-101B-9397-08002B2CF9AE}" pid="5" name="MSIP_Label_bb4ee517-5ca4-4fff-98d2-ed4f906edd6d_Enabled">
    <vt:lpwstr>true</vt:lpwstr>
  </property>
  <property fmtid="{D5CDD505-2E9C-101B-9397-08002B2CF9AE}" pid="6" name="MSIP_Label_bb4ee517-5ca4-4fff-98d2-ed4f906edd6d_SetDate">
    <vt:lpwstr>2024-07-02T00:05:02Z</vt:lpwstr>
  </property>
  <property fmtid="{D5CDD505-2E9C-101B-9397-08002B2CF9AE}" pid="7" name="MSIP_Label_bb4ee517-5ca4-4fff-98d2-ed4f906edd6d_Method">
    <vt:lpwstr>Privileged</vt:lpwstr>
  </property>
  <property fmtid="{D5CDD505-2E9C-101B-9397-08002B2CF9AE}" pid="8" name="MSIP_Label_bb4ee517-5ca4-4fff-98d2-ed4f906edd6d_Name">
    <vt:lpwstr>bb4ee517-5ca4-4fff-98d2-ed4f906edd6d</vt:lpwstr>
  </property>
  <property fmtid="{D5CDD505-2E9C-101B-9397-08002B2CF9AE}" pid="9" name="MSIP_Label_bb4ee517-5ca4-4fff-98d2-ed4f906edd6d_SiteId">
    <vt:lpwstr>722ea0be-3e1c-4b11-ad6f-9401d6856e24</vt:lpwstr>
  </property>
  <property fmtid="{D5CDD505-2E9C-101B-9397-08002B2CF9AE}" pid="10" name="MSIP_Label_bb4ee517-5ca4-4fff-98d2-ed4f906edd6d_ActionId">
    <vt:lpwstr>4aaeb42b-0cff-41b6-a67a-2e299e954354</vt:lpwstr>
  </property>
  <property fmtid="{D5CDD505-2E9C-101B-9397-08002B2CF9AE}" pid="11" name="MSIP_Label_bb4ee517-5ca4-4fff-98d2-ed4f906edd6d_ContentBits">
    <vt:lpwstr>0</vt:lpwstr>
  </property>
  <property fmtid="{D5CDD505-2E9C-101B-9397-08002B2CF9AE}" pid="12" name="ContentTypeId">
    <vt:lpwstr>0x010100B90C5CF1D5BBA04DAA218BE598E345AC</vt:lpwstr>
  </property>
</Properties>
</file>