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F1" w:rsidRDefault="008E3E8D" w:rsidP="00012F6F">
      <w:pPr>
        <w:pStyle w:val="Title"/>
      </w:pPr>
      <w:r>
        <w:t>B</w:t>
      </w:r>
      <w:r w:rsidRPr="008E3E8D">
        <w:t xml:space="preserve">id </w:t>
      </w:r>
      <w:r w:rsidR="00B948D9">
        <w:t>C</w:t>
      </w:r>
      <w:r w:rsidRPr="008E3E8D">
        <w:t xml:space="preserve">ost </w:t>
      </w:r>
      <w:r w:rsidR="00B948D9">
        <w:t>R</w:t>
      </w:r>
      <w:r w:rsidRPr="008E3E8D">
        <w:t xml:space="preserve">eimbursement for </w:t>
      </w:r>
      <w:r w:rsidR="00B948D9">
        <w:t>M</w:t>
      </w:r>
      <w:r w:rsidRPr="008E3E8D">
        <w:t xml:space="preserve">ajor </w:t>
      </w:r>
      <w:r w:rsidR="00B948D9">
        <w:t>C</w:t>
      </w:r>
      <w:r w:rsidRPr="008E3E8D">
        <w:t xml:space="preserve">onstruction </w:t>
      </w:r>
      <w:r w:rsidR="00B948D9">
        <w:t>P</w:t>
      </w:r>
      <w:r w:rsidRPr="008E3E8D">
        <w:t>rojects</w:t>
      </w:r>
    </w:p>
    <w:p w:rsidR="00750CBE" w:rsidRDefault="00B948D9" w:rsidP="005767BE">
      <w:pPr>
        <w:pStyle w:val="Subtitle"/>
      </w:pPr>
      <w:r>
        <w:t xml:space="preserve">Policy </w:t>
      </w:r>
    </w:p>
    <w:p w:rsidR="005A4F1D" w:rsidRPr="005A4F1D" w:rsidRDefault="005A4F1D" w:rsidP="005A4F1D">
      <w:pPr>
        <w:pStyle w:val="TertiaryTitle"/>
        <w:rPr>
          <w:lang w:eastAsia="en-AU"/>
        </w:rPr>
      </w:pPr>
    </w:p>
    <w:p w:rsidR="00750CBE" w:rsidRPr="00C92338" w:rsidRDefault="00750CBE" w:rsidP="00E26B32">
      <w:pPr>
        <w:pStyle w:val="Insidecoverspacer"/>
      </w:pPr>
    </w:p>
    <w:p w:rsidR="005A4F1D" w:rsidRDefault="005A4F1D">
      <w:pPr>
        <w:spacing w:before="0" w:after="200"/>
        <w:rPr>
          <w:rFonts w:eastAsia="Times New Roman" w:cs="Calibri"/>
          <w:spacing w:val="0"/>
          <w:sz w:val="18"/>
          <w:szCs w:val="19"/>
          <w:lang w:eastAsia="en-US"/>
        </w:rPr>
      </w:pPr>
      <w:r>
        <w:br w:type="page"/>
      </w: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5A4F1D" w:rsidRDefault="005A4F1D" w:rsidP="008D0281">
      <w:pPr>
        <w:pStyle w:val="NormalTight"/>
      </w:pPr>
    </w:p>
    <w:p w:rsidR="00750CBE" w:rsidRPr="00C92338" w:rsidRDefault="00750CBE" w:rsidP="008D0281">
      <w:pPr>
        <w:pStyle w:val="NormalTight"/>
      </w:pPr>
      <w:r w:rsidRPr="00C92338">
        <w:t>The Secretary</w:t>
      </w:r>
    </w:p>
    <w:p w:rsidR="00750CBE" w:rsidRPr="00C92338" w:rsidRDefault="00750CBE" w:rsidP="008D0281">
      <w:pPr>
        <w:pStyle w:val="NormalTight"/>
      </w:pPr>
      <w:r w:rsidRPr="00C92338">
        <w:t>Department of Treasury and Finance</w:t>
      </w:r>
    </w:p>
    <w:p w:rsidR="00750CBE" w:rsidRPr="00C92338" w:rsidRDefault="00750CBE" w:rsidP="008D0281">
      <w:pPr>
        <w:pStyle w:val="NormalTight"/>
      </w:pPr>
      <w:r w:rsidRPr="00C92338">
        <w:t>1 Treasury Place</w:t>
      </w:r>
    </w:p>
    <w:p w:rsidR="00750CBE" w:rsidRPr="00C92338" w:rsidRDefault="00750CBE" w:rsidP="008D0281">
      <w:pPr>
        <w:pStyle w:val="NormalTight"/>
      </w:pPr>
      <w:r w:rsidRPr="00C92338">
        <w:t>Melbourne Victoria 3002</w:t>
      </w:r>
    </w:p>
    <w:p w:rsidR="00750CBE" w:rsidRPr="00C92338" w:rsidRDefault="00750CBE" w:rsidP="008D0281">
      <w:pPr>
        <w:pStyle w:val="NormalTight"/>
      </w:pPr>
      <w:r w:rsidRPr="00C92338">
        <w:t>Australia</w:t>
      </w:r>
    </w:p>
    <w:p w:rsidR="00750CBE" w:rsidRPr="00C92338" w:rsidRDefault="00750CBE" w:rsidP="008D0281">
      <w:pPr>
        <w:pStyle w:val="NormalTight"/>
      </w:pPr>
      <w:r w:rsidRPr="00C92338">
        <w:t>Telephone: +61 3 9651 5111</w:t>
      </w:r>
    </w:p>
    <w:p w:rsidR="00750CBE" w:rsidRPr="00C92338" w:rsidRDefault="00750CBE" w:rsidP="008D0281">
      <w:pPr>
        <w:pStyle w:val="NormalTight"/>
      </w:pPr>
      <w:r w:rsidRPr="00C92338">
        <w:t>Facsimile: +61 3 9651 2062</w:t>
      </w:r>
    </w:p>
    <w:p w:rsidR="00750CBE" w:rsidRPr="00C92338" w:rsidRDefault="00750CBE" w:rsidP="008D0281">
      <w:pPr>
        <w:pStyle w:val="NormalTight"/>
      </w:pPr>
      <w:r w:rsidRPr="00C92338">
        <w:t>dtf.vic.gov.au</w:t>
      </w:r>
    </w:p>
    <w:p w:rsidR="00750CBE" w:rsidRPr="00C92338" w:rsidRDefault="00750CBE" w:rsidP="008D0281">
      <w:pPr>
        <w:pStyle w:val="NormalTight"/>
      </w:pPr>
    </w:p>
    <w:p w:rsidR="00750CBE" w:rsidRPr="00C92338" w:rsidRDefault="00750CBE" w:rsidP="008D0281">
      <w:pPr>
        <w:pStyle w:val="NormalTight"/>
      </w:pPr>
      <w:r w:rsidRPr="00C92338">
        <w:t>Authorised by the Victorian Government</w:t>
      </w:r>
    </w:p>
    <w:p w:rsidR="00750CBE" w:rsidRPr="00C92338" w:rsidRDefault="00750CBE" w:rsidP="008D0281">
      <w:pPr>
        <w:pStyle w:val="NormalTight"/>
      </w:pPr>
      <w:r w:rsidRPr="00C92338">
        <w:t>1 Treasury Place, Melbourne, 3002</w:t>
      </w:r>
    </w:p>
    <w:p w:rsidR="00750CBE" w:rsidRPr="00C92338" w:rsidRDefault="00750CBE" w:rsidP="008D0281">
      <w:pPr>
        <w:pStyle w:val="NormalTight"/>
      </w:pPr>
    </w:p>
    <w:p w:rsidR="00750CBE" w:rsidRPr="00C92338" w:rsidRDefault="001E48F9" w:rsidP="006F6693">
      <w:pPr>
        <w:ind w:right="1826"/>
        <w:rPr>
          <w:rFonts w:cstheme="minorHAnsi"/>
          <w:spacing w:val="0"/>
          <w:sz w:val="19"/>
          <w:szCs w:val="19"/>
        </w:rPr>
      </w:pPr>
      <w:r w:rsidRPr="009C42D8">
        <w:rPr>
          <w:rFonts w:cstheme="minorHAnsi"/>
          <w:spacing w:val="0"/>
          <w:sz w:val="19"/>
          <w:szCs w:val="19"/>
        </w:rPr>
        <w:t>© State of Victoria 201</w:t>
      </w:r>
      <w:r w:rsidR="009C42D8" w:rsidRPr="009C42D8">
        <w:rPr>
          <w:rFonts w:cstheme="minorHAnsi"/>
          <w:spacing w:val="0"/>
          <w:sz w:val="19"/>
          <w:szCs w:val="19"/>
        </w:rPr>
        <w:t>9</w:t>
      </w:r>
    </w:p>
    <w:p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07DD6353" wp14:editId="53381D53">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rsidR="00750CBE" w:rsidRPr="00C92338" w:rsidRDefault="00750CBE" w:rsidP="008D0281">
      <w:pPr>
        <w:pStyle w:val="NormalTight"/>
      </w:pPr>
      <w:r w:rsidRPr="00C92338">
        <w:t xml:space="preserve">You are free to re-use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rsidR="006F6693" w:rsidRPr="00C92338" w:rsidRDefault="006F6693" w:rsidP="008D0281">
      <w:pPr>
        <w:pStyle w:val="NormalTight"/>
      </w:pPr>
    </w:p>
    <w:p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rsidR="00750CBE" w:rsidRPr="00C92338" w:rsidRDefault="00750CBE" w:rsidP="008D0281">
      <w:pPr>
        <w:pStyle w:val="NormalTight"/>
      </w:pPr>
    </w:p>
    <w:p w:rsidR="00750CBE" w:rsidRPr="00C92338" w:rsidRDefault="00864F20" w:rsidP="008D0281">
      <w:pPr>
        <w:pStyle w:val="NormalTight"/>
      </w:pPr>
      <w:r w:rsidRPr="00864F20">
        <w:rPr>
          <w:b/>
        </w:rPr>
        <w:t>ISBN</w:t>
      </w:r>
      <w:r w:rsidRPr="00864F20">
        <w:t xml:space="preserve"> 978-1-925551-26-6 (</w:t>
      </w:r>
      <w:r w:rsidRPr="00864F20">
        <w:rPr>
          <w:b/>
        </w:rPr>
        <w:t>pdf/online/MS word</w:t>
      </w:r>
      <w:r w:rsidRPr="00864F20">
        <w:t>)</w:t>
      </w:r>
    </w:p>
    <w:p w:rsidR="00750CBE" w:rsidRPr="00C92338" w:rsidRDefault="00AC2624" w:rsidP="008D0281">
      <w:pPr>
        <w:pStyle w:val="NormalTight"/>
      </w:pPr>
      <w:r>
        <w:t xml:space="preserve">Published </w:t>
      </w:r>
      <w:r w:rsidR="00864F20">
        <w:t>July</w:t>
      </w:r>
      <w:r>
        <w:t xml:space="preserve"> 201</w:t>
      </w:r>
      <w:r w:rsidR="00864F20">
        <w:t>9</w:t>
      </w:r>
    </w:p>
    <w:p w:rsidR="00750CBE" w:rsidRPr="00C92338" w:rsidRDefault="00750CBE" w:rsidP="008D0281">
      <w:pPr>
        <w:pStyle w:val="NormalTight"/>
      </w:pPr>
    </w:p>
    <w:p w:rsidR="00750CBE" w:rsidRPr="00C92338" w:rsidRDefault="00750CBE" w:rsidP="008D0281">
      <w:pPr>
        <w:pStyle w:val="NormalTight"/>
      </w:pPr>
      <w:r w:rsidRPr="00C92338">
        <w:t xml:space="preserve">If you would like to receive this publication in an accessible </w:t>
      </w:r>
      <w:r w:rsidR="00AF4BB3" w:rsidRPr="00C92338">
        <w:t>format,</w:t>
      </w:r>
      <w:r w:rsidRPr="00C92338">
        <w:t xml:space="preserve"> </w:t>
      </w:r>
      <w:r w:rsidR="00AF4BB3" w:rsidRPr="00C92338">
        <w:t>please email</w:t>
      </w:r>
      <w:r w:rsidRPr="00C92338">
        <w:t xml:space="preserve"> </w:t>
      </w:r>
      <w:hyperlink r:id="rId13" w:history="1">
        <w:r w:rsidRPr="00C92338">
          <w:t>information@dtf.vic.gov.au</w:t>
        </w:r>
      </w:hyperlink>
      <w:r w:rsidRPr="00C92338">
        <w:t xml:space="preserve"> </w:t>
      </w:r>
    </w:p>
    <w:p w:rsidR="006F6693" w:rsidRPr="00C92338" w:rsidRDefault="006F6693" w:rsidP="008D0281">
      <w:pPr>
        <w:pStyle w:val="NormalTight"/>
      </w:pPr>
    </w:p>
    <w:p w:rsidR="00750CBE" w:rsidRPr="00C92338" w:rsidRDefault="00750CBE" w:rsidP="008D0281">
      <w:pPr>
        <w:pStyle w:val="NormalTight"/>
      </w:pPr>
      <w:r w:rsidRPr="00C92338">
        <w:t xml:space="preserve">This document is also available in Word and PDF format at </w:t>
      </w:r>
      <w:hyperlink r:id="rId14" w:history="1">
        <w:r w:rsidRPr="00C92338">
          <w:rPr>
            <w:rStyle w:val="Hyperlink"/>
          </w:rPr>
          <w:t>dtf.vic.gov.au</w:t>
        </w:r>
      </w:hyperlink>
    </w:p>
    <w:p w:rsidR="00750CBE" w:rsidRPr="00C92338" w:rsidRDefault="00750CBE" w:rsidP="00D2312F">
      <w:pPr>
        <w:rPr>
          <w:spacing w:val="0"/>
          <w:sz w:val="19"/>
          <w:szCs w:val="19"/>
        </w:rPr>
      </w:pPr>
    </w:p>
    <w:p w:rsidR="00750CBE" w:rsidRDefault="00750CBE" w:rsidP="00D2312F">
      <w:pPr>
        <w:sectPr w:rsidR="00750CBE" w:rsidSect="00FF4E9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461" w:gutter="0"/>
          <w:pgNumType w:fmt="lowerRoman" w:start="1"/>
          <w:cols w:space="708"/>
          <w:docGrid w:linePitch="360"/>
        </w:sectPr>
      </w:pPr>
    </w:p>
    <w:p w:rsidR="001F384B" w:rsidRDefault="001F384B" w:rsidP="008D0098">
      <w:pPr>
        <w:pStyle w:val="Heading2"/>
        <w:ind w:left="0"/>
      </w:pPr>
      <w:bookmarkStart w:id="0" w:name="_Toc4506677"/>
      <w:r>
        <w:lastRenderedPageBreak/>
        <w:t>PREFACE</w:t>
      </w:r>
    </w:p>
    <w:p w:rsidR="00C27F09" w:rsidRDefault="00C27F09" w:rsidP="008D0098">
      <w:pPr>
        <w:ind w:left="0"/>
      </w:pPr>
      <w:r>
        <w:t>The Victorian Government continues to significantly invest in infrastructure across Victoria to lift productivity, boost economic growth and improve the standard of living for Victorians.</w:t>
      </w:r>
    </w:p>
    <w:p w:rsidR="00C27F09" w:rsidRPr="00077570" w:rsidRDefault="00C27F09" w:rsidP="008D0098">
      <w:pPr>
        <w:ind w:left="0"/>
      </w:pPr>
      <w:r>
        <w:t xml:space="preserve">To support the efficient delivery of Victoria’s significant infrastructure pipeline, the Victorian Government implemented </w:t>
      </w:r>
      <w:r w:rsidR="00C24B3A">
        <w:t xml:space="preserve">reforms to Victoria’s </w:t>
      </w:r>
      <w:r>
        <w:t xml:space="preserve">framework for public construction. </w:t>
      </w:r>
      <w:r w:rsidRPr="00077570">
        <w:t xml:space="preserve">The </w:t>
      </w:r>
      <w:r w:rsidR="00C24B3A">
        <w:t xml:space="preserve">reforms </w:t>
      </w:r>
      <w:r w:rsidRPr="00077570">
        <w:t>enabl</w:t>
      </w:r>
      <w:r w:rsidR="00C24B3A">
        <w:t>e</w:t>
      </w:r>
      <w:r w:rsidRPr="00077570">
        <w:t>:</w:t>
      </w:r>
    </w:p>
    <w:p w:rsidR="00C27F09" w:rsidRPr="00077570" w:rsidRDefault="00C27F09" w:rsidP="005C0B6C">
      <w:pPr>
        <w:numPr>
          <w:ilvl w:val="0"/>
          <w:numId w:val="22"/>
        </w:numPr>
        <w:tabs>
          <w:tab w:val="clear" w:pos="1560"/>
        </w:tabs>
        <w:overflowPunct w:val="0"/>
        <w:autoSpaceDE w:val="0"/>
        <w:autoSpaceDN w:val="0"/>
        <w:adjustRightInd w:val="0"/>
        <w:spacing w:before="60" w:after="60" w:line="240" w:lineRule="auto"/>
        <w:ind w:left="709"/>
        <w:jc w:val="both"/>
        <w:textAlignment w:val="baseline"/>
      </w:pPr>
      <w:r w:rsidRPr="00077570">
        <w:t>simpler and easier industry participation</w:t>
      </w:r>
      <w:r>
        <w:t>;</w:t>
      </w:r>
    </w:p>
    <w:p w:rsidR="00C27F09" w:rsidRPr="00077570" w:rsidRDefault="00C27F09" w:rsidP="005C0B6C">
      <w:pPr>
        <w:numPr>
          <w:ilvl w:val="0"/>
          <w:numId w:val="22"/>
        </w:numPr>
        <w:tabs>
          <w:tab w:val="clear" w:pos="1560"/>
        </w:tabs>
        <w:overflowPunct w:val="0"/>
        <w:autoSpaceDE w:val="0"/>
        <w:autoSpaceDN w:val="0"/>
        <w:adjustRightInd w:val="0"/>
        <w:spacing w:before="60" w:after="60" w:line="240" w:lineRule="auto"/>
        <w:ind w:left="709"/>
        <w:jc w:val="both"/>
        <w:textAlignment w:val="baseline"/>
      </w:pPr>
      <w:r w:rsidRPr="00077570">
        <w:t>time and cost savings when preparing bids</w:t>
      </w:r>
      <w:r>
        <w:t>;</w:t>
      </w:r>
    </w:p>
    <w:p w:rsidR="00C27F09" w:rsidRPr="00077570" w:rsidRDefault="00C27F09" w:rsidP="005C0B6C">
      <w:pPr>
        <w:numPr>
          <w:ilvl w:val="0"/>
          <w:numId w:val="22"/>
        </w:numPr>
        <w:tabs>
          <w:tab w:val="clear" w:pos="1560"/>
        </w:tabs>
        <w:overflowPunct w:val="0"/>
        <w:autoSpaceDE w:val="0"/>
        <w:autoSpaceDN w:val="0"/>
        <w:adjustRightInd w:val="0"/>
        <w:spacing w:before="60" w:after="60" w:line="240" w:lineRule="auto"/>
        <w:ind w:left="709"/>
        <w:jc w:val="both"/>
        <w:textAlignment w:val="baseline"/>
      </w:pPr>
      <w:r w:rsidRPr="00077570">
        <w:t>a stronger focus on project objectives, rather than the administration of tenders</w:t>
      </w:r>
      <w:r>
        <w:t>;</w:t>
      </w:r>
    </w:p>
    <w:p w:rsidR="00C27F09" w:rsidRPr="00077570" w:rsidRDefault="00C27F09" w:rsidP="005C0B6C">
      <w:pPr>
        <w:numPr>
          <w:ilvl w:val="0"/>
          <w:numId w:val="22"/>
        </w:numPr>
        <w:tabs>
          <w:tab w:val="clear" w:pos="1560"/>
        </w:tabs>
        <w:overflowPunct w:val="0"/>
        <w:autoSpaceDE w:val="0"/>
        <w:autoSpaceDN w:val="0"/>
        <w:adjustRightInd w:val="0"/>
        <w:spacing w:before="60" w:after="60" w:line="240" w:lineRule="auto"/>
        <w:ind w:left="709"/>
        <w:jc w:val="both"/>
        <w:textAlignment w:val="baseline"/>
      </w:pPr>
      <w:r w:rsidRPr="00077570">
        <w:t>fair, transparent and openly competitive tender processes</w:t>
      </w:r>
      <w:r>
        <w:t>;</w:t>
      </w:r>
      <w:r w:rsidRPr="00077570">
        <w:t xml:space="preserve"> and</w:t>
      </w:r>
    </w:p>
    <w:p w:rsidR="00C27F09" w:rsidRDefault="00C27F09" w:rsidP="005C0B6C">
      <w:pPr>
        <w:numPr>
          <w:ilvl w:val="0"/>
          <w:numId w:val="22"/>
        </w:numPr>
        <w:tabs>
          <w:tab w:val="clear" w:pos="1560"/>
        </w:tabs>
        <w:overflowPunct w:val="0"/>
        <w:autoSpaceDE w:val="0"/>
        <w:autoSpaceDN w:val="0"/>
        <w:adjustRightInd w:val="0"/>
        <w:spacing w:before="60" w:after="60" w:line="240" w:lineRule="auto"/>
        <w:ind w:left="709"/>
        <w:jc w:val="both"/>
        <w:textAlignment w:val="baseline"/>
      </w:pPr>
      <w:r w:rsidRPr="00077570">
        <w:t>greater transparency of upcoming procurement opportunities and improved dialogue with industry participants.</w:t>
      </w:r>
    </w:p>
    <w:p w:rsidR="008402AF" w:rsidRDefault="00C27F09" w:rsidP="008D0098">
      <w:pPr>
        <w:ind w:left="0"/>
      </w:pPr>
      <w:r>
        <w:t xml:space="preserve">The Government </w:t>
      </w:r>
      <w:r w:rsidR="00146E30">
        <w:t>believes</w:t>
      </w:r>
      <w:r>
        <w:t xml:space="preserve"> </w:t>
      </w:r>
      <w:r w:rsidR="00146E30">
        <w:t xml:space="preserve">that </w:t>
      </w:r>
      <w:r>
        <w:t>an open and responsive partnership between industry and government creates the best opportunities for best practice and innovation to deliver world-class infrastructure.</w:t>
      </w:r>
      <w:r w:rsidR="000501D8">
        <w:t xml:space="preserve"> </w:t>
      </w:r>
      <w:r w:rsidR="008402AF">
        <w:t xml:space="preserve">To respond to industry, </w:t>
      </w:r>
      <w:r w:rsidR="004F7BA1">
        <w:t>further progress</w:t>
      </w:r>
      <w:r w:rsidR="008402AF">
        <w:t xml:space="preserve"> reform</w:t>
      </w:r>
      <w:r w:rsidR="004F7BA1">
        <w:t>s</w:t>
      </w:r>
      <w:r w:rsidR="008402AF">
        <w:t xml:space="preserve"> </w:t>
      </w:r>
      <w:r w:rsidR="00E7397E">
        <w:t xml:space="preserve">and </w:t>
      </w:r>
      <w:r w:rsidR="008402AF">
        <w:t>position Victoria as a client of choice</w:t>
      </w:r>
      <w:r w:rsidR="00C83866">
        <w:t xml:space="preserve"> in delivering future infrastructure projects</w:t>
      </w:r>
      <w:r w:rsidR="008402AF">
        <w:t xml:space="preserve">, </w:t>
      </w:r>
      <w:r w:rsidR="000501D8" w:rsidRPr="007C1168">
        <w:t>Victoria</w:t>
      </w:r>
      <w:r w:rsidR="000501D8">
        <w:t xml:space="preserve"> has</w:t>
      </w:r>
      <w:r w:rsidR="008402AF">
        <w:t xml:space="preserve"> updated its </w:t>
      </w:r>
      <w:r w:rsidRPr="007C1168">
        <w:t>bid cost reimbursement policy</w:t>
      </w:r>
      <w:r w:rsidR="008402AF">
        <w:t>.</w:t>
      </w:r>
    </w:p>
    <w:p w:rsidR="00C83866" w:rsidRDefault="00C83866" w:rsidP="008D0098">
      <w:pPr>
        <w:ind w:left="0"/>
      </w:pPr>
      <w:r>
        <w:t>Th</w:t>
      </w:r>
      <w:r w:rsidR="000501D8">
        <w:t>e</w:t>
      </w:r>
      <w:r>
        <w:t xml:space="preserve"> policy update acknowledges industry as a vital partner in infrastructure </w:t>
      </w:r>
      <w:r w:rsidR="00960F83">
        <w:t>delivery and</w:t>
      </w:r>
      <w:r>
        <w:t xml:space="preserve"> </w:t>
      </w:r>
      <w:r w:rsidR="000501D8">
        <w:t xml:space="preserve">reflects </w:t>
      </w:r>
      <w:r>
        <w:t>Victoria’s continuing commitment to this partnership. It also acknowledges the significant cost to industry of preparing bids for Victorian infrastructure projects and providing transparency to industry on the requirements and considerations involved in contributing to bid costs.</w:t>
      </w:r>
    </w:p>
    <w:p w:rsidR="008402AF" w:rsidRDefault="008402AF" w:rsidP="008D0098">
      <w:pPr>
        <w:ind w:left="0"/>
      </w:pPr>
      <w:r w:rsidRPr="00AF4BB3">
        <w:t>This policy outlines mechanisms for partial bid cost reimbursement on P</w:t>
      </w:r>
      <w:r w:rsidR="003B4DBE" w:rsidRPr="0009198B">
        <w:t xml:space="preserve">ublic </w:t>
      </w:r>
      <w:r w:rsidRPr="00AF4BB3">
        <w:t>P</w:t>
      </w:r>
      <w:r w:rsidR="003B4DBE" w:rsidRPr="0009198B">
        <w:t xml:space="preserve">rivate </w:t>
      </w:r>
      <w:r w:rsidRPr="00AF4BB3">
        <w:t>P</w:t>
      </w:r>
      <w:r w:rsidR="003B4DBE" w:rsidRPr="0009198B">
        <w:t>artnerships</w:t>
      </w:r>
      <w:r w:rsidRPr="00AF4BB3">
        <w:t>, Alliances and H</w:t>
      </w:r>
      <w:r w:rsidR="003B4DBE" w:rsidRPr="0009198B">
        <w:t xml:space="preserve">igh </w:t>
      </w:r>
      <w:r w:rsidRPr="00AF4BB3">
        <w:t>V</w:t>
      </w:r>
      <w:r w:rsidR="003B4DBE" w:rsidRPr="0009198B">
        <w:t xml:space="preserve">alue </w:t>
      </w:r>
      <w:r w:rsidRPr="00AF4BB3">
        <w:t>H</w:t>
      </w:r>
      <w:r w:rsidR="003B4DBE" w:rsidRPr="0009198B">
        <w:t xml:space="preserve">igh </w:t>
      </w:r>
      <w:r w:rsidRPr="00AF4BB3">
        <w:t>R</w:t>
      </w:r>
      <w:r w:rsidR="003B4DBE" w:rsidRPr="0009198B">
        <w:t>isk</w:t>
      </w:r>
      <w:r w:rsidRPr="00AF4BB3">
        <w:t xml:space="preserve"> Project</w:t>
      </w:r>
      <w:r w:rsidR="00BA5E68" w:rsidRPr="00AF4BB3">
        <w:t>s</w:t>
      </w:r>
      <w:r w:rsidR="00167B99" w:rsidRPr="00AF4BB3">
        <w:t xml:space="preserve"> as identified by Victoria’s HVHR framework</w:t>
      </w:r>
      <w:r w:rsidR="00BA7794" w:rsidRPr="00AF4BB3">
        <w:t>.</w:t>
      </w:r>
    </w:p>
    <w:p w:rsidR="008D0098" w:rsidRDefault="008D0098" w:rsidP="008D0098">
      <w:pPr>
        <w:ind w:left="0"/>
      </w:pPr>
    </w:p>
    <w:p w:rsidR="008D0098" w:rsidRDefault="008D0098" w:rsidP="008D0098">
      <w:pPr>
        <w:ind w:left="0"/>
        <w:sectPr w:rsidR="008D0098" w:rsidSect="008D0098">
          <w:headerReference w:type="even" r:id="rId21"/>
          <w:headerReference w:type="default" r:id="rId22"/>
          <w:footerReference w:type="even" r:id="rId23"/>
          <w:footerReference w:type="default" r:id="rId24"/>
          <w:type w:val="oddPage"/>
          <w:pgSz w:w="11906" w:h="16838" w:code="9"/>
          <w:pgMar w:top="2160" w:right="1440" w:bottom="1987" w:left="1440" w:header="706" w:footer="461" w:gutter="0"/>
          <w:pgNumType w:fmt="lowerRoman" w:start="1"/>
          <w:cols w:space="708"/>
          <w:docGrid w:linePitch="360"/>
        </w:sectPr>
      </w:pPr>
    </w:p>
    <w:p w:rsidR="001F384B" w:rsidRPr="008D0098" w:rsidRDefault="008D0098" w:rsidP="008D0098">
      <w:pPr>
        <w:pStyle w:val="Heading1"/>
        <w:rPr>
          <w:rFonts w:asciiTheme="minorHAnsi" w:eastAsiaTheme="minorEastAsia" w:hAnsiTheme="minorHAnsi" w:cstheme="minorBidi"/>
          <w:color w:val="auto"/>
          <w:spacing w:val="2"/>
          <w:sz w:val="20"/>
          <w:szCs w:val="20"/>
        </w:rPr>
      </w:pPr>
      <w:r>
        <w:lastRenderedPageBreak/>
        <w:t>Bid cost reimbursement for major construction projects</w:t>
      </w:r>
    </w:p>
    <w:p w:rsidR="00986AAC" w:rsidRPr="000501D8" w:rsidRDefault="003E37C7" w:rsidP="008D0098">
      <w:pPr>
        <w:pStyle w:val="Heading2"/>
        <w:numPr>
          <w:ilvl w:val="0"/>
          <w:numId w:val="24"/>
        </w:numPr>
        <w:ind w:left="709" w:hanging="709"/>
      </w:pPr>
      <w:r w:rsidRPr="000501D8">
        <w:t>Purpose</w:t>
      </w:r>
      <w:bookmarkEnd w:id="0"/>
    </w:p>
    <w:p w:rsidR="003E37C7" w:rsidRDefault="003E37C7" w:rsidP="003E37C7">
      <w:pPr>
        <w:pStyle w:val="NormalIndent"/>
        <w:spacing w:line="276" w:lineRule="auto"/>
        <w:ind w:left="709"/>
      </w:pPr>
      <w:r>
        <w:t>This policy defines a consistent approach for assessing the need for bid cost reimbursement on major construction projects.</w:t>
      </w:r>
    </w:p>
    <w:p w:rsidR="003E37C7" w:rsidRDefault="003E37C7" w:rsidP="003E37C7">
      <w:pPr>
        <w:pStyle w:val="NormalIndent"/>
        <w:spacing w:line="276" w:lineRule="auto"/>
        <w:ind w:left="709"/>
      </w:pPr>
      <w:r>
        <w:t>The appropriateness of bid cost reimbursement will be assessed on a case by case basis.</w:t>
      </w:r>
    </w:p>
    <w:p w:rsidR="003E37C7" w:rsidRPr="000501D8" w:rsidRDefault="001F384B" w:rsidP="008D0098">
      <w:pPr>
        <w:pStyle w:val="Heading2"/>
        <w:numPr>
          <w:ilvl w:val="0"/>
          <w:numId w:val="24"/>
        </w:numPr>
        <w:ind w:left="709" w:hanging="709"/>
      </w:pPr>
      <w:r w:rsidRPr="000501D8">
        <w:t>Eligible projects</w:t>
      </w:r>
    </w:p>
    <w:p w:rsidR="003E37C7" w:rsidRDefault="001B3AA6" w:rsidP="003E37C7">
      <w:pPr>
        <w:pStyle w:val="NormalIndent"/>
        <w:spacing w:line="276" w:lineRule="auto"/>
        <w:ind w:left="709"/>
      </w:pPr>
      <w:r>
        <w:t xml:space="preserve">Partial bid cost </w:t>
      </w:r>
      <w:r w:rsidR="008A52B5">
        <w:t>reimbursement</w:t>
      </w:r>
      <w:r>
        <w:t xml:space="preserve"> may </w:t>
      </w:r>
      <w:r w:rsidR="008A52B5">
        <w:t>be considered</w:t>
      </w:r>
      <w:r>
        <w:t xml:space="preserve"> </w:t>
      </w:r>
      <w:r w:rsidR="008A52B5">
        <w:t>for</w:t>
      </w:r>
      <w:r>
        <w:t xml:space="preserve"> major construction projects that meet the required eligibility </w:t>
      </w:r>
      <w:r w:rsidR="008A52B5">
        <w:t>criteria</w:t>
      </w:r>
      <w:r>
        <w:t xml:space="preserve">. </w:t>
      </w:r>
      <w:r w:rsidR="003E37C7">
        <w:t xml:space="preserve">Major construction projects are defined </w:t>
      </w:r>
      <w:r w:rsidR="008A52B5">
        <w:t>as:</w:t>
      </w:r>
    </w:p>
    <w:p w:rsidR="003E37C7" w:rsidRDefault="003E37C7" w:rsidP="005D4027">
      <w:pPr>
        <w:pStyle w:val="Bulletindent"/>
      </w:pPr>
      <w:r>
        <w:t>Public Private Partnerships (PPPs);</w:t>
      </w:r>
    </w:p>
    <w:p w:rsidR="003E37C7" w:rsidRDefault="003E37C7" w:rsidP="005D4027">
      <w:pPr>
        <w:pStyle w:val="Bulletindent"/>
      </w:pPr>
      <w:r>
        <w:t>Alliances</w:t>
      </w:r>
      <w:r w:rsidR="005E3862">
        <w:t>;</w:t>
      </w:r>
      <w:r>
        <w:t xml:space="preserve"> and</w:t>
      </w:r>
    </w:p>
    <w:p w:rsidR="003E37C7" w:rsidRDefault="000501D8" w:rsidP="005D4027">
      <w:pPr>
        <w:pStyle w:val="Bulletindent"/>
      </w:pPr>
      <w:r>
        <w:t xml:space="preserve">High Value High Risk </w:t>
      </w:r>
      <w:r w:rsidR="003E37C7">
        <w:t xml:space="preserve">projects </w:t>
      </w:r>
      <w:r w:rsidR="00960F83">
        <w:t xml:space="preserve">as identified </w:t>
      </w:r>
      <w:r>
        <w:t>by</w:t>
      </w:r>
      <w:r w:rsidR="00E7397E">
        <w:t xml:space="preserve"> Victoria’s HVHR framework</w:t>
      </w:r>
      <w:r w:rsidR="003E37C7">
        <w:t>.</w:t>
      </w:r>
    </w:p>
    <w:p w:rsidR="003E37C7" w:rsidRPr="000501D8" w:rsidRDefault="003E37C7" w:rsidP="008D0098">
      <w:pPr>
        <w:pStyle w:val="Heading2"/>
        <w:numPr>
          <w:ilvl w:val="0"/>
          <w:numId w:val="24"/>
        </w:numPr>
        <w:ind w:left="709" w:hanging="709"/>
      </w:pPr>
      <w:bookmarkStart w:id="1" w:name="_Toc4506679"/>
      <w:r w:rsidRPr="000501D8">
        <w:t>Eligibility Criteria</w:t>
      </w:r>
      <w:bookmarkEnd w:id="1"/>
    </w:p>
    <w:p w:rsidR="003E37C7" w:rsidRDefault="003E37C7">
      <w:pPr>
        <w:pStyle w:val="NormalIndent"/>
        <w:spacing w:line="276" w:lineRule="auto"/>
        <w:ind w:left="709"/>
      </w:pPr>
      <w:r w:rsidRPr="00B742CB">
        <w:t xml:space="preserve">In </w:t>
      </w:r>
      <w:r>
        <w:t xml:space="preserve">assessing eligibility for </w:t>
      </w:r>
      <w:r w:rsidRPr="00B97B40">
        <w:t>partial</w:t>
      </w:r>
      <w:r>
        <w:t xml:space="preserve"> bid cost</w:t>
      </w:r>
      <w:r w:rsidRPr="00B97B40">
        <w:t xml:space="preserve"> </w:t>
      </w:r>
      <w:r>
        <w:t xml:space="preserve">reimbursement, </w:t>
      </w:r>
      <w:r w:rsidR="00960F83">
        <w:t>G</w:t>
      </w:r>
      <w:r w:rsidR="00E7397E" w:rsidRPr="00AE76EC">
        <w:t>overnment</w:t>
      </w:r>
      <w:r w:rsidRPr="00AE76EC">
        <w:t xml:space="preserve"> </w:t>
      </w:r>
      <w:r w:rsidR="008A52B5" w:rsidRPr="0009198B">
        <w:t>will</w:t>
      </w:r>
      <w:r w:rsidR="008A52B5" w:rsidRPr="00AE76EC">
        <w:t xml:space="preserve"> </w:t>
      </w:r>
      <w:r w:rsidRPr="00AE76EC">
        <w:t>consider</w:t>
      </w:r>
      <w:r w:rsidR="000501D8">
        <w:t>:</w:t>
      </w:r>
      <w:r w:rsidRPr="00B742CB">
        <w:t xml:space="preserve"> (</w:t>
      </w:r>
      <w:r>
        <w:t>a</w:t>
      </w:r>
      <w:r w:rsidR="00960F83" w:rsidRPr="00B742CB">
        <w:t>)</w:t>
      </w:r>
      <w:r w:rsidR="00960F83">
        <w:t> </w:t>
      </w:r>
      <w:r w:rsidRPr="00B742CB">
        <w:t xml:space="preserve">project specific </w:t>
      </w:r>
      <w:r>
        <w:t>criteria</w:t>
      </w:r>
      <w:r w:rsidR="000501D8">
        <w:t>;</w:t>
      </w:r>
      <w:r>
        <w:t xml:space="preserve"> </w:t>
      </w:r>
      <w:r w:rsidRPr="00B742CB">
        <w:t>(</w:t>
      </w:r>
      <w:r>
        <w:t>b</w:t>
      </w:r>
      <w:r w:rsidR="00960F83" w:rsidRPr="00B742CB">
        <w:t>)</w:t>
      </w:r>
      <w:r w:rsidR="00960F83">
        <w:t> </w:t>
      </w:r>
      <w:r w:rsidRPr="00B742CB">
        <w:t>broader market criteria</w:t>
      </w:r>
      <w:r>
        <w:t xml:space="preserve"> and conditions</w:t>
      </w:r>
      <w:r w:rsidR="00960F83">
        <w:t>; and w</w:t>
      </w:r>
      <w:r w:rsidRPr="00B742CB">
        <w:t>here applicable</w:t>
      </w:r>
      <w:r>
        <w:t xml:space="preserve">, </w:t>
      </w:r>
      <w:r w:rsidRPr="00B742CB">
        <w:t>(</w:t>
      </w:r>
      <w:r>
        <w:t>c</w:t>
      </w:r>
      <w:r w:rsidRPr="00B742CB">
        <w:t>) change of tender circumstances.</w:t>
      </w:r>
    </w:p>
    <w:p w:rsidR="003E37C7" w:rsidRDefault="008D0098" w:rsidP="008D0098">
      <w:pPr>
        <w:pStyle w:val="Heading3"/>
        <w:ind w:left="0"/>
      </w:pPr>
      <w:bookmarkStart w:id="2" w:name="_Toc4506680"/>
      <w:r>
        <w:t>3.1</w:t>
      </w:r>
      <w:r>
        <w:tab/>
      </w:r>
      <w:r w:rsidR="003E37C7">
        <w:t>Project specific criteria</w:t>
      </w:r>
      <w:bookmarkEnd w:id="2"/>
    </w:p>
    <w:p w:rsidR="003E37C7" w:rsidRDefault="003E37C7" w:rsidP="003E37C7">
      <w:pPr>
        <w:pStyle w:val="NormalIndent"/>
        <w:ind w:left="709"/>
      </w:pPr>
      <w:r>
        <w:t>Projects are required to meet all the following criteria:</w:t>
      </w:r>
    </w:p>
    <w:p w:rsidR="005D4027" w:rsidRPr="005D4027" w:rsidRDefault="005D4027" w:rsidP="00C27F09">
      <w:pPr>
        <w:pStyle w:val="Bulletindent"/>
      </w:pPr>
      <w:bookmarkStart w:id="3" w:name="_Toc4506681"/>
      <w:r w:rsidRPr="005D4027">
        <w:t>there is a need to further incentivise strong bids and enhance competitive tension for the project based on market sounding</w:t>
      </w:r>
      <w:r w:rsidR="00F11205">
        <w:t xml:space="preserve"> and / or Expression of Interest responses</w:t>
      </w:r>
      <w:r w:rsidR="002B7C35">
        <w:t>;</w:t>
      </w:r>
    </w:p>
    <w:p w:rsidR="005D4027" w:rsidRPr="005D4027" w:rsidRDefault="005D4027" w:rsidP="005D4027">
      <w:pPr>
        <w:pStyle w:val="Bulletindent"/>
      </w:pPr>
      <w:r w:rsidRPr="005D4027">
        <w:t>the project is of significant scale and complexity;</w:t>
      </w:r>
    </w:p>
    <w:p w:rsidR="005D4027" w:rsidRDefault="005D4027" w:rsidP="005D4027">
      <w:pPr>
        <w:pStyle w:val="Bulletindent"/>
      </w:pPr>
      <w:r w:rsidRPr="005D4027">
        <w:t>the project has components that would benefit from the use of intellectual property from other tenders; and</w:t>
      </w:r>
    </w:p>
    <w:p w:rsidR="005D4027" w:rsidRPr="005D4027" w:rsidRDefault="005D4027" w:rsidP="005D4027">
      <w:pPr>
        <w:pStyle w:val="Bulletindent"/>
      </w:pPr>
      <w:r>
        <w:rPr>
          <w:rFonts w:ascii="Helv" w:hAnsi="Helv" w:cs="Helv"/>
          <w:color w:val="000000"/>
          <w:spacing w:val="0"/>
        </w:rPr>
        <w:t>there is sufficient budget funding to enable reimbursement of bid costs.</w:t>
      </w:r>
    </w:p>
    <w:p w:rsidR="003E37C7" w:rsidRDefault="008D0098" w:rsidP="008D0098">
      <w:pPr>
        <w:pStyle w:val="Heading3"/>
        <w:ind w:left="0"/>
      </w:pPr>
      <w:r>
        <w:t>3.2</w:t>
      </w:r>
      <w:r>
        <w:tab/>
      </w:r>
      <w:r w:rsidR="003E37C7">
        <w:t>Broader market criteria and conditions</w:t>
      </w:r>
      <w:bookmarkEnd w:id="3"/>
    </w:p>
    <w:p w:rsidR="003E37C7" w:rsidRPr="005D4027" w:rsidRDefault="003E37C7" w:rsidP="005D4027">
      <w:pPr>
        <w:pStyle w:val="NormalIndent"/>
        <w:spacing w:line="276" w:lineRule="auto"/>
        <w:ind w:left="709"/>
      </w:pPr>
      <w:r w:rsidRPr="005D4027">
        <w:t>Broader market criteria and conditions include:</w:t>
      </w:r>
    </w:p>
    <w:p w:rsidR="003E37C7" w:rsidRDefault="003E37C7" w:rsidP="003E37C7">
      <w:pPr>
        <w:pStyle w:val="Bulletindent"/>
      </w:pPr>
      <w:r>
        <w:t>the need to incentivise bidders to promote the best bid and procurement outcomes;</w:t>
      </w:r>
    </w:p>
    <w:p w:rsidR="003E37C7" w:rsidRDefault="003E37C7" w:rsidP="003E37C7">
      <w:pPr>
        <w:pStyle w:val="Bulletindent"/>
      </w:pPr>
      <w:r>
        <w:t>where there is a significant active pipeline of infrastructure projects in delivery within Victoria and/or across Australia;</w:t>
      </w:r>
    </w:p>
    <w:p w:rsidR="003E37C7" w:rsidRDefault="003E37C7" w:rsidP="003E37C7">
      <w:pPr>
        <w:pStyle w:val="Bulletindent"/>
      </w:pPr>
      <w:r>
        <w:t>encouraging entry into the market where there is an identifiable gap in expertise, experience, capacity and capability within the Victorian market created by the number and complexity of tenders in the market, their size and the ability of potential bidders to take on project risks;</w:t>
      </w:r>
    </w:p>
    <w:p w:rsidR="003E37C7" w:rsidRDefault="003E37C7" w:rsidP="003E37C7">
      <w:pPr>
        <w:pStyle w:val="Bulletindent"/>
      </w:pPr>
      <w:r>
        <w:t>encouraging investment in the market where there is active international interest;</w:t>
      </w:r>
    </w:p>
    <w:p w:rsidR="003E37C7" w:rsidRDefault="003E37C7" w:rsidP="003E37C7">
      <w:pPr>
        <w:pStyle w:val="Bulletindent"/>
      </w:pPr>
      <w:r>
        <w:lastRenderedPageBreak/>
        <w:t>a reasonable expectation that the contribution to bid costs is likely to lead to greater competition; and</w:t>
      </w:r>
    </w:p>
    <w:p w:rsidR="003E37C7" w:rsidRDefault="003E37C7" w:rsidP="003E37C7">
      <w:pPr>
        <w:pStyle w:val="Bulletindent"/>
      </w:pPr>
      <w:r>
        <w:t>other relevant market factors.</w:t>
      </w:r>
    </w:p>
    <w:p w:rsidR="003E37C7" w:rsidRPr="00CC4FA4" w:rsidRDefault="008D0098" w:rsidP="008D0098">
      <w:pPr>
        <w:pStyle w:val="Heading3"/>
        <w:ind w:left="0"/>
      </w:pPr>
      <w:bookmarkStart w:id="4" w:name="_Hlk524958372"/>
      <w:bookmarkStart w:id="5" w:name="_Toc4506682"/>
      <w:r>
        <w:t>3.3</w:t>
      </w:r>
      <w:r>
        <w:tab/>
      </w:r>
      <w:r w:rsidR="003E37C7" w:rsidRPr="00CC4FA4">
        <w:t>Change of tender circumstances</w:t>
      </w:r>
      <w:bookmarkEnd w:id="4"/>
      <w:bookmarkEnd w:id="5"/>
    </w:p>
    <w:p w:rsidR="003E37C7" w:rsidRPr="00D4365C" w:rsidRDefault="003E37C7" w:rsidP="003E37C7">
      <w:pPr>
        <w:pStyle w:val="NormalIndent"/>
        <w:spacing w:line="276" w:lineRule="auto"/>
        <w:ind w:left="709"/>
      </w:pPr>
      <w:bookmarkStart w:id="6" w:name="_Hlk524958405"/>
      <w:r w:rsidRPr="00D4365C">
        <w:t xml:space="preserve">Partial reimbursement of bid costs </w:t>
      </w:r>
      <w:r w:rsidR="001F384B">
        <w:t>may</w:t>
      </w:r>
      <w:r w:rsidR="001F384B" w:rsidRPr="00D4365C">
        <w:t xml:space="preserve"> </w:t>
      </w:r>
      <w:r w:rsidRPr="00D4365C">
        <w:t>also be considered where:</w:t>
      </w:r>
    </w:p>
    <w:p w:rsidR="003E37C7" w:rsidRPr="00D4365C" w:rsidRDefault="003E37C7" w:rsidP="0009198B">
      <w:pPr>
        <w:pStyle w:val="NormalIndent"/>
        <w:numPr>
          <w:ilvl w:val="0"/>
          <w:numId w:val="23"/>
        </w:numPr>
        <w:spacing w:line="276" w:lineRule="auto"/>
      </w:pPr>
      <w:r w:rsidRPr="00D4365C">
        <w:t xml:space="preserve">the </w:t>
      </w:r>
      <w:r w:rsidR="007502D6">
        <w:t>G</w:t>
      </w:r>
      <w:r w:rsidRPr="00D4365C">
        <w:t xml:space="preserve">overnment introduces significant additional requirements on the bidders for the project during the tender process; </w:t>
      </w:r>
    </w:p>
    <w:p w:rsidR="003E37C7" w:rsidRPr="00D4365C" w:rsidRDefault="003E37C7" w:rsidP="0009198B">
      <w:pPr>
        <w:pStyle w:val="NormalIndent"/>
        <w:numPr>
          <w:ilvl w:val="0"/>
          <w:numId w:val="23"/>
        </w:numPr>
        <w:spacing w:line="276" w:lineRule="auto"/>
      </w:pPr>
      <w:r w:rsidRPr="00D4365C">
        <w:t xml:space="preserve">the </w:t>
      </w:r>
      <w:r w:rsidR="005767BE">
        <w:t>G</w:t>
      </w:r>
      <w:r w:rsidRPr="00D4365C">
        <w:t xml:space="preserve">overnment </w:t>
      </w:r>
      <w:r w:rsidRPr="006B7709">
        <w:t xml:space="preserve">significantly </w:t>
      </w:r>
      <w:r w:rsidRPr="00D4365C">
        <w:t xml:space="preserve">lengthens the tender process; </w:t>
      </w:r>
      <w:r>
        <w:t>or</w:t>
      </w:r>
    </w:p>
    <w:p w:rsidR="003E37C7" w:rsidRPr="00D4365C" w:rsidRDefault="003E37C7" w:rsidP="0009198B">
      <w:pPr>
        <w:pStyle w:val="NormalIndent"/>
        <w:numPr>
          <w:ilvl w:val="0"/>
          <w:numId w:val="23"/>
        </w:numPr>
        <w:spacing w:line="276" w:lineRule="auto"/>
      </w:pPr>
      <w:r w:rsidRPr="00D4365C">
        <w:t>a tender process is cancelled after bids have been submitted.</w:t>
      </w:r>
      <w:bookmarkEnd w:id="6"/>
    </w:p>
    <w:p w:rsidR="00FF5531" w:rsidRPr="00FF5531" w:rsidRDefault="00824E8A" w:rsidP="0009198B">
      <w:pPr>
        <w:pStyle w:val="NormalIndent"/>
      </w:pPr>
      <w:r>
        <w:t xml:space="preserve">This </w:t>
      </w:r>
      <w:r w:rsidR="00D26E99">
        <w:t>assessment</w:t>
      </w:r>
      <w:r>
        <w:t xml:space="preserve"> </w:t>
      </w:r>
      <w:r w:rsidR="00D26E99">
        <w:t>consider</w:t>
      </w:r>
      <w:r w:rsidR="00AF4BB3">
        <w:t>s</w:t>
      </w:r>
      <w:r w:rsidR="00D26E99">
        <w:t xml:space="preserve"> the </w:t>
      </w:r>
      <w:r w:rsidR="003B4DBE">
        <w:t xml:space="preserve">cost </w:t>
      </w:r>
      <w:r w:rsidR="00960F83">
        <w:t>impact</w:t>
      </w:r>
      <w:r w:rsidR="00D26E99">
        <w:t xml:space="preserve"> </w:t>
      </w:r>
      <w:r w:rsidR="003B4DBE">
        <w:t xml:space="preserve">on the specific procurement, </w:t>
      </w:r>
      <w:r w:rsidR="00D26E99">
        <w:t xml:space="preserve">in line with </w:t>
      </w:r>
      <w:r>
        <w:t xml:space="preserve">Government’s </w:t>
      </w:r>
      <w:r w:rsidR="00D26E99">
        <w:t>existing commitment to reduce unnecessary time and cost of tendering.</w:t>
      </w:r>
    </w:p>
    <w:p w:rsidR="003E37C7" w:rsidRPr="000501D8" w:rsidRDefault="003E37C7" w:rsidP="008D0098">
      <w:pPr>
        <w:pStyle w:val="Heading2"/>
        <w:numPr>
          <w:ilvl w:val="0"/>
          <w:numId w:val="24"/>
        </w:numPr>
        <w:ind w:left="709" w:hanging="709"/>
      </w:pPr>
      <w:bookmarkStart w:id="7" w:name="_Toc4506683"/>
      <w:r w:rsidRPr="000501D8">
        <w:t>Approval</w:t>
      </w:r>
      <w:bookmarkEnd w:id="7"/>
    </w:p>
    <w:p w:rsidR="003E37C7" w:rsidRPr="00D4365C" w:rsidRDefault="003E37C7" w:rsidP="003E37C7">
      <w:pPr>
        <w:pStyle w:val="NormalIndent"/>
        <w:spacing w:line="276" w:lineRule="auto"/>
        <w:ind w:left="709"/>
      </w:pPr>
      <w:r w:rsidRPr="00167B99">
        <w:t xml:space="preserve">If the above factors are satisfied, </w:t>
      </w:r>
      <w:r w:rsidR="003B4DBE" w:rsidRPr="00167B99">
        <w:t>Government</w:t>
      </w:r>
      <w:r w:rsidRPr="00167B99">
        <w:t xml:space="preserve"> may consider partial bid cost reimbursement</w:t>
      </w:r>
      <w:r w:rsidR="00111A6F">
        <w:t xml:space="preserve">, </w:t>
      </w:r>
      <w:r w:rsidRPr="00167B99">
        <w:t xml:space="preserve">and the </w:t>
      </w:r>
      <w:r w:rsidR="00167B99">
        <w:t xml:space="preserve">reimbursement </w:t>
      </w:r>
      <w:r w:rsidR="00167B99" w:rsidRPr="0009198B">
        <w:t xml:space="preserve">conditions </w:t>
      </w:r>
      <w:r w:rsidR="00167B99">
        <w:t>appropriate</w:t>
      </w:r>
      <w:r w:rsidR="00167B99" w:rsidRPr="0009198B">
        <w:t xml:space="preserve"> for </w:t>
      </w:r>
      <w:r w:rsidR="00167B99">
        <w:t>the</w:t>
      </w:r>
      <w:r w:rsidR="00167B99" w:rsidRPr="0009198B">
        <w:t xml:space="preserve"> procurement.</w:t>
      </w:r>
    </w:p>
    <w:p w:rsidR="003B4DBE" w:rsidRPr="003B4DBE" w:rsidRDefault="00CA2C19" w:rsidP="0009198B">
      <w:r>
        <w:t xml:space="preserve">Any bid cost reimbursement </w:t>
      </w:r>
      <w:r w:rsidR="00167B99">
        <w:t>will</w:t>
      </w:r>
      <w:r>
        <w:t xml:space="preserve"> be approved by t</w:t>
      </w:r>
      <w:r w:rsidR="003E37C7">
        <w:t xml:space="preserve">he portfolio </w:t>
      </w:r>
      <w:r w:rsidR="007502D6">
        <w:t>M</w:t>
      </w:r>
      <w:r w:rsidR="003E37C7">
        <w:t xml:space="preserve">inister, in consultation with the Treasurer, </w:t>
      </w:r>
      <w:r w:rsidR="00A6052B">
        <w:t xml:space="preserve">prior to </w:t>
      </w:r>
      <w:r>
        <w:t>any commitments to the market</w:t>
      </w:r>
      <w:r w:rsidR="00A6052B">
        <w:t>.</w:t>
      </w:r>
    </w:p>
    <w:p w:rsidR="003E37C7" w:rsidRPr="00CC4FA4" w:rsidRDefault="001F384B" w:rsidP="008D0098">
      <w:pPr>
        <w:pStyle w:val="Heading2"/>
        <w:numPr>
          <w:ilvl w:val="0"/>
          <w:numId w:val="24"/>
        </w:numPr>
        <w:ind w:left="709" w:hanging="709"/>
      </w:pPr>
      <w:r>
        <w:t>Communicating bid cost reimbursement</w:t>
      </w:r>
    </w:p>
    <w:p w:rsidR="003E37C7" w:rsidRDefault="003E37C7" w:rsidP="003E37C7">
      <w:pPr>
        <w:pStyle w:val="NormalIndent"/>
        <w:spacing w:line="276" w:lineRule="auto"/>
        <w:ind w:left="709"/>
      </w:pPr>
      <w:r>
        <w:t xml:space="preserve">If </w:t>
      </w:r>
      <w:r w:rsidR="00A6052B">
        <w:t>partial bid cost reimbursement applies to a proc</w:t>
      </w:r>
      <w:r w:rsidR="00E7397E">
        <w:t>urement</w:t>
      </w:r>
      <w:r>
        <w:t xml:space="preserve">, the </w:t>
      </w:r>
      <w:r w:rsidR="00A6052B">
        <w:t xml:space="preserve">tender documentation will set out </w:t>
      </w:r>
      <w:r w:rsidR="0009198B">
        <w:t>bidders’</w:t>
      </w:r>
      <w:r w:rsidR="00A6052B">
        <w:t xml:space="preserve"> entitlements</w:t>
      </w:r>
      <w:r w:rsidR="00E7397E">
        <w:t>,</w:t>
      </w:r>
      <w:r w:rsidR="00A6052B">
        <w:t xml:space="preserve"> including covered items and any limitations on reimbursement.</w:t>
      </w:r>
    </w:p>
    <w:p w:rsidR="003E37C7" w:rsidRDefault="003E37C7" w:rsidP="003E37C7">
      <w:pPr>
        <w:pStyle w:val="NormalIndent"/>
        <w:spacing w:line="276" w:lineRule="auto"/>
        <w:ind w:left="709"/>
      </w:pPr>
      <w:r>
        <w:t>Reimbursement will be linked to receiving intellectual property (IP) rights from the unsuccessful bidder’s proposal and subject to the bidder submitting a conforming bid.</w:t>
      </w:r>
    </w:p>
    <w:p w:rsidR="006C055D" w:rsidRDefault="006C055D" w:rsidP="008D0098">
      <w:pPr>
        <w:pStyle w:val="Heading2"/>
        <w:numPr>
          <w:ilvl w:val="0"/>
          <w:numId w:val="24"/>
        </w:numPr>
        <w:ind w:left="709" w:hanging="709"/>
      </w:pPr>
      <w:r>
        <w:t>Additional Information</w:t>
      </w:r>
    </w:p>
    <w:p w:rsidR="006C055D" w:rsidRPr="006C3C56" w:rsidRDefault="001F384B" w:rsidP="006E4472">
      <w:pPr>
        <w:pStyle w:val="Listnum"/>
        <w:numPr>
          <w:ilvl w:val="0"/>
          <w:numId w:val="0"/>
        </w:numPr>
        <w:ind w:left="720"/>
        <w:rPr>
          <w:color w:val="000000" w:themeColor="text1"/>
        </w:rPr>
      </w:pPr>
      <w:r>
        <w:rPr>
          <w:color w:val="000000" w:themeColor="text1"/>
        </w:rPr>
        <w:t xml:space="preserve">Enquiries regarding </w:t>
      </w:r>
      <w:r w:rsidRPr="001F384B">
        <w:rPr>
          <w:b/>
          <w:color w:val="000000" w:themeColor="text1"/>
        </w:rPr>
        <w:t>Victoria’s Bid Cost Reimbursement Policy</w:t>
      </w:r>
      <w:r>
        <w:rPr>
          <w:color w:val="000000" w:themeColor="text1"/>
        </w:rPr>
        <w:t xml:space="preserve"> </w:t>
      </w:r>
      <w:r w:rsidR="003F3C9B" w:rsidRPr="006C3C56">
        <w:rPr>
          <w:color w:val="000000" w:themeColor="text1"/>
        </w:rPr>
        <w:t xml:space="preserve">should </w:t>
      </w:r>
      <w:r>
        <w:rPr>
          <w:color w:val="000000" w:themeColor="text1"/>
        </w:rPr>
        <w:t xml:space="preserve">be directed to </w:t>
      </w:r>
      <w:r w:rsidR="003F3C9B" w:rsidRPr="006C3C56">
        <w:rPr>
          <w:color w:val="000000" w:themeColor="text1"/>
        </w:rPr>
        <w:t xml:space="preserve">the Construction Policy </w:t>
      </w:r>
      <w:r w:rsidR="007502D6" w:rsidRPr="006C3C56">
        <w:rPr>
          <w:color w:val="000000" w:themeColor="text1"/>
        </w:rPr>
        <w:t>T</w:t>
      </w:r>
      <w:r w:rsidR="003F3C9B" w:rsidRPr="006C3C56">
        <w:rPr>
          <w:color w:val="000000" w:themeColor="text1"/>
        </w:rPr>
        <w:t>eam</w:t>
      </w:r>
      <w:r>
        <w:rPr>
          <w:color w:val="000000" w:themeColor="text1"/>
        </w:rPr>
        <w:t xml:space="preserve"> at the Victorian</w:t>
      </w:r>
      <w:r w:rsidR="003F3C9B" w:rsidRPr="006C3C56">
        <w:rPr>
          <w:color w:val="000000" w:themeColor="text1"/>
        </w:rPr>
        <w:t xml:space="preserve"> Department of Treasury and Finance</w:t>
      </w:r>
      <w:r w:rsidR="00B0352A">
        <w:rPr>
          <w:color w:val="000000" w:themeColor="text1"/>
        </w:rPr>
        <w:t>:</w:t>
      </w:r>
    </w:p>
    <w:p w:rsidR="008E3E8D" w:rsidRDefault="006C055D" w:rsidP="001F384B">
      <w:r w:rsidRPr="006C055D">
        <w:rPr>
          <w:b/>
          <w:bCs/>
        </w:rPr>
        <w:t>Email:</w:t>
      </w:r>
      <w:r w:rsidRPr="006C055D">
        <w:t xml:space="preserve"> </w:t>
      </w:r>
      <w:hyperlink r:id="rId25" w:tooltip="construction.procurement@dtf.vic.gov.au " w:history="1">
        <w:r w:rsidRPr="006C055D">
          <w:t>construction.procurement@dtf.vic.gov.au</w:t>
        </w:r>
      </w:hyperlink>
      <w:r w:rsidRPr="006C055D">
        <w:br/>
      </w:r>
      <w:r w:rsidR="001F384B">
        <w:rPr>
          <w:b/>
          <w:bCs/>
        </w:rPr>
        <w:t>Telep</w:t>
      </w:r>
      <w:r w:rsidRPr="006C055D">
        <w:rPr>
          <w:b/>
          <w:bCs/>
        </w:rPr>
        <w:t>hone:</w:t>
      </w:r>
      <w:r w:rsidRPr="006C055D">
        <w:t xml:space="preserve"> 03 </w:t>
      </w:r>
      <w:r w:rsidR="00934E3A">
        <w:t>7005 9533</w:t>
      </w:r>
      <w:bookmarkStart w:id="8" w:name="_GoBack"/>
      <w:bookmarkEnd w:id="8"/>
    </w:p>
    <w:p w:rsidR="006E4472" w:rsidRDefault="005767BE" w:rsidP="008E3E8D">
      <w:pPr>
        <w:sectPr w:rsidR="006E4472" w:rsidSect="008D0098">
          <w:footerReference w:type="default" r:id="rId26"/>
          <w:pgSz w:w="11906" w:h="16838" w:code="9"/>
          <w:pgMar w:top="2160" w:right="1440" w:bottom="1418" w:left="1440" w:header="706" w:footer="461" w:gutter="0"/>
          <w:pgNumType w:start="1"/>
          <w:cols w:space="708"/>
          <w:docGrid w:linePitch="360"/>
        </w:sectPr>
      </w:pPr>
      <w:r>
        <w:tab/>
      </w:r>
    </w:p>
    <w:p w:rsidR="00014213" w:rsidRPr="00D2312F" w:rsidRDefault="00014213" w:rsidP="00D2312F"/>
    <w:sectPr w:rsidR="00014213" w:rsidRPr="00D2312F" w:rsidSect="00014213">
      <w:headerReference w:type="even" r:id="rId27"/>
      <w:headerReference w:type="default" r:id="rId28"/>
      <w:footerReference w:type="even" r:id="rId29"/>
      <w:footerReference w:type="default" r:id="rId30"/>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55" w:rsidRDefault="00E50F55" w:rsidP="002D711A">
      <w:pPr>
        <w:spacing w:after="0" w:line="240" w:lineRule="auto"/>
      </w:pPr>
      <w:r>
        <w:separator/>
      </w:r>
    </w:p>
  </w:endnote>
  <w:endnote w:type="continuationSeparator" w:id="0">
    <w:p w:rsidR="00E50F55" w:rsidRDefault="00E50F5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864F20" w:rsidP="00CB3976">
    <w:pPr>
      <w:pStyle w:val="Spacer"/>
    </w:pPr>
    <w:r>
      <w:rPr>
        <w:noProof/>
      </w:rPr>
      <mc:AlternateContent>
        <mc:Choice Requires="wps">
          <w:drawing>
            <wp:anchor distT="0" distB="0" distL="114300" distR="114300" simplePos="0" relativeHeight="25168025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6" name="MSIPCMe3f14794b2626d0b94c5aa53"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3f14794b2626d0b94c5aa53" o:spid="_x0000_s1026" type="#_x0000_t202" alt="{&quot;HashCode&quot;:-1267603503,&quot;Height&quot;:841.0,&quot;Width&quot;:595.0,&quot;Placement&quot;:&quot;Footer&quot;,&quot;Index&quot;:&quot;OddAndEven&quot;,&quot;Section&quot;:1,&quot;Top&quot;:0.0,&quot;Left&quot;:0.0}" style="position:absolute;left:0;text-align:left;margin-left:0;margin-top:805.9pt;width:595.3pt;height:21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ATTowcjAwAAPAYAAA4A&#10;AAAAAAAAAAAAAAAALgIAAGRycy9lMm9Eb2MueG1sUEsBAi0AFAAGAAgAAAAhAGARxibeAAAACwEA&#10;AA8AAAAAAAAAAAAAAAAAfQUAAGRycy9kb3ducmV2LnhtbFBLBQYAAAAABAAEAPMAAACIBgAAAAA=&#10;" o:allowincell="f" filled="f" stroked="f" strokeweight=".5pt">
              <v:textbox inset="20pt,0,,0">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v:textbox>
              <w10:wrap anchorx="page" anchory="page"/>
            </v:shape>
          </w:pict>
        </mc:Fallback>
      </mc:AlternateContent>
    </w:r>
  </w:p>
  <w:p w:rsidR="00C27F09" w:rsidRDefault="00C2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864F20" w:rsidP="00CB3976">
    <w:pPr>
      <w:pStyle w:val="Spacer"/>
    </w:pPr>
    <w:r>
      <w:rPr>
        <w:noProof/>
      </w:rPr>
      <mc:AlternateContent>
        <mc:Choice Requires="wps">
          <w:drawing>
            <wp:anchor distT="0" distB="0" distL="114300" distR="114300" simplePos="0" relativeHeight="25167104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5" name="MSIPCM13ac47d9bfd3cd91c095086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3ac47d9bfd3cd91c0950860" o:spid="_x0000_s1027"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yJQMoIQMAAEAGAAAOAAAA&#10;AAAAAAAAAAAAAC4CAABkcnMvZTJvRG9jLnhtbFBLAQItABQABgAIAAAAIQBgEcYm3gAAAAsBAAAP&#10;AAAAAAAAAAAAAAAAAHsFAABkcnMvZG93bnJldi54bWxQSwUGAAAAAAQABADzAAAAhgYAAAAA&#10;" o:allowincell="f" filled="f" stroked="f" strokeweight=".5pt">
              <v:textbox inset="20pt,0,,0">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v:textbox>
              <w10:wrap anchorx="page" anchory="page"/>
            </v:shape>
          </w:pict>
        </mc:Fallback>
      </mc:AlternateContent>
    </w:r>
  </w:p>
  <w:p w:rsidR="00C27F09" w:rsidRDefault="00C27F09" w:rsidP="00C022F9">
    <w:pPr>
      <w:pStyle w:val="Footer"/>
    </w:pPr>
    <w:r>
      <w:drawing>
        <wp:anchor distT="0" distB="0" distL="114300" distR="114300" simplePos="0" relativeHeight="251661824" behindDoc="0" locked="0" layoutInCell="1" allowOverlap="1" wp14:anchorId="0D61376B" wp14:editId="6597C2BC">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3A" w:rsidRDefault="00934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864F20" w:rsidP="00780FE6">
    <w:pPr>
      <w:pStyle w:val="Spacer"/>
      <w:ind w:left="0"/>
    </w:pPr>
    <w:r>
      <w:rPr>
        <w:noProof/>
      </w:rPr>
      <mc:AlternateContent>
        <mc:Choice Requires="wps">
          <w:drawing>
            <wp:anchor distT="0" distB="0" distL="114300" distR="114300" simplePos="0" relativeHeight="2516986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9" name="MSIPCM7e904695bfb9c3b77deefb44"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e904695bfb9c3b77deefb44"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98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IVB/eQmAwAAQwYA&#10;AA4AAAAAAAAAAAAAAAAALgIAAGRycy9lMm9Eb2MueG1sUEsBAi0AFAAGAAgAAAAhAGARxibeAAAA&#10;CwEAAA8AAAAAAAAAAAAAAAAAgAUAAGRycy9kb3ducmV2LnhtbFBLBQYAAAAABAAEAPMAAACLBgAA&#10;AAA=&#10;" o:allowincell="f" filled="f" stroked="f" strokeweight=".5pt">
              <v:textbox inset="20pt,0,,0">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v:textbox>
              <w10:wrap anchorx="page" anchory="page"/>
            </v:shape>
          </w:pict>
        </mc:Fallback>
      </mc:AlternateContent>
    </w:r>
  </w:p>
  <w:p w:rsidR="00C27F09" w:rsidRPr="00780FE6" w:rsidRDefault="00C27F09" w:rsidP="00780FE6">
    <w:pPr>
      <w:pStyle w:val="Footer"/>
      <w:ind w:left="0"/>
      <w:rPr>
        <w:b/>
        <w:color w:val="0063A6" w:themeColor="accent1"/>
      </w:rP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C022F9">
      <w:rPr>
        <w:b/>
        <w:color w:val="0063A6" w:themeColor="accent1"/>
      </w:rPr>
      <w:fldChar w:fldCharType="begin"/>
    </w:r>
    <w:r w:rsidRPr="00C022F9">
      <w:rPr>
        <w:b/>
        <w:color w:val="0063A6" w:themeColor="accent1"/>
      </w:rPr>
      <w:instrText xml:space="preserve"> StyleRef “Title” </w:instrText>
    </w:r>
    <w:r w:rsidRPr="00C022F9">
      <w:rPr>
        <w:b/>
        <w:color w:val="0063A6" w:themeColor="accent1"/>
      </w:rPr>
      <w:fldChar w:fldCharType="separate"/>
    </w:r>
    <w:r w:rsidR="00934E3A">
      <w:rPr>
        <w:b/>
        <w:color w:val="0063A6" w:themeColor="accent1"/>
      </w:rPr>
      <w:t>Bid Cost Reimbursement for Major Construction Projects</w:t>
    </w:r>
    <w:r w:rsidRPr="00C022F9">
      <w:rPr>
        <w:b/>
        <w:color w:val="0063A6" w:themeColor="accent1"/>
      </w:rPr>
      <w:fldChar w:fldCharType="end"/>
    </w:r>
    <w:r w:rsidRPr="00C022F9">
      <w:rPr>
        <w:b/>
        <w:color w:val="0063A6" w:themeColor="accent1"/>
      </w:rPr>
      <w:t xml:space="preserve"> – </w:t>
    </w:r>
    <w:r w:rsidRPr="00780FE6">
      <w:rPr>
        <w:b/>
        <w:color w:val="0063A6" w:themeColor="accent1"/>
      </w:rPr>
      <w:fldChar w:fldCharType="begin"/>
    </w:r>
    <w:r w:rsidRPr="00780FE6">
      <w:rPr>
        <w:b/>
        <w:color w:val="0063A6" w:themeColor="accent1"/>
      </w:rPr>
      <w:instrText xml:space="preserve"> StyleRef “Subtitle” </w:instrText>
    </w:r>
    <w:r w:rsidRPr="00780FE6">
      <w:rPr>
        <w:b/>
        <w:color w:val="0063A6" w:themeColor="accent1"/>
      </w:rPr>
      <w:fldChar w:fldCharType="separate"/>
    </w:r>
    <w:r w:rsidR="00934E3A">
      <w:rPr>
        <w:b/>
        <w:color w:val="0063A6" w:themeColor="accent1"/>
      </w:rPr>
      <w:t>Policy</w:t>
    </w:r>
    <w:r w:rsidRPr="00780FE6">
      <w:rPr>
        <w:b/>
        <w:color w:val="0063A6"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864F20" w:rsidP="00165E66">
    <w:pPr>
      <w:pStyle w:val="Spacer"/>
    </w:pPr>
    <w:r>
      <w:rPr>
        <w:noProof/>
      </w:rPr>
      <mc:AlternateContent>
        <mc:Choice Requires="wps">
          <w:drawing>
            <wp:anchor distT="0" distB="0" distL="114300" distR="114300" simplePos="0" relativeHeight="25168947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7" name="MSIPCM59714455a663b0db3952d16b"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9714455a663b0db3952d16b" o:spid="_x0000_s1029" type="#_x0000_t202" alt="{&quot;HashCode&quot;:-1267603503,&quot;Height&quot;:841.0,&quot;Width&quot;:595.0,&quot;Placement&quot;:&quot;Footer&quot;,&quot;Index&quot;:&quot;Primary&quot;,&quot;Section&quot;:2,&quot;Top&quot;:0.0,&quot;Left&quot;:0.0}" style="position:absolute;left:0;text-align:left;margin-left:0;margin-top:805.9pt;width:595.3pt;height:21pt;z-index:251689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X6YpLJAMAAEAGAAAO&#10;AAAAAAAAAAAAAAAAAC4CAABkcnMvZTJvRG9jLnhtbFBLAQItABQABgAIAAAAIQBgEcYm3gAAAAsB&#10;AAAPAAAAAAAAAAAAAAAAAH4FAABkcnMvZG93bnJldi54bWxQSwUGAAAAAAQABADzAAAAiQYAAAAA&#10;" o:allowincell="f" filled="f" stroked="f" strokeweight=".5pt">
              <v:textbox inset="20pt,0,,0">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v:textbox>
              <w10:wrap anchorx="page" anchory="page"/>
            </v:shape>
          </w:pict>
        </mc:Fallback>
      </mc:AlternateContent>
    </w:r>
  </w:p>
  <w:p w:rsidR="00C27F09" w:rsidRPr="00C022F9" w:rsidRDefault="00C27F09" w:rsidP="00780FE6">
    <w:pPr>
      <w:pStyle w:val="Footer"/>
      <w:ind w:left="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34E3A">
      <w:rPr>
        <w:b/>
        <w:color w:val="0063A6" w:themeColor="accent1"/>
      </w:rPr>
      <w:t>Bid Cost Reimbursement for Major Construction Projects</w:t>
    </w:r>
    <w:r w:rsidRPr="00C022F9">
      <w:rPr>
        <w:b/>
        <w:color w:val="0063A6" w:themeColor="accent1"/>
      </w:rPr>
      <w:fldChar w:fldCharType="end"/>
    </w:r>
    <w:r w:rsidRPr="00C022F9">
      <w:rPr>
        <w:b/>
        <w:color w:val="0063A6" w:themeColor="accent1"/>
      </w:rPr>
      <w:t xml:space="preserve"> – </w:t>
    </w:r>
    <w:r w:rsidRPr="005C0B6C">
      <w:rPr>
        <w:b/>
        <w:color w:val="0063A6" w:themeColor="accent1"/>
      </w:rPr>
      <w:fldChar w:fldCharType="begin"/>
    </w:r>
    <w:r w:rsidRPr="005C0B6C">
      <w:rPr>
        <w:b/>
        <w:color w:val="0063A6" w:themeColor="accent1"/>
      </w:rPr>
      <w:instrText xml:space="preserve"> StyleRef “Subtitle” </w:instrText>
    </w:r>
    <w:r w:rsidRPr="005C0B6C">
      <w:rPr>
        <w:b/>
        <w:color w:val="0063A6" w:themeColor="accent1"/>
      </w:rPr>
      <w:fldChar w:fldCharType="separate"/>
    </w:r>
    <w:r w:rsidR="00934E3A">
      <w:rPr>
        <w:b/>
        <w:color w:val="0063A6" w:themeColor="accent1"/>
      </w:rPr>
      <w:t>Policy</w:t>
    </w:r>
    <w:r w:rsidRPr="005C0B6C">
      <w:rPr>
        <w:b/>
        <w:color w:val="0063A6" w:themeColor="accent1"/>
      </w:rPr>
      <w:fldChar w:fldCharType="end"/>
    </w:r>
    <w:r>
      <w:t xml:space="preserve"> </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98" w:rsidRDefault="00864F20" w:rsidP="008D0098">
    <w:pPr>
      <w:pStyle w:val="Spacer"/>
      <w:ind w:left="0"/>
    </w:pPr>
    <w:r>
      <w:rPr>
        <w:noProof/>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0" name="MSIPCM6cef477699d515238f83012f"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cef477699d515238f83012f" o:spid="_x0000_s1030" type="#_x0000_t202" alt="{&quot;HashCode&quot;:-1267603503,&quot;Height&quot;:841.0,&quot;Width&quot;:595.0,&quot;Placement&quot;:&quot;Footer&quot;,&quot;Index&quot;:&quot;Primary&quot;,&quot;Section&quot;:3,&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I+bsxgjAwAAQAYAAA4A&#10;AAAAAAAAAAAAAAAALgIAAGRycy9lMm9Eb2MueG1sUEsBAi0AFAAGAAgAAAAhAGARxibeAAAACwEA&#10;AA8AAAAAAAAAAAAAAAAAfQUAAGRycy9kb3ducmV2LnhtbFBLBQYAAAAABAAEAPMAAACIBgAAAAA=&#10;" o:allowincell="f" filled="f" stroked="f" strokeweight=".5pt">
              <v:textbox inset="20pt,0,,0">
                <w:txbxContent>
                  <w:p w:rsidR="00864F20" w:rsidRPr="00864F20" w:rsidRDefault="00864F20" w:rsidP="00864F20">
                    <w:pPr>
                      <w:spacing w:before="0" w:after="0"/>
                      <w:ind w:left="0"/>
                      <w:rPr>
                        <w:rFonts w:ascii="Calibri" w:hAnsi="Calibri" w:cs="Calibri"/>
                        <w:color w:val="000000"/>
                        <w:sz w:val="22"/>
                      </w:rPr>
                    </w:pPr>
                    <w:r w:rsidRPr="00864F20">
                      <w:rPr>
                        <w:rFonts w:ascii="Calibri" w:hAnsi="Calibri" w:cs="Calibri"/>
                        <w:color w:val="000000"/>
                        <w:sz w:val="22"/>
                      </w:rPr>
                      <w:t>OFFICIAL</w:t>
                    </w:r>
                  </w:p>
                </w:txbxContent>
              </v:textbox>
              <w10:wrap anchorx="page" anchory="page"/>
            </v:shape>
          </w:pict>
        </mc:Fallback>
      </mc:AlternateContent>
    </w:r>
  </w:p>
  <w:p w:rsidR="008D0098" w:rsidRPr="00C022F9" w:rsidRDefault="008D0098" w:rsidP="008D0098">
    <w:pPr>
      <w:pStyle w:val="Footer"/>
      <w:ind w:left="0"/>
    </w:pPr>
    <w:r w:rsidRPr="008D0098">
      <w:rPr>
        <w:b/>
        <w:noProof w:val="0"/>
        <w:color w:val="0063A6" w:themeColor="accent1"/>
      </w:rPr>
      <w:fldChar w:fldCharType="begin"/>
    </w:r>
    <w:r w:rsidRPr="008D0098">
      <w:rPr>
        <w:b/>
        <w:color w:val="0063A6" w:themeColor="accent1"/>
      </w:rPr>
      <w:instrText xml:space="preserve"> StyleRef “Title” </w:instrText>
    </w:r>
    <w:r w:rsidRPr="008D0098">
      <w:rPr>
        <w:b/>
        <w:noProof w:val="0"/>
        <w:color w:val="0063A6" w:themeColor="accent1"/>
      </w:rPr>
      <w:fldChar w:fldCharType="separate"/>
    </w:r>
    <w:r w:rsidR="00934E3A">
      <w:rPr>
        <w:b/>
        <w:color w:val="0063A6" w:themeColor="accent1"/>
      </w:rPr>
      <w:t>Bid Cost Reimbursement for Major Construction Projects</w:t>
    </w:r>
    <w:r w:rsidRPr="008D0098">
      <w:rPr>
        <w:b/>
        <w:color w:val="0063A6" w:themeColor="accent1"/>
      </w:rPr>
      <w:fldChar w:fldCharType="end"/>
    </w:r>
    <w:r w:rsidRPr="008D0098">
      <w:rPr>
        <w:b/>
        <w:color w:val="0063A6" w:themeColor="accent1"/>
      </w:rPr>
      <w:t xml:space="preserve"> – </w:t>
    </w:r>
    <w:r w:rsidRPr="008D0098">
      <w:rPr>
        <w:b/>
        <w:noProof w:val="0"/>
        <w:color w:val="0063A6" w:themeColor="accent1"/>
      </w:rPr>
      <w:fldChar w:fldCharType="begin"/>
    </w:r>
    <w:r w:rsidRPr="008D0098">
      <w:rPr>
        <w:b/>
        <w:color w:val="0063A6" w:themeColor="accent1"/>
      </w:rPr>
      <w:instrText xml:space="preserve"> StyleRef “Subtitle” </w:instrText>
    </w:r>
    <w:r w:rsidRPr="008D0098">
      <w:rPr>
        <w:b/>
        <w:noProof w:val="0"/>
        <w:color w:val="0063A6" w:themeColor="accent1"/>
      </w:rPr>
      <w:fldChar w:fldCharType="separate"/>
    </w:r>
    <w:r w:rsidR="00934E3A">
      <w:rPr>
        <w:b/>
        <w:color w:val="0063A6" w:themeColor="accent1"/>
      </w:rPr>
      <w:t>Policy</w:t>
    </w:r>
    <w:r w:rsidRPr="008D0098">
      <w:rPr>
        <w:b/>
        <w:color w:val="0063A6" w:themeColor="accent1"/>
      </w:rPr>
      <w:fldChar w:fldCharType="end"/>
    </w:r>
    <w:r>
      <w:t xml:space="preserve"> </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Pr="00014213" w:rsidRDefault="005C0B6C" w:rsidP="00C022F9">
    <w:pPr>
      <w:pStyle w:val="Footer"/>
    </w:pPr>
    <w: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4" name="MSIPCMd8424bb09131402c86d20023"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0B6C" w:rsidRPr="005C0B6C" w:rsidRDefault="005C0B6C" w:rsidP="005C0B6C">
                          <w:pPr>
                            <w:spacing w:before="0" w:after="0"/>
                            <w:ind w:left="0"/>
                            <w:rPr>
                              <w:rFonts w:ascii="Calibri" w:hAnsi="Calibri" w:cs="Calibri"/>
                              <w:color w:val="000000"/>
                              <w:sz w:val="22"/>
                            </w:rPr>
                          </w:pPr>
                          <w:r w:rsidRPr="005C0B6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8424bb09131402c86d20023" o:spid="_x0000_s1031" type="#_x0000_t202" alt="{&quot;HashCode&quot;:-1267603503,&quot;Height&quot;:841.0,&quot;Width&quot;:595.0,&quot;Placement&quot;:&quot;Footer&quot;,&quot;Index&quot;:&quot;OddAndEven&quot;,&quot;Section&quot;:4,&quot;Top&quot;:0.0,&quot;Left&quot;:0.0}" style="position:absolute;left:0;text-align:left;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KH+hqwmAwAAQwYA&#10;AA4AAAAAAAAAAAAAAAAALgIAAGRycy9lMm9Eb2MueG1sUEsBAi0AFAAGAAgAAAAhAGARxibeAAAA&#10;CwEAAA8AAAAAAAAAAAAAAAAAgAUAAGRycy9kb3ducmV2LnhtbFBLBQYAAAAABAAEAPMAAACLBgAA&#10;AAA=&#10;" o:allowincell="f" filled="f" stroked="f" strokeweight=".5pt">
              <v:textbox inset="20pt,0,,0">
                <w:txbxContent>
                  <w:p w:rsidR="005C0B6C" w:rsidRPr="005C0B6C" w:rsidRDefault="005C0B6C" w:rsidP="005C0B6C">
                    <w:pPr>
                      <w:spacing w:before="0" w:after="0"/>
                      <w:ind w:left="0"/>
                      <w:rPr>
                        <w:rFonts w:ascii="Calibri" w:hAnsi="Calibri" w:cs="Calibri"/>
                        <w:color w:val="000000"/>
                        <w:sz w:val="22"/>
                      </w:rPr>
                    </w:pPr>
                    <w:r w:rsidRPr="005C0B6C">
                      <w:rPr>
                        <w:rFonts w:ascii="Calibri" w:hAnsi="Calibri" w:cs="Calibri"/>
                        <w:color w:val="000000"/>
                        <w:sz w:val="22"/>
                      </w:rPr>
                      <w:t>OFFICIAL</w:t>
                    </w:r>
                  </w:p>
                </w:txbxContent>
              </v:textbox>
              <w10:wrap anchorx="page" anchory="page"/>
            </v:shape>
          </w:pict>
        </mc:Fallback>
      </mc:AlternateContent>
    </w:r>
    <w:r w:rsidR="00C27F09">
      <w:drawing>
        <wp:anchor distT="0" distB="0" distL="114300" distR="114300" simplePos="0" relativeHeight="251656704" behindDoc="0" locked="0" layoutInCell="1" allowOverlap="1" wp14:anchorId="65014E1F" wp14:editId="7E1EF22B">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5C0B6C" w:rsidP="00CB3976">
    <w:pPr>
      <w:pStyle w:val="Spacer"/>
    </w:pPr>
    <w:r>
      <w:rPr>
        <w:noProof/>
      </w:rPr>
      <mc:AlternateContent>
        <mc:Choice Requires="wps">
          <w:drawing>
            <wp:anchor distT="0" distB="0" distL="114300" distR="114300" simplePos="1" relativeHeight="251658752"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13" name="MSIPCM86074a13bba1ffb87433b016"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0B6C" w:rsidRPr="005C0B6C" w:rsidRDefault="005C0B6C" w:rsidP="005C0B6C">
                          <w:pPr>
                            <w:spacing w:before="0" w:after="0"/>
                            <w:ind w:left="0"/>
                            <w:rPr>
                              <w:rFonts w:ascii="Calibri" w:hAnsi="Calibri" w:cs="Calibri"/>
                              <w:color w:val="000000"/>
                              <w:sz w:val="22"/>
                            </w:rPr>
                          </w:pPr>
                          <w:r w:rsidRPr="005C0B6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6074a13bba1ffb87433b016" o:spid="_x0000_s1032" type="#_x0000_t202" alt="{&quot;HashCode&quot;:-1267603503,&quot;Height&quot;:841.0,&quot;Width&quot;:595.0,&quot;Placement&quot;:&quot;Footer&quot;,&quot;Index&quot;:&quot;Primary&quot;,&quot;Section&quot;:4,&quot;Top&quot;:0.0,&quot;Left&quot;:0.0}" style="position:absolute;left:0;text-align:left;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HjrlNgjAwAAQAYAAA4A&#10;AAAAAAAAAAAAAAAALgIAAGRycy9lMm9Eb2MueG1sUEsBAi0AFAAGAAgAAAAhAGARxibeAAAACwEA&#10;AA8AAAAAAAAAAAAAAAAAfQUAAGRycy9kb3ducmV2LnhtbFBLBQYAAAAABAAEAPMAAACIBgAAAAA=&#10;" o:allowincell="f" filled="f" stroked="f" strokeweight=".5pt">
              <v:textbox inset="20pt,0,,0">
                <w:txbxContent>
                  <w:p w:rsidR="005C0B6C" w:rsidRPr="005C0B6C" w:rsidRDefault="005C0B6C" w:rsidP="005C0B6C">
                    <w:pPr>
                      <w:spacing w:before="0" w:after="0"/>
                      <w:ind w:left="0"/>
                      <w:rPr>
                        <w:rFonts w:ascii="Calibri" w:hAnsi="Calibri" w:cs="Calibri"/>
                        <w:color w:val="000000"/>
                        <w:sz w:val="22"/>
                      </w:rPr>
                    </w:pPr>
                    <w:r w:rsidRPr="005C0B6C">
                      <w:rPr>
                        <w:rFonts w:ascii="Calibri" w:hAnsi="Calibri" w:cs="Calibri"/>
                        <w:color w:val="000000"/>
                        <w:sz w:val="22"/>
                      </w:rPr>
                      <w:t>OFFICIAL</w:t>
                    </w:r>
                  </w:p>
                </w:txbxContent>
              </v:textbox>
              <w10:wrap anchorx="page" anchory="page"/>
            </v:shape>
          </w:pict>
        </mc:Fallback>
      </mc:AlternateContent>
    </w:r>
  </w:p>
  <w:p w:rsidR="00C27F09" w:rsidRPr="00CB3976" w:rsidRDefault="00C27F09"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55" w:rsidRDefault="00E50F55" w:rsidP="002D711A">
      <w:pPr>
        <w:spacing w:after="0" w:line="240" w:lineRule="auto"/>
      </w:pPr>
      <w:r>
        <w:separator/>
      </w:r>
    </w:p>
  </w:footnote>
  <w:footnote w:type="continuationSeparator" w:id="0">
    <w:p w:rsidR="00E50F55" w:rsidRDefault="00E50F55"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3A" w:rsidRDefault="00934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C27F09">
    <w:pPr>
      <w:pStyle w:val="Header"/>
    </w:pPr>
    <w:r>
      <w:rPr>
        <w:noProof/>
      </w:rPr>
      <w:drawing>
        <wp:anchor distT="0" distB="0" distL="114300" distR="114300" simplePos="0" relativeHeight="251624960" behindDoc="1" locked="0" layoutInCell="1" allowOverlap="1" wp14:anchorId="3B6A20F8" wp14:editId="717F923F">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3392" behindDoc="0" locked="0" layoutInCell="1" allowOverlap="1" wp14:anchorId="461A7804" wp14:editId="007B1855">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3A" w:rsidRDefault="00934E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C27F09" w:rsidP="005306A2">
    <w:pPr>
      <w:pStyle w:val="Header"/>
    </w:pPr>
    <w:r>
      <w:rPr>
        <w:noProof/>
      </w:rPr>
      <w:drawing>
        <wp:anchor distT="0" distB="0" distL="114300" distR="114300" simplePos="0" relativeHeight="251652608" behindDoc="0" locked="0" layoutInCell="1" allowOverlap="1" wp14:anchorId="21D78B7D" wp14:editId="650EEDBC">
          <wp:simplePos x="0" y="0"/>
          <wp:positionH relativeFrom="column">
            <wp:posOffset>-931849</wp:posOffset>
          </wp:positionH>
          <wp:positionV relativeFrom="page">
            <wp:posOffset>0</wp:posOffset>
          </wp:positionV>
          <wp:extent cx="7591245" cy="740985"/>
          <wp:effectExtent l="0" t="0" r="0" b="2540"/>
          <wp:wrapNone/>
          <wp:docPr id="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C27F09">
    <w:pPr>
      <w:pStyle w:val="Header"/>
    </w:pPr>
    <w:r>
      <w:rPr>
        <w:noProof/>
      </w:rPr>
      <w:drawing>
        <wp:anchor distT="0" distB="0" distL="114300" distR="114300" simplePos="0" relativeHeight="251634176" behindDoc="0" locked="0" layoutInCell="1" allowOverlap="1" wp14:anchorId="08C32F66" wp14:editId="42FE1753">
          <wp:simplePos x="0" y="0"/>
          <wp:positionH relativeFrom="column">
            <wp:posOffset>-931849</wp:posOffset>
          </wp:positionH>
          <wp:positionV relativeFrom="page">
            <wp:posOffset>0</wp:posOffset>
          </wp:positionV>
          <wp:extent cx="7591245" cy="740985"/>
          <wp:effectExtent l="0" t="0" r="0"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C27F09">
    <w:pPr>
      <w:pStyle w:val="Header"/>
    </w:pPr>
    <w:r>
      <w:rPr>
        <w:noProof/>
      </w:rPr>
      <w:drawing>
        <wp:anchor distT="0" distB="0" distL="114300" distR="114300" simplePos="0" relativeHeight="251655680" behindDoc="0" locked="0" layoutInCell="1" allowOverlap="1" wp14:anchorId="0746CDAD" wp14:editId="424D0997">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2075B1FC" wp14:editId="5E39D900">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F09" w:rsidRDefault="00C2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726E"/>
    <w:multiLevelType w:val="hybridMultilevel"/>
    <w:tmpl w:val="54D624AE"/>
    <w:lvl w:ilvl="0" w:tplc="0C090001">
      <w:start w:val="1"/>
      <w:numFmt w:val="bullet"/>
      <w:lvlText w:val=""/>
      <w:lvlJc w:val="left"/>
      <w:pPr>
        <w:tabs>
          <w:tab w:val="num" w:pos="1560"/>
        </w:tabs>
        <w:ind w:left="1560" w:hanging="360"/>
      </w:pPr>
      <w:rPr>
        <w:rFonts w:ascii="Symbol" w:hAnsi="Symbol" w:hint="default"/>
      </w:rPr>
    </w:lvl>
    <w:lvl w:ilvl="1" w:tplc="0C090001">
      <w:start w:val="1"/>
      <w:numFmt w:val="bullet"/>
      <w:lvlText w:val=""/>
      <w:lvlJc w:val="left"/>
      <w:pPr>
        <w:tabs>
          <w:tab w:val="num" w:pos="2172"/>
        </w:tabs>
        <w:ind w:left="2172" w:hanging="360"/>
      </w:pPr>
      <w:rPr>
        <w:rFonts w:ascii="Symbol" w:hAnsi="Symbol" w:hint="default"/>
      </w:rPr>
    </w:lvl>
    <w:lvl w:ilvl="2" w:tplc="0C09001B">
      <w:start w:val="1"/>
      <w:numFmt w:val="lowerRoman"/>
      <w:lvlText w:val="%3."/>
      <w:lvlJc w:val="right"/>
      <w:pPr>
        <w:tabs>
          <w:tab w:val="num" w:pos="2892"/>
        </w:tabs>
        <w:ind w:left="2892" w:hanging="180"/>
      </w:pPr>
    </w:lvl>
    <w:lvl w:ilvl="3" w:tplc="0C09000F" w:tentative="1">
      <w:start w:val="1"/>
      <w:numFmt w:val="decimal"/>
      <w:lvlText w:val="%4."/>
      <w:lvlJc w:val="left"/>
      <w:pPr>
        <w:tabs>
          <w:tab w:val="num" w:pos="3612"/>
        </w:tabs>
        <w:ind w:left="3612" w:hanging="360"/>
      </w:pPr>
    </w:lvl>
    <w:lvl w:ilvl="4" w:tplc="0C090019" w:tentative="1">
      <w:start w:val="1"/>
      <w:numFmt w:val="lowerLetter"/>
      <w:lvlText w:val="%5."/>
      <w:lvlJc w:val="left"/>
      <w:pPr>
        <w:tabs>
          <w:tab w:val="num" w:pos="4332"/>
        </w:tabs>
        <w:ind w:left="4332" w:hanging="360"/>
      </w:pPr>
    </w:lvl>
    <w:lvl w:ilvl="5" w:tplc="0C09001B" w:tentative="1">
      <w:start w:val="1"/>
      <w:numFmt w:val="lowerRoman"/>
      <w:lvlText w:val="%6."/>
      <w:lvlJc w:val="right"/>
      <w:pPr>
        <w:tabs>
          <w:tab w:val="num" w:pos="5052"/>
        </w:tabs>
        <w:ind w:left="5052" w:hanging="180"/>
      </w:pPr>
    </w:lvl>
    <w:lvl w:ilvl="6" w:tplc="0C09000F" w:tentative="1">
      <w:start w:val="1"/>
      <w:numFmt w:val="decimal"/>
      <w:lvlText w:val="%7."/>
      <w:lvlJc w:val="left"/>
      <w:pPr>
        <w:tabs>
          <w:tab w:val="num" w:pos="5772"/>
        </w:tabs>
        <w:ind w:left="5772" w:hanging="360"/>
      </w:pPr>
    </w:lvl>
    <w:lvl w:ilvl="7" w:tplc="0C090019" w:tentative="1">
      <w:start w:val="1"/>
      <w:numFmt w:val="lowerLetter"/>
      <w:lvlText w:val="%8."/>
      <w:lvlJc w:val="left"/>
      <w:pPr>
        <w:tabs>
          <w:tab w:val="num" w:pos="6492"/>
        </w:tabs>
        <w:ind w:left="6492" w:hanging="360"/>
      </w:pPr>
    </w:lvl>
    <w:lvl w:ilvl="8" w:tplc="0C09001B" w:tentative="1">
      <w:start w:val="1"/>
      <w:numFmt w:val="lowerRoman"/>
      <w:lvlText w:val="%9."/>
      <w:lvlJc w:val="right"/>
      <w:pPr>
        <w:tabs>
          <w:tab w:val="num" w:pos="7212"/>
        </w:tabs>
        <w:ind w:left="7212" w:hanging="180"/>
      </w:pPr>
    </w:lvl>
  </w:abstractNum>
  <w:abstractNum w:abstractNumId="1" w15:restartNumberingAfterBreak="0">
    <w:nsid w:val="1B4B3B31"/>
    <w:multiLevelType w:val="hybridMultilevel"/>
    <w:tmpl w:val="1554BCD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4C61A3"/>
    <w:multiLevelType w:val="hybridMultilevel"/>
    <w:tmpl w:val="CD387A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E81196F"/>
    <w:multiLevelType w:val="hybridMultilevel"/>
    <w:tmpl w:val="FCC47A1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552C3A30"/>
    <w:multiLevelType w:val="hybridMultilevel"/>
    <w:tmpl w:val="0D7C9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0D00A1"/>
    <w:multiLevelType w:val="hybridMultilevel"/>
    <w:tmpl w:val="CD387A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D5964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4749A8"/>
    <w:multiLevelType w:val="multilevel"/>
    <w:tmpl w:val="CB9CCEB8"/>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6"/>
  </w:num>
  <w:num w:numId="2">
    <w:abstractNumId w:val="6"/>
  </w:num>
  <w:num w:numId="3">
    <w:abstractNumId w:val="6"/>
  </w:num>
  <w:num w:numId="4">
    <w:abstractNumId w:val="12"/>
  </w:num>
  <w:num w:numId="5">
    <w:abstractNumId w:val="2"/>
  </w:num>
  <w:num w:numId="6">
    <w:abstractNumId w:val="5"/>
  </w:num>
  <w:num w:numId="7">
    <w:abstractNumId w:val="11"/>
  </w:num>
  <w:num w:numId="8">
    <w:abstractNumId w:val="1"/>
  </w:num>
  <w:num w:numId="9">
    <w:abstractNumId w:val="12"/>
  </w:num>
  <w:num w:numId="10">
    <w:abstractNumId w:val="12"/>
  </w:num>
  <w:num w:numId="11">
    <w:abstractNumId w:val="12"/>
  </w:num>
  <w:num w:numId="12">
    <w:abstractNumId w:val="12"/>
  </w:num>
  <w:num w:numId="13">
    <w:abstractNumId w:val="6"/>
  </w:num>
  <w:num w:numId="14">
    <w:abstractNumId w:val="6"/>
  </w:num>
  <w:num w:numId="15">
    <w:abstractNumId w:val="6"/>
  </w:num>
  <w:num w:numId="16">
    <w:abstractNumId w:val="10"/>
  </w:num>
  <w:num w:numId="17">
    <w:abstractNumId w:val="7"/>
  </w:num>
  <w:num w:numId="18">
    <w:abstractNumId w:val="6"/>
  </w:num>
  <w:num w:numId="19">
    <w:abstractNumId w:val="6"/>
  </w:num>
  <w:num w:numId="20">
    <w:abstractNumId w:val="6"/>
  </w:num>
  <w:num w:numId="21">
    <w:abstractNumId w:val="6"/>
  </w:num>
  <w:num w:numId="22">
    <w:abstractNumId w:val="0"/>
  </w:num>
  <w:num w:numId="23">
    <w:abstractNumId w:val="4"/>
  </w:num>
  <w:num w:numId="24">
    <w:abstractNumId w:val="8"/>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6808"/>
    <w:rsid w:val="00000712"/>
    <w:rsid w:val="00012F6F"/>
    <w:rsid w:val="00014213"/>
    <w:rsid w:val="00014B55"/>
    <w:rsid w:val="00020E3E"/>
    <w:rsid w:val="00023BF3"/>
    <w:rsid w:val="00026811"/>
    <w:rsid w:val="00031C47"/>
    <w:rsid w:val="0004185E"/>
    <w:rsid w:val="000501D8"/>
    <w:rsid w:val="00052F5A"/>
    <w:rsid w:val="00056988"/>
    <w:rsid w:val="00065AD5"/>
    <w:rsid w:val="00075E6C"/>
    <w:rsid w:val="00081C12"/>
    <w:rsid w:val="0009198B"/>
    <w:rsid w:val="000B29AD"/>
    <w:rsid w:val="000C6372"/>
    <w:rsid w:val="000E392D"/>
    <w:rsid w:val="000E3D05"/>
    <w:rsid w:val="000F4288"/>
    <w:rsid w:val="000F7165"/>
    <w:rsid w:val="00102379"/>
    <w:rsid w:val="00103722"/>
    <w:rsid w:val="001065D6"/>
    <w:rsid w:val="001068D5"/>
    <w:rsid w:val="00111A6F"/>
    <w:rsid w:val="00116EFC"/>
    <w:rsid w:val="00121252"/>
    <w:rsid w:val="00124609"/>
    <w:rsid w:val="001254CE"/>
    <w:rsid w:val="00140DBD"/>
    <w:rsid w:val="001422CC"/>
    <w:rsid w:val="00143DCA"/>
    <w:rsid w:val="00146E30"/>
    <w:rsid w:val="001617B6"/>
    <w:rsid w:val="00165E66"/>
    <w:rsid w:val="00167B99"/>
    <w:rsid w:val="00172818"/>
    <w:rsid w:val="00190121"/>
    <w:rsid w:val="00196143"/>
    <w:rsid w:val="001A24FC"/>
    <w:rsid w:val="001B3AA6"/>
    <w:rsid w:val="001C7BAE"/>
    <w:rsid w:val="001E31FA"/>
    <w:rsid w:val="001E48F9"/>
    <w:rsid w:val="001E64F6"/>
    <w:rsid w:val="001E7AEB"/>
    <w:rsid w:val="001F384B"/>
    <w:rsid w:val="00204B82"/>
    <w:rsid w:val="00222BEB"/>
    <w:rsid w:val="00225E60"/>
    <w:rsid w:val="0023202C"/>
    <w:rsid w:val="00245043"/>
    <w:rsid w:val="0027426B"/>
    <w:rsid w:val="00282A69"/>
    <w:rsid w:val="00284FA2"/>
    <w:rsid w:val="00292D36"/>
    <w:rsid w:val="00297281"/>
    <w:rsid w:val="002B03F1"/>
    <w:rsid w:val="002B5E2B"/>
    <w:rsid w:val="002B6DAA"/>
    <w:rsid w:val="002B7C35"/>
    <w:rsid w:val="002D711A"/>
    <w:rsid w:val="002D7336"/>
    <w:rsid w:val="002E3396"/>
    <w:rsid w:val="002F2953"/>
    <w:rsid w:val="00307860"/>
    <w:rsid w:val="0031149C"/>
    <w:rsid w:val="00316535"/>
    <w:rsid w:val="00360FEF"/>
    <w:rsid w:val="0036778F"/>
    <w:rsid w:val="00381D26"/>
    <w:rsid w:val="0038771C"/>
    <w:rsid w:val="003A430B"/>
    <w:rsid w:val="003A541A"/>
    <w:rsid w:val="003A6923"/>
    <w:rsid w:val="003B4DBE"/>
    <w:rsid w:val="003C2C67"/>
    <w:rsid w:val="003C2D4C"/>
    <w:rsid w:val="003C3B3A"/>
    <w:rsid w:val="003C5BA4"/>
    <w:rsid w:val="003E37C7"/>
    <w:rsid w:val="003E3E26"/>
    <w:rsid w:val="003F1295"/>
    <w:rsid w:val="003F3C9B"/>
    <w:rsid w:val="003F5102"/>
    <w:rsid w:val="003F76FC"/>
    <w:rsid w:val="004002EB"/>
    <w:rsid w:val="00401FE1"/>
    <w:rsid w:val="00407A79"/>
    <w:rsid w:val="00422DDC"/>
    <w:rsid w:val="004231B5"/>
    <w:rsid w:val="004236C8"/>
    <w:rsid w:val="00427681"/>
    <w:rsid w:val="00433DB7"/>
    <w:rsid w:val="00453750"/>
    <w:rsid w:val="00456941"/>
    <w:rsid w:val="004702EA"/>
    <w:rsid w:val="0048259C"/>
    <w:rsid w:val="00482D02"/>
    <w:rsid w:val="00490369"/>
    <w:rsid w:val="004A7519"/>
    <w:rsid w:val="004B5EFE"/>
    <w:rsid w:val="004D01AC"/>
    <w:rsid w:val="004D3518"/>
    <w:rsid w:val="004D62D6"/>
    <w:rsid w:val="004F3F4E"/>
    <w:rsid w:val="004F4323"/>
    <w:rsid w:val="004F7BA1"/>
    <w:rsid w:val="00510167"/>
    <w:rsid w:val="005306A2"/>
    <w:rsid w:val="0053416C"/>
    <w:rsid w:val="00541C2F"/>
    <w:rsid w:val="00563527"/>
    <w:rsid w:val="005767BE"/>
    <w:rsid w:val="0058124E"/>
    <w:rsid w:val="005875A3"/>
    <w:rsid w:val="00595C04"/>
    <w:rsid w:val="005A3416"/>
    <w:rsid w:val="005A3B40"/>
    <w:rsid w:val="005A4F1D"/>
    <w:rsid w:val="005B27FE"/>
    <w:rsid w:val="005B76DF"/>
    <w:rsid w:val="005B79CB"/>
    <w:rsid w:val="005C0B6C"/>
    <w:rsid w:val="005D4027"/>
    <w:rsid w:val="005E3862"/>
    <w:rsid w:val="005E4C16"/>
    <w:rsid w:val="005F61DF"/>
    <w:rsid w:val="005F64CB"/>
    <w:rsid w:val="0060163A"/>
    <w:rsid w:val="006023F9"/>
    <w:rsid w:val="00610559"/>
    <w:rsid w:val="00614076"/>
    <w:rsid w:val="00632F2E"/>
    <w:rsid w:val="006332F6"/>
    <w:rsid w:val="00636064"/>
    <w:rsid w:val="006413F2"/>
    <w:rsid w:val="00646524"/>
    <w:rsid w:val="006534B2"/>
    <w:rsid w:val="0065615D"/>
    <w:rsid w:val="00657011"/>
    <w:rsid w:val="006650B5"/>
    <w:rsid w:val="006651B1"/>
    <w:rsid w:val="00665778"/>
    <w:rsid w:val="00676E5F"/>
    <w:rsid w:val="006A3309"/>
    <w:rsid w:val="006A5B34"/>
    <w:rsid w:val="006B6808"/>
    <w:rsid w:val="006C055D"/>
    <w:rsid w:val="006C3C56"/>
    <w:rsid w:val="006C77A9"/>
    <w:rsid w:val="006D23FA"/>
    <w:rsid w:val="006D4720"/>
    <w:rsid w:val="006D5F39"/>
    <w:rsid w:val="006E4472"/>
    <w:rsid w:val="006E6CDF"/>
    <w:rsid w:val="006F37F2"/>
    <w:rsid w:val="006F6693"/>
    <w:rsid w:val="00707FE8"/>
    <w:rsid w:val="00714AAE"/>
    <w:rsid w:val="00724962"/>
    <w:rsid w:val="00724A0F"/>
    <w:rsid w:val="00726D2F"/>
    <w:rsid w:val="00736732"/>
    <w:rsid w:val="00746426"/>
    <w:rsid w:val="007502D6"/>
    <w:rsid w:val="00750BF9"/>
    <w:rsid w:val="00750CBE"/>
    <w:rsid w:val="0075788E"/>
    <w:rsid w:val="007650D2"/>
    <w:rsid w:val="00766B5A"/>
    <w:rsid w:val="007770A5"/>
    <w:rsid w:val="00780FE6"/>
    <w:rsid w:val="007834F2"/>
    <w:rsid w:val="00791020"/>
    <w:rsid w:val="007A04D2"/>
    <w:rsid w:val="007A5F82"/>
    <w:rsid w:val="007D5F9E"/>
    <w:rsid w:val="007F1A4C"/>
    <w:rsid w:val="007F723F"/>
    <w:rsid w:val="008022C3"/>
    <w:rsid w:val="008041E6"/>
    <w:rsid w:val="008065D2"/>
    <w:rsid w:val="0082194C"/>
    <w:rsid w:val="008222FF"/>
    <w:rsid w:val="008241FF"/>
    <w:rsid w:val="00824E8A"/>
    <w:rsid w:val="008251D8"/>
    <w:rsid w:val="008402AF"/>
    <w:rsid w:val="008411E9"/>
    <w:rsid w:val="00841617"/>
    <w:rsid w:val="0084200F"/>
    <w:rsid w:val="00843B2C"/>
    <w:rsid w:val="00864F20"/>
    <w:rsid w:val="008668A8"/>
    <w:rsid w:val="00880AC4"/>
    <w:rsid w:val="00894BD0"/>
    <w:rsid w:val="00897447"/>
    <w:rsid w:val="008A4900"/>
    <w:rsid w:val="008A52B5"/>
    <w:rsid w:val="008A55FE"/>
    <w:rsid w:val="008B146D"/>
    <w:rsid w:val="008B42AD"/>
    <w:rsid w:val="008B5666"/>
    <w:rsid w:val="008D0098"/>
    <w:rsid w:val="008D0281"/>
    <w:rsid w:val="008E2348"/>
    <w:rsid w:val="008E3E8D"/>
    <w:rsid w:val="008F186F"/>
    <w:rsid w:val="008F6D45"/>
    <w:rsid w:val="00900125"/>
    <w:rsid w:val="009158EA"/>
    <w:rsid w:val="00922944"/>
    <w:rsid w:val="00933B3D"/>
    <w:rsid w:val="00934E3A"/>
    <w:rsid w:val="00937A10"/>
    <w:rsid w:val="00960F83"/>
    <w:rsid w:val="0096205E"/>
    <w:rsid w:val="00966115"/>
    <w:rsid w:val="009737A2"/>
    <w:rsid w:val="00977786"/>
    <w:rsid w:val="009834C0"/>
    <w:rsid w:val="00986AAC"/>
    <w:rsid w:val="00995526"/>
    <w:rsid w:val="009A1855"/>
    <w:rsid w:val="009A1DA2"/>
    <w:rsid w:val="009A3704"/>
    <w:rsid w:val="009A4739"/>
    <w:rsid w:val="009A674F"/>
    <w:rsid w:val="009A6D22"/>
    <w:rsid w:val="009B199C"/>
    <w:rsid w:val="009B61F1"/>
    <w:rsid w:val="009B62E0"/>
    <w:rsid w:val="009C3D88"/>
    <w:rsid w:val="009C42D8"/>
    <w:rsid w:val="009E3858"/>
    <w:rsid w:val="009E467D"/>
    <w:rsid w:val="009E70DD"/>
    <w:rsid w:val="009F2ED9"/>
    <w:rsid w:val="009F3231"/>
    <w:rsid w:val="009F5C58"/>
    <w:rsid w:val="00A023A0"/>
    <w:rsid w:val="00A1562B"/>
    <w:rsid w:val="00A170F4"/>
    <w:rsid w:val="00A21408"/>
    <w:rsid w:val="00A21CFD"/>
    <w:rsid w:val="00A25B78"/>
    <w:rsid w:val="00A46BA8"/>
    <w:rsid w:val="00A47634"/>
    <w:rsid w:val="00A6052B"/>
    <w:rsid w:val="00A612FE"/>
    <w:rsid w:val="00A8433A"/>
    <w:rsid w:val="00AA26B8"/>
    <w:rsid w:val="00AC0B87"/>
    <w:rsid w:val="00AC2624"/>
    <w:rsid w:val="00AD7E4E"/>
    <w:rsid w:val="00AE76EC"/>
    <w:rsid w:val="00AF4BB3"/>
    <w:rsid w:val="00AF4D58"/>
    <w:rsid w:val="00AF6666"/>
    <w:rsid w:val="00AF7266"/>
    <w:rsid w:val="00B0352A"/>
    <w:rsid w:val="00B079DF"/>
    <w:rsid w:val="00B457C9"/>
    <w:rsid w:val="00B633CB"/>
    <w:rsid w:val="00B81594"/>
    <w:rsid w:val="00B81B44"/>
    <w:rsid w:val="00B9053B"/>
    <w:rsid w:val="00B948D9"/>
    <w:rsid w:val="00BA5E68"/>
    <w:rsid w:val="00BA7794"/>
    <w:rsid w:val="00BB4D98"/>
    <w:rsid w:val="00BB4EBF"/>
    <w:rsid w:val="00BB59E0"/>
    <w:rsid w:val="00BC3422"/>
    <w:rsid w:val="00BC6E19"/>
    <w:rsid w:val="00BF4F96"/>
    <w:rsid w:val="00C015B9"/>
    <w:rsid w:val="00C022F9"/>
    <w:rsid w:val="00C032EA"/>
    <w:rsid w:val="00C06EB5"/>
    <w:rsid w:val="00C1145F"/>
    <w:rsid w:val="00C11CD1"/>
    <w:rsid w:val="00C24B3A"/>
    <w:rsid w:val="00C27F09"/>
    <w:rsid w:val="00C33AD3"/>
    <w:rsid w:val="00C42B5A"/>
    <w:rsid w:val="00C43F06"/>
    <w:rsid w:val="00C458EF"/>
    <w:rsid w:val="00C51C01"/>
    <w:rsid w:val="00C55C63"/>
    <w:rsid w:val="00C637E1"/>
    <w:rsid w:val="00C67EAC"/>
    <w:rsid w:val="00C70D50"/>
    <w:rsid w:val="00C72252"/>
    <w:rsid w:val="00C777D8"/>
    <w:rsid w:val="00C83866"/>
    <w:rsid w:val="00C907D7"/>
    <w:rsid w:val="00C92338"/>
    <w:rsid w:val="00CA209B"/>
    <w:rsid w:val="00CA2C19"/>
    <w:rsid w:val="00CB3976"/>
    <w:rsid w:val="00CC6089"/>
    <w:rsid w:val="00CD0307"/>
    <w:rsid w:val="00CD3D1B"/>
    <w:rsid w:val="00CD3F0E"/>
    <w:rsid w:val="00D02663"/>
    <w:rsid w:val="00D0633E"/>
    <w:rsid w:val="00D12E74"/>
    <w:rsid w:val="00D2312F"/>
    <w:rsid w:val="00D269C1"/>
    <w:rsid w:val="00D26E99"/>
    <w:rsid w:val="00D41B2F"/>
    <w:rsid w:val="00D42549"/>
    <w:rsid w:val="00D44953"/>
    <w:rsid w:val="00D542F3"/>
    <w:rsid w:val="00D54513"/>
    <w:rsid w:val="00D54AAE"/>
    <w:rsid w:val="00D5644B"/>
    <w:rsid w:val="00D56E25"/>
    <w:rsid w:val="00D57E89"/>
    <w:rsid w:val="00D6560D"/>
    <w:rsid w:val="00D65D77"/>
    <w:rsid w:val="00D718D7"/>
    <w:rsid w:val="00D814B7"/>
    <w:rsid w:val="00D90688"/>
    <w:rsid w:val="00DA3AAD"/>
    <w:rsid w:val="00DB312B"/>
    <w:rsid w:val="00DC5654"/>
    <w:rsid w:val="00DC658F"/>
    <w:rsid w:val="00DC674A"/>
    <w:rsid w:val="00DD0729"/>
    <w:rsid w:val="00DE60CC"/>
    <w:rsid w:val="00E234B7"/>
    <w:rsid w:val="00E26B32"/>
    <w:rsid w:val="00E407B6"/>
    <w:rsid w:val="00E41EF1"/>
    <w:rsid w:val="00E42942"/>
    <w:rsid w:val="00E50F55"/>
    <w:rsid w:val="00E65A0A"/>
    <w:rsid w:val="00E71BDF"/>
    <w:rsid w:val="00E7397E"/>
    <w:rsid w:val="00E75CCB"/>
    <w:rsid w:val="00E8245B"/>
    <w:rsid w:val="00E82C21"/>
    <w:rsid w:val="00E82F59"/>
    <w:rsid w:val="00E83CA7"/>
    <w:rsid w:val="00E92192"/>
    <w:rsid w:val="00E95A71"/>
    <w:rsid w:val="00EB7014"/>
    <w:rsid w:val="00EB7499"/>
    <w:rsid w:val="00EC4365"/>
    <w:rsid w:val="00EC5CDE"/>
    <w:rsid w:val="00ED487E"/>
    <w:rsid w:val="00EE33A1"/>
    <w:rsid w:val="00EE7A0D"/>
    <w:rsid w:val="00F0222C"/>
    <w:rsid w:val="00F11205"/>
    <w:rsid w:val="00F12312"/>
    <w:rsid w:val="00F17CE1"/>
    <w:rsid w:val="00F2115C"/>
    <w:rsid w:val="00F22ABA"/>
    <w:rsid w:val="00F36B12"/>
    <w:rsid w:val="00F37145"/>
    <w:rsid w:val="00F52934"/>
    <w:rsid w:val="00F60F9F"/>
    <w:rsid w:val="00F64F08"/>
    <w:rsid w:val="00F70055"/>
    <w:rsid w:val="00F734F5"/>
    <w:rsid w:val="00F73B5B"/>
    <w:rsid w:val="00F91F5A"/>
    <w:rsid w:val="00F92148"/>
    <w:rsid w:val="00F966B1"/>
    <w:rsid w:val="00F97D48"/>
    <w:rsid w:val="00FA0311"/>
    <w:rsid w:val="00FA50E9"/>
    <w:rsid w:val="00FC7D3E"/>
    <w:rsid w:val="00FD640F"/>
    <w:rsid w:val="00FD6B4C"/>
    <w:rsid w:val="00FE0553"/>
    <w:rsid w:val="00FF4404"/>
    <w:rsid w:val="00FF4E99"/>
    <w:rsid w:val="00FF5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1F6DC"/>
  <w15:docId w15:val="{0DFD18EE-EFD6-4B3F-A1A0-4E043E75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1D8"/>
    <w:pPr>
      <w:spacing w:before="160" w:after="100"/>
      <w:ind w:left="72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5D4027"/>
    <w:pPr>
      <w:numPr>
        <w:ilvl w:val="2"/>
      </w:numPr>
      <w:ind w:left="1512"/>
    </w:pPr>
  </w:style>
  <w:style w:type="paragraph" w:customStyle="1" w:styleId="Heading1numbered">
    <w:name w:val="Heading 1 numbered"/>
    <w:basedOn w:val="Heading1"/>
    <w:next w:val="NormalIndent"/>
    <w:uiPriority w:val="4"/>
    <w:qFormat/>
    <w:rsid w:val="005D4027"/>
    <w:pPr>
      <w:numPr>
        <w:ilvl w:val="2"/>
        <w:numId w:val="4"/>
      </w:numPr>
      <w:spacing w:before="480"/>
      <w:ind w:left="794" w:hanging="794"/>
    </w:pPr>
  </w:style>
  <w:style w:type="paragraph" w:customStyle="1" w:styleId="Heading2numbered">
    <w:name w:val="Heading 2 numbered"/>
    <w:basedOn w:val="Heading2"/>
    <w:next w:val="NormalIndent"/>
    <w:uiPriority w:val="4"/>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4"/>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paragraph" w:customStyle="1" w:styleId="Normalboldteal">
    <w:name w:val="Normal bold teal"/>
    <w:basedOn w:val="Normal"/>
    <w:qFormat/>
    <w:rsid w:val="008E3E8D"/>
    <w:pPr>
      <w:spacing w:before="100" w:line="240" w:lineRule="auto"/>
    </w:pPr>
    <w:rPr>
      <w:rFonts w:eastAsiaTheme="minorHAnsi"/>
      <w:b/>
      <w:color w:val="009CA6"/>
      <w:sz w:val="17"/>
      <w:szCs w:val="21"/>
      <w:lang w:eastAsia="en-US"/>
    </w:rPr>
  </w:style>
  <w:style w:type="table" w:customStyle="1" w:styleId="Indented">
    <w:name w:val="Indented"/>
    <w:basedOn w:val="TableGrid"/>
    <w:uiPriority w:val="99"/>
    <w:rsid w:val="008E3E8D"/>
    <w:pPr>
      <w:spacing w:after="0"/>
      <w:jc w:val="left"/>
    </w:pPr>
    <w:tblPr>
      <w:tblStyleRowBandSize w:val="1"/>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9CA6"/>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character" w:styleId="Strong">
    <w:name w:val="Strong"/>
    <w:basedOn w:val="DefaultParagraphFont"/>
    <w:uiPriority w:val="22"/>
    <w:qFormat/>
    <w:rsid w:val="006C0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820104">
      <w:bodyDiv w:val="1"/>
      <w:marLeft w:val="0"/>
      <w:marRight w:val="0"/>
      <w:marTop w:val="0"/>
      <w:marBottom w:val="0"/>
      <w:divBdr>
        <w:top w:val="none" w:sz="0" w:space="0" w:color="auto"/>
        <w:left w:val="none" w:sz="0" w:space="0" w:color="auto"/>
        <w:bottom w:val="none" w:sz="0" w:space="0" w:color="auto"/>
        <w:right w:val="none" w:sz="0" w:space="0" w:color="auto"/>
      </w:divBdr>
      <w:divsChild>
        <w:div w:id="85806699">
          <w:marLeft w:val="0"/>
          <w:marRight w:val="0"/>
          <w:marTop w:val="0"/>
          <w:marBottom w:val="0"/>
          <w:divBdr>
            <w:top w:val="none" w:sz="0" w:space="0" w:color="auto"/>
            <w:left w:val="none" w:sz="0" w:space="0" w:color="auto"/>
            <w:bottom w:val="none" w:sz="0" w:space="0" w:color="auto"/>
            <w:right w:val="none" w:sz="0" w:space="0" w:color="auto"/>
          </w:divBdr>
          <w:divsChild>
            <w:div w:id="306056630">
              <w:marLeft w:val="0"/>
              <w:marRight w:val="0"/>
              <w:marTop w:val="0"/>
              <w:marBottom w:val="0"/>
              <w:divBdr>
                <w:top w:val="none" w:sz="0" w:space="0" w:color="auto"/>
                <w:left w:val="none" w:sz="0" w:space="0" w:color="auto"/>
                <w:bottom w:val="none" w:sz="0" w:space="0" w:color="auto"/>
                <w:right w:val="none" w:sz="0" w:space="0" w:color="auto"/>
              </w:divBdr>
              <w:divsChild>
                <w:div w:id="55471149">
                  <w:marLeft w:val="0"/>
                  <w:marRight w:val="0"/>
                  <w:marTop w:val="0"/>
                  <w:marBottom w:val="0"/>
                  <w:divBdr>
                    <w:top w:val="none" w:sz="0" w:space="0" w:color="auto"/>
                    <w:left w:val="none" w:sz="0" w:space="0" w:color="auto"/>
                    <w:bottom w:val="none" w:sz="0" w:space="0" w:color="auto"/>
                    <w:right w:val="none" w:sz="0" w:space="0" w:color="auto"/>
                  </w:divBdr>
                  <w:divsChild>
                    <w:div w:id="980428149">
                      <w:marLeft w:val="0"/>
                      <w:marRight w:val="0"/>
                      <w:marTop w:val="0"/>
                      <w:marBottom w:val="0"/>
                      <w:divBdr>
                        <w:top w:val="none" w:sz="0" w:space="0" w:color="auto"/>
                        <w:left w:val="none" w:sz="0" w:space="0" w:color="auto"/>
                        <w:bottom w:val="none" w:sz="0" w:space="0" w:color="auto"/>
                        <w:right w:val="none" w:sz="0" w:space="0" w:color="auto"/>
                      </w:divBdr>
                      <w:divsChild>
                        <w:div w:id="1593010425">
                          <w:marLeft w:val="0"/>
                          <w:marRight w:val="0"/>
                          <w:marTop w:val="0"/>
                          <w:marBottom w:val="0"/>
                          <w:divBdr>
                            <w:top w:val="none" w:sz="0" w:space="0" w:color="auto"/>
                            <w:left w:val="none" w:sz="0" w:space="0" w:color="auto"/>
                            <w:bottom w:val="none" w:sz="0" w:space="0" w:color="auto"/>
                            <w:right w:val="none" w:sz="0" w:space="0" w:color="auto"/>
                          </w:divBdr>
                          <w:divsChild>
                            <w:div w:id="1306280663">
                              <w:marLeft w:val="0"/>
                              <w:marRight w:val="0"/>
                              <w:marTop w:val="0"/>
                              <w:marBottom w:val="0"/>
                              <w:divBdr>
                                <w:top w:val="none" w:sz="0" w:space="0" w:color="auto"/>
                                <w:left w:val="none" w:sz="0" w:space="0" w:color="auto"/>
                                <w:bottom w:val="none" w:sz="0" w:space="0" w:color="auto"/>
                                <w:right w:val="none" w:sz="0" w:space="0" w:color="auto"/>
                              </w:divBdr>
                              <w:divsChild>
                                <w:div w:id="719205935">
                                  <w:marLeft w:val="0"/>
                                  <w:marRight w:val="0"/>
                                  <w:marTop w:val="0"/>
                                  <w:marBottom w:val="0"/>
                                  <w:divBdr>
                                    <w:top w:val="none" w:sz="0" w:space="0" w:color="auto"/>
                                    <w:left w:val="none" w:sz="0" w:space="0" w:color="auto"/>
                                    <w:bottom w:val="none" w:sz="0" w:space="0" w:color="auto"/>
                                    <w:right w:val="none" w:sz="0" w:space="0" w:color="auto"/>
                                  </w:divBdr>
                                  <w:divsChild>
                                    <w:div w:id="16041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hyperlink" Target="mailto:construction.procurement@dtf.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886B-FBF1-4110-AFC1-B3A2DEFDE99F}">
  <ds:schemaRefs>
    <ds:schemaRef ds:uri="http://www.w3.org/2001/XMLSchema"/>
  </ds:schemaRefs>
</ds:datastoreItem>
</file>

<file path=customXml/itemProps2.xml><?xml version="1.0" encoding="utf-8"?>
<ds:datastoreItem xmlns:ds="http://schemas.openxmlformats.org/officeDocument/2006/customXml" ds:itemID="{BCAEC222-0B81-415F-B2AD-07E4188E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2</TotalTime>
  <Pages>8</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Bid-cost-reimbursement-for-major-construction-projects-policy</dc:title>
  <dc:creator>Luke Cheers (DTF)</dc:creator>
  <cp:lastModifiedBy>Athena Rozenberg (DTF)</cp:lastModifiedBy>
  <cp:revision>2</cp:revision>
  <cp:lastPrinted>2019-07-04T23:44:00Z</cp:lastPrinted>
  <dcterms:created xsi:type="dcterms:W3CDTF">2019-12-18T22:54:00Z</dcterms:created>
  <dcterms:modified xsi:type="dcterms:W3CDTF">2019-12-18T22:54:00Z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2019-07-05T00:00:03.8607606Z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