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02" w:rsidRDefault="00680E02" w:rsidP="00680E02">
      <w:pPr>
        <w:pStyle w:val="Heading1"/>
        <w:spacing w:before="300"/>
      </w:pPr>
      <w:r w:rsidRPr="006E3483">
        <w:t>Template letter and report format for reporting significant or systemic Fraud, Corruption and Other Losses</w:t>
      </w:r>
    </w:p>
    <w:p w:rsidR="00680E02" w:rsidRPr="00DB4C22" w:rsidRDefault="00680E02" w:rsidP="00680E02">
      <w:r w:rsidRPr="00DB4C22">
        <w:t xml:space="preserve">The following letter and report template </w:t>
      </w:r>
      <w:r>
        <w:t>should</w:t>
      </w:r>
      <w:r w:rsidRPr="00DB4C22">
        <w:t xml:space="preserve"> be used by Agencies when reporting significant or systemic Fraud, Corruption and Other Losses in accordance with Direction 3.5.3</w:t>
      </w:r>
      <w:r>
        <w:t xml:space="preserve"> </w:t>
      </w:r>
      <w:r w:rsidRPr="00DB4C22">
        <w:t>of the 201</w:t>
      </w:r>
      <w:r w:rsidR="00A012CD">
        <w:t xml:space="preserve">8 </w:t>
      </w:r>
      <w:r w:rsidRPr="00DB4C22">
        <w:t xml:space="preserve">Standing Directions </w:t>
      </w:r>
      <w:r w:rsidR="00A012CD">
        <w:t xml:space="preserve">under the </w:t>
      </w:r>
      <w:r w:rsidR="00A012CD" w:rsidRPr="00A012CD">
        <w:rPr>
          <w:i/>
        </w:rPr>
        <w:t>Financial Management Act 1994</w:t>
      </w:r>
      <w:r>
        <w:t xml:space="preserve"> and Instructions 3.5 and 3.6.</w:t>
      </w:r>
    </w:p>
    <w:p w:rsidR="00680E02" w:rsidRDefault="00680E02" w:rsidP="00680E02">
      <w:r w:rsidRPr="00DB4C22">
        <w:rPr>
          <w:b/>
        </w:rPr>
        <w:t>Note</w:t>
      </w:r>
      <w:r w:rsidRPr="00DB4C22">
        <w:t xml:space="preserve">: the letter should be addressed to the Agency’s relevant Portfolio Minister </w:t>
      </w:r>
      <w:r w:rsidRPr="00680E02">
        <w:rPr>
          <w:b/>
        </w:rPr>
        <w:t>not</w:t>
      </w:r>
      <w:r w:rsidRPr="00DB4C22">
        <w:t xml:space="preserve"> the </w:t>
      </w:r>
      <w:r w:rsidR="00A012CD">
        <w:t>Assistant T</w:t>
      </w:r>
      <w:bookmarkStart w:id="0" w:name="_GoBack"/>
      <w:bookmarkEnd w:id="0"/>
      <w:r w:rsidR="00A012CD">
        <w:t xml:space="preserve">reasurer </w:t>
      </w:r>
      <w:r w:rsidRPr="00DB4C22">
        <w:t>(unless the Agency’s relevant Minister)</w:t>
      </w:r>
      <w:r>
        <w:t xml:space="preserve"> with a copy to the Agency Audit Committee Chair, the relevant Portfolio Department Accountable Officer/Secretary or advised delegate and the Auditor-General.</w:t>
      </w:r>
    </w:p>
    <w:p w:rsidR="00680E02" w:rsidRDefault="00680E02" w:rsidP="00680E02">
      <w:r>
        <w:t>A soft copy can also be provided to the relevant Portfolio Department compliance manager.</w:t>
      </w:r>
    </w:p>
    <w:p w:rsidR="00680E02" w:rsidRDefault="00680E02" w:rsidP="00680E02">
      <w:r>
        <w:t>A sample completed report is attached to indicate the level of detail required when reporting.</w:t>
      </w:r>
    </w:p>
    <w:p w:rsidR="00680E02" w:rsidRDefault="00680E02" w:rsidP="00680E02">
      <w:pPr>
        <w:pStyle w:val="Heading2"/>
      </w:pPr>
      <w:r>
        <w:t>Relevant Directions and I</w:t>
      </w:r>
      <w:r w:rsidRPr="00F12AC8">
        <w:t>nstructions</w:t>
      </w:r>
    </w:p>
    <w:p w:rsidR="00680E02" w:rsidRPr="0039217F" w:rsidRDefault="00680E02" w:rsidP="00680E02">
      <w:pPr>
        <w:pStyle w:val="Heading3"/>
        <w:rPr>
          <w:rFonts w:cs="Arial"/>
          <w:u w:val="single"/>
        </w:rPr>
      </w:pPr>
      <w:r w:rsidRPr="0039217F">
        <w:t>Fraud, Corruption and Other Losses</w:t>
      </w:r>
    </w:p>
    <w:p w:rsidR="00680E02" w:rsidRPr="00DB4C22" w:rsidRDefault="00680E02" w:rsidP="00680E02">
      <w:r w:rsidRPr="00DB4C22">
        <w:rPr>
          <w:b/>
        </w:rPr>
        <w:t>Direction 3.5.3</w:t>
      </w:r>
      <w:r w:rsidR="00EA2E9C">
        <w:t xml:space="preserve"> – </w:t>
      </w:r>
      <w:r w:rsidRPr="00DB4C22">
        <w:t>Where an Agency is made aware of an actual or suspected Significant or Systemic</w:t>
      </w:r>
      <w:r>
        <w:t xml:space="preserve"> </w:t>
      </w:r>
      <w:r w:rsidRPr="00DB4C22">
        <w:t>Fraud, Corruption or Other Loss, the Accountable Officer must:</w:t>
      </w:r>
    </w:p>
    <w:p w:rsidR="00680E02" w:rsidRDefault="00680E02" w:rsidP="00680E02">
      <w:pPr>
        <w:pStyle w:val="Bullet1"/>
      </w:pPr>
      <w:r>
        <w:t xml:space="preserve">notify, as soon as is practicable, the Responsible (Portfolio) Minister, Audit Committee, Portfolio Department and Auditor-General of the incident and remedial action to be taken; </w:t>
      </w:r>
    </w:p>
    <w:p w:rsidR="00680E02" w:rsidRDefault="00680E02" w:rsidP="00680E02">
      <w:pPr>
        <w:pStyle w:val="Bullet1"/>
      </w:pPr>
      <w:r>
        <w:t>ensure that the persons notified are kept informed about the incident, including the outcome of investigations; and</w:t>
      </w:r>
    </w:p>
    <w:p w:rsidR="00680E02" w:rsidRDefault="00680E02" w:rsidP="00680E02">
      <w:pPr>
        <w:pStyle w:val="Bullet1"/>
      </w:pPr>
      <w:r>
        <w:t>ensure that the Agency takes appropriate action to mitigate against future Fraud, Corruption and Other Losses.</w:t>
      </w:r>
    </w:p>
    <w:p w:rsidR="00680E02" w:rsidRDefault="00680E02" w:rsidP="00680E02">
      <w:r w:rsidRPr="00DB4C22">
        <w:rPr>
          <w:b/>
        </w:rPr>
        <w:t>Instruction</w:t>
      </w:r>
      <w:r>
        <w:rPr>
          <w:b/>
        </w:rPr>
        <w:t xml:space="preserve"> 3.5, </w:t>
      </w:r>
      <w:r w:rsidRPr="0039217F">
        <w:rPr>
          <w:b/>
        </w:rPr>
        <w:t>Clause 1.2</w:t>
      </w:r>
      <w:r w:rsidR="00EA2E9C">
        <w:t xml:space="preserve"> – </w:t>
      </w:r>
      <w:r w:rsidRPr="0039217F">
        <w:t xml:space="preserve">The Fraud, Corruption and Other Losses prevention and management policy under </w:t>
      </w:r>
      <w:hyperlink r:id="rId8" w:anchor="Direction_3_5_1" w:history="1">
        <w:r w:rsidRPr="0039217F">
          <w:rPr>
            <w:rStyle w:val="Hyperlink"/>
          </w:rPr>
          <w:t>Direction 3.5.1(b)</w:t>
        </w:r>
      </w:hyperlink>
      <w:r w:rsidRPr="0039217F">
        <w:t xml:space="preserve"> must include a </w:t>
      </w:r>
      <w:r w:rsidRPr="00823096">
        <w:rPr>
          <w:u w:val="single"/>
        </w:rPr>
        <w:t>d</w:t>
      </w:r>
      <w:r w:rsidRPr="00680E02">
        <w:rPr>
          <w:b/>
        </w:rPr>
        <w:t>efined value threshold</w:t>
      </w:r>
      <w:r w:rsidRPr="00680E02">
        <w:t>,</w:t>
      </w:r>
      <w:r w:rsidRPr="0039217F">
        <w:t xml:space="preserve"> above which an actual or suspected Fraud, Corruptio</w:t>
      </w:r>
      <w:r>
        <w:t>n or Other Loss is considered ‘s</w:t>
      </w:r>
      <w:r w:rsidRPr="0039217F">
        <w:t xml:space="preserve">ignificant’ for the purpose of reporting under </w:t>
      </w:r>
      <w:hyperlink r:id="rId9" w:anchor="Direction_3_5_3" w:history="1">
        <w:r w:rsidRPr="0039217F">
          <w:rPr>
            <w:rStyle w:val="Hyperlink"/>
          </w:rPr>
          <w:t>Direction 3.5.3</w:t>
        </w:r>
      </w:hyperlink>
      <w:r w:rsidRPr="0039217F">
        <w:rPr>
          <w:vertAlign w:val="superscript"/>
        </w:rPr>
        <w:footnoteReference w:id="1"/>
      </w:r>
      <w:r w:rsidRPr="0039217F">
        <w:t xml:space="preserve">. The threshold </w:t>
      </w:r>
      <w:r w:rsidRPr="00680E02">
        <w:rPr>
          <w:b/>
        </w:rPr>
        <w:t xml:space="preserve">must not exceed </w:t>
      </w:r>
      <w:r w:rsidRPr="0039217F">
        <w:rPr>
          <w:b/>
        </w:rPr>
        <w:t>$5 000</w:t>
      </w:r>
      <w:r w:rsidRPr="0039217F">
        <w:t xml:space="preserve"> in money or </w:t>
      </w:r>
      <w:r w:rsidRPr="0039217F">
        <w:rPr>
          <w:b/>
        </w:rPr>
        <w:t>$50 000</w:t>
      </w:r>
      <w:r w:rsidRPr="0039217F">
        <w:t xml:space="preserve"> in other property.</w:t>
      </w:r>
    </w:p>
    <w:p w:rsidR="00A012CD" w:rsidRDefault="00A012CD" w:rsidP="00680E02">
      <w:pPr>
        <w:pStyle w:val="Heading3"/>
      </w:pPr>
    </w:p>
    <w:p w:rsidR="00680E02" w:rsidRPr="0039217F" w:rsidRDefault="00680E02" w:rsidP="00680E02">
      <w:pPr>
        <w:pStyle w:val="Heading3"/>
      </w:pPr>
      <w:r w:rsidRPr="0039217F">
        <w:t>Purchasing and prepaid debit cards</w:t>
      </w:r>
    </w:p>
    <w:p w:rsidR="00680E02" w:rsidRPr="0039217F" w:rsidRDefault="00680E02" w:rsidP="00EA2E9C">
      <w:pPr>
        <w:keepLines/>
        <w:tabs>
          <w:tab w:val="num" w:pos="504"/>
        </w:tabs>
      </w:pPr>
      <w:r w:rsidRPr="0039217F">
        <w:rPr>
          <w:b/>
        </w:rPr>
        <w:t>Instruction 3.6 , Clause 7.1</w:t>
      </w:r>
      <w:r w:rsidR="00EA2E9C">
        <w:t xml:space="preserve"> – </w:t>
      </w:r>
      <w:r w:rsidRPr="0039217F">
        <w:t xml:space="preserve">The program administrator must </w:t>
      </w:r>
      <w:r w:rsidRPr="00680E02">
        <w:rPr>
          <w:b/>
        </w:rPr>
        <w:t>define a value threshold</w:t>
      </w:r>
      <w:r w:rsidRPr="0039217F">
        <w:t xml:space="preserve">, above which an actual or suspected Fraud, Corruption or Other Loss in relation to purchasing and prepaid debit cards is considered ‘significant’ for the purpose of </w:t>
      </w:r>
      <w:hyperlink r:id="rId10" w:anchor="Direction_3_5_3" w:history="1">
        <w:r w:rsidRPr="0039217F">
          <w:rPr>
            <w:rStyle w:val="Hyperlink"/>
          </w:rPr>
          <w:t>Direction 3.5.3</w:t>
        </w:r>
      </w:hyperlink>
      <w:r w:rsidRPr="0039217F">
        <w:t xml:space="preserve">. The threshold </w:t>
      </w:r>
      <w:r w:rsidRPr="00680E02">
        <w:rPr>
          <w:b/>
        </w:rPr>
        <w:t>must not exceed</w:t>
      </w:r>
      <w:r>
        <w:t xml:space="preserve"> </w:t>
      </w:r>
      <w:r>
        <w:rPr>
          <w:b/>
        </w:rPr>
        <w:t>$</w:t>
      </w:r>
      <w:r w:rsidR="00586337">
        <w:rPr>
          <w:b/>
        </w:rPr>
        <w:t>1,</w:t>
      </w:r>
      <w:r w:rsidRPr="0039217F">
        <w:rPr>
          <w:b/>
        </w:rPr>
        <w:t>000</w:t>
      </w:r>
      <w:r w:rsidRPr="0039217F">
        <w:t>.</w:t>
      </w:r>
    </w:p>
    <w:p w:rsidR="00680E02" w:rsidRPr="00B476BB" w:rsidRDefault="00680E02" w:rsidP="00680E02">
      <w:pPr>
        <w:pStyle w:val="Heading3"/>
      </w:pPr>
      <w:r w:rsidRPr="00B476BB">
        <w:t>Definitions</w:t>
      </w:r>
    </w:p>
    <w:p w:rsidR="00680E02" w:rsidRPr="0039217F" w:rsidRDefault="00680E02" w:rsidP="00680E02">
      <w:r w:rsidRPr="00B476BB">
        <w:rPr>
          <w:b/>
        </w:rPr>
        <w:t>Direction 1.6</w:t>
      </w:r>
      <w:r w:rsidR="00EA2E9C">
        <w:t xml:space="preserve"> – </w:t>
      </w:r>
      <w:r w:rsidRPr="00B476BB">
        <w:t>‘Significant or Systemic’ means an incident, or a pattern or recurrence of incidences, that a reasonable person would consider has a significant impact on the Agency or the State's reputation, financial position or financial management</w:t>
      </w:r>
      <w:r>
        <w:t>.</w:t>
      </w:r>
    </w:p>
    <w:p w:rsidR="00680E02" w:rsidRDefault="00680E02">
      <w:pPr>
        <w:spacing w:before="0" w:after="200"/>
      </w:pPr>
    </w:p>
    <w:p w:rsidR="00680E02" w:rsidRDefault="00680E02">
      <w:pPr>
        <w:spacing w:before="0" w:after="200"/>
        <w:rPr>
          <w:b/>
        </w:rPr>
      </w:pPr>
      <w:r>
        <w:rPr>
          <w:b/>
        </w:rPr>
        <w:br w:type="page"/>
      </w:r>
    </w:p>
    <w:p w:rsidR="00A012CD" w:rsidRDefault="00A012CD" w:rsidP="00680E02">
      <w:pPr>
        <w:jc w:val="center"/>
        <w:rPr>
          <w:b/>
        </w:rPr>
      </w:pPr>
    </w:p>
    <w:p w:rsidR="00680E02" w:rsidRPr="00680E02" w:rsidRDefault="00680E02" w:rsidP="00680E02">
      <w:pPr>
        <w:jc w:val="center"/>
        <w:rPr>
          <w:b/>
        </w:rPr>
      </w:pPr>
      <w:r w:rsidRPr="00680E02">
        <w:rPr>
          <w:b/>
        </w:rPr>
        <w:t>[AGENCY LETTER HEAD]</w:t>
      </w:r>
    </w:p>
    <w:p w:rsidR="00680E02" w:rsidRDefault="00680E02" w:rsidP="00680E02"/>
    <w:p w:rsidR="00680E02" w:rsidRDefault="00680E02" w:rsidP="00680E02"/>
    <w:p w:rsidR="00680E02" w:rsidRPr="00680E02" w:rsidRDefault="00680E02" w:rsidP="00680E02">
      <w:pPr>
        <w:rPr>
          <w:color w:val="0063A6" w:themeColor="accent1"/>
        </w:rPr>
      </w:pPr>
      <w:r w:rsidRPr="00680E02">
        <w:rPr>
          <w:color w:val="0063A6" w:themeColor="accent1"/>
        </w:rPr>
        <w:t>The Hon &lt;insert Portfolio Minister’s name&gt; MP</w:t>
      </w:r>
      <w:r>
        <w:rPr>
          <w:color w:val="0063A6" w:themeColor="accent1"/>
        </w:rPr>
        <w:br/>
      </w:r>
      <w:r w:rsidRPr="00680E02">
        <w:rPr>
          <w:color w:val="0063A6" w:themeColor="accent1"/>
        </w:rPr>
        <w:t>Minister for &lt; insert Portfolio name&gt;</w:t>
      </w:r>
      <w:r>
        <w:rPr>
          <w:color w:val="0063A6" w:themeColor="accent1"/>
        </w:rPr>
        <w:br/>
      </w:r>
      <w:r w:rsidRPr="00680E02">
        <w:rPr>
          <w:color w:val="0063A6" w:themeColor="accent1"/>
        </w:rPr>
        <w:t>&lt;insert Minister’s address&gt;</w:t>
      </w:r>
      <w:r>
        <w:rPr>
          <w:color w:val="0063A6" w:themeColor="accent1"/>
        </w:rPr>
        <w:br/>
      </w:r>
      <w:r w:rsidRPr="00680E02">
        <w:rPr>
          <w:color w:val="0063A6" w:themeColor="accent1"/>
        </w:rPr>
        <w:t>MELBOURNE</w:t>
      </w:r>
      <w:r w:rsidR="00EA2E9C">
        <w:rPr>
          <w:color w:val="0063A6" w:themeColor="accent1"/>
        </w:rPr>
        <w:t xml:space="preserve"> </w:t>
      </w:r>
      <w:r w:rsidRPr="00680E02">
        <w:rPr>
          <w:color w:val="0063A6" w:themeColor="accent1"/>
        </w:rPr>
        <w:t>VIC</w:t>
      </w:r>
      <w:r w:rsidR="00EA2E9C">
        <w:rPr>
          <w:color w:val="0063A6" w:themeColor="accent1"/>
        </w:rPr>
        <w:t xml:space="preserve"> </w:t>
      </w:r>
      <w:r w:rsidRPr="00680E02">
        <w:rPr>
          <w:color w:val="0063A6" w:themeColor="accent1"/>
        </w:rPr>
        <w:t>&lt;insert relevant postcode&gt;</w:t>
      </w:r>
    </w:p>
    <w:p w:rsidR="00680E02" w:rsidRDefault="00680E02" w:rsidP="00680E02"/>
    <w:p w:rsidR="00680E02" w:rsidRPr="00680E02" w:rsidRDefault="00680E02" w:rsidP="00680E02">
      <w:pPr>
        <w:rPr>
          <w:color w:val="0063A6" w:themeColor="accent1"/>
        </w:rPr>
      </w:pPr>
      <w:r w:rsidRPr="00680E02">
        <w:rPr>
          <w:color w:val="0063A6" w:themeColor="accent1"/>
        </w:rPr>
        <w:t>&lt;Insert date&gt;</w:t>
      </w:r>
    </w:p>
    <w:p w:rsidR="00680E02" w:rsidRDefault="00680E02" w:rsidP="00680E02"/>
    <w:p w:rsidR="00680E02" w:rsidRDefault="00680E02" w:rsidP="00680E02">
      <w:pPr>
        <w:rPr>
          <w:rFonts w:cs="Arial"/>
        </w:rPr>
      </w:pPr>
      <w:r w:rsidRPr="00591516">
        <w:rPr>
          <w:rFonts w:cs="Arial"/>
        </w:rPr>
        <w:t>Dear Minister</w:t>
      </w:r>
    </w:p>
    <w:p w:rsidR="00680E02" w:rsidRPr="00680E02" w:rsidRDefault="00680E02" w:rsidP="00680E02">
      <w:pPr>
        <w:rPr>
          <w:b/>
        </w:rPr>
      </w:pPr>
      <w:r w:rsidRPr="00680E02">
        <w:rPr>
          <w:b/>
        </w:rPr>
        <w:t xml:space="preserve">Report of Significant or Systemic Fraud, Corruption and Other Losses </w:t>
      </w:r>
    </w:p>
    <w:p w:rsidR="00680E02" w:rsidRDefault="00680E02" w:rsidP="00680E02">
      <w:r w:rsidRPr="00591516">
        <w:t xml:space="preserve">As required under Direction </w:t>
      </w:r>
      <w:r>
        <w:t>3.5.3(a)</w:t>
      </w:r>
      <w:r w:rsidRPr="00DE3E15">
        <w:t xml:space="preserve"> </w:t>
      </w:r>
      <w:r w:rsidRPr="00591516">
        <w:t xml:space="preserve">of the </w:t>
      </w:r>
      <w:r w:rsidR="00A012CD">
        <w:t>2018</w:t>
      </w:r>
      <w:r>
        <w:t xml:space="preserve"> </w:t>
      </w:r>
      <w:r w:rsidRPr="00591516">
        <w:t xml:space="preserve">Standing Directions </w:t>
      </w:r>
      <w:r w:rsidR="00A012CD">
        <w:t xml:space="preserve">under the </w:t>
      </w:r>
      <w:r w:rsidR="00A012CD" w:rsidRPr="00A012CD">
        <w:rPr>
          <w:i/>
        </w:rPr>
        <w:t>Finan</w:t>
      </w:r>
      <w:r w:rsidR="00A012CD">
        <w:rPr>
          <w:i/>
        </w:rPr>
        <w:t>cial Management A</w:t>
      </w:r>
      <w:r w:rsidR="00A012CD" w:rsidRPr="00A012CD">
        <w:rPr>
          <w:i/>
        </w:rPr>
        <w:t>ct 1994</w:t>
      </w:r>
      <w:r w:rsidRPr="00591516">
        <w:t xml:space="preserve">, please find attached a report </w:t>
      </w:r>
      <w:r>
        <w:t>on actual/suspected significant or systemic Fraud, Corruption or Other Losses</w:t>
      </w:r>
      <w:r w:rsidRPr="00591516">
        <w:t xml:space="preserve"> under the control of </w:t>
      </w:r>
      <w:r w:rsidRPr="00680E02">
        <w:rPr>
          <w:color w:val="0063A6" w:themeColor="accent1"/>
        </w:rPr>
        <w:t>&lt;insert agency name&gt;</w:t>
      </w:r>
      <w:r w:rsidRPr="000F567F">
        <w:t>.</w:t>
      </w:r>
    </w:p>
    <w:p w:rsidR="00680E02" w:rsidRDefault="00680E02" w:rsidP="00680E02">
      <w:r w:rsidRPr="00680E02">
        <w:rPr>
          <w:color w:val="0063A6" w:themeColor="accent1"/>
        </w:rPr>
        <w:t>&lt;Insert agency name&gt;</w:t>
      </w:r>
      <w:r w:rsidRPr="009861E2">
        <w:rPr>
          <w:color w:val="5B3DC5" w:themeColor="text2" w:themeTint="99"/>
        </w:rPr>
        <w:t xml:space="preserve"> </w:t>
      </w:r>
      <w:r>
        <w:t>will keep you informed on the status of the incident/s and the outcome of any investigations.</w:t>
      </w:r>
    </w:p>
    <w:p w:rsidR="00680E02" w:rsidRDefault="00680E02" w:rsidP="00680E02">
      <w:r w:rsidRPr="00591516">
        <w:t xml:space="preserve">If you require any further information, please contact </w:t>
      </w:r>
      <w:r w:rsidRPr="00680E02">
        <w:rPr>
          <w:color w:val="0063A6" w:themeColor="accent1"/>
        </w:rPr>
        <w:t>&lt;insert relevant Agency individual’s contact details&gt;</w:t>
      </w:r>
      <w:r w:rsidRPr="009861E2">
        <w:t>.</w:t>
      </w:r>
    </w:p>
    <w:p w:rsidR="00680E02" w:rsidRDefault="00680E02" w:rsidP="00680E02">
      <w:r w:rsidRPr="00591516">
        <w:t>Yours sincerely</w:t>
      </w:r>
    </w:p>
    <w:p w:rsidR="00680E02" w:rsidRDefault="00680E02" w:rsidP="00680E02"/>
    <w:p w:rsidR="00680E02" w:rsidRPr="00591516" w:rsidRDefault="00680E02" w:rsidP="00680E02"/>
    <w:p w:rsidR="00680E02" w:rsidRPr="00A012CD" w:rsidRDefault="00680E02" w:rsidP="00680E02">
      <w:pPr>
        <w:rPr>
          <w:color w:val="0072CE" w:themeColor="accent4"/>
        </w:rPr>
      </w:pPr>
      <w:r w:rsidRPr="00A012CD">
        <w:rPr>
          <w:color w:val="0072CE" w:themeColor="accent4"/>
        </w:rPr>
        <w:t>&lt;insert Accountable Office name&gt;</w:t>
      </w:r>
      <w:r w:rsidRPr="00A012CD">
        <w:rPr>
          <w:color w:val="0072CE" w:themeColor="accent4"/>
        </w:rPr>
        <w:br/>
        <w:t>&lt;insert Accountable Officer title&gt;</w:t>
      </w:r>
    </w:p>
    <w:p w:rsidR="00680E02" w:rsidRDefault="00680E02" w:rsidP="00680E02">
      <w:pPr>
        <w:rPr>
          <w:lang w:eastAsia="en-US"/>
        </w:rPr>
      </w:pPr>
    </w:p>
    <w:p w:rsidR="00680E02" w:rsidRDefault="00680E02" w:rsidP="00680E02">
      <w:pPr>
        <w:ind w:left="720" w:hanging="720"/>
        <w:rPr>
          <w:lang w:eastAsia="en-US"/>
        </w:rPr>
      </w:pPr>
      <w:r>
        <w:rPr>
          <w:lang w:eastAsia="en-US"/>
        </w:rPr>
        <w:t>Cc:</w:t>
      </w:r>
      <w:r w:rsidRPr="00680E02">
        <w:rPr>
          <w:color w:val="0063A6" w:themeColor="accent1"/>
          <w:lang w:eastAsia="en-US"/>
        </w:rPr>
        <w:t xml:space="preserve"> </w:t>
      </w:r>
      <w:r>
        <w:rPr>
          <w:color w:val="0063A6" w:themeColor="accent1"/>
          <w:lang w:eastAsia="en-US"/>
        </w:rPr>
        <w:tab/>
      </w:r>
      <w:r w:rsidRPr="00680E02">
        <w:rPr>
          <w:rFonts w:cs="Arial"/>
          <w:color w:val="0063A6" w:themeColor="accent1"/>
        </w:rPr>
        <w:t>&lt;insert name&gt;</w:t>
      </w:r>
      <w:r w:rsidRPr="00717809">
        <w:rPr>
          <w:rFonts w:cs="Arial"/>
        </w:rPr>
        <w:t xml:space="preserve">, </w:t>
      </w:r>
      <w:r>
        <w:rPr>
          <w:lang w:eastAsia="en-US"/>
        </w:rPr>
        <w:t>Victorian Auditor-General</w:t>
      </w:r>
    </w:p>
    <w:p w:rsidR="00680E02" w:rsidRDefault="00680E02" w:rsidP="00680E02">
      <w:pPr>
        <w:ind w:left="720" w:hanging="720"/>
        <w:rPr>
          <w:lang w:eastAsia="en-US"/>
        </w:rPr>
      </w:pPr>
      <w:r>
        <w:rPr>
          <w:lang w:eastAsia="en-US"/>
        </w:rPr>
        <w:tab/>
      </w:r>
      <w:r w:rsidRPr="00680E02">
        <w:rPr>
          <w:rFonts w:cs="Arial"/>
          <w:color w:val="0063A6" w:themeColor="accent1"/>
        </w:rPr>
        <w:t>&lt;insert name&gt;</w:t>
      </w:r>
      <w:r>
        <w:rPr>
          <w:rFonts w:cs="Arial"/>
          <w:color w:val="5B3DC5" w:themeColor="text2" w:themeTint="99"/>
        </w:rPr>
        <w:t xml:space="preserve"> </w:t>
      </w:r>
      <w:r w:rsidRPr="00AE0C31">
        <w:rPr>
          <w:lang w:eastAsia="en-US"/>
        </w:rPr>
        <w:t>(</w:t>
      </w:r>
      <w:r>
        <w:rPr>
          <w:lang w:eastAsia="en-US"/>
        </w:rPr>
        <w:t>relevant Portfolio Department Accountable Officer/Secretary or advised delegate</w:t>
      </w:r>
      <w:r w:rsidRPr="00AE0C31">
        <w:rPr>
          <w:lang w:eastAsia="en-US"/>
        </w:rPr>
        <w:t>)</w:t>
      </w:r>
      <w:r>
        <w:rPr>
          <w:lang w:eastAsia="en-US"/>
        </w:rPr>
        <w:t>,</w:t>
      </w:r>
      <w:r>
        <w:rPr>
          <w:rFonts w:cs="Arial"/>
          <w:color w:val="5B3DC5" w:themeColor="text2" w:themeTint="99"/>
        </w:rPr>
        <w:t xml:space="preserve"> </w:t>
      </w:r>
      <w:r w:rsidRPr="00680E02">
        <w:rPr>
          <w:rFonts w:cs="Arial"/>
          <w:color w:val="0063A6" w:themeColor="accent1"/>
        </w:rPr>
        <w:t>&lt;insert Portfolio Department name&gt;</w:t>
      </w:r>
      <w:r w:rsidRPr="00680E02">
        <w:rPr>
          <w:color w:val="0063A6" w:themeColor="accent1"/>
          <w:lang w:eastAsia="en-US"/>
        </w:rPr>
        <w:t xml:space="preserve"> </w:t>
      </w:r>
    </w:p>
    <w:p w:rsidR="00680E02" w:rsidRDefault="00680E02" w:rsidP="00680E02">
      <w:pPr>
        <w:ind w:left="720" w:hanging="720"/>
        <w:rPr>
          <w:lang w:eastAsia="en-US"/>
        </w:rPr>
      </w:pPr>
      <w:r>
        <w:rPr>
          <w:lang w:eastAsia="en-US"/>
        </w:rPr>
        <w:tab/>
      </w:r>
      <w:r w:rsidRPr="00680E02">
        <w:rPr>
          <w:color w:val="0063A6" w:themeColor="accent1"/>
        </w:rPr>
        <w:t>&lt;insert name&gt;</w:t>
      </w:r>
      <w:r w:rsidRPr="00717809">
        <w:t>,</w:t>
      </w:r>
      <w:r>
        <w:rPr>
          <w:lang w:eastAsia="en-US"/>
        </w:rPr>
        <w:t xml:space="preserve"> Chair of </w:t>
      </w:r>
      <w:r w:rsidRPr="00680E02">
        <w:rPr>
          <w:color w:val="0063A6" w:themeColor="accent1"/>
        </w:rPr>
        <w:t>&lt;insert Agency name&gt;</w:t>
      </w:r>
      <w:r>
        <w:rPr>
          <w:lang w:eastAsia="en-US"/>
        </w:rPr>
        <w:t xml:space="preserve"> Audit Committee</w:t>
      </w:r>
    </w:p>
    <w:p w:rsidR="00680E02" w:rsidRDefault="00680E02" w:rsidP="00680E02"/>
    <w:p w:rsidR="00680E02" w:rsidRDefault="00680E02" w:rsidP="00F417C3">
      <w:pPr>
        <w:sectPr w:rsidR="00680E02" w:rsidSect="00F417C3">
          <w:headerReference w:type="even" r:id="rId11"/>
          <w:headerReference w:type="default" r:id="rId12"/>
          <w:footerReference w:type="even" r:id="rId13"/>
          <w:footerReference w:type="default" r:id="rId14"/>
          <w:headerReference w:type="first" r:id="rId15"/>
          <w:footerReference w:type="first" r:id="rId16"/>
          <w:pgSz w:w="11906" w:h="16838" w:code="9"/>
          <w:pgMar w:top="2160" w:right="1440" w:bottom="1980" w:left="1440" w:header="706" w:footer="461" w:gutter="0"/>
          <w:cols w:space="708"/>
          <w:docGrid w:linePitch="360"/>
        </w:sectPr>
      </w:pPr>
    </w:p>
    <w:p w:rsidR="00EA2E9C" w:rsidRDefault="00EA2E9C" w:rsidP="00EA2E9C">
      <w:pPr>
        <w:pStyle w:val="Heading1"/>
        <w:spacing w:before="300"/>
      </w:pPr>
      <w:r w:rsidRPr="0004496D">
        <w:lastRenderedPageBreak/>
        <w:t>Completed Sample</w:t>
      </w:r>
      <w:r>
        <w:t xml:space="preserve"> (with indicative level of detail) </w:t>
      </w:r>
    </w:p>
    <w:p w:rsidR="00EA2E9C" w:rsidRPr="00EA2E9C" w:rsidRDefault="00EA2E9C" w:rsidP="00EA2E9C">
      <w:pPr>
        <w:rPr>
          <w:sz w:val="32"/>
          <w:szCs w:val="32"/>
        </w:rPr>
      </w:pPr>
      <w:r w:rsidRPr="00EA2E9C">
        <w:t>N.B: for a more serious significant or systemic event or incident, more detailed information should be provided.</w:t>
      </w:r>
    </w:p>
    <w:p w:rsidR="00EA2E9C" w:rsidRPr="005568CB" w:rsidRDefault="00EA2E9C" w:rsidP="00EA2E9C">
      <w:pPr>
        <w:pStyle w:val="Heading2"/>
      </w:pPr>
      <w:r w:rsidRPr="005568CB">
        <w:t>Victorian Data Authority</w:t>
      </w:r>
    </w:p>
    <w:p w:rsidR="00EA2E9C" w:rsidRPr="00EA2E9C" w:rsidRDefault="00EA2E9C" w:rsidP="00EA2E9C">
      <w:pPr>
        <w:pStyle w:val="Heading3"/>
      </w:pPr>
      <w:r w:rsidRPr="00591516">
        <w:t xml:space="preserve">Report of </w:t>
      </w:r>
      <w:r w:rsidRPr="009861E2">
        <w:t>Significant or Systemic Fraud, Corruption and Other Losses</w:t>
      </w:r>
    </w:p>
    <w:p w:rsidR="00EA2E9C" w:rsidRPr="00EA2E9C" w:rsidRDefault="00EA2E9C" w:rsidP="00EA2E9C">
      <w:pPr>
        <w:rPr>
          <w:b/>
          <w:lang w:eastAsia="en-US"/>
        </w:rPr>
      </w:pPr>
      <w:r w:rsidRPr="00EA2E9C">
        <w:rPr>
          <w:b/>
          <w:color w:val="C00000"/>
          <w:lang w:eastAsia="en-US"/>
        </w:rPr>
        <w:t xml:space="preserve">SPECIFY </w:t>
      </w:r>
      <w:r w:rsidRPr="00EA2E9C">
        <w:rPr>
          <w:b/>
          <w:lang w:eastAsia="en-US"/>
        </w:rPr>
        <w:t>AGENCY DOLLAR THRESHOLD</w:t>
      </w:r>
      <w:r>
        <w:rPr>
          <w:b/>
          <w:lang w:eastAsia="en-US"/>
        </w:rPr>
        <w:t xml:space="preserve"> </w:t>
      </w:r>
      <w:r w:rsidRPr="00EA2E9C">
        <w:rPr>
          <w:b/>
          <w:lang w:eastAsia="en-US"/>
        </w:rPr>
        <w:t>FOR SIGNIFICANT INCIDENTS:</w:t>
      </w:r>
    </w:p>
    <w:p w:rsidR="00EA2E9C" w:rsidRPr="004F26F1" w:rsidRDefault="00EA2E9C" w:rsidP="00EA2E9C">
      <w:pPr>
        <w:tabs>
          <w:tab w:val="left" w:pos="2880"/>
        </w:tabs>
        <w:rPr>
          <w:lang w:eastAsia="en-US"/>
        </w:rPr>
      </w:pPr>
      <w:r>
        <w:rPr>
          <w:lang w:eastAsia="en-US"/>
        </w:rPr>
        <w:t xml:space="preserve">Money – </w:t>
      </w:r>
      <w:r w:rsidRPr="004F26F1">
        <w:rPr>
          <w:b/>
          <w:lang w:eastAsia="en-US"/>
        </w:rPr>
        <w:t>$5,000</w:t>
      </w:r>
      <w:r>
        <w:rPr>
          <w:lang w:eastAsia="en-US"/>
        </w:rPr>
        <w:t xml:space="preserve"> </w:t>
      </w:r>
      <w:r>
        <w:rPr>
          <w:lang w:eastAsia="en-US"/>
        </w:rPr>
        <w:tab/>
      </w:r>
      <w:r w:rsidRPr="004F26F1">
        <w:rPr>
          <w:lang w:eastAsia="en-US"/>
        </w:rPr>
        <w:t>Property</w:t>
      </w:r>
      <w:r>
        <w:rPr>
          <w:lang w:eastAsia="en-US"/>
        </w:rPr>
        <w:t xml:space="preserve"> – </w:t>
      </w:r>
      <w:r w:rsidRPr="004F26F1">
        <w:rPr>
          <w:b/>
          <w:lang w:eastAsia="en-US"/>
        </w:rPr>
        <w:t>$50,000</w:t>
      </w:r>
    </w:p>
    <w:p w:rsidR="00680E02" w:rsidRDefault="00EA2E9C" w:rsidP="00EA2E9C">
      <w:pPr>
        <w:pStyle w:val="Tablechartdiagramheading"/>
      </w:pPr>
      <w:r>
        <w:t>Details of event</w:t>
      </w:r>
      <w:r w:rsidRPr="0002793A">
        <w:t xml:space="preserve"> and incident</w:t>
      </w:r>
      <w:r>
        <w:t xml:space="preserve"> </w:t>
      </w:r>
      <w:r w:rsidRPr="0002793A">
        <w:t>report</w:t>
      </w:r>
    </w:p>
    <w:tbl>
      <w:tblPr>
        <w:tblStyle w:val="DTFtexttable"/>
        <w:tblW w:w="14637" w:type="dxa"/>
        <w:tblLayout w:type="fixed"/>
        <w:tblLook w:val="04A0" w:firstRow="1" w:lastRow="0" w:firstColumn="1" w:lastColumn="0" w:noHBand="0" w:noVBand="1"/>
      </w:tblPr>
      <w:tblGrid>
        <w:gridCol w:w="851"/>
        <w:gridCol w:w="1197"/>
        <w:gridCol w:w="1789"/>
        <w:gridCol w:w="1350"/>
        <w:gridCol w:w="2610"/>
        <w:gridCol w:w="1890"/>
        <w:gridCol w:w="2590"/>
        <w:gridCol w:w="2360"/>
      </w:tblGrid>
      <w:tr w:rsidR="00EA2E9C" w:rsidRPr="00EA2E9C" w:rsidTr="00EA2E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tcPr>
          <w:p w:rsidR="00EA2E9C" w:rsidRPr="00EA2E9C" w:rsidRDefault="00EA2E9C" w:rsidP="00EA2E9C">
            <w:pPr>
              <w:pStyle w:val="Tableheader"/>
            </w:pPr>
            <w:r w:rsidRPr="00EA2E9C">
              <w:t>Date of event</w:t>
            </w:r>
          </w:p>
        </w:tc>
        <w:tc>
          <w:tcPr>
            <w:tcW w:w="1197"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Money or other property</w:t>
            </w:r>
            <w:r>
              <w:t xml:space="preserve"> </w:t>
            </w:r>
            <w:r w:rsidRPr="00EA2E9C">
              <w:t>affected</w:t>
            </w:r>
          </w:p>
        </w:tc>
        <w:tc>
          <w:tcPr>
            <w:tcW w:w="1789"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Description of event and/or incident</w:t>
            </w:r>
          </w:p>
        </w:tc>
        <w:tc>
          <w:tcPr>
            <w:tcW w:w="1350"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Value of assets</w:t>
            </w:r>
          </w:p>
        </w:tc>
        <w:tc>
          <w:tcPr>
            <w:tcW w:w="2610"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 xml:space="preserve">Review of Internal Controls </w:t>
            </w:r>
          </w:p>
        </w:tc>
        <w:tc>
          <w:tcPr>
            <w:tcW w:w="1890"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Rectification plan</w:t>
            </w:r>
          </w:p>
        </w:tc>
        <w:tc>
          <w:tcPr>
            <w:tcW w:w="2590"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Investigations, proceedings and disciplinary action</w:t>
            </w:r>
          </w:p>
        </w:tc>
        <w:tc>
          <w:tcPr>
            <w:tcW w:w="2360"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Recovery of asset</w:t>
            </w:r>
          </w:p>
        </w:tc>
      </w:tr>
      <w:tr w:rsidR="00EA2E9C" w:rsidRPr="00EA2E9C" w:rsidTr="00EA2E9C">
        <w:tc>
          <w:tcPr>
            <w:cnfStyle w:val="001000000000" w:firstRow="0" w:lastRow="0" w:firstColumn="1" w:lastColumn="0" w:oddVBand="0" w:evenVBand="0" w:oddHBand="0" w:evenHBand="0" w:firstRowFirstColumn="0" w:firstRowLastColumn="0" w:lastRowFirstColumn="0" w:lastRowLastColumn="0"/>
            <w:tcW w:w="851" w:type="dxa"/>
          </w:tcPr>
          <w:p w:rsidR="00EA2E9C" w:rsidRPr="00EA2E9C" w:rsidRDefault="00EA2E9C" w:rsidP="00EA2E9C">
            <w:pPr>
              <w:pStyle w:val="Tabletext"/>
            </w:pPr>
            <w:r w:rsidRPr="00EA2E9C">
              <w:t>5, 19 and 28 July 2017</w:t>
            </w:r>
          </w:p>
        </w:tc>
        <w:tc>
          <w:tcPr>
            <w:tcW w:w="1197"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EA2E9C">
              <w:t>Stolen laptops</w:t>
            </w:r>
          </w:p>
        </w:tc>
        <w:tc>
          <w:tcPr>
            <w:tcW w:w="1789"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EA2E9C">
              <w:t>Three laptops have been stolen from inside the agency building at &lt;address&gt;. There have been three separate</w:t>
            </w:r>
            <w:r>
              <w:t xml:space="preserve"> </w:t>
            </w:r>
            <w:r w:rsidRPr="00EA2E9C">
              <w:t>incidences in the last month.</w:t>
            </w:r>
          </w:p>
        </w:tc>
        <w:tc>
          <w:tcPr>
            <w:tcW w:w="1350"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EA2E9C">
              <w:t>$2,000 for each laptop stolen, totalling</w:t>
            </w:r>
            <w:r>
              <w:t xml:space="preserve"> </w:t>
            </w:r>
            <w:r w:rsidRPr="00EA2E9C">
              <w:t>$6,000</w:t>
            </w:r>
          </w:p>
        </w:tc>
        <w:tc>
          <w:tcPr>
            <w:tcW w:w="2610"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EA2E9C">
              <w:t xml:space="preserve">A review of internal controls is underway. However, it appears that all three incidents are linked. Police have advised that someone with access to the building is the involved in all three incidents. </w:t>
            </w:r>
          </w:p>
        </w:tc>
        <w:tc>
          <w:tcPr>
            <w:tcW w:w="1890"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EA2E9C">
              <w:t>Stronger physical measures have been put in place e.g. additional cameras to be installed at building entrances and exits.</w:t>
            </w:r>
          </w:p>
        </w:tc>
        <w:tc>
          <w:tcPr>
            <w:tcW w:w="2590"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EA2E9C">
              <w:t>Incident reported to police. Investigations are currently underway. A further report on this incident will be provided once the internal audit review is complete.</w:t>
            </w:r>
          </w:p>
        </w:tc>
        <w:tc>
          <w:tcPr>
            <w:tcW w:w="2360"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EA2E9C">
              <w:t>Assets have not been recovered. Asset replacement value to be assessed and recovered through insurance cover.</w:t>
            </w:r>
          </w:p>
        </w:tc>
      </w:tr>
      <w:tr w:rsidR="00EA2E9C" w:rsidRPr="00FB6846" w:rsidTr="00EA2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EA2E9C" w:rsidRPr="00FB6846" w:rsidRDefault="00EA2E9C" w:rsidP="00EA2E9C">
            <w:pPr>
              <w:pStyle w:val="Tabletext"/>
            </w:pPr>
            <w:r>
              <w:t>26</w:t>
            </w:r>
            <w:r w:rsidRPr="00FB6846">
              <w:t xml:space="preserve"> July </w:t>
            </w:r>
            <w:r>
              <w:t>2017</w:t>
            </w:r>
          </w:p>
        </w:tc>
        <w:tc>
          <w:tcPr>
            <w:tcW w:w="1197" w:type="dxa"/>
          </w:tcPr>
          <w:p w:rsidR="00EA2E9C" w:rsidRPr="00FB6846" w:rsidRDefault="00EA2E9C" w:rsidP="00EA2E9C">
            <w:pPr>
              <w:pStyle w:val="Tabletext"/>
              <w:cnfStyle w:val="000000010000" w:firstRow="0" w:lastRow="0" w:firstColumn="0" w:lastColumn="0" w:oddVBand="0" w:evenVBand="0" w:oddHBand="0" w:evenHBand="1" w:firstRowFirstColumn="0" w:firstRowLastColumn="0" w:lastRowFirstColumn="0" w:lastRowLastColumn="0"/>
            </w:pPr>
            <w:r>
              <w:t>Money from Bank account</w:t>
            </w:r>
          </w:p>
        </w:tc>
        <w:tc>
          <w:tcPr>
            <w:tcW w:w="1789" w:type="dxa"/>
          </w:tcPr>
          <w:p w:rsidR="00EA2E9C" w:rsidRPr="00FB6846" w:rsidRDefault="00EA2E9C" w:rsidP="00EA2E9C">
            <w:pPr>
              <w:pStyle w:val="Tabletext"/>
              <w:cnfStyle w:val="000000010000" w:firstRow="0" w:lastRow="0" w:firstColumn="0" w:lastColumn="0" w:oddVBand="0" w:evenVBand="0" w:oddHBand="0" w:evenHBand="1" w:firstRowFirstColumn="0" w:firstRowLastColumn="0" w:lastRowFirstColumn="0" w:lastRowLastColumn="0"/>
            </w:pPr>
            <w:r>
              <w:t>Fraudulent supplier invoices provided to Agency which were subsequently paid from Bank account.</w:t>
            </w:r>
          </w:p>
        </w:tc>
        <w:tc>
          <w:tcPr>
            <w:tcW w:w="1350" w:type="dxa"/>
          </w:tcPr>
          <w:p w:rsidR="00EA2E9C" w:rsidRPr="00FB6846" w:rsidRDefault="00A012CD" w:rsidP="00EA2E9C">
            <w:pPr>
              <w:pStyle w:val="Tabletext"/>
              <w:cnfStyle w:val="000000010000" w:firstRow="0" w:lastRow="0" w:firstColumn="0" w:lastColumn="0" w:oddVBand="0" w:evenVBand="0" w:oddHBand="0" w:evenHBand="1" w:firstRowFirstColumn="0" w:firstRowLastColumn="0" w:lastRowFirstColumn="0" w:lastRowLastColumn="0"/>
            </w:pPr>
            <w:r>
              <w:t>$8</w:t>
            </w:r>
            <w:r w:rsidR="00EA2E9C">
              <w:t>,000</w:t>
            </w:r>
          </w:p>
        </w:tc>
        <w:tc>
          <w:tcPr>
            <w:tcW w:w="2610" w:type="dxa"/>
          </w:tcPr>
          <w:p w:rsidR="00EA2E9C" w:rsidRPr="00FB6846" w:rsidRDefault="00EA2E9C" w:rsidP="00EA2E9C">
            <w:pPr>
              <w:pStyle w:val="Tabletext"/>
              <w:cnfStyle w:val="000000010000" w:firstRow="0" w:lastRow="0" w:firstColumn="0" w:lastColumn="0" w:oddVBand="0" w:evenVBand="0" w:oddHBand="0" w:evenHBand="1" w:firstRowFirstColumn="0" w:firstRowLastColumn="0" w:lastRowFirstColumn="0" w:lastRowLastColumn="0"/>
            </w:pPr>
            <w:r w:rsidRPr="00FB6846">
              <w:t xml:space="preserve">Review of </w:t>
            </w:r>
            <w:r>
              <w:t>internal controls is being undertaken. It appears that a fraudulent supply was added to the accounts payable system without appropriate checks.</w:t>
            </w:r>
          </w:p>
        </w:tc>
        <w:tc>
          <w:tcPr>
            <w:tcW w:w="1890" w:type="dxa"/>
          </w:tcPr>
          <w:p w:rsidR="00EA2E9C" w:rsidRPr="00FB6846" w:rsidRDefault="00EA2E9C" w:rsidP="00EA2E9C">
            <w:pPr>
              <w:pStyle w:val="Tabletext"/>
              <w:cnfStyle w:val="000000010000" w:firstRow="0" w:lastRow="0" w:firstColumn="0" w:lastColumn="0" w:oddVBand="0" w:evenVBand="0" w:oddHBand="0" w:evenHBand="1" w:firstRowFirstColumn="0" w:firstRowLastColumn="0" w:lastRowFirstColumn="0" w:lastRowLastColumn="0"/>
            </w:pPr>
            <w:r w:rsidRPr="00FB6846">
              <w:t xml:space="preserve">Internal </w:t>
            </w:r>
            <w:r>
              <w:t xml:space="preserve">audit </w:t>
            </w:r>
            <w:proofErr w:type="gramStart"/>
            <w:r>
              <w:t>are</w:t>
            </w:r>
            <w:proofErr w:type="gramEnd"/>
            <w:r>
              <w:t xml:space="preserve"> undertaking a thorough review of the agency’s internal controls.</w:t>
            </w:r>
          </w:p>
        </w:tc>
        <w:tc>
          <w:tcPr>
            <w:tcW w:w="2590" w:type="dxa"/>
          </w:tcPr>
          <w:p w:rsidR="00EA2E9C" w:rsidRPr="00FB6846" w:rsidRDefault="00EA2E9C" w:rsidP="00EA2E9C">
            <w:pPr>
              <w:pStyle w:val="Tabletext"/>
              <w:cnfStyle w:val="000000010000" w:firstRow="0" w:lastRow="0" w:firstColumn="0" w:lastColumn="0" w:oddVBand="0" w:evenVBand="0" w:oddHBand="0" w:evenHBand="1" w:firstRowFirstColumn="0" w:firstRowLastColumn="0" w:lastRowFirstColumn="0" w:lastRowLastColumn="0"/>
            </w:pPr>
            <w:r w:rsidRPr="00FB6846">
              <w:t xml:space="preserve">Incident reported to police. Investigations </w:t>
            </w:r>
            <w:r>
              <w:t>are currently underway. A further report on this incident will be provided once the internal audit review is complete.</w:t>
            </w:r>
            <w:r w:rsidRPr="00FB6846">
              <w:t xml:space="preserve"> </w:t>
            </w:r>
          </w:p>
        </w:tc>
        <w:tc>
          <w:tcPr>
            <w:tcW w:w="2360" w:type="dxa"/>
          </w:tcPr>
          <w:p w:rsidR="00EA2E9C" w:rsidRPr="00FB6846" w:rsidRDefault="00EA2E9C" w:rsidP="00EA2E9C">
            <w:pPr>
              <w:pStyle w:val="Tabletext"/>
              <w:cnfStyle w:val="000000010000" w:firstRow="0" w:lastRow="0" w:firstColumn="0" w:lastColumn="0" w:oddVBand="0" w:evenVBand="0" w:oddHBand="0" w:evenHBand="1" w:firstRowFirstColumn="0" w:firstRowLastColumn="0" w:lastRowFirstColumn="0" w:lastRowLastColumn="0"/>
            </w:pPr>
            <w:r>
              <w:t xml:space="preserve">Money has not been recovered </w:t>
            </w:r>
            <w:proofErr w:type="gramStart"/>
            <w:r>
              <w:t>as yet</w:t>
            </w:r>
            <w:proofErr w:type="gramEnd"/>
            <w:r>
              <w:t>.</w:t>
            </w:r>
          </w:p>
        </w:tc>
      </w:tr>
      <w:tr w:rsidR="00EA2E9C" w:rsidRPr="00FB6846" w:rsidTr="00EA2E9C">
        <w:tc>
          <w:tcPr>
            <w:cnfStyle w:val="001000000000" w:firstRow="0" w:lastRow="0" w:firstColumn="1" w:lastColumn="0" w:oddVBand="0" w:evenVBand="0" w:oddHBand="0" w:evenHBand="0" w:firstRowFirstColumn="0" w:firstRowLastColumn="0" w:lastRowFirstColumn="0" w:lastRowLastColumn="0"/>
            <w:tcW w:w="851" w:type="dxa"/>
          </w:tcPr>
          <w:p w:rsidR="00EA2E9C" w:rsidRPr="00FB6846" w:rsidRDefault="00EA2E9C" w:rsidP="00EA2E9C">
            <w:pPr>
              <w:pStyle w:val="Tabletext"/>
            </w:pPr>
            <w:r>
              <w:t>29 July</w:t>
            </w:r>
            <w:r w:rsidRPr="00FB6846">
              <w:t xml:space="preserve"> </w:t>
            </w:r>
            <w:r>
              <w:t>2017</w:t>
            </w:r>
          </w:p>
        </w:tc>
        <w:tc>
          <w:tcPr>
            <w:tcW w:w="1197" w:type="dxa"/>
          </w:tcPr>
          <w:p w:rsidR="00EA2E9C" w:rsidRPr="00FB6846" w:rsidRDefault="00EA2E9C" w:rsidP="00EA2E9C">
            <w:pPr>
              <w:pStyle w:val="Tabletext"/>
              <w:cnfStyle w:val="000000000000" w:firstRow="0" w:lastRow="0" w:firstColumn="0" w:lastColumn="0" w:oddVBand="0" w:evenVBand="0" w:oddHBand="0" w:evenHBand="0" w:firstRowFirstColumn="0" w:firstRowLastColumn="0" w:lastRowFirstColumn="0" w:lastRowLastColumn="0"/>
            </w:pPr>
            <w:r>
              <w:t>Damage to office building property</w:t>
            </w:r>
          </w:p>
        </w:tc>
        <w:tc>
          <w:tcPr>
            <w:tcW w:w="1789" w:type="dxa"/>
          </w:tcPr>
          <w:p w:rsidR="00EA2E9C" w:rsidRPr="00FB6846" w:rsidRDefault="00EA2E9C" w:rsidP="00EA2E9C">
            <w:pPr>
              <w:pStyle w:val="Tabletext"/>
              <w:cnfStyle w:val="000000000000" w:firstRow="0" w:lastRow="0" w:firstColumn="0" w:lastColumn="0" w:oddVBand="0" w:evenVBand="0" w:oddHBand="0" w:evenHBand="0" w:firstRowFirstColumn="0" w:firstRowLastColumn="0" w:lastRowFirstColumn="0" w:lastRowLastColumn="0"/>
            </w:pPr>
            <w:r>
              <w:t>Agency office building at &lt;address&gt; was subject to an arson incident, resulting in the temporary loss of office space.</w:t>
            </w:r>
          </w:p>
        </w:tc>
        <w:tc>
          <w:tcPr>
            <w:tcW w:w="1350" w:type="dxa"/>
          </w:tcPr>
          <w:p w:rsidR="00EA2E9C" w:rsidRPr="00FB6846"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FB6846">
              <w:t>$</w:t>
            </w:r>
            <w:r>
              <w:t>65,000</w:t>
            </w:r>
          </w:p>
        </w:tc>
        <w:tc>
          <w:tcPr>
            <w:tcW w:w="2610" w:type="dxa"/>
          </w:tcPr>
          <w:p w:rsidR="00EA2E9C" w:rsidRPr="00FB6846"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FB6846">
              <w:t>Weaknesses in physical security identified.</w:t>
            </w:r>
            <w:r>
              <w:t xml:space="preserve"> </w:t>
            </w:r>
          </w:p>
        </w:tc>
        <w:tc>
          <w:tcPr>
            <w:tcW w:w="1890" w:type="dxa"/>
          </w:tcPr>
          <w:p w:rsidR="00EA2E9C" w:rsidRPr="00FB6846"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FB6846">
              <w:t xml:space="preserve">Stronger physical measures have been put in place e.g. </w:t>
            </w:r>
            <w:r>
              <w:t>additional cameras to be installed</w:t>
            </w:r>
            <w:r w:rsidRPr="00FB6846">
              <w:t>.</w:t>
            </w:r>
          </w:p>
        </w:tc>
        <w:tc>
          <w:tcPr>
            <w:tcW w:w="2590" w:type="dxa"/>
          </w:tcPr>
          <w:p w:rsidR="00EA2E9C" w:rsidRPr="00FB6846"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FB6846">
              <w:t xml:space="preserve">Event reported to police. </w:t>
            </w:r>
            <w:r>
              <w:t>A police investigation is currently underway. The i</w:t>
            </w:r>
            <w:r w:rsidRPr="00FB6846">
              <w:t xml:space="preserve">ndividual responsible for the </w:t>
            </w:r>
            <w:r>
              <w:t>arson</w:t>
            </w:r>
            <w:r w:rsidRPr="00FB6846">
              <w:t xml:space="preserve"> </w:t>
            </w:r>
            <w:r>
              <w:t xml:space="preserve">has not been identified </w:t>
            </w:r>
            <w:proofErr w:type="gramStart"/>
            <w:r>
              <w:t>as yet</w:t>
            </w:r>
            <w:proofErr w:type="gramEnd"/>
            <w:r w:rsidRPr="00FB6846">
              <w:t>.</w:t>
            </w:r>
            <w:r>
              <w:t xml:space="preserve"> A further report on this incident will be provided once the police investigation is complete.</w:t>
            </w:r>
          </w:p>
        </w:tc>
        <w:tc>
          <w:tcPr>
            <w:tcW w:w="2360" w:type="dxa"/>
          </w:tcPr>
          <w:p w:rsidR="00EA2E9C" w:rsidRPr="00FB6846" w:rsidRDefault="00EA2E9C" w:rsidP="00EA2E9C">
            <w:pPr>
              <w:pStyle w:val="Tabletext"/>
              <w:cnfStyle w:val="000000000000" w:firstRow="0" w:lastRow="0" w:firstColumn="0" w:lastColumn="0" w:oddVBand="0" w:evenVBand="0" w:oddHBand="0" w:evenHBand="0" w:firstRowFirstColumn="0" w:firstRowLastColumn="0" w:lastRowFirstColumn="0" w:lastRowLastColumn="0"/>
            </w:pPr>
            <w:r w:rsidRPr="00FB6846">
              <w:t xml:space="preserve">Asset </w:t>
            </w:r>
            <w:r>
              <w:t>replacement value to be assessed and recovered through i</w:t>
            </w:r>
            <w:r w:rsidRPr="00FB6846">
              <w:t>nsurance</w:t>
            </w:r>
            <w:r>
              <w:t xml:space="preserve"> cover</w:t>
            </w:r>
            <w:r w:rsidRPr="00FB6846">
              <w:t>.</w:t>
            </w:r>
          </w:p>
        </w:tc>
      </w:tr>
    </w:tbl>
    <w:p w:rsidR="00EA2E9C" w:rsidRDefault="00EA2E9C" w:rsidP="00EA2E9C">
      <w:pPr>
        <w:pStyle w:val="Heading1"/>
      </w:pPr>
      <w:r w:rsidRPr="00FE624F">
        <w:lastRenderedPageBreak/>
        <w:t>Template report</w:t>
      </w:r>
      <w:r>
        <w:t xml:space="preserve"> (remove)</w:t>
      </w:r>
    </w:p>
    <w:p w:rsidR="00EA2E9C" w:rsidRPr="005568CB" w:rsidRDefault="00EA2E9C" w:rsidP="00EA2E9C">
      <w:pPr>
        <w:pStyle w:val="Heading2"/>
      </w:pPr>
      <w:r w:rsidRPr="005568CB">
        <w:t>[I</w:t>
      </w:r>
      <w:r>
        <w:t>nsert your</w:t>
      </w:r>
      <w:r w:rsidRPr="005568CB">
        <w:t xml:space="preserve"> A</w:t>
      </w:r>
      <w:r>
        <w:t>gency’s Name</w:t>
      </w:r>
      <w:r w:rsidRPr="005568CB">
        <w:t>]</w:t>
      </w:r>
    </w:p>
    <w:p w:rsidR="00EA2E9C" w:rsidRDefault="00EA2E9C" w:rsidP="00EA2E9C">
      <w:pPr>
        <w:pStyle w:val="Heading3"/>
      </w:pPr>
      <w:r w:rsidRPr="00591516">
        <w:t xml:space="preserve">Report of </w:t>
      </w:r>
      <w:r w:rsidRPr="009861E2">
        <w:t>Significant or Systemic Fraud, Corruption and Other Losses</w:t>
      </w:r>
    </w:p>
    <w:p w:rsidR="00EA2E9C" w:rsidRPr="00EA2E9C" w:rsidRDefault="00EA2E9C" w:rsidP="00EA2E9C">
      <w:pPr>
        <w:rPr>
          <w:b/>
          <w:lang w:eastAsia="en-US"/>
        </w:rPr>
      </w:pPr>
      <w:r w:rsidRPr="00EA2E9C">
        <w:rPr>
          <w:b/>
          <w:color w:val="C00000"/>
          <w:lang w:eastAsia="en-US"/>
        </w:rPr>
        <w:t xml:space="preserve">SPECIFY </w:t>
      </w:r>
      <w:r w:rsidRPr="00EA2E9C">
        <w:rPr>
          <w:b/>
          <w:lang w:eastAsia="en-US"/>
        </w:rPr>
        <w:t>AGENCY DOLLAR THRESHOLD FOR SIGNIFICANT INCIDENTS:</w:t>
      </w:r>
    </w:p>
    <w:p w:rsidR="00EA2E9C" w:rsidRPr="004F26F1" w:rsidRDefault="00EA2E9C" w:rsidP="00EA2E9C">
      <w:pPr>
        <w:tabs>
          <w:tab w:val="left" w:pos="2880"/>
        </w:tabs>
        <w:rPr>
          <w:lang w:eastAsia="en-US"/>
        </w:rPr>
      </w:pPr>
      <w:r w:rsidRPr="00B803A9">
        <w:rPr>
          <w:lang w:eastAsia="en-US"/>
        </w:rPr>
        <w:t>Money</w:t>
      </w:r>
      <w:r>
        <w:rPr>
          <w:lang w:eastAsia="en-US"/>
        </w:rPr>
        <w:t xml:space="preserve"> – </w:t>
      </w:r>
      <w:r w:rsidRPr="00EA2E9C">
        <w:rPr>
          <w:color w:val="C00000"/>
        </w:rPr>
        <w:t>[</w:t>
      </w:r>
      <w:r w:rsidRPr="00EA2E9C">
        <w:rPr>
          <w:b/>
          <w:color w:val="C00000"/>
        </w:rPr>
        <w:t>Add $ threshold</w:t>
      </w:r>
      <w:r w:rsidRPr="00EA2E9C">
        <w:rPr>
          <w:color w:val="C00000"/>
        </w:rPr>
        <w:t>]</w:t>
      </w:r>
      <w:r>
        <w:rPr>
          <w:lang w:eastAsia="en-US"/>
        </w:rPr>
        <w:tab/>
      </w:r>
      <w:r w:rsidRPr="00B803A9">
        <w:rPr>
          <w:lang w:eastAsia="en-US"/>
        </w:rPr>
        <w:t>Property</w:t>
      </w:r>
      <w:r>
        <w:rPr>
          <w:lang w:eastAsia="en-US"/>
        </w:rPr>
        <w:t xml:space="preserve"> – </w:t>
      </w:r>
      <w:r w:rsidRPr="00EA2E9C">
        <w:rPr>
          <w:color w:val="C00000"/>
        </w:rPr>
        <w:t>[</w:t>
      </w:r>
      <w:r w:rsidRPr="00EA2E9C">
        <w:rPr>
          <w:b/>
          <w:color w:val="C00000"/>
        </w:rPr>
        <w:t>Add $ threshold</w:t>
      </w:r>
      <w:r w:rsidRPr="00EA2E9C">
        <w:rPr>
          <w:color w:val="C00000"/>
        </w:rPr>
        <w:t>]</w:t>
      </w:r>
      <w:r w:rsidRPr="00EA2E9C">
        <w:rPr>
          <w:lang w:eastAsia="en-US"/>
        </w:rPr>
        <w:t xml:space="preserve"> </w:t>
      </w:r>
    </w:p>
    <w:p w:rsidR="00EA2E9C" w:rsidRPr="0002793A" w:rsidRDefault="00EA2E9C" w:rsidP="00EA2E9C">
      <w:pPr>
        <w:pStyle w:val="Tablechartdiagramheading"/>
      </w:pPr>
      <w:r>
        <w:t>Details of event</w:t>
      </w:r>
      <w:r w:rsidRPr="0002793A">
        <w:t xml:space="preserve"> and incident report</w:t>
      </w:r>
    </w:p>
    <w:tbl>
      <w:tblPr>
        <w:tblStyle w:val="DTFtexttable"/>
        <w:tblW w:w="14637" w:type="dxa"/>
        <w:tblLayout w:type="fixed"/>
        <w:tblLook w:val="04A0" w:firstRow="1" w:lastRow="0" w:firstColumn="1" w:lastColumn="0" w:noHBand="0" w:noVBand="1"/>
      </w:tblPr>
      <w:tblGrid>
        <w:gridCol w:w="1134"/>
        <w:gridCol w:w="1276"/>
        <w:gridCol w:w="1559"/>
        <w:gridCol w:w="1418"/>
        <w:gridCol w:w="2597"/>
        <w:gridCol w:w="2080"/>
        <w:gridCol w:w="2641"/>
        <w:gridCol w:w="1932"/>
      </w:tblGrid>
      <w:tr w:rsidR="00EA2E9C" w:rsidRPr="00EA2E9C" w:rsidTr="00EA2E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4" w:type="dxa"/>
          </w:tcPr>
          <w:p w:rsidR="00EA2E9C" w:rsidRPr="00EA2E9C" w:rsidRDefault="00EA2E9C" w:rsidP="00EA2E9C">
            <w:pPr>
              <w:pStyle w:val="Tableheader"/>
            </w:pPr>
            <w:r w:rsidRPr="00EA2E9C">
              <w:t>Date of event</w:t>
            </w:r>
          </w:p>
        </w:tc>
        <w:tc>
          <w:tcPr>
            <w:tcW w:w="1276"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 xml:space="preserve">Money or other </w:t>
            </w:r>
            <w:proofErr w:type="gramStart"/>
            <w:r w:rsidRPr="00EA2E9C">
              <w:t>property  affected</w:t>
            </w:r>
            <w:proofErr w:type="gramEnd"/>
          </w:p>
        </w:tc>
        <w:tc>
          <w:tcPr>
            <w:tcW w:w="1559"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Description of event and/or incident</w:t>
            </w:r>
          </w:p>
        </w:tc>
        <w:tc>
          <w:tcPr>
            <w:tcW w:w="1418"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Value of assets</w:t>
            </w:r>
          </w:p>
        </w:tc>
        <w:tc>
          <w:tcPr>
            <w:tcW w:w="2597"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Review of internal controls</w:t>
            </w:r>
          </w:p>
        </w:tc>
        <w:tc>
          <w:tcPr>
            <w:tcW w:w="2080"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Rectification plan</w:t>
            </w:r>
          </w:p>
        </w:tc>
        <w:tc>
          <w:tcPr>
            <w:tcW w:w="2641"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Investigations, proceedings and disciplinary action</w:t>
            </w:r>
          </w:p>
        </w:tc>
        <w:tc>
          <w:tcPr>
            <w:tcW w:w="1932" w:type="dxa"/>
          </w:tcPr>
          <w:p w:rsidR="00EA2E9C" w:rsidRPr="00EA2E9C" w:rsidRDefault="00EA2E9C" w:rsidP="00EA2E9C">
            <w:pPr>
              <w:pStyle w:val="Tableheader"/>
              <w:cnfStyle w:val="100000000000" w:firstRow="1" w:lastRow="0" w:firstColumn="0" w:lastColumn="0" w:oddVBand="0" w:evenVBand="0" w:oddHBand="0" w:evenHBand="0" w:firstRowFirstColumn="0" w:firstRowLastColumn="0" w:lastRowFirstColumn="0" w:lastRowLastColumn="0"/>
            </w:pPr>
            <w:r w:rsidRPr="00EA2E9C">
              <w:t>Recovery of asset</w:t>
            </w:r>
          </w:p>
        </w:tc>
      </w:tr>
      <w:tr w:rsidR="00EA2E9C" w:rsidRPr="00EA2E9C" w:rsidTr="00EA2E9C">
        <w:tc>
          <w:tcPr>
            <w:cnfStyle w:val="001000000000" w:firstRow="0" w:lastRow="0" w:firstColumn="1" w:lastColumn="0" w:oddVBand="0" w:evenVBand="0" w:oddHBand="0" w:evenHBand="0" w:firstRowFirstColumn="0" w:firstRowLastColumn="0" w:lastRowFirstColumn="0" w:lastRowLastColumn="0"/>
            <w:tcW w:w="1134" w:type="dxa"/>
          </w:tcPr>
          <w:p w:rsidR="00EA2E9C" w:rsidRPr="00EA2E9C" w:rsidRDefault="00EA2E9C" w:rsidP="00EA2E9C">
            <w:pPr>
              <w:pStyle w:val="Tabletext"/>
              <w:rPr>
                <w:color w:val="C00000"/>
              </w:rPr>
            </w:pPr>
            <w:r w:rsidRPr="00EA2E9C">
              <w:rPr>
                <w:color w:val="C00000"/>
              </w:rPr>
              <w:t>[Insert date]</w:t>
            </w:r>
          </w:p>
        </w:tc>
        <w:tc>
          <w:tcPr>
            <w:tcW w:w="1276"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rPr>
                <w:color w:val="C00000"/>
              </w:rPr>
            </w:pPr>
            <w:r w:rsidRPr="00EA2E9C">
              <w:rPr>
                <w:color w:val="C00000"/>
              </w:rPr>
              <w:t>[Insert details]</w:t>
            </w:r>
          </w:p>
        </w:tc>
        <w:tc>
          <w:tcPr>
            <w:tcW w:w="1559"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rPr>
                <w:color w:val="C00000"/>
              </w:rPr>
            </w:pPr>
            <w:r w:rsidRPr="00EA2E9C">
              <w:rPr>
                <w:color w:val="C00000"/>
              </w:rPr>
              <w:t>[Insert details]</w:t>
            </w:r>
          </w:p>
        </w:tc>
        <w:tc>
          <w:tcPr>
            <w:tcW w:w="1418"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rPr>
                <w:color w:val="C00000"/>
              </w:rPr>
            </w:pPr>
            <w:r w:rsidRPr="00EA2E9C">
              <w:rPr>
                <w:color w:val="C00000"/>
              </w:rPr>
              <w:t>[Insert amounts]</w:t>
            </w:r>
          </w:p>
        </w:tc>
        <w:tc>
          <w:tcPr>
            <w:tcW w:w="2597"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rPr>
                <w:color w:val="C00000"/>
              </w:rPr>
            </w:pPr>
            <w:r w:rsidRPr="00EA2E9C">
              <w:rPr>
                <w:color w:val="C00000"/>
              </w:rPr>
              <w:t>[Insert details]</w:t>
            </w:r>
          </w:p>
        </w:tc>
        <w:tc>
          <w:tcPr>
            <w:tcW w:w="2080"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rPr>
                <w:color w:val="C00000"/>
              </w:rPr>
            </w:pPr>
            <w:r w:rsidRPr="00EA2E9C">
              <w:rPr>
                <w:color w:val="C00000"/>
              </w:rPr>
              <w:t>[Insert details]</w:t>
            </w:r>
          </w:p>
        </w:tc>
        <w:tc>
          <w:tcPr>
            <w:tcW w:w="2641"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rPr>
                <w:color w:val="C00000"/>
              </w:rPr>
            </w:pPr>
            <w:r w:rsidRPr="00EA2E9C">
              <w:rPr>
                <w:color w:val="C00000"/>
              </w:rPr>
              <w:t>[Insert details]</w:t>
            </w:r>
          </w:p>
        </w:tc>
        <w:tc>
          <w:tcPr>
            <w:tcW w:w="1932"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rPr>
                <w:color w:val="C00000"/>
              </w:rPr>
            </w:pPr>
            <w:r w:rsidRPr="00EA2E9C">
              <w:rPr>
                <w:color w:val="C00000"/>
              </w:rPr>
              <w:t>[Insert details]</w:t>
            </w:r>
          </w:p>
        </w:tc>
      </w:tr>
      <w:tr w:rsidR="00EA2E9C" w:rsidRPr="00EA2E9C" w:rsidTr="00EA2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EA2E9C" w:rsidRPr="00EA2E9C" w:rsidRDefault="00EA2E9C" w:rsidP="00EA2E9C">
            <w:pPr>
              <w:pStyle w:val="Tabletext"/>
            </w:pPr>
          </w:p>
        </w:tc>
        <w:tc>
          <w:tcPr>
            <w:tcW w:w="1276" w:type="dxa"/>
          </w:tcPr>
          <w:p w:rsidR="00EA2E9C" w:rsidRPr="00EA2E9C" w:rsidRDefault="00EA2E9C" w:rsidP="00EA2E9C">
            <w:pPr>
              <w:pStyle w:val="Tabletext"/>
              <w:cnfStyle w:val="000000010000" w:firstRow="0" w:lastRow="0" w:firstColumn="0" w:lastColumn="0" w:oddVBand="0" w:evenVBand="0" w:oddHBand="0" w:evenHBand="1" w:firstRowFirstColumn="0" w:firstRowLastColumn="0" w:lastRowFirstColumn="0" w:lastRowLastColumn="0"/>
            </w:pPr>
          </w:p>
        </w:tc>
        <w:tc>
          <w:tcPr>
            <w:tcW w:w="1559" w:type="dxa"/>
          </w:tcPr>
          <w:p w:rsidR="00EA2E9C" w:rsidRPr="00EA2E9C" w:rsidRDefault="00EA2E9C" w:rsidP="00EA2E9C">
            <w:pPr>
              <w:pStyle w:val="Tabletext"/>
              <w:cnfStyle w:val="000000010000" w:firstRow="0" w:lastRow="0" w:firstColumn="0" w:lastColumn="0" w:oddVBand="0" w:evenVBand="0" w:oddHBand="0" w:evenHBand="1" w:firstRowFirstColumn="0" w:firstRowLastColumn="0" w:lastRowFirstColumn="0" w:lastRowLastColumn="0"/>
            </w:pPr>
          </w:p>
        </w:tc>
        <w:tc>
          <w:tcPr>
            <w:tcW w:w="1418" w:type="dxa"/>
          </w:tcPr>
          <w:p w:rsidR="00EA2E9C" w:rsidRPr="00EA2E9C" w:rsidRDefault="00EA2E9C" w:rsidP="00EA2E9C">
            <w:pPr>
              <w:pStyle w:val="Tabletext"/>
              <w:cnfStyle w:val="000000010000" w:firstRow="0" w:lastRow="0" w:firstColumn="0" w:lastColumn="0" w:oddVBand="0" w:evenVBand="0" w:oddHBand="0" w:evenHBand="1" w:firstRowFirstColumn="0" w:firstRowLastColumn="0" w:lastRowFirstColumn="0" w:lastRowLastColumn="0"/>
            </w:pPr>
          </w:p>
        </w:tc>
        <w:tc>
          <w:tcPr>
            <w:tcW w:w="2597" w:type="dxa"/>
          </w:tcPr>
          <w:p w:rsidR="00EA2E9C" w:rsidRPr="00EA2E9C" w:rsidRDefault="00EA2E9C" w:rsidP="00EA2E9C">
            <w:pPr>
              <w:pStyle w:val="Tabletext"/>
              <w:cnfStyle w:val="000000010000" w:firstRow="0" w:lastRow="0" w:firstColumn="0" w:lastColumn="0" w:oddVBand="0" w:evenVBand="0" w:oddHBand="0" w:evenHBand="1" w:firstRowFirstColumn="0" w:firstRowLastColumn="0" w:lastRowFirstColumn="0" w:lastRowLastColumn="0"/>
            </w:pPr>
          </w:p>
        </w:tc>
        <w:tc>
          <w:tcPr>
            <w:tcW w:w="2080" w:type="dxa"/>
          </w:tcPr>
          <w:p w:rsidR="00EA2E9C" w:rsidRPr="00EA2E9C" w:rsidRDefault="00EA2E9C" w:rsidP="00EA2E9C">
            <w:pPr>
              <w:pStyle w:val="Tabletext"/>
              <w:cnfStyle w:val="000000010000" w:firstRow="0" w:lastRow="0" w:firstColumn="0" w:lastColumn="0" w:oddVBand="0" w:evenVBand="0" w:oddHBand="0" w:evenHBand="1" w:firstRowFirstColumn="0" w:firstRowLastColumn="0" w:lastRowFirstColumn="0" w:lastRowLastColumn="0"/>
            </w:pPr>
          </w:p>
        </w:tc>
        <w:tc>
          <w:tcPr>
            <w:tcW w:w="2641" w:type="dxa"/>
          </w:tcPr>
          <w:p w:rsidR="00EA2E9C" w:rsidRPr="00EA2E9C" w:rsidRDefault="00EA2E9C" w:rsidP="00EA2E9C">
            <w:pPr>
              <w:pStyle w:val="Tabletext"/>
              <w:cnfStyle w:val="000000010000" w:firstRow="0" w:lastRow="0" w:firstColumn="0" w:lastColumn="0" w:oddVBand="0" w:evenVBand="0" w:oddHBand="0" w:evenHBand="1" w:firstRowFirstColumn="0" w:firstRowLastColumn="0" w:lastRowFirstColumn="0" w:lastRowLastColumn="0"/>
            </w:pPr>
          </w:p>
        </w:tc>
        <w:tc>
          <w:tcPr>
            <w:tcW w:w="1932" w:type="dxa"/>
          </w:tcPr>
          <w:p w:rsidR="00EA2E9C" w:rsidRPr="00EA2E9C" w:rsidRDefault="00EA2E9C" w:rsidP="00EA2E9C">
            <w:pPr>
              <w:pStyle w:val="Tabletext"/>
              <w:cnfStyle w:val="000000010000" w:firstRow="0" w:lastRow="0" w:firstColumn="0" w:lastColumn="0" w:oddVBand="0" w:evenVBand="0" w:oddHBand="0" w:evenHBand="1" w:firstRowFirstColumn="0" w:firstRowLastColumn="0" w:lastRowFirstColumn="0" w:lastRowLastColumn="0"/>
            </w:pPr>
          </w:p>
        </w:tc>
      </w:tr>
      <w:tr w:rsidR="00EA2E9C" w:rsidRPr="00EA2E9C" w:rsidTr="00EA2E9C">
        <w:tc>
          <w:tcPr>
            <w:cnfStyle w:val="001000000000" w:firstRow="0" w:lastRow="0" w:firstColumn="1" w:lastColumn="0" w:oddVBand="0" w:evenVBand="0" w:oddHBand="0" w:evenHBand="0" w:firstRowFirstColumn="0" w:firstRowLastColumn="0" w:lastRowFirstColumn="0" w:lastRowLastColumn="0"/>
            <w:tcW w:w="1134" w:type="dxa"/>
          </w:tcPr>
          <w:p w:rsidR="00EA2E9C" w:rsidRPr="00EA2E9C" w:rsidRDefault="00EA2E9C" w:rsidP="00EA2E9C">
            <w:pPr>
              <w:pStyle w:val="Tabletext"/>
            </w:pPr>
          </w:p>
        </w:tc>
        <w:tc>
          <w:tcPr>
            <w:tcW w:w="1276"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p>
        </w:tc>
        <w:tc>
          <w:tcPr>
            <w:tcW w:w="1559"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p>
        </w:tc>
        <w:tc>
          <w:tcPr>
            <w:tcW w:w="1418"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p>
        </w:tc>
        <w:tc>
          <w:tcPr>
            <w:tcW w:w="2597"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p>
        </w:tc>
        <w:tc>
          <w:tcPr>
            <w:tcW w:w="2080"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p>
        </w:tc>
        <w:tc>
          <w:tcPr>
            <w:tcW w:w="2641"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p>
        </w:tc>
        <w:tc>
          <w:tcPr>
            <w:tcW w:w="1932" w:type="dxa"/>
          </w:tcPr>
          <w:p w:rsidR="00EA2E9C" w:rsidRPr="00EA2E9C" w:rsidRDefault="00EA2E9C" w:rsidP="00EA2E9C">
            <w:pPr>
              <w:pStyle w:val="Tabletext"/>
              <w:cnfStyle w:val="000000000000" w:firstRow="0" w:lastRow="0" w:firstColumn="0" w:lastColumn="0" w:oddVBand="0" w:evenVBand="0" w:oddHBand="0" w:evenHBand="0" w:firstRowFirstColumn="0" w:firstRowLastColumn="0" w:lastRowFirstColumn="0" w:lastRowLastColumn="0"/>
            </w:pPr>
          </w:p>
        </w:tc>
      </w:tr>
    </w:tbl>
    <w:p w:rsidR="00EA2E9C" w:rsidRPr="00680E02" w:rsidRDefault="00EA2E9C" w:rsidP="00680E02"/>
    <w:sectPr w:rsidR="00EA2E9C" w:rsidRPr="00680E02" w:rsidSect="00EA2E9C">
      <w:headerReference w:type="default" r:id="rId17"/>
      <w:footerReference w:type="default" r:id="rId18"/>
      <w:pgSz w:w="16838" w:h="11906" w:orient="landscape" w:code="9"/>
      <w:pgMar w:top="1350" w:right="1152" w:bottom="1152" w:left="1152"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C03" w:rsidRDefault="00787C03" w:rsidP="002D711A">
      <w:pPr>
        <w:spacing w:after="0" w:line="240" w:lineRule="auto"/>
      </w:pPr>
      <w:r>
        <w:separator/>
      </w:r>
    </w:p>
  </w:endnote>
  <w:endnote w:type="continuationSeparator" w:id="0">
    <w:p w:rsidR="00787C03" w:rsidRDefault="00787C0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02" w:rsidRPr="001E31FA" w:rsidRDefault="00680E02" w:rsidP="001E31FA">
    <w:pPr>
      <w:pStyle w:val="Spacer"/>
    </w:pPr>
  </w:p>
  <w:p w:rsidR="00680E02" w:rsidRPr="00297281" w:rsidRDefault="00680E02" w:rsidP="00C022F9">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63A6" w:themeColor="accent1"/>
        <w:sz w:val="20"/>
      </w:rPr>
      <w:fldChar w:fldCharType="begin"/>
    </w:r>
    <w:r w:rsidRPr="00C92338">
      <w:rPr>
        <w:b/>
        <w:color w:val="0063A6" w:themeColor="accent1"/>
        <w:sz w:val="20"/>
      </w:rPr>
      <w:instrText xml:space="preserve"> StyleRef “Title” </w:instrText>
    </w:r>
    <w:r w:rsidRPr="00C92338">
      <w:rPr>
        <w:b/>
        <w:noProof w:val="0"/>
        <w:color w:val="0063A6" w:themeColor="accent1"/>
        <w:sz w:val="20"/>
      </w:rPr>
      <w:fldChar w:fldCharType="separate"/>
    </w:r>
    <w:r w:rsidR="00EA2E9C">
      <w:rPr>
        <w:bCs/>
        <w:color w:val="0063A6" w:themeColor="accent1"/>
        <w:sz w:val="20"/>
        <w:lang w:val="en-US"/>
      </w:rPr>
      <w:t>Error! No text of specified style in document.</w:t>
    </w:r>
    <w:r w:rsidRPr="00C92338">
      <w:rPr>
        <w:b/>
        <w:color w:val="0063A6" w:themeColor="accent1"/>
        <w:sz w:val="20"/>
      </w:rPr>
      <w:fldChar w:fldCharType="end"/>
    </w:r>
    <w:r>
      <w:rPr>
        <w:b/>
        <w:color w:val="0063A6" w:themeColor="accent1"/>
      </w:rPr>
      <w:t xml:space="preserve"> – </w:t>
    </w:r>
    <w:r>
      <w:rPr>
        <w:noProof w:val="0"/>
      </w:rPr>
      <w:fldChar w:fldCharType="begin"/>
    </w:r>
    <w:r>
      <w:instrText xml:space="preserve"> StyleRef “Subtitle” </w:instrText>
    </w:r>
    <w:r>
      <w:rPr>
        <w:noProof w:val="0"/>
      </w:rPr>
      <w:fldChar w:fldCharType="separate"/>
    </w:r>
    <w:r w:rsidR="00EA2E9C">
      <w:rPr>
        <w:b/>
        <w:bCs/>
        <w:lang w:val="en-US"/>
      </w:rPr>
      <w:t>Error! No text of specified style in document.</w:t>
    </w:r>
    <w:r>
      <w:fldChar w:fldCharType="end"/>
    </w:r>
    <w:r w:rsidRPr="0018749C">
      <w:t xml:space="preserve">, </w:t>
    </w:r>
    <w:r>
      <w:rPr>
        <w:noProof w:val="0"/>
      </w:rPr>
      <w:fldChar w:fldCharType="begin"/>
    </w:r>
    <w:r>
      <w:instrText xml:space="preserve"> StyleRef “Tertiary Title” </w:instrText>
    </w:r>
    <w:r>
      <w:rPr>
        <w:noProof w:val="0"/>
      </w:rPr>
      <w:fldChar w:fldCharType="separate"/>
    </w:r>
    <w:r w:rsidR="00EA2E9C">
      <w:rPr>
        <w:b/>
        <w:bCs/>
        <w:lang w:val="en-US"/>
      </w:rPr>
      <w:t>Error! No text of specified style in document.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02" w:rsidRDefault="00680E02" w:rsidP="00165E66">
    <w:pPr>
      <w:pStyle w:val="Spacer"/>
    </w:pPr>
  </w:p>
  <w:p w:rsidR="00680E02" w:rsidRPr="00C022F9" w:rsidRDefault="00680E02"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012CD">
      <w:rPr>
        <w:bCs/>
        <w:color w:val="0063A6" w:themeColor="accent1"/>
        <w:lang w:val="en-US"/>
      </w:rPr>
      <w:t>Error! No text of specified style in document.</w: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586337">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C26" w:rsidRDefault="00C93C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C3" w:rsidRDefault="00F417C3" w:rsidP="004669E3">
    <w:pPr>
      <w:pStyle w:val="Spacer"/>
    </w:pPr>
  </w:p>
  <w:p w:rsidR="00F417C3" w:rsidRPr="00C022F9" w:rsidRDefault="00F417C3" w:rsidP="00EA2E9C">
    <w:pPr>
      <w:pStyle w:val="Footer"/>
      <w:tabs>
        <w:tab w:val="clear" w:pos="9026"/>
        <w:tab w:val="right" w:pos="14490"/>
      </w:tabs>
      <w:ind w:right="836"/>
    </w:pPr>
    <w:r w:rsidRPr="00C022F9">
      <w:rPr>
        <w:b/>
        <w:noProof w:val="0"/>
        <w:color w:val="0063A6" w:themeColor="accent1"/>
      </w:rPr>
      <w:fldChar w:fldCharType="begin"/>
    </w:r>
    <w:r w:rsidRPr="00C022F9">
      <w:rPr>
        <w:b/>
        <w:color w:val="0063A6" w:themeColor="accent1"/>
      </w:rPr>
      <w:instrText xml:space="preserve"> StyleRef “</w:instrText>
    </w:r>
    <w:r w:rsidR="00680E02">
      <w:rPr>
        <w:b/>
        <w:color w:val="0063A6" w:themeColor="accent1"/>
      </w:rPr>
      <w:instrText>Heading 1</w:instrText>
    </w:r>
    <w:r w:rsidRPr="00C022F9">
      <w:rPr>
        <w:b/>
        <w:color w:val="0063A6" w:themeColor="accent1"/>
      </w:rPr>
      <w:instrText xml:space="preserve">” </w:instrText>
    </w:r>
    <w:r w:rsidRPr="00C022F9">
      <w:rPr>
        <w:b/>
        <w:noProof w:val="0"/>
        <w:color w:val="0063A6" w:themeColor="accent1"/>
      </w:rPr>
      <w:fldChar w:fldCharType="separate"/>
    </w:r>
    <w:r w:rsidR="00A012CD">
      <w:rPr>
        <w:b/>
        <w:color w:val="0063A6" w:themeColor="accent1"/>
      </w:rPr>
      <w:t>Completed Sample (with indicative level of detail)</w:t>
    </w:r>
    <w:r w:rsidRPr="00C022F9">
      <w:rPr>
        <w:b/>
        <w:color w:val="0063A6" w:themeColor="accent1"/>
      </w:rPr>
      <w:fldChar w:fldCharType="end"/>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586337">
      <w:rPr>
        <w:rStyle w:val="PageNumber"/>
      </w:rPr>
      <w:t>4</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C03" w:rsidRDefault="00787C03" w:rsidP="002D711A">
      <w:pPr>
        <w:spacing w:after="0" w:line="240" w:lineRule="auto"/>
      </w:pPr>
      <w:r>
        <w:separator/>
      </w:r>
    </w:p>
  </w:footnote>
  <w:footnote w:type="continuationSeparator" w:id="0">
    <w:p w:rsidR="00787C03" w:rsidRDefault="00787C03" w:rsidP="002D711A">
      <w:pPr>
        <w:spacing w:after="0" w:line="240" w:lineRule="auto"/>
      </w:pPr>
      <w:r>
        <w:continuationSeparator/>
      </w:r>
    </w:p>
  </w:footnote>
  <w:footnote w:id="1">
    <w:p w:rsidR="00680E02" w:rsidRPr="00EB2A5B" w:rsidRDefault="00680E02" w:rsidP="00680E02">
      <w:pPr>
        <w:pStyle w:val="FootnoteText"/>
        <w:rPr>
          <w:b/>
        </w:rPr>
      </w:pPr>
      <w:r>
        <w:rPr>
          <w:rStyle w:val="FootnoteReference"/>
        </w:rPr>
        <w:footnoteRef/>
      </w:r>
      <w:r>
        <w:t xml:space="preserve"> </w:t>
      </w:r>
      <w:hyperlink r:id="rId1" w:anchor="Direction_1_6" w:history="1">
        <w:r w:rsidRPr="00842BF8">
          <w:rPr>
            <w:rStyle w:val="Hyperlink"/>
          </w:rPr>
          <w:t>Direction 1.6</w:t>
        </w:r>
      </w:hyperlink>
      <w:r>
        <w:t xml:space="preserve"> includes a definition of ‘Significant or Systemic’ (see above). The defined value threshold under Instruction 3.5 only impacts on the interpretation of the meaning of ‘significant’ in relation to actual or suspected Fraud, Corruption or Other Loss. </w:t>
      </w:r>
      <w:r w:rsidRPr="00D9594B">
        <w:t>Different</w:t>
      </w:r>
      <w:r>
        <w:t xml:space="preserve"> reporting</w:t>
      </w:r>
      <w:r w:rsidRPr="00D9594B">
        <w:t xml:space="preserve"> thresholds for ‘significant’ apply to purc</w:t>
      </w:r>
      <w:r>
        <w:t>hasing and prepaid debit cards</w:t>
      </w:r>
      <w:r w:rsidRPr="00D9594B">
        <w:t xml:space="preserve"> </w:t>
      </w:r>
      <w:r>
        <w:t xml:space="preserve">misuse under </w:t>
      </w:r>
      <w:r w:rsidRPr="00277A25">
        <w:t>Instruction 3.6</w:t>
      </w:r>
      <w:r w:rsidRPr="00D9594B">
        <w:t>.</w:t>
      </w:r>
      <w:r>
        <w:t xml:space="preserve"> Where an actual or suspected Fraud, Corruption or Other Loss is deemed </w:t>
      </w:r>
      <w:r w:rsidRPr="00680E02">
        <w:rPr>
          <w:b/>
        </w:rPr>
        <w:t>systemic</w:t>
      </w:r>
      <w:r w:rsidRPr="00823096">
        <w:rPr>
          <w:u w:val="single"/>
        </w:rPr>
        <w:t xml:space="preserve"> </w:t>
      </w:r>
      <w:r w:rsidRPr="00823096">
        <w:t>it should be reported</w:t>
      </w:r>
      <w:r>
        <w:t xml:space="preserve"> regardless of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C26" w:rsidRDefault="00C93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02" w:rsidRDefault="00680E02">
    <w:pPr>
      <w:pStyle w:val="Header"/>
    </w:pPr>
    <w:r w:rsidRPr="00227C39">
      <w:rPr>
        <w:noProof/>
      </w:rPr>
      <w:drawing>
        <wp:anchor distT="0" distB="0" distL="114300" distR="114300" simplePos="0" relativeHeight="251679744" behindDoc="0" locked="0" layoutInCell="1" allowOverlap="1" wp14:anchorId="18E9FB8A" wp14:editId="63638FA2">
          <wp:simplePos x="0" y="0"/>
          <wp:positionH relativeFrom="column">
            <wp:posOffset>-325755</wp:posOffset>
          </wp:positionH>
          <wp:positionV relativeFrom="page">
            <wp:posOffset>297815</wp:posOffset>
          </wp:positionV>
          <wp:extent cx="1380490"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227C39">
      <w:rPr>
        <w:noProof/>
      </w:rPr>
      <w:drawing>
        <wp:anchor distT="0" distB="0" distL="114300" distR="114300" simplePos="0" relativeHeight="251678720" behindDoc="0" locked="0" layoutInCell="1" allowOverlap="1" wp14:anchorId="7D8A2406" wp14:editId="3794E2C8">
          <wp:simplePos x="0" y="0"/>
          <wp:positionH relativeFrom="column">
            <wp:posOffset>-914400</wp:posOffset>
          </wp:positionH>
          <wp:positionV relativeFrom="page">
            <wp:posOffset>124147</wp:posOffset>
          </wp:positionV>
          <wp:extent cx="7592124" cy="740664"/>
          <wp:effectExtent l="0" t="0" r="0" b="2540"/>
          <wp:wrapNone/>
          <wp:docPr id="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2124"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C26" w:rsidRDefault="00C93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02" w:rsidRPr="00BB59E0" w:rsidRDefault="00680E02" w:rsidP="00680E02">
    <w:pPr>
      <w:pStyle w:val="Header"/>
    </w:pPr>
    <w:r>
      <w:rPr>
        <w:noProof/>
      </w:rPr>
      <w:drawing>
        <wp:anchor distT="0" distB="0" distL="114300" distR="114300" simplePos="0" relativeHeight="251682816" behindDoc="0" locked="0" layoutInCell="1" allowOverlap="1" wp14:anchorId="1D527D20" wp14:editId="0096EF00">
          <wp:simplePos x="0" y="0"/>
          <wp:positionH relativeFrom="column">
            <wp:posOffset>-80010</wp:posOffset>
          </wp:positionH>
          <wp:positionV relativeFrom="page">
            <wp:posOffset>231623</wp:posOffset>
          </wp:positionV>
          <wp:extent cx="1179576" cy="356616"/>
          <wp:effectExtent l="0" t="0" r="190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79576" cy="3566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395B7338" wp14:editId="0460093C">
          <wp:simplePos x="0" y="0"/>
          <wp:positionH relativeFrom="column">
            <wp:posOffset>-2066290</wp:posOffset>
          </wp:positionH>
          <wp:positionV relativeFrom="page">
            <wp:posOffset>118745</wp:posOffset>
          </wp:positionV>
          <wp:extent cx="13158216" cy="548656"/>
          <wp:effectExtent l="0" t="0" r="571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8216"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E02"/>
    <w:rsid w:val="00012F6F"/>
    <w:rsid w:val="00014213"/>
    <w:rsid w:val="00014B55"/>
    <w:rsid w:val="00020E3E"/>
    <w:rsid w:val="00023BF3"/>
    <w:rsid w:val="00026811"/>
    <w:rsid w:val="00043296"/>
    <w:rsid w:val="0004356D"/>
    <w:rsid w:val="00045296"/>
    <w:rsid w:val="00075E6C"/>
    <w:rsid w:val="000B29A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62D6"/>
    <w:rsid w:val="0053416C"/>
    <w:rsid w:val="00541C2F"/>
    <w:rsid w:val="00563527"/>
    <w:rsid w:val="0058124E"/>
    <w:rsid w:val="00584301"/>
    <w:rsid w:val="00586337"/>
    <w:rsid w:val="005875A3"/>
    <w:rsid w:val="005A3416"/>
    <w:rsid w:val="005B27FE"/>
    <w:rsid w:val="005C3E6D"/>
    <w:rsid w:val="005F331D"/>
    <w:rsid w:val="005F61DF"/>
    <w:rsid w:val="006023F9"/>
    <w:rsid w:val="00610559"/>
    <w:rsid w:val="006332F6"/>
    <w:rsid w:val="006361E7"/>
    <w:rsid w:val="00652625"/>
    <w:rsid w:val="006534B2"/>
    <w:rsid w:val="0065615D"/>
    <w:rsid w:val="00657011"/>
    <w:rsid w:val="006650B5"/>
    <w:rsid w:val="006651B1"/>
    <w:rsid w:val="00665778"/>
    <w:rsid w:val="006738C4"/>
    <w:rsid w:val="00680E02"/>
    <w:rsid w:val="00691C09"/>
    <w:rsid w:val="006A5B34"/>
    <w:rsid w:val="006A5F5B"/>
    <w:rsid w:val="006C77A9"/>
    <w:rsid w:val="006F6693"/>
    <w:rsid w:val="00707FE8"/>
    <w:rsid w:val="00724962"/>
    <w:rsid w:val="00724A0F"/>
    <w:rsid w:val="0073072C"/>
    <w:rsid w:val="007320B4"/>
    <w:rsid w:val="00732162"/>
    <w:rsid w:val="00736732"/>
    <w:rsid w:val="00750CBE"/>
    <w:rsid w:val="00766B5A"/>
    <w:rsid w:val="007834F2"/>
    <w:rsid w:val="00787C03"/>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64F8E"/>
    <w:rsid w:val="008A4900"/>
    <w:rsid w:val="008D0281"/>
    <w:rsid w:val="008E3C4E"/>
    <w:rsid w:val="008F6D45"/>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12CD"/>
    <w:rsid w:val="00A023A0"/>
    <w:rsid w:val="00A1562B"/>
    <w:rsid w:val="00A170F4"/>
    <w:rsid w:val="00A2559E"/>
    <w:rsid w:val="00A25FD9"/>
    <w:rsid w:val="00A46BA8"/>
    <w:rsid w:val="00A47634"/>
    <w:rsid w:val="00A612FE"/>
    <w:rsid w:val="00AA26B8"/>
    <w:rsid w:val="00AA6FB5"/>
    <w:rsid w:val="00AB3FE2"/>
    <w:rsid w:val="00AD3322"/>
    <w:rsid w:val="00AD7E4E"/>
    <w:rsid w:val="00AF34DE"/>
    <w:rsid w:val="00AF4D58"/>
    <w:rsid w:val="00AF6666"/>
    <w:rsid w:val="00B10154"/>
    <w:rsid w:val="00B81B44"/>
    <w:rsid w:val="00B9053B"/>
    <w:rsid w:val="00BC3422"/>
    <w:rsid w:val="00C015B9"/>
    <w:rsid w:val="00C022F9"/>
    <w:rsid w:val="00C032EA"/>
    <w:rsid w:val="00C06EB5"/>
    <w:rsid w:val="00C1145F"/>
    <w:rsid w:val="00C637E1"/>
    <w:rsid w:val="00C70D50"/>
    <w:rsid w:val="00C8243E"/>
    <w:rsid w:val="00C907D7"/>
    <w:rsid w:val="00C92338"/>
    <w:rsid w:val="00C93C26"/>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A2E9C"/>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980A3"/>
  <w15:docId w15:val="{FB91C39D-26D9-431E-9834-5AA46047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E02"/>
    <w:pPr>
      <w:spacing w:before="160" w:after="100"/>
    </w:pPr>
    <w:rPr>
      <w:spacing w:val="2"/>
    </w:rPr>
  </w:style>
  <w:style w:type="paragraph" w:styleId="Heading1">
    <w:name w:val="heading 1"/>
    <w:next w:val="Normal"/>
    <w:link w:val="Heading1Char"/>
    <w:qFormat/>
    <w:rsid w:val="00680E02"/>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680E02"/>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680E02"/>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680E02"/>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80E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80E02"/>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680E0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680E0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680E02"/>
    <w:pPr>
      <w:tabs>
        <w:tab w:val="right" w:leader="dot" w:pos="9000"/>
      </w:tabs>
      <w:ind w:right="432"/>
    </w:pPr>
    <w:rPr>
      <w:sz w:val="24"/>
      <w:szCs w:val="24"/>
    </w:rPr>
  </w:style>
  <w:style w:type="paragraph" w:styleId="TOC2">
    <w:name w:val="toc 2"/>
    <w:next w:val="Normal"/>
    <w:uiPriority w:val="39"/>
    <w:rsid w:val="00680E02"/>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680E02"/>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680E02"/>
    <w:pPr>
      <w:spacing w:after="60" w:line="240" w:lineRule="auto"/>
    </w:pPr>
    <w:rPr>
      <w:sz w:val="16"/>
    </w:rPr>
  </w:style>
  <w:style w:type="paragraph" w:styleId="Index2">
    <w:name w:val="index 2"/>
    <w:basedOn w:val="Normal"/>
    <w:next w:val="Normal"/>
    <w:uiPriority w:val="99"/>
    <w:semiHidden/>
    <w:rsid w:val="00680E02"/>
    <w:pPr>
      <w:spacing w:after="0" w:line="240" w:lineRule="auto"/>
      <w:ind w:left="216"/>
    </w:pPr>
    <w:rPr>
      <w:sz w:val="16"/>
      <w:szCs w:val="16"/>
    </w:rPr>
  </w:style>
  <w:style w:type="character" w:styleId="Hyperlink">
    <w:name w:val="Hyperlink"/>
    <w:basedOn w:val="DefaultParagraphFont"/>
    <w:rsid w:val="00680E02"/>
    <w:rPr>
      <w:color w:val="53565A" w:themeColor="hyperlink"/>
      <w:u w:val="none"/>
    </w:rPr>
  </w:style>
  <w:style w:type="character" w:customStyle="1" w:styleId="Heading1Char">
    <w:name w:val="Heading 1 Char"/>
    <w:basedOn w:val="DefaultParagraphFont"/>
    <w:link w:val="Heading1"/>
    <w:rsid w:val="00680E02"/>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680E02"/>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680E02"/>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680E02"/>
    <w:pPr>
      <w:numPr>
        <w:ilvl w:val="1"/>
      </w:numPr>
    </w:pPr>
  </w:style>
  <w:style w:type="paragraph" w:customStyle="1" w:styleId="Bulletindent">
    <w:name w:val="Bullet indent"/>
    <w:basedOn w:val="Bullet2"/>
    <w:uiPriority w:val="9"/>
    <w:qFormat/>
    <w:rsid w:val="00680E02"/>
    <w:pPr>
      <w:numPr>
        <w:ilvl w:val="2"/>
      </w:numPr>
    </w:pPr>
  </w:style>
  <w:style w:type="paragraph" w:customStyle="1" w:styleId="Heading1numbered">
    <w:name w:val="Heading 1 numbered"/>
    <w:basedOn w:val="Heading1"/>
    <w:next w:val="NormalIndent"/>
    <w:uiPriority w:val="8"/>
    <w:qFormat/>
    <w:rsid w:val="00680E02"/>
    <w:pPr>
      <w:numPr>
        <w:ilvl w:val="2"/>
        <w:numId w:val="4"/>
      </w:numPr>
    </w:pPr>
  </w:style>
  <w:style w:type="paragraph" w:customStyle="1" w:styleId="Heading2numbered">
    <w:name w:val="Heading 2 numbered"/>
    <w:basedOn w:val="Heading2"/>
    <w:next w:val="NormalIndent"/>
    <w:uiPriority w:val="8"/>
    <w:qFormat/>
    <w:rsid w:val="00680E02"/>
    <w:pPr>
      <w:numPr>
        <w:ilvl w:val="3"/>
        <w:numId w:val="4"/>
      </w:numPr>
    </w:pPr>
  </w:style>
  <w:style w:type="paragraph" w:customStyle="1" w:styleId="Heading3numbered">
    <w:name w:val="Heading 3 numbered"/>
    <w:basedOn w:val="Heading3"/>
    <w:next w:val="NormalIndent"/>
    <w:uiPriority w:val="8"/>
    <w:qFormat/>
    <w:rsid w:val="00680E02"/>
    <w:pPr>
      <w:numPr>
        <w:ilvl w:val="4"/>
        <w:numId w:val="4"/>
      </w:numPr>
    </w:pPr>
  </w:style>
  <w:style w:type="character" w:customStyle="1" w:styleId="Heading3Char">
    <w:name w:val="Heading 3 Char"/>
    <w:basedOn w:val="DefaultParagraphFont"/>
    <w:link w:val="Heading3"/>
    <w:rsid w:val="00680E02"/>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680E02"/>
    <w:pPr>
      <w:numPr>
        <w:ilvl w:val="5"/>
        <w:numId w:val="4"/>
      </w:numPr>
    </w:pPr>
  </w:style>
  <w:style w:type="character" w:customStyle="1" w:styleId="Heading4Char">
    <w:name w:val="Heading 4 Char"/>
    <w:basedOn w:val="DefaultParagraphFont"/>
    <w:link w:val="Heading4"/>
    <w:rsid w:val="00680E0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680E02"/>
    <w:pPr>
      <w:spacing w:line="252" w:lineRule="auto"/>
      <w:ind w:left="792"/>
    </w:pPr>
  </w:style>
  <w:style w:type="paragraph" w:customStyle="1" w:styleId="NoteNormal">
    <w:name w:val="Note Normal"/>
    <w:basedOn w:val="Normal"/>
    <w:uiPriority w:val="49"/>
    <w:rsid w:val="00680E0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680E02"/>
    <w:pPr>
      <w:spacing w:before="0" w:after="0" w:line="120" w:lineRule="atLeast"/>
    </w:pPr>
    <w:rPr>
      <w:rFonts w:eastAsia="Times New Roman" w:cs="Calibri"/>
      <w:spacing w:val="0"/>
      <w:sz w:val="10"/>
      <w:szCs w:val="22"/>
    </w:rPr>
  </w:style>
  <w:style w:type="paragraph" w:styleId="Subtitle">
    <w:name w:val="Subtitle"/>
    <w:link w:val="SubtitleChar"/>
    <w:uiPriority w:val="98"/>
    <w:rsid w:val="00680E02"/>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680E0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80E02"/>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80E02"/>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80E02"/>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680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02"/>
    <w:rPr>
      <w:rFonts w:ascii="Tahoma" w:hAnsi="Tahoma" w:cs="Tahoma"/>
      <w:spacing w:val="2"/>
      <w:sz w:val="16"/>
      <w:szCs w:val="16"/>
    </w:rPr>
  </w:style>
  <w:style w:type="paragraph" w:customStyle="1" w:styleId="Bulletindent2">
    <w:name w:val="Bullet indent 2"/>
    <w:basedOn w:val="Normal"/>
    <w:uiPriority w:val="9"/>
    <w:qFormat/>
    <w:rsid w:val="00680E02"/>
    <w:pPr>
      <w:numPr>
        <w:ilvl w:val="3"/>
        <w:numId w:val="1"/>
      </w:numPr>
      <w:spacing w:before="100"/>
      <w:contextualSpacing/>
    </w:pPr>
  </w:style>
  <w:style w:type="paragraph" w:styleId="IndexHeading">
    <w:name w:val="index heading"/>
    <w:basedOn w:val="Normal"/>
    <w:next w:val="Index1"/>
    <w:uiPriority w:val="99"/>
    <w:semiHidden/>
    <w:rsid w:val="00680E02"/>
    <w:rPr>
      <w:rFonts w:asciiTheme="majorHAnsi" w:eastAsiaTheme="majorEastAsia" w:hAnsiTheme="majorHAnsi" w:cstheme="majorBidi"/>
      <w:b/>
      <w:bCs/>
    </w:rPr>
  </w:style>
  <w:style w:type="paragraph" w:styleId="Header">
    <w:name w:val="header"/>
    <w:basedOn w:val="Normal"/>
    <w:link w:val="HeaderChar"/>
    <w:uiPriority w:val="99"/>
    <w:semiHidden/>
    <w:rsid w:val="00680E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0E02"/>
    <w:rPr>
      <w:spacing w:val="2"/>
    </w:rPr>
  </w:style>
  <w:style w:type="paragraph" w:styleId="Footer">
    <w:name w:val="footer"/>
    <w:basedOn w:val="Normal"/>
    <w:link w:val="FooterChar"/>
    <w:uiPriority w:val="24"/>
    <w:rsid w:val="00680E02"/>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680E02"/>
    <w:rPr>
      <w:noProof/>
      <w:spacing w:val="2"/>
      <w:sz w:val="18"/>
      <w:szCs w:val="18"/>
    </w:rPr>
  </w:style>
  <w:style w:type="character" w:styleId="PageNumber">
    <w:name w:val="page number"/>
    <w:uiPriority w:val="49"/>
    <w:semiHidden/>
    <w:rsid w:val="00680E02"/>
    <w:rPr>
      <w:b w:val="0"/>
      <w:color w:val="000000" w:themeColor="text1"/>
    </w:rPr>
  </w:style>
  <w:style w:type="paragraph" w:styleId="TOCHeading">
    <w:name w:val="TOC Heading"/>
    <w:basedOn w:val="Heading1"/>
    <w:next w:val="Normal"/>
    <w:uiPriority w:val="39"/>
    <w:rsid w:val="00680E02"/>
    <w:pPr>
      <w:spacing w:before="480" w:after="720"/>
      <w:outlineLvl w:val="9"/>
    </w:pPr>
    <w:rPr>
      <w:spacing w:val="2"/>
    </w:rPr>
  </w:style>
  <w:style w:type="paragraph" w:customStyle="1" w:styleId="NormalTight">
    <w:name w:val="Normal Tight"/>
    <w:uiPriority w:val="99"/>
    <w:semiHidden/>
    <w:rsid w:val="00680E02"/>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680E02"/>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680E02"/>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680E02"/>
    <w:pPr>
      <w:spacing w:before="5800"/>
      <w:ind w:right="1382"/>
    </w:pPr>
  </w:style>
  <w:style w:type="paragraph" w:styleId="TOC4">
    <w:name w:val="toc 4"/>
    <w:basedOn w:val="TOC1"/>
    <w:next w:val="Normal"/>
    <w:uiPriority w:val="39"/>
    <w:rsid w:val="00680E02"/>
    <w:pPr>
      <w:ind w:left="450" w:hanging="450"/>
    </w:pPr>
    <w:rPr>
      <w:noProof/>
      <w:lang w:eastAsia="en-US"/>
    </w:rPr>
  </w:style>
  <w:style w:type="paragraph" w:styleId="TOC5">
    <w:name w:val="toc 5"/>
    <w:basedOn w:val="TOC2"/>
    <w:next w:val="Normal"/>
    <w:uiPriority w:val="39"/>
    <w:rsid w:val="00680E02"/>
    <w:pPr>
      <w:ind w:left="1080" w:hanging="634"/>
    </w:pPr>
    <w:rPr>
      <w:lang w:eastAsia="en-US"/>
    </w:rPr>
  </w:style>
  <w:style w:type="paragraph" w:styleId="TOC6">
    <w:name w:val="toc 6"/>
    <w:basedOn w:val="TOC3"/>
    <w:next w:val="Normal"/>
    <w:uiPriority w:val="39"/>
    <w:rsid w:val="00680E02"/>
    <w:pPr>
      <w:ind w:left="1800" w:hanging="720"/>
    </w:pPr>
    <w:rPr>
      <w:lang w:eastAsia="en-US"/>
    </w:rPr>
  </w:style>
  <w:style w:type="table" w:customStyle="1" w:styleId="DTFtexttable">
    <w:name w:val="DTF text table"/>
    <w:basedOn w:val="TableGrid"/>
    <w:uiPriority w:val="99"/>
    <w:rsid w:val="00680E02"/>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80E02"/>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15"/>
    <w:qFormat/>
    <w:rsid w:val="00EA2E9C"/>
    <w:pPr>
      <w:spacing w:before="60" w:after="60" w:line="264" w:lineRule="auto"/>
    </w:pPr>
    <w:rPr>
      <w:sz w:val="16"/>
    </w:rPr>
  </w:style>
  <w:style w:type="paragraph" w:customStyle="1" w:styleId="Tabletextright">
    <w:name w:val="Table text right"/>
    <w:basedOn w:val="Tabletext"/>
    <w:uiPriority w:val="5"/>
    <w:qFormat/>
    <w:rsid w:val="00680E02"/>
    <w:pPr>
      <w:jc w:val="right"/>
    </w:pPr>
  </w:style>
  <w:style w:type="paragraph" w:customStyle="1" w:styleId="Listnumindent2">
    <w:name w:val="List num indent 2"/>
    <w:basedOn w:val="Normal"/>
    <w:uiPriority w:val="9"/>
    <w:qFormat/>
    <w:rsid w:val="00680E02"/>
    <w:pPr>
      <w:numPr>
        <w:ilvl w:val="7"/>
        <w:numId w:val="4"/>
      </w:numPr>
      <w:spacing w:before="100"/>
      <w:contextualSpacing/>
    </w:pPr>
  </w:style>
  <w:style w:type="paragraph" w:customStyle="1" w:styleId="Listnumindent">
    <w:name w:val="List num indent"/>
    <w:basedOn w:val="Normal"/>
    <w:uiPriority w:val="9"/>
    <w:qFormat/>
    <w:rsid w:val="00680E02"/>
    <w:pPr>
      <w:numPr>
        <w:ilvl w:val="6"/>
        <w:numId w:val="4"/>
      </w:numPr>
      <w:spacing w:before="100"/>
    </w:pPr>
  </w:style>
  <w:style w:type="paragraph" w:customStyle="1" w:styleId="Listnum">
    <w:name w:val="List num"/>
    <w:basedOn w:val="Normal"/>
    <w:uiPriority w:val="1"/>
    <w:qFormat/>
    <w:rsid w:val="00680E02"/>
    <w:pPr>
      <w:numPr>
        <w:numId w:val="4"/>
      </w:numPr>
    </w:pPr>
  </w:style>
  <w:style w:type="paragraph" w:customStyle="1" w:styleId="Listnum2">
    <w:name w:val="List num 2"/>
    <w:basedOn w:val="Normal"/>
    <w:uiPriority w:val="1"/>
    <w:qFormat/>
    <w:rsid w:val="00680E02"/>
    <w:pPr>
      <w:numPr>
        <w:ilvl w:val="1"/>
        <w:numId w:val="4"/>
      </w:numPr>
    </w:pPr>
  </w:style>
  <w:style w:type="paragraph" w:customStyle="1" w:styleId="Tabletextcentred">
    <w:name w:val="Table text centred"/>
    <w:basedOn w:val="Tabletext"/>
    <w:uiPriority w:val="5"/>
    <w:qFormat/>
    <w:rsid w:val="00680E02"/>
    <w:pPr>
      <w:jc w:val="center"/>
    </w:pPr>
  </w:style>
  <w:style w:type="paragraph" w:customStyle="1" w:styleId="Tableheader">
    <w:name w:val="Table header"/>
    <w:basedOn w:val="Tabletext"/>
    <w:uiPriority w:val="15"/>
    <w:qFormat/>
    <w:rsid w:val="00EA2E9C"/>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6"/>
    <w:rsid w:val="00680E02"/>
    <w:pPr>
      <w:numPr>
        <w:numId w:val="17"/>
      </w:numPr>
    </w:pPr>
  </w:style>
  <w:style w:type="paragraph" w:customStyle="1" w:styleId="Tabledash">
    <w:name w:val="Table dash"/>
    <w:basedOn w:val="Tablebullet"/>
    <w:uiPriority w:val="6"/>
    <w:rsid w:val="00680E02"/>
    <w:pPr>
      <w:numPr>
        <w:ilvl w:val="1"/>
      </w:numPr>
    </w:pPr>
  </w:style>
  <w:style w:type="paragraph" w:customStyle="1" w:styleId="Tabletextindent">
    <w:name w:val="Table text indent"/>
    <w:basedOn w:val="Tabletext"/>
    <w:uiPriority w:val="5"/>
    <w:qFormat/>
    <w:rsid w:val="00680E02"/>
    <w:pPr>
      <w:ind w:left="288"/>
    </w:pPr>
  </w:style>
  <w:style w:type="paragraph" w:customStyle="1" w:styleId="Numpara">
    <w:name w:val="Num para"/>
    <w:basedOn w:val="ListParagraph"/>
    <w:uiPriority w:val="2"/>
    <w:qFormat/>
    <w:rsid w:val="00680E02"/>
    <w:pPr>
      <w:numPr>
        <w:numId w:val="19"/>
      </w:numPr>
      <w:tabs>
        <w:tab w:val="left" w:pos="540"/>
      </w:tabs>
    </w:pPr>
  </w:style>
  <w:style w:type="paragraph" w:styleId="ListParagraph">
    <w:name w:val="List Paragraph"/>
    <w:basedOn w:val="Normal"/>
    <w:uiPriority w:val="34"/>
    <w:semiHidden/>
    <w:qFormat/>
    <w:rsid w:val="00680E02"/>
    <w:pPr>
      <w:ind w:left="720"/>
      <w:contextualSpacing/>
    </w:pPr>
  </w:style>
  <w:style w:type="paragraph" w:customStyle="1" w:styleId="Tablechartdiagramheading">
    <w:name w:val="Table/chart/diagram heading"/>
    <w:uiPriority w:val="4"/>
    <w:qFormat/>
    <w:rsid w:val="00680E02"/>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680E02"/>
    <w:pPr>
      <w:spacing w:before="0" w:after="0" w:line="264" w:lineRule="auto"/>
    </w:pPr>
    <w:rPr>
      <w:sz w:val="16"/>
    </w:rPr>
  </w:style>
  <w:style w:type="character" w:customStyle="1" w:styleId="FootnoteTextChar">
    <w:name w:val="Footnote Text Char"/>
    <w:basedOn w:val="DefaultParagraphFont"/>
    <w:link w:val="FootnoteText"/>
    <w:uiPriority w:val="99"/>
    <w:semiHidden/>
    <w:rsid w:val="00680E02"/>
    <w:rPr>
      <w:spacing w:val="2"/>
      <w:sz w:val="16"/>
    </w:rPr>
  </w:style>
  <w:style w:type="character" w:styleId="FootnoteReference">
    <w:name w:val="footnote reference"/>
    <w:basedOn w:val="DefaultParagraphFont"/>
    <w:uiPriority w:val="99"/>
    <w:rsid w:val="00680E02"/>
    <w:rPr>
      <w:vertAlign w:val="superscript"/>
    </w:rPr>
  </w:style>
  <w:style w:type="table" w:customStyle="1" w:styleId="DTFfinancialtableindent">
    <w:name w:val="DTF financial table indent"/>
    <w:basedOn w:val="DTFfinancialtable"/>
    <w:uiPriority w:val="99"/>
    <w:rsid w:val="00680E02"/>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680E02"/>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680E02"/>
    <w:pPr>
      <w:numPr>
        <w:ilvl w:val="8"/>
        <w:numId w:val="4"/>
      </w:numPr>
      <w:tabs>
        <w:tab w:val="clear" w:pos="540"/>
      </w:tabs>
    </w:pPr>
  </w:style>
  <w:style w:type="paragraph" w:customStyle="1" w:styleId="Tablenum1">
    <w:name w:val="Table num 1"/>
    <w:basedOn w:val="Normal"/>
    <w:uiPriority w:val="6"/>
    <w:rsid w:val="00680E02"/>
    <w:pPr>
      <w:numPr>
        <w:ilvl w:val="2"/>
        <w:numId w:val="17"/>
      </w:numPr>
    </w:pPr>
    <w:rPr>
      <w:sz w:val="17"/>
    </w:rPr>
  </w:style>
  <w:style w:type="paragraph" w:customStyle="1" w:styleId="Tablenum2">
    <w:name w:val="Table num 2"/>
    <w:basedOn w:val="Normal"/>
    <w:uiPriority w:val="6"/>
    <w:rsid w:val="00680E02"/>
    <w:pPr>
      <w:numPr>
        <w:ilvl w:val="3"/>
        <w:numId w:val="17"/>
      </w:numPr>
    </w:pPr>
    <w:rPr>
      <w:sz w:val="17"/>
    </w:rPr>
  </w:style>
  <w:style w:type="paragraph" w:customStyle="1" w:styleId="NoteNormalindent">
    <w:name w:val="Note Normal indent"/>
    <w:basedOn w:val="NoteNormal"/>
    <w:uiPriority w:val="8"/>
    <w:rsid w:val="00680E02"/>
    <w:pPr>
      <w:ind w:left="792"/>
    </w:pPr>
  </w:style>
  <w:style w:type="paragraph" w:styleId="Caption">
    <w:name w:val="caption"/>
    <w:basedOn w:val="Normal"/>
    <w:next w:val="Normal"/>
    <w:uiPriority w:val="35"/>
    <w:rsid w:val="00680E02"/>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f.vic.gov.au/files/7b9afc5c-687b-4ae7-b860-a5a6010a4a0e/Standing-Directions-of-the-Minister-for-Finance-2016.docx"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tf.vic.gov.au/files/7b9afc5c-687b-4ae7-b860-a5a6010a4a0e/Standing-Directions-of-the-Minister-for-Finance-2016.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tf.vic.gov.au/files/7b9afc5c-687b-4ae7-b860-a5a6010a4a0e/Standing-Directions-of-the-Minister-for-Finance-2016.doc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files/7b9afc5c-687b-4ae7-b860-a5a6010a4a0e/Standing-Directions-of-the-Minister-for-Finance-2016.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D150-BB39-4950-A786-82870046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8</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Mike G Hogan (DTF)</cp:lastModifiedBy>
  <cp:revision>3</cp:revision>
  <cp:lastPrinted>2016-02-09T01:59:00Z</cp:lastPrinted>
  <dcterms:created xsi:type="dcterms:W3CDTF">2019-01-07T05:59:00Z</dcterms:created>
  <dcterms:modified xsi:type="dcterms:W3CDTF">2019-01-07T06:07:00Z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